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343" w:hAnchor="page" w:vAnchor="page" w:x="274" w:y="797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8320" w:hAnchor="page" w:vAnchor="page" w:x="644" w:y="797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 Fee computed on table in exhibit required by Item 25(b) per Exchange Act Rules 14a-6(i)(1) and 0-11</w:t>
      </w:r>
    </w:p>
    <w:p>
      <w:pPr>
        <w:pStyle w:val="Normal"/>
        <w:framePr w:w="343" w:hAnchor="page" w:vAnchor="page" w:x="274" w:y="76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3912" w:hAnchor="page" w:vAnchor="page" w:x="644" w:y="76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 Fee paid previously with preliminary materials</w:t>
      </w:r>
    </w:p>
    <w:p>
      <w:pPr>
        <w:pStyle w:val="Normal"/>
        <w:framePr w:w="1929" w:hAnchor="page" w:vAnchor="page" w:x="274" w:y="72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 xml:space="preserve">☒  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 No fee required</w:t>
      </w:r>
    </w:p>
    <w:p>
      <w:pPr>
        <w:pStyle w:val="Normal"/>
        <w:framePr w:w="4296" w:hAnchor="page" w:vAnchor="page" w:x="274" w:y="69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Payment of Filing Fee (Check all boxes that apply):</w:t>
      </w:r>
    </w:p>
    <w:p>
      <w:pPr>
        <w:pStyle w:val="Normal"/>
        <w:framePr w:w="6355" w:hAnchor="page" w:vAnchor="page" w:x="3547" w:y="65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  <w:t>(Name of Person(s) Filing Proxy Statement, if other than the Registrant)</w:t>
      </w:r>
    </w:p>
    <w:p>
      <w:pPr>
        <w:pStyle w:val="Normal"/>
        <w:framePr w:w="4255" w:hAnchor="page" w:vAnchor="page" w:x="4423" w:y="62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  <w:t>(Name of Registrant as Specified In Its Charter)</w:t>
      </w:r>
    </w:p>
    <w:p>
      <w:pPr>
        <w:pStyle w:val="Normal"/>
        <w:framePr w:w="3875" w:hAnchor="page" w:vAnchor="page" w:x="4539" w:y="5840"/>
        <w:widowControl w:val="off"/>
        <w:autoSpaceDE w:val="off"/>
        <w:autoSpaceDN w:val="off"/>
        <w:spacing w:before="0" w:after="0" w:line="375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36"/>
          <w:szCs w:val="36"/>
        </w:rPr>
      </w:pPr>
      <w:r>
        <w:rPr>
          <w:rFonts w:ascii="TYIFDT+ArialMT" w:hAnsi="TYIFDT+ArialMT" w:fareast="TYIFDT+ArialMT" w:cs="TYIFDT+ArialMT"/>
          <w:color w:val="000000"/>
          <w:w w:val="100"/>
          <w:sz w:val="36"/>
          <w:szCs w:val="36"/>
        </w:rPr>
        <w:t>TECHNIPFMC PLC</w:t>
      </w:r>
    </w:p>
    <w:p>
      <w:pPr>
        <w:pStyle w:val="Normal"/>
        <w:framePr w:w="343" w:hAnchor="page" w:vAnchor="page" w:x="274" w:y="543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3245" w:hAnchor="page" w:vAnchor="page" w:x="672" w:y="543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Soliciting Material under § 240.14a-12</w:t>
      </w:r>
    </w:p>
    <w:p>
      <w:pPr>
        <w:pStyle w:val="Normal"/>
        <w:framePr w:w="343" w:hAnchor="page" w:vAnchor="page" w:x="274" w:y="50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2567" w:hAnchor="page" w:vAnchor="page" w:x="672" w:y="50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Definitive Additional Materials</w:t>
      </w:r>
    </w:p>
    <w:p>
      <w:pPr>
        <w:pStyle w:val="Normal"/>
        <w:framePr w:w="2802" w:hAnchor="page" w:vAnchor="page" w:x="274" w:y="472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 xml:space="preserve">☒   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Definitive Proxy Statement</w:t>
      </w:r>
    </w:p>
    <w:p>
      <w:pPr>
        <w:pStyle w:val="Normal"/>
        <w:framePr w:w="343" w:hAnchor="page" w:vAnchor="page" w:x="274" w:y="436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6610" w:hAnchor="page" w:vAnchor="page" w:x="672" w:y="436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Confidential, for Use of the Commission Only (as permitted by Rule 14a-6(e)(2))</w:t>
      </w:r>
    </w:p>
    <w:p>
      <w:pPr>
        <w:pStyle w:val="Normal"/>
        <w:framePr w:w="343" w:hAnchor="page" w:vAnchor="page" w:x="274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2486" w:hAnchor="page" w:vAnchor="page" w:x="672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Preliminary Proxy Statement</w:t>
      </w:r>
    </w:p>
    <w:p>
      <w:pPr>
        <w:pStyle w:val="Normal"/>
        <w:framePr w:w="2365" w:hAnchor="page" w:vAnchor="page" w:x="274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Check the appropriate box:</w:t>
      </w:r>
    </w:p>
    <w:p>
      <w:pPr>
        <w:pStyle w:val="Normal"/>
        <w:framePr w:w="3711" w:hAnchor="page" w:vAnchor="page" w:x="274" w:y="33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Filed by a Party other than the Registrant </w:t>
      </w: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☐</w:t>
      </w:r>
    </w:p>
    <w:p>
      <w:pPr>
        <w:pStyle w:val="Normal"/>
        <w:framePr w:w="2392" w:hAnchor="page" w:vAnchor="page" w:x="274" w:y="29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Filed by the Registrant </w:t>
      </w:r>
      <w:r>
        <w:rPr>
          <w:rFonts w:ascii="RAPZIX+DejaVuSans" w:hAnsi="RAPZIX+DejaVuSans" w:fareast="RAPZIX+DejaVuSans" w:cs="RAPZIX+DejaVuSans"/>
          <w:color w:val="000000"/>
          <w:w w:val="100"/>
          <w:sz w:val="15"/>
          <w:szCs w:val="15"/>
        </w:rPr>
        <w:t>☒</w:t>
      </w:r>
    </w:p>
    <w:p>
      <w:pPr>
        <w:pStyle w:val="Normal"/>
        <w:framePr w:w="6273" w:hAnchor="page" w:vAnchor="page" w:x="3602" w:y="252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the Securities Exchange Act of 1934 (Amendment No.   )</w:t>
      </w:r>
    </w:p>
    <w:p>
      <w:pPr>
        <w:pStyle w:val="Normal"/>
        <w:framePr w:w="4870" w:hAnchor="page" w:vAnchor="page" w:x="4186" w:y="231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 xml:space="preserve">Proxy Statement Pursuant to Section 14(a) of </w:t>
      </w:r>
    </w:p>
    <w:p>
      <w:pPr>
        <w:pStyle w:val="Normal"/>
        <w:framePr w:w="2520" w:hAnchor="page" w:vAnchor="page" w:x="5110" w:y="1795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27"/>
          <w:szCs w:val="2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27"/>
          <w:szCs w:val="27"/>
        </w:rPr>
        <w:t>SCHEDULE 14A</w:t>
      </w:r>
    </w:p>
    <w:p>
      <w:pPr>
        <w:pStyle w:val="Normal"/>
        <w:framePr w:w="2807" w:hAnchor="page" w:vAnchor="page" w:x="5049" w:y="136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Washington, D.C. 20549</w:t>
      </w:r>
    </w:p>
    <w:p>
      <w:pPr>
        <w:pStyle w:val="Normal"/>
        <w:framePr w:w="5566" w:hAnchor="page" w:vAnchor="page" w:x="3673" w:y="110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23"/>
          <w:szCs w:val="23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23"/>
          <w:szCs w:val="23"/>
        </w:rPr>
        <w:t>SECURITIES AND EXCHANGE COMMISSION</w:t>
      </w:r>
    </w:p>
    <w:p>
      <w:pPr>
        <w:pStyle w:val="Normal"/>
        <w:framePr w:w="2242" w:hAnchor="page" w:vAnchor="page" w:x="5201" w:y="84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23"/>
          <w:szCs w:val="23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23"/>
          <w:szCs w:val="23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2.7pt;margin-top:20.9pt;z-index:-16777208;width:586.6pt;height: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2.7pt;margin-top:25.9pt;z-index:-16777204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2.7pt;margin-top:419.9pt;z-index:-16777200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2.7pt;margin-top:421.35pt;z-index:-16777196;width:586.6pt;height: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2.7pt;margin-top:434.85pt;z-index:-1677719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7pt;margin-top:1pt;z-index:-1677718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2.7pt;margin-top:641.8pt;z-index:-1677718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55.65pt;margin-top:2pt;z-index:-16777180;width:497.85pt;height:629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</w:p>
    <w:p>
      <w:pPr>
        <w:pStyle w:val="Normal"/>
        <w:framePr w:w="1631" w:hAnchor="page" w:vAnchor="page" w:x="274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iii   TechnipFMC</w:t>
      </w:r>
    </w:p>
    <w:p>
      <w:pPr>
        <w:pStyle w:val="Normal"/>
        <w:framePr w:w="7946" w:hAnchor="page" w:vAnchor="page" w:x="274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Hadrian House, Wincomblee Road, Newcastle upon Tyne, NE6 3PL, United Kingdom</w:t>
      </w:r>
    </w:p>
    <w:p>
      <w:pPr>
        <w:pStyle w:val="Normal"/>
        <w:framePr w:w="5443" w:hAnchor="page" w:vAnchor="page" w:x="274" w:y="358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 xml:space="preserve">April 28, 2023 at 4:00 p.m., London time </w:t>
      </w:r>
    </w:p>
    <w:p>
      <w:pPr>
        <w:pStyle w:val="Normal"/>
        <w:framePr w:w="1468" w:hAnchor="page" w:vAnchor="page" w:x="274" w:y="31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April 28, 2023</w:t>
      </w:r>
    </w:p>
    <w:p>
      <w:pPr>
        <w:pStyle w:val="Normal"/>
        <w:framePr w:w="6489" w:hAnchor="page" w:vAnchor="page" w:x="274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incorporated in England and Wales with company number 09909709)</w:t>
      </w:r>
    </w:p>
    <w:p>
      <w:pPr>
        <w:pStyle w:val="Normal"/>
        <w:framePr w:w="13432" w:hAnchor="page" w:vAnchor="page" w:x="274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(a public limited company having its registered office at Hadrian House, Wincomblee Road, Newcastle upon Tyne, NE6 3PL, United Kingdom, and</w:t>
      </w:r>
    </w:p>
    <w:p>
      <w:pPr>
        <w:pStyle w:val="Normal"/>
        <w:framePr w:w="2444" w:hAnchor="page" w:vAnchor="page" w:x="274" w:y="228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 xml:space="preserve">TechnipFMC plc </w:t>
      </w:r>
    </w:p>
    <w:p>
      <w:pPr>
        <w:pStyle w:val="Normal"/>
        <w:framePr w:w="10782" w:hAnchor="page" w:vAnchor="page" w:x="274" w:y="1628"/>
        <w:widowControl w:val="off"/>
        <w:autoSpaceDE w:val="off"/>
        <w:autoSpaceDN w:val="off"/>
        <w:spacing w:before="0" w:after="0" w:line="39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38"/>
          <w:szCs w:val="38"/>
        </w:rPr>
      </w:pPr>
      <w:r>
        <w:rPr>
          <w:rFonts w:ascii="TYIFDT+ArialMT" w:hAnsi="TYIFDT+ArialMT" w:fareast="TYIFDT+ArialMT" w:cs="TYIFDT+ArialMT"/>
          <w:color w:val="481e6e"/>
          <w:w w:val="100"/>
          <w:sz w:val="38"/>
          <w:szCs w:val="38"/>
        </w:rPr>
        <w:t>Notice of 2023 Annual General Meeting of Shareholders</w:t>
      </w:r>
    </w:p>
    <w:p>
      <w:pPr>
        <w:pStyle w:val="Normal"/>
        <w:framePr w:w="3213" w:hAnchor="page" w:vAnchor="page" w:x="274" w:y="2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framePr w:w="354" w:hAnchor="page" w:vAnchor="page" w:x="274" w:y="5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7pt;margin-top:1pt;z-index:-1677717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.7pt;margin-top:262.75pt;z-index:-1677717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6.55pt;margin-top:31.85pt;z-index:-16777168;width:192.0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</w:p>
    <w:p>
      <w:pPr>
        <w:pStyle w:val="Normal"/>
        <w:framePr w:w="1631" w:hAnchor="page" w:vAnchor="page" w:x="274" w:y="92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iv   TechnipFMC</w:t>
      </w:r>
    </w:p>
    <w:p>
      <w:pPr>
        <w:pStyle w:val="Normal"/>
        <w:framePr w:w="13639" w:hAnchor="page" w:vAnchor="page" w:x="274" w:y="86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date of the Proxy Statement, TechnipFMC does not know of any other matters to be raised at the 2023 Annual General Meeting of Shareholders.</w:t>
      </w:r>
    </w:p>
    <w:p>
      <w:pPr>
        <w:pStyle w:val="Normal"/>
        <w:framePr w:w="14139" w:hAnchor="page" w:vAnchor="page" w:x="274" w:y="84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These items are more fully described in the Proxy Statement attached, which forms a part of this Notice of Annual General Meeting of Shareholders. As of</w:t>
      </w:r>
    </w:p>
    <w:p>
      <w:pPr>
        <w:pStyle w:val="Normal"/>
        <w:framePr w:w="7035" w:hAnchor="page" w:vAnchor="page" w:x="1549" w:y="79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8, to authorize the Board to allot equity securities without pre-emptive rights</w:t>
      </w:r>
    </w:p>
    <w:p>
      <w:pPr>
        <w:pStyle w:val="Normal"/>
        <w:framePr w:w="318" w:hAnchor="page" w:vAnchor="page" w:x="368" w:y="77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9</w:t>
      </w:r>
    </w:p>
    <w:p>
      <w:pPr>
        <w:pStyle w:val="Normal"/>
        <w:framePr w:w="12590" w:hAnchor="page" w:vAnchor="page" w:x="1549" w:y="77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Authority to Allot Equity Securities without Pre-emptive Rights: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Pursuant to the authority contemplated by the resolution in Proposal</w:t>
      </w:r>
    </w:p>
    <w:p>
      <w:pPr>
        <w:pStyle w:val="Normal"/>
        <w:framePr w:w="2037" w:hAnchor="page" w:vAnchor="page" w:x="368" w:y="73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Special Resolution</w:t>
      </w:r>
    </w:p>
    <w:p>
      <w:pPr>
        <w:pStyle w:val="Normal"/>
        <w:framePr w:w="318" w:hAnchor="page" w:vAnchor="page" w:x="368" w:y="70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8</w:t>
      </w:r>
    </w:p>
    <w:p>
      <w:pPr>
        <w:pStyle w:val="Normal"/>
        <w:framePr w:w="9482" w:hAnchor="page" w:vAnchor="page" w:x="1549" w:y="70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Authority to Allot Equity Securities: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authorize the Board to allot equity securities in the Company</w:t>
      </w:r>
    </w:p>
    <w:p>
      <w:pPr>
        <w:pStyle w:val="Normal"/>
        <w:framePr w:w="8732" w:hAnchor="page" w:vAnchor="page" w:x="1549" w:y="66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its capacity as the Company’s U.K. statutory auditor for the year ending December 31, 2023</w:t>
      </w:r>
    </w:p>
    <w:p>
      <w:pPr>
        <w:pStyle w:val="Normal"/>
        <w:framePr w:w="318" w:hAnchor="page" w:vAnchor="page" w:x="368" w:y="64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7</w:t>
      </w:r>
    </w:p>
    <w:p>
      <w:pPr>
        <w:pStyle w:val="Normal"/>
        <w:framePr w:w="12408" w:hAnchor="page" w:vAnchor="page" w:x="1549" w:y="64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Approval of U.K. Statutory Auditor Fees: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authorize the Board and/or the Audit Committee to determine the remuneration of PwC,</w:t>
      </w:r>
    </w:p>
    <w:p>
      <w:pPr>
        <w:pStyle w:val="Normal"/>
        <w:framePr w:w="5555" w:hAnchor="page" w:vAnchor="page" w:x="1549" w:y="60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general meeting of shareholders at which accounts are laid</w:t>
      </w:r>
    </w:p>
    <w:p>
      <w:pPr>
        <w:pStyle w:val="Normal"/>
        <w:framePr w:w="11951" w:hAnchor="page" w:vAnchor="page" w:x="1549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Companies Act 2006, to hold office from the conclusion of the 2023 Annual General Meeting of Shareholders until the next annual</w:t>
      </w:r>
    </w:p>
    <w:p>
      <w:pPr>
        <w:pStyle w:val="Normal"/>
        <w:framePr w:w="318" w:hAnchor="page" w:vAnchor="page" w:x="368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6</w:t>
      </w:r>
    </w:p>
    <w:p>
      <w:pPr>
        <w:pStyle w:val="Normal"/>
        <w:framePr w:w="11758" w:hAnchor="page" w:vAnchor="page" w:x="1549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Reappointment of PwC as U.K. Statutory Auditor: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reappoint PwC as the Company’s U.K. statutory auditor under the U.K.</w:t>
      </w:r>
    </w:p>
    <w:p>
      <w:pPr>
        <w:pStyle w:val="Normal"/>
        <w:framePr w:w="9324" w:hAnchor="page" w:vAnchor="page" w:x="1549" w:y="5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States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U.S.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independent registered public accounting firm for the year ending December 31, 2023</w:t>
      </w:r>
    </w:p>
    <w:p>
      <w:pPr>
        <w:pStyle w:val="Normal"/>
        <w:framePr w:w="318" w:hAnchor="page" w:vAnchor="page" w:x="368" w:y="5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5</w:t>
      </w:r>
    </w:p>
    <w:p>
      <w:pPr>
        <w:pStyle w:val="Normal"/>
        <w:framePr w:w="12111" w:hAnchor="page" w:vAnchor="page" w:x="1549" w:y="5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Ratification of PwC as U.S. Auditor: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ratify the appointment of PricewaterhouseCoopers LLP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PwC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as the Company’s United</w:t>
      </w:r>
    </w:p>
    <w:p>
      <w:pPr>
        <w:pStyle w:val="Normal"/>
        <w:framePr w:w="6205" w:hAnchor="page" w:vAnchor="page" w:x="1549" w:y="46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2022, including the reports of the directors and the auditor thereon</w:t>
      </w:r>
    </w:p>
    <w:p>
      <w:pPr>
        <w:pStyle w:val="Normal"/>
        <w:framePr w:w="318" w:hAnchor="page" w:vAnchor="page" w:x="368" w:y="44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4</w:t>
      </w:r>
    </w:p>
    <w:p>
      <w:pPr>
        <w:pStyle w:val="Normal"/>
        <w:framePr w:w="12168" w:hAnchor="page" w:vAnchor="page" w:x="1549" w:y="44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Receipt of U.K. Annual Report and Accounts: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receive the Company’s audited U.K. accounts for the year ended December 31,</w:t>
      </w:r>
    </w:p>
    <w:p>
      <w:pPr>
        <w:pStyle w:val="Normal"/>
        <w:framePr w:w="12022" w:hAnchor="page" w:vAnchor="page" w:x="1549" w:y="40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report for the year ended December 31, 2022, as reported in the Company’s United Kingdom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U.K.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Annual Report and Accounts</w:t>
      </w:r>
    </w:p>
    <w:p>
      <w:pPr>
        <w:pStyle w:val="Normal"/>
        <w:framePr w:w="318" w:hAnchor="page" w:vAnchor="page" w:x="368" w:y="38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3</w:t>
      </w:r>
    </w:p>
    <w:p>
      <w:pPr>
        <w:pStyle w:val="Normal"/>
        <w:framePr w:w="12476" w:hAnchor="page" w:vAnchor="page" w:x="1549" w:y="38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2022 U.K. Directors’ Remuneration Report: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approve, as a non-binding advisory resolution, the Company’s directors’ remuneration</w:t>
      </w:r>
    </w:p>
    <w:p>
      <w:pPr>
        <w:pStyle w:val="Normal"/>
        <w:framePr w:w="10945" w:hAnchor="page" w:vAnchor="page" w:x="1549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officer compensation for the year ended December 31, 2022, as reported in the Company’s Proxy Statement</w:t>
      </w:r>
    </w:p>
    <w:p>
      <w:pPr>
        <w:pStyle w:val="Normal"/>
        <w:framePr w:w="318" w:hAnchor="page" w:vAnchor="page" w:x="368" w:y="33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2</w:t>
      </w:r>
    </w:p>
    <w:p>
      <w:pPr>
        <w:pStyle w:val="Normal"/>
        <w:framePr w:w="11919" w:hAnchor="page" w:vAnchor="page" w:x="1549" w:y="33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2022 U.S. Say-on-Pay for Named Executive Officers: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approve, as a non-binding advisory resolution, the Company’s named</w:t>
      </w:r>
    </w:p>
    <w:p>
      <w:pPr>
        <w:pStyle w:val="Normal"/>
        <w:framePr w:w="1650" w:hAnchor="page" w:vAnchor="page" w:x="1796" w:y="27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e. John O’Leary</w:t>
      </w:r>
    </w:p>
    <w:p>
      <w:pPr>
        <w:pStyle w:val="Normal"/>
        <w:framePr w:w="1843" w:hAnchor="page" w:vAnchor="page" w:x="1796" w:y="26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d. Robert G. Gwin</w:t>
      </w:r>
    </w:p>
    <w:p>
      <w:pPr>
        <w:pStyle w:val="Normal"/>
        <w:framePr w:w="1969" w:hAnchor="page" w:vAnchor="page" w:x="5309" w:y="26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i. Sophie Zurquiyah</w:t>
      </w:r>
    </w:p>
    <w:p>
      <w:pPr>
        <w:pStyle w:val="Normal"/>
        <w:framePr w:w="2777" w:hAnchor="page" w:vAnchor="page" w:x="1796" w:y="24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c. Eleazar de Carvalho Filho</w:t>
      </w:r>
    </w:p>
    <w:p>
      <w:pPr>
        <w:pStyle w:val="Normal"/>
        <w:framePr w:w="1855" w:hAnchor="page" w:vAnchor="page" w:x="5309" w:y="24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h. John Yearwood</w:t>
      </w:r>
    </w:p>
    <w:p>
      <w:pPr>
        <w:pStyle w:val="Normal"/>
        <w:framePr w:w="1843" w:hAnchor="page" w:vAnchor="page" w:x="1796" w:y="22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b. Claire S. Farley</w:t>
      </w:r>
    </w:p>
    <w:p>
      <w:pPr>
        <w:pStyle w:val="Normal"/>
        <w:framePr w:w="1786" w:hAnchor="page" w:vAnchor="page" w:x="5309" w:y="22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g. Kay G. Priestly</w:t>
      </w:r>
    </w:p>
    <w:p>
      <w:pPr>
        <w:pStyle w:val="Normal"/>
        <w:framePr w:w="2344" w:hAnchor="page" w:vAnchor="page" w:x="1796" w:y="20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a. Douglas J. Pferdehirt</w:t>
      </w:r>
    </w:p>
    <w:p>
      <w:pPr>
        <w:pStyle w:val="Normal"/>
        <w:framePr w:w="1980" w:hAnchor="page" w:vAnchor="page" w:x="5309" w:y="20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f. Margareth Øvrum</w:t>
      </w:r>
    </w:p>
    <w:p>
      <w:pPr>
        <w:pStyle w:val="Normal"/>
        <w:framePr w:w="1707" w:hAnchor="page" w:vAnchor="page" w:x="1549" w:y="17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Shareholders:</w:t>
      </w:r>
    </w:p>
    <w:p>
      <w:pPr>
        <w:pStyle w:val="Normal"/>
        <w:framePr w:w="978" w:hAnchor="page" w:vAnchor="page" w:x="368" w:y="15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1(a) – (i)</w:t>
      </w:r>
    </w:p>
    <w:p>
      <w:pPr>
        <w:pStyle w:val="Normal"/>
        <w:framePr w:w="12382" w:hAnchor="page" w:vAnchor="page" w:x="1549" w:y="15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Election of Directors: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To elect each of our nine director nominees for a term expiring at the Company’s 2024 Annual General Meeting</w:t>
      </w:r>
    </w:p>
    <w:p>
      <w:pPr>
        <w:pStyle w:val="Normal"/>
        <w:framePr w:w="2287" w:hAnchor="page" w:vAnchor="page" w:x="368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Ordinary Resolutions</w:t>
      </w:r>
    </w:p>
    <w:p>
      <w:pPr>
        <w:pStyle w:val="Normal"/>
        <w:framePr w:w="1080" w:hAnchor="page" w:vAnchor="page" w:x="368" w:y="7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Proposal</w:t>
      </w:r>
    </w:p>
    <w:p>
      <w:pPr>
        <w:pStyle w:val="Normal"/>
        <w:framePr w:w="1331" w:hAnchor="page" w:vAnchor="page" w:x="6248" w:y="7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Description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7pt;margin-top:1pt;z-index:-167771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2.7pt;margin-top:31.6pt;z-index:-16777160;width:61.0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71.7pt;margin-top:31.6pt;z-index:-16777156;width:527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2.7pt;margin-top:50.05pt;z-index:-16777152;width:23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246.7pt;margin-top:50.05pt;z-index:-16777148;width:352.6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2.7pt;margin-top:68.55pt;z-index:-16777144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71.7pt;margin-top:68.55pt;z-index:-16777140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2.7pt;margin-top:97.75pt;z-index:-16777136;width:61.0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71.7pt;margin-top:97.75pt;z-index:-16777132;width:176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246.7pt;margin-top:97.75pt;z-index:-16777128;width:352.6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2.7pt;margin-top:108.4pt;z-index:-16777124;width:61.0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71.7pt;margin-top:108.4pt;z-index:-16777120;width:176.9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6.7pt;margin-top:108.4pt;z-index:-16777116;width:352.6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2.7pt;margin-top:118.35pt;z-index:-16777112;width:61.0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71.7pt;margin-top:118.35pt;z-index:-16777108;width:176.9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246.7pt;margin-top:118.35pt;z-index:-16777104;width:352.6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2.7pt;margin-top:128.3pt;z-index:-16777100;width:61.0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71.7pt;margin-top:128.3pt;z-index:-16777096;width:176.9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46.7pt;margin-top:128.3pt;z-index:-16777092;width:352.6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2.7pt;margin-top:138.25pt;z-index:-16777088;width:61.0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71.7pt;margin-top:138.25pt;z-index:-16777084;width:176.9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246.7pt;margin-top:138.25pt;z-index:-16777080;width:352.6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2.7pt;margin-top:148.2pt;z-index:-16777076;width:61.0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1.7pt;margin-top:148.2pt;z-index:-16777072;width:176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246.7pt;margin-top:148.2pt;z-index:-16777068;width:352.6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2.7pt;margin-top:158.9pt;z-index:-16777064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71.7pt;margin-top:158.9pt;z-index:-16777060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2.7pt;margin-top:188.05pt;z-index:-16777056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71.7pt;margin-top:188.05pt;z-index:-16777052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2.7pt;margin-top:217.2pt;z-index:-16777048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71.7pt;margin-top:217.2pt;z-index:-16777044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2.7pt;margin-top:246.35pt;z-index:-16777040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71.7pt;margin-top:246.35pt;z-index:-16777036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12.7pt;margin-top:275.55pt;z-index:-16777032;width:61.05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1.7pt;margin-top:275.55pt;z-index:-16777028;width:527.6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2.7pt;margin-top:314.65pt;z-index:-16777024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71.7pt;margin-top:314.65pt;z-index:-16777020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2.7pt;margin-top:343.8pt;z-index:-16777016;width:6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71.7pt;margin-top:343.8pt;z-index:-16777012;width:527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2.7pt;margin-top:363pt;z-index:-16777008;width:23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246.7pt;margin-top:363pt;z-index:-16777004;width:352.6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2.7pt;margin-top:382.2pt;z-index:-16777000;width:61.0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71.7pt;margin-top:382.2pt;z-index:-16776996;width:527.6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71.7pt;margin-top:382.2pt;z-index:-16776992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246.7pt;margin-top:363pt;z-index:-16776988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246.7pt;margin-top:382.2pt;z-index:-16776984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2.7pt;margin-top:363pt;z-index:-1677698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2.7pt;margin-top:382.2pt;z-index:-16776976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71.7pt;margin-top:363pt;z-index:-16776972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2.7pt;margin-top:363pt;z-index:-1677696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71.7pt;margin-top:343.8pt;z-index:-16776964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2.7pt;margin-top:343.8pt;z-index:-1677696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71.7pt;margin-top:314.65pt;z-index:-16776956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2.7pt;margin-top:314.65pt;z-index:-1677695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71.7pt;margin-top:275.55pt;z-index:-16776948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2.7pt;margin-top:275.55pt;z-index:-16776944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71.7pt;margin-top:246.35pt;z-index:-16776940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2.7pt;margin-top:246.35pt;z-index:-16776936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71.7pt;margin-top:217.2pt;z-index:-16776932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2.7pt;margin-top:217.2pt;z-index:-1677692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71.7pt;margin-top:158.9pt;z-index:-16776924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71.7pt;margin-top:188.05pt;z-index:-16776920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2.7pt;margin-top:188.05pt;z-index:-16776916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246.7pt;margin-top:158.9pt;z-index:-16776912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71.7pt;margin-top:158.9pt;z-index:-16776908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46.7pt;margin-top:148.2pt;z-index:-167769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12.7pt;margin-top:158.9pt;z-index:-1677690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46.7pt;margin-top:138.25pt;z-index:-16776896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246.7pt;margin-top:128.3pt;z-index:-16776892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46.7pt;margin-top:118.35pt;z-index:-16776888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46.7pt;margin-top:108.4pt;z-index:-16776884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6.7pt;margin-top:97.75pt;z-index:-16776880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246.7pt;margin-top:97.75pt;z-index:-167768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71.7pt;margin-top:68.55pt;z-index:-16776872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71.7pt;margin-top:97.75pt;z-index:-16776868;width:52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246.7pt;margin-top:68.55pt;z-index:-16776864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2.7pt;margin-top:68.55pt;z-index:-1677686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71.7pt;margin-top:31.6pt;z-index:-1677685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2.7pt;margin-top:480.35pt;z-index:-167768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76.45pt;margin-top:82.1pt;z-index:-16776848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76.45pt;margin-top:172.4pt;z-index:-16776844;width:21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76.45pt;margin-top:201.55pt;z-index:-16776840;width:175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76.45pt;margin-top:230.7pt;z-index:-16776836;width:185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76.45pt;margin-top:259.9pt;z-index:-16776832;width:14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76.45pt;margin-top:289.05pt;z-index:-16776828;width:202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76.45pt;margin-top:328.15pt;z-index:-16776824;width:166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76.45pt;margin-top:357.3pt;z-index:-16776820;width:14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76.45pt;margin-top:395.75pt;z-index:-16776816;width:25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</w:p>
    <w:p>
      <w:pPr>
        <w:pStyle w:val="Normal"/>
        <w:framePr w:w="1631" w:hAnchor="page" w:vAnchor="page" w:x="274" w:y="45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v    TechnipFMC</w:t>
      </w:r>
    </w:p>
    <w:p>
      <w:pPr>
        <w:pStyle w:val="Normal"/>
        <w:framePr w:w="5976" w:hAnchor="page" w:vAnchor="page" w:x="274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Executive Vice President, Chief Legal Officer and Secretary</w:t>
      </w:r>
    </w:p>
    <w:p>
      <w:pPr>
        <w:pStyle w:val="Normal"/>
        <w:framePr w:w="1604" w:hAnchor="page" w:vAnchor="page" w:x="274" w:y="33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Victoria Lazar </w:t>
      </w:r>
    </w:p>
    <w:p>
      <w:pPr>
        <w:pStyle w:val="Normal"/>
        <w:framePr w:w="3426" w:hAnchor="page" w:vAnchor="page" w:x="274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On behalf of the Board of Directors,</w:t>
      </w:r>
    </w:p>
    <w:p>
      <w:pPr>
        <w:pStyle w:val="Normal"/>
        <w:framePr w:w="1627" w:hAnchor="page" w:vAnchor="page" w:x="274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March 17, 2023</w:t>
      </w:r>
    </w:p>
    <w:p>
      <w:pPr>
        <w:pStyle w:val="Normal"/>
        <w:framePr w:w="3870" w:hAnchor="page" w:vAnchor="page" w:x="274" w:y="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instruction form provided by your broker.</w:t>
      </w:r>
    </w:p>
    <w:p>
      <w:pPr>
        <w:pStyle w:val="Normal"/>
        <w:framePr w:w="13992" w:hAnchor="page" w:vAnchor="page" w:x="274" w:y="6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instructions by telephone or internet, so that you may be represented at the meeting. Voting instructions are provided on your proxy card or on the voting</w:t>
      </w:r>
    </w:p>
    <w:p>
      <w:pPr>
        <w:pStyle w:val="Normal"/>
        <w:framePr w:w="13984" w:hAnchor="page" w:vAnchor="page" w:x="274" w:y="4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Your vote is very important. Please ensure you: (i) promptly return the enclosed proxy card in the enclosed envelope, or (ii) grant a proxy and give voting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7pt;margin-top:1pt;z-index:-1677681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12.7pt;margin-top:244.25pt;z-index:-1677680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3.7pt;margin-top:100.85pt;z-index:-16776804;width:142.25pt;height:5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</w:p>
    <w:p>
      <w:pPr>
        <w:pStyle w:val="Normal"/>
        <w:framePr w:w="1631" w:hAnchor="page" w:vAnchor="page" w:x="274" w:y="107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vi   TechnipFMC</w:t>
      </w:r>
    </w:p>
    <w:p>
      <w:pPr>
        <w:pStyle w:val="Normal"/>
        <w:framePr w:w="4303" w:hAnchor="page" w:vAnchor="page" w:x="274" w:y="100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unanticipated changes relating to competitive</w:t>
      </w:r>
    </w:p>
    <w:p>
      <w:pPr>
        <w:pStyle w:val="Normal"/>
        <w:framePr w:w="13765" w:hAnchor="page" w:vAnchor="page" w:x="274" w:y="98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contemplated in the forward-looking statements include unpredictable trends in the demand for and price of crude oil and natural gas; competition and</w:t>
      </w:r>
    </w:p>
    <w:p>
      <w:pPr>
        <w:pStyle w:val="Normal"/>
        <w:framePr w:w="13706" w:hAnchor="page" w:vAnchor="page" w:x="274" w:y="96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future developments affecting us will be those that we anticipate. Known material factors that could cause actual results to differ materially from those</w:t>
      </w:r>
    </w:p>
    <w:p>
      <w:pPr>
        <w:pStyle w:val="Normal"/>
        <w:framePr w:w="14004" w:hAnchor="page" w:vAnchor="page" w:x="274" w:y="94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potential effect on us. While management believes these forward-looking statements are reasonable as and when made, there can be no assurance that</w:t>
      </w:r>
    </w:p>
    <w:p>
      <w:pPr>
        <w:pStyle w:val="Normal"/>
        <w:framePr w:w="13799" w:hAnchor="page" w:vAnchor="page" w:x="274" w:y="92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looking statements are based on our current expectations, beliefs and assumptions concerning future developments and business conditions and their</w:t>
      </w:r>
    </w:p>
    <w:p>
      <w:pPr>
        <w:pStyle w:val="Normal"/>
        <w:framePr w:w="14059" w:hAnchor="page" w:vAnchor="page" w:x="274" w:y="91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assumptions that could cause actual results to differ materially from our historical experience and our present expectations or projections. These forward-</w:t>
      </w:r>
    </w:p>
    <w:p>
      <w:pPr>
        <w:pStyle w:val="Normal"/>
        <w:framePr w:w="13388" w:hAnchor="page" w:vAnchor="page" w:x="274" w:y="89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not forward-looking. All of our forward-looking statements involve risks and uncertainties (some of which are significant or beyond our control) and</w:t>
      </w:r>
    </w:p>
    <w:p>
      <w:pPr>
        <w:pStyle w:val="Normal"/>
        <w:framePr w:w="14207" w:hAnchor="page" w:vAnchor="page" w:x="274" w:y="87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“estimate,” “outlook” and similar expressions, including the negative thereof. The absence of these words, however, does not mean that the statements are</w:t>
      </w:r>
    </w:p>
    <w:p>
      <w:pPr>
        <w:pStyle w:val="Normal"/>
        <w:framePr w:w="13313" w:hAnchor="page" w:vAnchor="page" w:x="274" w:y="85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are forward-looking. We use words such as “believe,” “expect,” “anticipate,” “plan,” “intend,” “commit,” “foresee,” “should,” “would,” “could,” “may,”</w:t>
      </w:r>
    </w:p>
    <w:p>
      <w:pPr>
        <w:pStyle w:val="Normal"/>
        <w:framePr w:w="14151" w:hAnchor="page" w:vAnchor="page" w:x="274" w:y="83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facts, including statements regarding our environmental and other environmental, social, and governance (“</w:t>
      </w: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ESG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”) plans and goals, made in this document</w:t>
      </w:r>
    </w:p>
    <w:p>
      <w:pPr>
        <w:pStyle w:val="Normal"/>
        <w:framePr w:w="14082" w:hAnchor="page" w:vAnchor="page" w:x="274" w:y="81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21E of the United States Securities Exchange Act of 1934, as amended (the “Exchange Act”). All statements other than statements of historical or current</w:t>
      </w:r>
    </w:p>
    <w:p>
      <w:pPr>
        <w:pStyle w:val="Normal"/>
        <w:framePr w:w="14117" w:hAnchor="page" w:vAnchor="page" w:x="274" w:y="79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The Proxy Materials contain “forward-looking statements” as defined in Section 27A of the United States Securities Act of 1933, as amended, and Section</w:t>
      </w:r>
    </w:p>
    <w:p>
      <w:pPr>
        <w:pStyle w:val="Normal"/>
        <w:framePr w:w="7024" w:hAnchor="page" w:vAnchor="page" w:x="274" w:y="75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U.S. securities laws and regulations, and the listing standards of the NYSE.</w:t>
      </w:r>
    </w:p>
    <w:p>
      <w:pPr>
        <w:pStyle w:val="Normal"/>
        <w:framePr w:w="13820" w:hAnchor="page" w:vAnchor="page" w:x="274" w:y="73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New York Stock Exchange in the United States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NYSE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under the symbol “FTI.” As a result, the Company is governed by the Companies Act,</w:t>
      </w:r>
    </w:p>
    <w:p>
      <w:pPr>
        <w:pStyle w:val="Normal"/>
        <w:framePr w:w="13847" w:hAnchor="page" w:vAnchor="page" w:x="274" w:y="71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TechnipFMC is a public limited company incorporated under the laws of England and Wales, and our ordinary shares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Ordinary Shares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trade on</w:t>
      </w:r>
    </w:p>
    <w:p>
      <w:pPr>
        <w:pStyle w:val="Normal"/>
        <w:framePr w:w="8014" w:hAnchor="page" w:vAnchor="page" w:x="274" w:y="67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part of the proxy solicitation material and is not incorporated into this Proxy Statement.</w:t>
      </w:r>
    </w:p>
    <w:p>
      <w:pPr>
        <w:pStyle w:val="Normal"/>
        <w:framePr w:w="13821" w:hAnchor="page" w:vAnchor="page" w:x="274" w:y="65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Companies Act 2006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Companies Act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”), can be found at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>www.technipfmc.com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Information contained on our website is not to be considered as</w:t>
      </w:r>
    </w:p>
    <w:p>
      <w:pPr>
        <w:pStyle w:val="Normal"/>
        <w:framePr w:w="13208" w:hAnchor="page" w:vAnchor="page" w:x="274" w:y="63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Newcastle office is +44 191 295 0303. Information regarding the Annual Meeting, including the information required by Section 311A of the U.K.</w:t>
      </w:r>
    </w:p>
    <w:p>
      <w:pPr>
        <w:pStyle w:val="Normal"/>
        <w:framePr w:w="13726" w:hAnchor="page" w:vAnchor="page" w:x="274" w:y="61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registered office is located at Hadrian House, Wincomblee Road, Newcastle upon Tyne, NE6 3PL, United Kingdom. Our telephone number in our</w:t>
      </w:r>
    </w:p>
    <w:p>
      <w:pPr>
        <w:pStyle w:val="Normal"/>
        <w:framePr w:w="11612" w:hAnchor="page" w:vAnchor="page" w:x="274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Form 10-K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and our U.K. Annual Report and Accounts are being made available at the same time and by the same methods.</w:t>
      </w:r>
    </w:p>
    <w:p>
      <w:pPr>
        <w:pStyle w:val="Normal"/>
        <w:framePr w:w="13996" w:hAnchor="page" w:vAnchor="page" w:x="274" w:y="55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U.S. Annual Report on Form 10-K, including consolidated financial statements, for the year ended December 31, 2022 (our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Report on</w:t>
      </w:r>
    </w:p>
    <w:p>
      <w:pPr>
        <w:pStyle w:val="Normal"/>
        <w:framePr w:w="4382" w:hAnchor="page" w:vAnchor="page" w:x="274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form of proxy by any of the following methods:</w:t>
      </w:r>
    </w:p>
    <w:p>
      <w:pPr>
        <w:pStyle w:val="Normal"/>
        <w:framePr w:w="13787" w:hAnchor="page" w:vAnchor="page" w:x="274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available to shareholders on or about March 17, 2023 at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>www.proxyvote.com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You may also request a printed copy of this Proxy Statement and the</w:t>
      </w:r>
    </w:p>
    <w:p>
      <w:pPr>
        <w:pStyle w:val="Normal"/>
        <w:framePr w:w="13125" w:hAnchor="page" w:vAnchor="page" w:x="274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Notice of Internet Availability of Proxy Materials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Notice of Materials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and related Proxy Materials (as defined below) were first made</w:t>
      </w:r>
    </w:p>
    <w:p>
      <w:pPr>
        <w:pStyle w:val="Normal"/>
        <w:framePr w:w="1990" w:hAnchor="page" w:vAnchor="page" w:x="274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Meeting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</w:t>
      </w:r>
    </w:p>
    <w:p>
      <w:pPr>
        <w:pStyle w:val="Normal"/>
        <w:framePr w:w="14202" w:hAnchor="page" w:vAnchor="page" w:x="274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TechnipFMC,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us,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or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for use at our 2023 Annual General Meeting of Shareholders and at any adjournment or postponement of such meeting (the</w:t>
      </w:r>
    </w:p>
    <w:p>
      <w:pPr>
        <w:pStyle w:val="Normal"/>
        <w:framePr w:w="14190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This  Proxy  Statement  relates  to  the  solicitation  of  votes  or  proxies  by  the  Board  of  Directors  (the 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“Board”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)  of  TechnipFMC  plc  (the 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Company,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</w:t>
      </w:r>
    </w:p>
    <w:p>
      <w:pPr>
        <w:pStyle w:val="Normal"/>
        <w:framePr w:w="8380" w:hAnchor="page" w:vAnchor="page" w:x="274" w:y="901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Annual General Meeting of Shareholders</w:t>
      </w:r>
    </w:p>
    <w:p>
      <w:pPr>
        <w:pStyle w:val="Normal"/>
        <w:framePr w:w="6261" w:hAnchor="page" w:vAnchor="page" w:x="274" w:y="446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 xml:space="preserve">Proxy Statement for the 2023 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7pt;margin-top:1pt;z-index:-167768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12.7pt;margin-top:552.2pt;z-index:-1677679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13.7pt;margin-top:157.75pt;z-index:-16776792;width:497.85pt;height:10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</w:p>
    <w:p>
      <w:pPr>
        <w:pStyle w:val="Normal"/>
        <w:framePr w:w="1545" w:hAnchor="page" w:vAnchor="page" w:x="274" w:y="88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vii  TechnipFMC </w:t>
      </w:r>
    </w:p>
    <w:p>
      <w:pPr>
        <w:pStyle w:val="Normal"/>
        <w:framePr w:w="8401" w:hAnchor="page" w:vAnchor="page" w:x="2774" w:y="81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Form 10-K, and U.K. Annual Report and Accounts are available at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>www.proxyvote.com</w:t>
      </w:r>
    </w:p>
    <w:p>
      <w:pPr>
        <w:pStyle w:val="Normal"/>
        <w:framePr w:w="8926" w:hAnchor="page" w:vAnchor="page" w:x="2486" w:y="79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The Notice of Annual General Meeting of Shareholders and Proxy Statement, Annual Report on </w:t>
      </w:r>
    </w:p>
    <w:p>
      <w:pPr>
        <w:pStyle w:val="Normal"/>
        <w:framePr w:w="9889" w:hAnchor="page" w:vAnchor="page" w:x="2086" w:y="75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FOR THE 2023 ANNUAL GENERAL MEETING OF SHAREHOLDERS TO BE HELD ON APRIL 28, 2023</w:t>
      </w:r>
    </w:p>
    <w:p>
      <w:pPr>
        <w:pStyle w:val="Normal"/>
        <w:framePr w:w="7863" w:hAnchor="page" w:vAnchor="page" w:x="2954" w:y="73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IMPORTANT NOTICE REGARDING THE AVAILABILITY OF PROXY MATERIALS</w:t>
      </w:r>
    </w:p>
    <w:p>
      <w:pPr>
        <w:pStyle w:val="Normal"/>
        <w:framePr w:w="4781" w:hAnchor="page" w:vAnchor="page" w:x="274" w:y="68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factors, some of which may be beyond our control.</w:t>
      </w:r>
    </w:p>
    <w:p>
      <w:pPr>
        <w:pStyle w:val="Normal"/>
        <w:framePr w:w="13604" w:hAnchor="page" w:vAnchor="page" w:x="274" w:y="66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change due to revisions in framework requirements, availability of information, changes in our business or applicable governmental policies, or other</w:t>
      </w:r>
    </w:p>
    <w:p>
      <w:pPr>
        <w:pStyle w:val="Normal"/>
        <w:framePr w:w="13798" w:hAnchor="page" w:vAnchor="page" w:x="274" w:y="64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internal controls, and assumptions or third-party information that are still evolving and subject to change. Our disclosures based on any standards may</w:t>
      </w:r>
    </w:p>
    <w:p>
      <w:pPr>
        <w:pStyle w:val="Normal"/>
        <w:framePr w:w="13786" w:hAnchor="page" w:vAnchor="page" w:x="274" w:y="62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SEC reporting purposes but that is informed by various ESG standards and frameworks (including standards for the measurement of underlying data),</w:t>
      </w:r>
    </w:p>
    <w:p>
      <w:pPr>
        <w:pStyle w:val="Normal"/>
        <w:framePr w:w="13896" w:hAnchor="page" w:vAnchor="page" w:x="274" w:y="60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information, future events or otherwise, except to the extent required by law. Additionally, we may provide information that is not necessarily material for</w:t>
      </w:r>
    </w:p>
    <w:p>
      <w:pPr>
        <w:pStyle w:val="Normal"/>
        <w:framePr w:w="13446" w:hAnchor="page" w:vAnchor="page" w:x="274" w:y="58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undertake no obligation to publicly update or revise any of our forward-looking statements after the date they are made, whether as a result of new</w:t>
      </w:r>
    </w:p>
    <w:p>
      <w:pPr>
        <w:pStyle w:val="Normal"/>
        <w:framePr w:w="13897" w:hAnchor="page" w:vAnchor="page" w:x="274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made by us or third-parties. We caution you not to place undue reliance on any forward-looking statements, which speak only as of the date hereof. We</w:t>
      </w:r>
    </w:p>
    <w:p>
      <w:pPr>
        <w:pStyle w:val="Normal"/>
        <w:framePr w:w="13831" w:hAnchor="page" w:vAnchor="page" w:x="274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information we use, including in estimates or assumptions, may cause results to differ materially and adversely from statements, estimates, and beliefs</w:t>
      </w:r>
    </w:p>
    <w:p>
      <w:pPr>
        <w:pStyle w:val="Normal"/>
        <w:framePr w:w="13194" w:hAnchor="page" w:vAnchor="page" w:x="274" w:y="52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change over time as methodologies and data availability and quality continue to evolve. These factors, as well as any inaccuracies in third-party</w:t>
      </w:r>
    </w:p>
    <w:p>
      <w:pPr>
        <w:pStyle w:val="Normal"/>
        <w:framePr w:w="13946" w:hAnchor="page" w:vAnchor="page" w:x="274" w:y="50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third-parties’ data and do not independently verify or audit, or commit to independently verifying or auditing, their information. Such information may also</w:t>
      </w:r>
    </w:p>
    <w:p>
      <w:pPr>
        <w:pStyle w:val="Normal"/>
        <w:framePr w:w="13830" w:hAnchor="page" w:vAnchor="page" w:x="274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reference into these documents. With respect to ESG information that pertains to our third-party vendors, suppliers and partners, we often rely on such</w:t>
      </w:r>
    </w:p>
    <w:p>
      <w:pPr>
        <w:pStyle w:val="Normal"/>
        <w:framePr w:w="13342" w:hAnchor="page" w:vAnchor="page" w:x="274" w:y="46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references to our website or other materials not included in our Proxy Materials are, absent express language to the contrary, not incorporated by</w:t>
      </w:r>
    </w:p>
    <w:p>
      <w:pPr>
        <w:pStyle w:val="Normal"/>
        <w:framePr w:w="13262" w:hAnchor="page" w:vAnchor="page" w:x="274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pursuant to the U.S. federal securities laws and regulations, even if we use the word “material” or “materiality” in this document. Additionally, any</w:t>
      </w:r>
    </w:p>
    <w:p>
      <w:pPr>
        <w:pStyle w:val="Normal"/>
        <w:framePr w:w="14151" w:hAnchor="page" w:vAnchor="page" w:x="274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goals, and the inclusion of such statements is not an indication that these contents are necessarily material for the purposes of complying with or reporting</w:t>
      </w:r>
    </w:p>
    <w:p>
      <w:pPr>
        <w:pStyle w:val="Normal"/>
        <w:framePr w:w="14104" w:hAnchor="page" w:vAnchor="page" w:x="274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evolve. Forward-looking and other statements in the Proxy Materials may also address our corporate responsibility and sustainability progress, plans, and</w:t>
      </w:r>
    </w:p>
    <w:p>
      <w:pPr>
        <w:pStyle w:val="Normal"/>
        <w:framePr w:w="14095" w:hAnchor="page" w:vAnchor="page" w:x="274" w:y="38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ESG-related statements may be based on standards for measuring progress that are still developing, and internal controls and processes that continue to</w:t>
      </w:r>
    </w:p>
    <w:p>
      <w:pPr>
        <w:pStyle w:val="Normal"/>
        <w:framePr w:w="13956" w:hAnchor="page" w:vAnchor="page" w:x="274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Commission (“</w:t>
      </w: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SEC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”), including our annual reports on Form 10-K and quarterly reports on Form 10-Q. In addition, historical, current, and forward-looking</w:t>
      </w:r>
    </w:p>
    <w:p>
      <w:pPr>
        <w:pStyle w:val="Normal"/>
        <w:framePr w:w="13923" w:hAnchor="page" w:vAnchor="page" w:x="274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connection with our defined benefit pension plan commitments, as well as the risk factors discussed in our filings with the U.S. Securities and Exchange</w:t>
      </w:r>
    </w:p>
    <w:p>
      <w:pPr>
        <w:pStyle w:val="Normal"/>
        <w:framePr w:w="13207" w:hAnchor="page" w:vAnchor="page" w:x="274" w:y="32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departure of our key managers and employees; adverse seasonal and weather conditions and unfavorable currency exchange rates; and risk in</w:t>
      </w:r>
    </w:p>
    <w:p>
      <w:pPr>
        <w:pStyle w:val="Normal"/>
        <w:framePr w:w="13935" w:hAnchor="page" w:vAnchor="page" w:x="274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company; uninsured claims and litigation against us; tax laws, treaties and regulations and any unfavorable findings by relevant tax authorities; potential</w:t>
      </w:r>
    </w:p>
    <w:p>
      <w:pPr>
        <w:pStyle w:val="Normal"/>
        <w:framePr w:w="13532" w:hAnchor="page" w:vAnchor="page" w:x="274" w:y="28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taxation, privacy, data protection and data security; the additional restrictions on dividend payouts or share repurchases as an English public limited</w:t>
      </w:r>
    </w:p>
    <w:p>
      <w:pPr>
        <w:pStyle w:val="Normal"/>
        <w:framePr w:w="13828" w:hAnchor="page" w:vAnchor="page" w:x="274" w:y="26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environmental protection, climate change, health and safety, labor and employment, import/export controls, currency exchange, bribery and corruption,</w:t>
      </w:r>
    </w:p>
    <w:p>
      <w:pPr>
        <w:pStyle w:val="Normal"/>
        <w:framePr w:w="12978" w:hAnchor="page" w:vAnchor="page" w:x="274" w:y="24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industries in which we operate or have operated; our failure to comply with existing and future laws and regulations, including those related to</w:t>
      </w:r>
    </w:p>
    <w:p>
      <w:pPr>
        <w:pStyle w:val="Normal"/>
        <w:framePr w:w="14014" w:hAnchor="page" w:vAnchor="page" w:x="274" w:y="22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assets; any delays and cost overruns of new capital asset construction projects for vessels and manufacturing facilities; potential liabilities inherent in the</w:t>
      </w:r>
    </w:p>
    <w:p>
      <w:pPr>
        <w:pStyle w:val="Normal"/>
        <w:framePr w:w="13684" w:hAnchor="page" w:vAnchor="page" w:x="274" w:y="20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our subcontractors, suppliers or joint venture partners, including as a result of cyberattacks; risks of pirates endangering our maritime employees and</w:t>
      </w:r>
    </w:p>
    <w:p>
      <w:pPr>
        <w:pStyle w:val="Normal"/>
        <w:framePr w:w="13979" w:hAnchor="page" w:vAnchor="page" w:x="274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to timely deliver our backlog; our reliance on subcontractors, suppliers and our joint venture partners; a failure or breach of our IT infrastructure or that of</w:t>
      </w:r>
    </w:p>
    <w:p>
      <w:pPr>
        <w:pStyle w:val="Normal"/>
        <w:framePr w:w="14230" w:hAnchor="page" w:vAnchor="page" w:x="274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expectations regarding ESG matters; uncertainties related to our investments in New Energy business; the risks caused by fixed-price contracts; our failure</w:t>
      </w:r>
    </w:p>
    <w:p>
      <w:pPr>
        <w:pStyle w:val="Normal"/>
        <w:framePr w:w="13820" w:hAnchor="page" w:vAnchor="page" w:x="274" w:y="14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governing our existing indebtedness; the risks caused by our acquisition and divestiture activities; additional costs or risks from increasing scrutiny and</w:t>
      </w:r>
    </w:p>
    <w:p>
      <w:pPr>
        <w:pStyle w:val="Normal"/>
        <w:framePr w:w="13821" w:hAnchor="page" w:vAnchor="page" w:x="274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depository agency for our shares; the impact of our existing and future indebtedness and the restrictions on our operations by terms of the agreements</w:t>
      </w:r>
    </w:p>
    <w:p>
      <w:pPr>
        <w:pStyle w:val="Normal"/>
        <w:framePr w:w="13975" w:hAnchor="page" w:vAnchor="page" w:x="274" w:y="10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regulatory, economic and social conditions of the countries in which we conduct business; the refusal of the Depository Trust Company (“</w:t>
      </w: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DTC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”) to act as</w:t>
      </w:r>
    </w:p>
    <w:p>
      <w:pPr>
        <w:pStyle w:val="Normal"/>
        <w:framePr w:w="14184" w:hAnchor="page" w:vAnchor="page" w:x="274" w:y="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the cumulative loss of major contracts, customers or alliances and unfavorable credit and commercial terms of certain contracts; disruptions in the political,</w:t>
      </w:r>
    </w:p>
    <w:p>
      <w:pPr>
        <w:pStyle w:val="Normal"/>
        <w:framePr w:w="14196" w:hAnchor="page" w:vAnchor="page" w:x="274" w:y="6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and protect new technologies and services and intellectual property related thereto, including new technologies and services for our New Energy business;</w:t>
      </w:r>
    </w:p>
    <w:p>
      <w:pPr>
        <w:pStyle w:val="Normal"/>
        <w:framePr w:w="14000" w:hAnchor="page" w:vAnchor="page" w:x="274" w:y="4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factors in our industry, including ongoing industry consolidation; the COVID-19 pandemic and any resurgence thereof; our inability to develop, implement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7pt;margin-top:1pt;z-index:-1677678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12.7pt;margin-top:359.45pt;z-index:-16776784;width:586.6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12.7pt;margin-top:383.65pt;z-index:-16776780;width:586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12.7pt;margin-top:393.6pt;z-index:-16776776;width:586.6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12.7pt;margin-top:456.9pt;z-index:-1677677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</w:p>
    <w:p>
      <w:pPr>
        <w:pStyle w:val="Normal"/>
        <w:framePr w:w="1631" w:hAnchor="page" w:vAnchor="page" w:x="274" w:y="1068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viii  TechnipFMC</w:t>
      </w:r>
    </w:p>
    <w:p>
      <w:pPr>
        <w:pStyle w:val="Normal"/>
        <w:framePr w:w="2572" w:hAnchor="page" w:vAnchor="page" w:x="1016" w:y="100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Named Executive Officers</w:t>
      </w:r>
    </w:p>
    <w:p>
      <w:pPr>
        <w:pStyle w:val="Normal"/>
        <w:framePr w:w="432" w:hAnchor="page" w:vAnchor="page" w:x="11158" w:y="100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54</w:t>
      </w:r>
    </w:p>
    <w:p>
      <w:pPr>
        <w:pStyle w:val="Normal"/>
        <w:framePr w:w="5749" w:hAnchor="page" w:vAnchor="page" w:x="1016" w:y="97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Shareholder Engagement and Response to Say-on-Pay Vote</w:t>
      </w:r>
    </w:p>
    <w:p>
      <w:pPr>
        <w:pStyle w:val="Normal"/>
        <w:framePr w:w="432" w:hAnchor="page" w:vAnchor="page" w:x="11158" w:y="97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50</w:t>
      </w:r>
    </w:p>
    <w:p>
      <w:pPr>
        <w:pStyle w:val="Normal"/>
        <w:framePr w:w="4656" w:hAnchor="page" w:vAnchor="page" w:x="1016" w:y="95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We Significantly Outperformed our Peers in 2022</w:t>
      </w:r>
    </w:p>
    <w:p>
      <w:pPr>
        <w:pStyle w:val="Normal"/>
        <w:framePr w:w="432" w:hAnchor="page" w:vAnchor="page" w:x="11158" w:y="95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49</w:t>
      </w:r>
    </w:p>
    <w:p>
      <w:pPr>
        <w:pStyle w:val="Normal"/>
        <w:framePr w:w="2857" w:hAnchor="page" w:vAnchor="page" w:x="1016" w:y="92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Unlocking Shareholder Value</w:t>
      </w:r>
    </w:p>
    <w:p>
      <w:pPr>
        <w:pStyle w:val="Normal"/>
        <w:framePr w:w="432" w:hAnchor="page" w:vAnchor="page" w:x="11158" w:y="92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48</w:t>
      </w:r>
    </w:p>
    <w:p>
      <w:pPr>
        <w:pStyle w:val="Normal"/>
        <w:framePr w:w="5110" w:hAnchor="page" w:vAnchor="page" w:x="893" w:y="90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Executive Compensation Discussion and Analysis</w:t>
      </w:r>
    </w:p>
    <w:p>
      <w:pPr>
        <w:pStyle w:val="Normal"/>
        <w:framePr w:w="432" w:hAnchor="page" w:vAnchor="page" w:x="11158" w:y="90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48</w:t>
      </w:r>
    </w:p>
    <w:p>
      <w:pPr>
        <w:pStyle w:val="Normal"/>
        <w:framePr w:w="5099" w:hAnchor="page" w:vAnchor="page" w:x="893" w:y="87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3 – 2022 Directors’ Remuneration Report</w:t>
      </w:r>
    </w:p>
    <w:p>
      <w:pPr>
        <w:pStyle w:val="Normal"/>
        <w:framePr w:w="432" w:hAnchor="page" w:vAnchor="page" w:x="11158" w:y="87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47</w:t>
      </w:r>
    </w:p>
    <w:p>
      <w:pPr>
        <w:pStyle w:val="Normal"/>
        <w:framePr w:w="4052" w:hAnchor="page" w:vAnchor="page" w:x="893" w:y="84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2 – 2022 Say-on-Pay for NEOs</w:t>
      </w:r>
    </w:p>
    <w:p>
      <w:pPr>
        <w:pStyle w:val="Normal"/>
        <w:framePr w:w="432" w:hAnchor="page" w:vAnchor="page" w:x="11158" w:y="84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46</w:t>
      </w:r>
    </w:p>
    <w:p>
      <w:pPr>
        <w:pStyle w:val="Normal"/>
        <w:framePr w:w="3665" w:hAnchor="page" w:vAnchor="page" w:x="1016" w:y="82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Non-executive Director Compensation</w:t>
      </w:r>
    </w:p>
    <w:p>
      <w:pPr>
        <w:pStyle w:val="Normal"/>
        <w:framePr w:w="432" w:hAnchor="page" w:vAnchor="page" w:x="11158" w:y="82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42</w:t>
      </w:r>
    </w:p>
    <w:p>
      <w:pPr>
        <w:pStyle w:val="Normal"/>
        <w:framePr w:w="2469" w:hAnchor="page" w:vAnchor="page" w:x="893" w:y="79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Director Compensation</w:t>
      </w:r>
    </w:p>
    <w:p>
      <w:pPr>
        <w:pStyle w:val="Normal"/>
        <w:framePr w:w="432" w:hAnchor="page" w:vAnchor="page" w:x="11158" w:y="79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42</w:t>
      </w:r>
    </w:p>
    <w:p>
      <w:pPr>
        <w:pStyle w:val="Normal"/>
        <w:framePr w:w="3027" w:hAnchor="page" w:vAnchor="page" w:x="1016" w:y="77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Communications with Directors</w:t>
      </w:r>
    </w:p>
    <w:p>
      <w:pPr>
        <w:pStyle w:val="Normal"/>
        <w:framePr w:w="432" w:hAnchor="page" w:vAnchor="page" w:x="11158" w:y="77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41</w:t>
      </w:r>
    </w:p>
    <w:p>
      <w:pPr>
        <w:pStyle w:val="Normal"/>
        <w:framePr w:w="5760" w:hAnchor="page" w:vAnchor="page" w:x="1016" w:y="74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Compensation Committee Interlocks and Insider Participation</w:t>
      </w:r>
    </w:p>
    <w:p>
      <w:pPr>
        <w:pStyle w:val="Normal"/>
        <w:framePr w:w="432" w:hAnchor="page" w:vAnchor="page" w:x="11158" w:y="74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41</w:t>
      </w:r>
    </w:p>
    <w:p>
      <w:pPr>
        <w:pStyle w:val="Normal"/>
        <w:framePr w:w="2276" w:hAnchor="page" w:vAnchor="page" w:x="1016" w:y="72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Director Independence</w:t>
      </w:r>
    </w:p>
    <w:p>
      <w:pPr>
        <w:pStyle w:val="Normal"/>
        <w:framePr w:w="432" w:hAnchor="page" w:vAnchor="page" w:x="11158" w:y="72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40</w:t>
      </w:r>
    </w:p>
    <w:p>
      <w:pPr>
        <w:pStyle w:val="Normal"/>
        <w:framePr w:w="3131" w:hAnchor="page" w:vAnchor="page" w:x="1016" w:y="69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Board Meetings and Attendance</w:t>
      </w:r>
    </w:p>
    <w:p>
      <w:pPr>
        <w:pStyle w:val="Normal"/>
        <w:framePr w:w="432" w:hAnchor="page" w:vAnchor="page" w:x="11158" w:y="69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40</w:t>
      </w:r>
    </w:p>
    <w:p>
      <w:pPr>
        <w:pStyle w:val="Normal"/>
        <w:framePr w:w="3574" w:hAnchor="page" w:vAnchor="page" w:x="1016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Committees of the Board of Directors</w:t>
      </w:r>
    </w:p>
    <w:p>
      <w:pPr>
        <w:pStyle w:val="Normal"/>
        <w:framePr w:w="432" w:hAnchor="page" w:vAnchor="page" w:x="11158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36</w:t>
      </w:r>
    </w:p>
    <w:p>
      <w:pPr>
        <w:pStyle w:val="Normal"/>
        <w:framePr w:w="2845" w:hAnchor="page" w:vAnchor="page" w:x="1016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Enterprise Risk Management</w:t>
      </w:r>
    </w:p>
    <w:p>
      <w:pPr>
        <w:pStyle w:val="Normal"/>
        <w:framePr w:w="432" w:hAnchor="page" w:vAnchor="page" w:x="11158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35</w:t>
      </w:r>
    </w:p>
    <w:p>
      <w:pPr>
        <w:pStyle w:val="Normal"/>
        <w:framePr w:w="5145" w:hAnchor="page" w:vAnchor="page" w:x="1016" w:y="61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Board Composition and Criteria for Board Membership</w:t>
      </w:r>
    </w:p>
    <w:p>
      <w:pPr>
        <w:pStyle w:val="Normal"/>
        <w:framePr w:w="432" w:hAnchor="page" w:vAnchor="page" w:x="11158" w:y="61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30</w:t>
      </w:r>
    </w:p>
    <w:p>
      <w:pPr>
        <w:pStyle w:val="Normal"/>
        <w:framePr w:w="3278" w:hAnchor="page" w:vAnchor="page" w:x="1016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Leadership Structure of the Board</w:t>
      </w:r>
    </w:p>
    <w:p>
      <w:pPr>
        <w:pStyle w:val="Normal"/>
        <w:framePr w:w="432" w:hAnchor="page" w:vAnchor="page" w:x="11158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29</w:t>
      </w:r>
    </w:p>
    <w:p>
      <w:pPr>
        <w:pStyle w:val="Normal"/>
        <w:framePr w:w="2538" w:hAnchor="page" w:vAnchor="page" w:x="1016" w:y="56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Shareholder Engagement</w:t>
      </w:r>
    </w:p>
    <w:p>
      <w:pPr>
        <w:pStyle w:val="Normal"/>
        <w:framePr w:w="432" w:hAnchor="page" w:vAnchor="page" w:x="11158" w:y="56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28</w:t>
      </w:r>
    </w:p>
    <w:p>
      <w:pPr>
        <w:pStyle w:val="Normal"/>
        <w:framePr w:w="4656" w:hAnchor="page" w:vAnchor="page" w:x="1016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Governance Guidelines and Key Board Practices</w:t>
      </w:r>
    </w:p>
    <w:p>
      <w:pPr>
        <w:pStyle w:val="Normal"/>
        <w:framePr w:w="432" w:hAnchor="page" w:vAnchor="page" w:x="11158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27</w:t>
      </w:r>
    </w:p>
    <w:p>
      <w:pPr>
        <w:pStyle w:val="Normal"/>
        <w:framePr w:w="2424" w:hAnchor="page" w:vAnchor="page" w:x="893" w:y="51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Corporate Governance</w:t>
      </w:r>
    </w:p>
    <w:p>
      <w:pPr>
        <w:pStyle w:val="Normal"/>
        <w:framePr w:w="432" w:hAnchor="page" w:vAnchor="page" w:x="11158" w:y="51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27</w:t>
      </w:r>
    </w:p>
    <w:p>
      <w:pPr>
        <w:pStyle w:val="Normal"/>
        <w:framePr w:w="1900" w:hAnchor="page" w:vAnchor="page" w:x="1016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Director Nominees</w:t>
      </w:r>
    </w:p>
    <w:p>
      <w:pPr>
        <w:pStyle w:val="Normal"/>
        <w:framePr w:w="432" w:hAnchor="page" w:vAnchor="page" w:x="11158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18</w:t>
      </w:r>
    </w:p>
    <w:p>
      <w:pPr>
        <w:pStyle w:val="Normal"/>
        <w:framePr w:w="3425" w:hAnchor="page" w:vAnchor="page" w:x="893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1– Election of Directors</w:t>
      </w:r>
    </w:p>
    <w:p>
      <w:pPr>
        <w:pStyle w:val="Normal"/>
        <w:framePr w:w="432" w:hAnchor="page" w:vAnchor="page" w:x="11158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15</w:t>
      </w:r>
    </w:p>
    <w:p>
      <w:pPr>
        <w:pStyle w:val="Normal"/>
        <w:framePr w:w="5954" w:hAnchor="page" w:vAnchor="page" w:x="1016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Governance of Environmental, Social, and Governance Matters</w:t>
      </w:r>
    </w:p>
    <w:p>
      <w:pPr>
        <w:pStyle w:val="Normal"/>
        <w:framePr w:w="432" w:hAnchor="page" w:vAnchor="page" w:x="11158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13</w:t>
      </w:r>
    </w:p>
    <w:p>
      <w:pPr>
        <w:pStyle w:val="Normal"/>
        <w:framePr w:w="2993" w:hAnchor="page" w:vAnchor="page" w:x="1016" w:y="41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UN Global Compact Alignment</w:t>
      </w:r>
    </w:p>
    <w:p>
      <w:pPr>
        <w:pStyle w:val="Normal"/>
        <w:framePr w:w="432" w:hAnchor="page" w:vAnchor="page" w:x="11158" w:y="41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12</w:t>
      </w:r>
    </w:p>
    <w:p>
      <w:pPr>
        <w:pStyle w:val="Normal"/>
        <w:framePr w:w="2105" w:hAnchor="page" w:vAnchor="page" w:x="1016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2022 ESG Highlights</w:t>
      </w:r>
    </w:p>
    <w:p>
      <w:pPr>
        <w:pStyle w:val="Normal"/>
        <w:framePr w:w="432" w:hAnchor="page" w:vAnchor="page" w:x="11170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11</w:t>
      </w:r>
    </w:p>
    <w:p>
      <w:pPr>
        <w:pStyle w:val="Normal"/>
        <w:framePr w:w="4063" w:hAnchor="page" w:vAnchor="page" w:x="893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Environmental, Social, and Governance</w:t>
      </w:r>
    </w:p>
    <w:p>
      <w:pPr>
        <w:pStyle w:val="Normal"/>
        <w:framePr w:w="318" w:hAnchor="page" w:vAnchor="page" w:x="11253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9</w:t>
      </w:r>
    </w:p>
    <w:p>
      <w:pPr>
        <w:pStyle w:val="Normal"/>
        <w:framePr w:w="2470" w:hAnchor="page" w:vAnchor="page" w:x="1016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Executive Compensation</w:t>
      </w:r>
    </w:p>
    <w:p>
      <w:pPr>
        <w:pStyle w:val="Normal"/>
        <w:framePr w:w="318" w:hAnchor="page" w:vAnchor="page" w:x="11253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7</w:t>
      </w:r>
    </w:p>
    <w:p>
      <w:pPr>
        <w:pStyle w:val="Normal"/>
        <w:framePr w:w="4417" w:hAnchor="page" w:vAnchor="page" w:x="1016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2022-2023 Shareholder Engagement Program</w:t>
      </w:r>
    </w:p>
    <w:p>
      <w:pPr>
        <w:pStyle w:val="Normal"/>
        <w:framePr w:w="318" w:hAnchor="page" w:vAnchor="page" w:x="11253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</w:t>
      </w:r>
    </w:p>
    <w:p>
      <w:pPr>
        <w:pStyle w:val="Normal"/>
        <w:framePr w:w="1900" w:hAnchor="page" w:vAnchor="page" w:x="1016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Director Nominees</w:t>
      </w:r>
    </w:p>
    <w:p>
      <w:pPr>
        <w:pStyle w:val="Normal"/>
        <w:framePr w:w="318" w:hAnchor="page" w:vAnchor="page" w:x="11253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</w:t>
      </w:r>
    </w:p>
    <w:p>
      <w:pPr>
        <w:pStyle w:val="Normal"/>
        <w:framePr w:w="2276" w:hAnchor="page" w:vAnchor="page" w:x="1016" w:y="26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Governance Highlights</w:t>
      </w:r>
    </w:p>
    <w:p>
      <w:pPr>
        <w:pStyle w:val="Normal"/>
        <w:framePr w:w="318" w:hAnchor="page" w:vAnchor="page" w:x="11253" w:y="26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</w:t>
      </w:r>
    </w:p>
    <w:p>
      <w:pPr>
        <w:pStyle w:val="Normal"/>
        <w:framePr w:w="2766" w:hAnchor="page" w:vAnchor="page" w:x="1016" w:y="23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2022 Financial Performance</w:t>
      </w:r>
    </w:p>
    <w:p>
      <w:pPr>
        <w:pStyle w:val="Normal"/>
        <w:framePr w:w="318" w:hAnchor="page" w:vAnchor="page" w:x="11253" w:y="23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</w:t>
      </w:r>
    </w:p>
    <w:p>
      <w:pPr>
        <w:pStyle w:val="Normal"/>
        <w:framePr w:w="4291" w:hAnchor="page" w:vAnchor="page" w:x="1016" w:y="20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Voting Matters and Board Recommendations</w:t>
      </w:r>
    </w:p>
    <w:p>
      <w:pPr>
        <w:pStyle w:val="Normal"/>
        <w:framePr w:w="318" w:hAnchor="page" w:vAnchor="page" w:x="11253" w:y="20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</w:t>
      </w:r>
    </w:p>
    <w:p>
      <w:pPr>
        <w:pStyle w:val="Normal"/>
        <w:framePr w:w="2709" w:hAnchor="page" w:vAnchor="page" w:x="1016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Annual Meeting Information</w:t>
      </w:r>
    </w:p>
    <w:p>
      <w:pPr>
        <w:pStyle w:val="Normal"/>
        <w:framePr w:w="318" w:hAnchor="page" w:vAnchor="page" w:x="11253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</w:t>
      </w:r>
    </w:p>
    <w:p>
      <w:pPr>
        <w:pStyle w:val="Normal"/>
        <w:framePr w:w="2276" w:hAnchor="page" w:vAnchor="page" w:x="893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2023 Proxy Summary</w:t>
      </w:r>
    </w:p>
    <w:p>
      <w:pPr>
        <w:pStyle w:val="Normal"/>
        <w:framePr w:w="318" w:hAnchor="page" w:vAnchor="page" w:x="11253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</w:t>
      </w:r>
    </w:p>
    <w:p>
      <w:pPr>
        <w:pStyle w:val="Normal"/>
        <w:framePr w:w="3754" w:hAnchor="page" w:vAnchor="page" w:x="893" w:y="506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Contents</w:t>
      </w:r>
    </w:p>
    <w:p>
      <w:pPr>
        <w:pStyle w:val="Normal"/>
        <w:framePr w:w="354" w:hAnchor="page" w:vAnchor="page" w:x="274" w:y="22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53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53"/>
          <w:w w:val="100"/>
          <w:sz w:val="19"/>
          <w:szCs w:val="19"/>
        </w:rPr>
        <w:t xml:space="preserve">  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7pt;margin-top:1pt;z-index:-1677676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12.7pt;margin-top:550.05pt;z-index:-1677676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3.65pt;margin-top:85.65pt;z-index:-16776760;width:8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9.8pt;margin-top:98.45pt;z-index:-16776756;width:10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9.8pt;margin-top:111.25pt;z-index:-16776752;width:171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9.8pt;margin-top:124.05pt;z-index:-16776748;width:10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9.8pt;margin-top:136.85pt;z-index:-16776744;width:8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9.8pt;margin-top:149.65pt;z-index:-16776740;width:7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9.8pt;margin-top:162.45pt;z-index:-16776736;width:17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9.8pt;margin-top:175.25pt;z-index:-16776732;width:9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65pt;margin-top:188.05pt;z-index:-16776728;width:162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9.8pt;margin-top:200.85pt;z-index:-16776724;width:8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9.8pt;margin-top:213.65pt;z-index:-16776720;width:118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9.8pt;margin-top:226.45pt;z-index:-16776716;width:24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65pt;margin-top:239.25pt;z-index:-16776712;width:136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9.8pt;margin-top:252.05pt;z-index:-16776708;width:7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3.65pt;margin-top:264.85pt;z-index:-16776704;width:94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9.8pt;margin-top:277.65pt;z-index:-16776700;width:18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9.8pt;margin-top:290.45pt;z-index:-16776696;width:9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9.8pt;margin-top:303.25pt;z-index:-16776692;width:1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9.8pt;margin-top:316.05pt;z-index:-16776688;width:20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9.8pt;margin-top:328.85pt;z-index:-16776684;width:112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49.8pt;margin-top:341.65pt;z-index:-16776680;width:1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49.8pt;margin-top:354.45pt;z-index:-16776676;width:12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9.8pt;margin-top:367.3pt;z-index:-16776672;width:8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9.8pt;margin-top:380.1pt;z-index:-16776668;width:2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49.8pt;margin-top:392.9pt;z-index:-16776664;width:11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43.65pt;margin-top:405.7pt;z-index:-16776660;width:9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9.8pt;margin-top:418.5pt;z-index:-16776656;width:146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3.65pt;margin-top:431.3pt;z-index:-16776652;width:16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3.65pt;margin-top:444.1pt;z-index:-16776648;width:20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3.65pt;margin-top:456.9pt;z-index:-16776644;width:20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9.8pt;margin-top:469.7pt;z-index:-16776640;width:11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9.8pt;margin-top:482.5pt;z-index:-16776636;width:18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49.8pt;margin-top:495.3pt;z-index:-16776632;width:232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49.8pt;margin-top:508.1pt;z-index:-16776628;width:10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</w:p>
    <w:p>
      <w:pPr>
        <w:pStyle w:val="Normal"/>
        <w:framePr w:w="1631" w:hAnchor="page" w:vAnchor="page" w:x="274" w:y="832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ix   TechnipFMC</w:t>
      </w:r>
    </w:p>
    <w:p>
      <w:pPr>
        <w:pStyle w:val="Normal"/>
        <w:framePr w:w="5337" w:hAnchor="page" w:vAnchor="page" w:x="893" w:y="76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Appendix A – Reconciliation of Non-GAAP Measures</w:t>
      </w:r>
    </w:p>
    <w:p>
      <w:pPr>
        <w:pStyle w:val="Normal"/>
        <w:framePr w:w="546" w:hAnchor="page" w:vAnchor="page" w:x="11063" w:y="76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121</w:t>
      </w:r>
    </w:p>
    <w:p>
      <w:pPr>
        <w:pStyle w:val="Normal"/>
        <w:framePr w:w="4711" w:hAnchor="page" w:vAnchor="page" w:x="893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General Information about the Annual Meeting</w:t>
      </w:r>
    </w:p>
    <w:p>
      <w:pPr>
        <w:pStyle w:val="Normal"/>
        <w:framePr w:w="546" w:hAnchor="page" w:vAnchor="page" w:x="11072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114</w:t>
      </w:r>
    </w:p>
    <w:p>
      <w:pPr>
        <w:pStyle w:val="Normal"/>
        <w:framePr w:w="3505" w:hAnchor="page" w:vAnchor="page" w:x="893" w:y="71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Shareholders Sharing an Address</w:t>
      </w:r>
    </w:p>
    <w:p>
      <w:pPr>
        <w:pStyle w:val="Normal"/>
        <w:framePr w:w="546" w:hAnchor="page" w:vAnchor="page" w:x="11072" w:y="71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113</w:t>
      </w:r>
    </w:p>
    <w:p>
      <w:pPr>
        <w:pStyle w:val="Normal"/>
        <w:framePr w:w="6419" w:hAnchor="page" w:vAnchor="page" w:x="893" w:y="68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Proposals for the 2024 Annual General Meeting of Shareholders</w:t>
      </w:r>
    </w:p>
    <w:p>
      <w:pPr>
        <w:pStyle w:val="Normal"/>
        <w:framePr w:w="546" w:hAnchor="page" w:vAnchor="page" w:x="11072" w:y="68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112</w:t>
      </w:r>
    </w:p>
    <w:p>
      <w:pPr>
        <w:pStyle w:val="Normal"/>
        <w:framePr w:w="3233" w:hAnchor="page" w:vAnchor="page" w:x="1016" w:y="66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Delinquent Section 16(a) Reports</w:t>
      </w:r>
    </w:p>
    <w:p>
      <w:pPr>
        <w:pStyle w:val="Normal"/>
        <w:framePr w:w="546" w:hAnchor="page" w:vAnchor="page" w:x="11088" w:y="66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111</w:t>
      </w:r>
    </w:p>
    <w:p>
      <w:pPr>
        <w:pStyle w:val="Normal"/>
        <w:framePr w:w="6704" w:hAnchor="page" w:vAnchor="page" w:x="893" w:y="63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Security Ownership of Certain Beneficial Owners and Management</w:t>
      </w:r>
    </w:p>
    <w:p>
      <w:pPr>
        <w:pStyle w:val="Normal"/>
        <w:framePr w:w="546" w:hAnchor="page" w:vAnchor="page" w:x="11072" w:y="63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110</w:t>
      </w:r>
    </w:p>
    <w:p>
      <w:pPr>
        <w:pStyle w:val="Normal"/>
        <w:framePr w:w="3607" w:hAnchor="page" w:vAnchor="page" w:x="893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Transactions with Related Persons</w:t>
      </w:r>
    </w:p>
    <w:p>
      <w:pPr>
        <w:pStyle w:val="Normal"/>
        <w:framePr w:w="546" w:hAnchor="page" w:vAnchor="page" w:x="11063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109</w:t>
      </w:r>
    </w:p>
    <w:p>
      <w:pPr>
        <w:pStyle w:val="Normal"/>
        <w:framePr w:w="7579" w:hAnchor="page" w:vAnchor="page" w:x="893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9 – Authority to Allot Equity Securities without Pre-emptive Rights</w:t>
      </w:r>
    </w:p>
    <w:p>
      <w:pPr>
        <w:pStyle w:val="Normal"/>
        <w:framePr w:w="546" w:hAnchor="page" w:vAnchor="page" w:x="11063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107</w:t>
      </w:r>
    </w:p>
    <w:p>
      <w:pPr>
        <w:pStyle w:val="Normal"/>
        <w:framePr w:w="4871" w:hAnchor="page" w:vAnchor="page" w:x="893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8 – Authority to Allot Equity Securities</w:t>
      </w:r>
    </w:p>
    <w:p>
      <w:pPr>
        <w:pStyle w:val="Normal"/>
        <w:framePr w:w="546" w:hAnchor="page" w:vAnchor="page" w:x="11063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105</w:t>
      </w:r>
    </w:p>
    <w:p>
      <w:pPr>
        <w:pStyle w:val="Normal"/>
        <w:framePr w:w="5349" w:hAnchor="page" w:vAnchor="page" w:x="893" w:y="53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7 – Approval of U.K. Statutory Auditor Fees</w:t>
      </w:r>
    </w:p>
    <w:p>
      <w:pPr>
        <w:pStyle w:val="Normal"/>
        <w:framePr w:w="546" w:hAnchor="page" w:vAnchor="page" w:x="11063" w:y="53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104</w:t>
      </w:r>
    </w:p>
    <w:p>
      <w:pPr>
        <w:pStyle w:val="Normal"/>
        <w:framePr w:w="5428" w:hAnchor="page" w:vAnchor="page" w:x="893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6 – Reappointment of U.K. Statutory Auditor</w:t>
      </w:r>
    </w:p>
    <w:p>
      <w:pPr>
        <w:pStyle w:val="Normal"/>
        <w:framePr w:w="546" w:hAnchor="page" w:vAnchor="page" w:x="11063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103</w:t>
      </w:r>
    </w:p>
    <w:p>
      <w:pPr>
        <w:pStyle w:val="Normal"/>
        <w:framePr w:w="4085" w:hAnchor="page" w:vAnchor="page" w:x="893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5 – Ratification of U.S. Auditor</w:t>
      </w:r>
    </w:p>
    <w:p>
      <w:pPr>
        <w:pStyle w:val="Normal"/>
        <w:framePr w:w="546" w:hAnchor="page" w:vAnchor="page" w:x="11063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101</w:t>
      </w:r>
    </w:p>
    <w:p>
      <w:pPr>
        <w:pStyle w:val="Normal"/>
        <w:framePr w:w="5815" w:hAnchor="page" w:vAnchor="page" w:x="893" w:y="45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Proposal 4 – Receipt of U.K. Annual Report and Accounts</w:t>
      </w:r>
    </w:p>
    <w:p>
      <w:pPr>
        <w:pStyle w:val="Normal"/>
        <w:framePr w:w="546" w:hAnchor="page" w:vAnchor="page" w:x="11063" w:y="45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100</w:t>
      </w:r>
    </w:p>
    <w:p>
      <w:pPr>
        <w:pStyle w:val="Normal"/>
        <w:framePr w:w="2560" w:hAnchor="page" w:vAnchor="page" w:x="893" w:y="43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Audit Committee Report</w:t>
      </w:r>
    </w:p>
    <w:p>
      <w:pPr>
        <w:pStyle w:val="Normal"/>
        <w:framePr w:w="432" w:hAnchor="page" w:vAnchor="page" w:x="11158" w:y="43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99</w:t>
      </w:r>
    </w:p>
    <w:p>
      <w:pPr>
        <w:pStyle w:val="Normal"/>
        <w:framePr w:w="4540" w:hAnchor="page" w:vAnchor="page" w:x="893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ee"/>
          <w:w w:val="100"/>
          <w:sz w:val="17"/>
          <w:szCs w:val="17"/>
        </w:rPr>
        <w:t>Compensation and Talent Committee Report</w:t>
      </w:r>
    </w:p>
    <w:p>
      <w:pPr>
        <w:pStyle w:val="Normal"/>
        <w:framePr w:w="432" w:hAnchor="page" w:vAnchor="page" w:x="11158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98</w:t>
      </w:r>
    </w:p>
    <w:p>
      <w:pPr>
        <w:pStyle w:val="Normal"/>
        <w:framePr w:w="2481" w:hAnchor="page" w:vAnchor="page" w:x="1016" w:y="37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Pay Versus Performance</w:t>
      </w:r>
    </w:p>
    <w:p>
      <w:pPr>
        <w:pStyle w:val="Normal"/>
        <w:framePr w:w="432" w:hAnchor="page" w:vAnchor="page" w:x="11158" w:y="37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93</w:t>
      </w:r>
    </w:p>
    <w:p>
      <w:pPr>
        <w:pStyle w:val="Normal"/>
        <w:framePr w:w="1593" w:hAnchor="page" w:vAnchor="page" w:x="1016" w:y="35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CEO Pay Ratio</w:t>
      </w:r>
    </w:p>
    <w:p>
      <w:pPr>
        <w:pStyle w:val="Normal"/>
        <w:framePr w:w="432" w:hAnchor="page" w:vAnchor="page" w:x="11158" w:y="35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92</w:t>
      </w:r>
    </w:p>
    <w:p>
      <w:pPr>
        <w:pStyle w:val="Normal"/>
        <w:framePr w:w="3620" w:hAnchor="page" w:vAnchor="page" w:x="1016" w:y="32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Potential Payments upon Termination</w:t>
      </w:r>
    </w:p>
    <w:p>
      <w:pPr>
        <w:pStyle w:val="Normal"/>
        <w:framePr w:w="432" w:hAnchor="page" w:vAnchor="page" w:x="11158" w:y="32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89</w:t>
      </w:r>
    </w:p>
    <w:p>
      <w:pPr>
        <w:pStyle w:val="Normal"/>
        <w:framePr w:w="4257" w:hAnchor="page" w:vAnchor="page" w:x="1016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Non-Qualified Deferred Compensation Table</w:t>
      </w:r>
    </w:p>
    <w:p>
      <w:pPr>
        <w:pStyle w:val="Normal"/>
        <w:framePr w:w="432" w:hAnchor="page" w:vAnchor="page" w:x="11158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88</w:t>
      </w:r>
    </w:p>
    <w:p>
      <w:pPr>
        <w:pStyle w:val="Normal"/>
        <w:framePr w:w="2311" w:hAnchor="page" w:vAnchor="page" w:x="1016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Pension Benefits Table</w:t>
      </w:r>
    </w:p>
    <w:p>
      <w:pPr>
        <w:pStyle w:val="Normal"/>
        <w:framePr w:w="432" w:hAnchor="page" w:vAnchor="page" w:x="11158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86</w:t>
      </w:r>
    </w:p>
    <w:p>
      <w:pPr>
        <w:pStyle w:val="Normal"/>
        <w:framePr w:w="3984" w:hAnchor="page" w:vAnchor="page" w:x="1016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Option Exercises and Stock Vested Table</w:t>
      </w:r>
    </w:p>
    <w:p>
      <w:pPr>
        <w:pStyle w:val="Normal"/>
        <w:framePr w:w="432" w:hAnchor="page" w:vAnchor="page" w:x="11158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86</w:t>
      </w:r>
    </w:p>
    <w:p>
      <w:pPr>
        <w:pStyle w:val="Normal"/>
        <w:framePr w:w="4986" w:hAnchor="page" w:vAnchor="page" w:x="1016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Outstanding Equity Awards at Fiscal Year-End Table</w:t>
      </w:r>
    </w:p>
    <w:p>
      <w:pPr>
        <w:pStyle w:val="Normal"/>
        <w:framePr w:w="432" w:hAnchor="page" w:vAnchor="page" w:x="11158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85</w:t>
      </w:r>
    </w:p>
    <w:p>
      <w:pPr>
        <w:pStyle w:val="Normal"/>
        <w:framePr w:w="3472" w:hAnchor="page" w:vAnchor="page" w:x="1016" w:y="20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Grants of Plan-Based Awards Table</w:t>
      </w:r>
    </w:p>
    <w:p>
      <w:pPr>
        <w:pStyle w:val="Normal"/>
        <w:framePr w:w="432" w:hAnchor="page" w:vAnchor="page" w:x="11158" w:y="20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83</w:t>
      </w:r>
    </w:p>
    <w:p>
      <w:pPr>
        <w:pStyle w:val="Normal"/>
        <w:framePr w:w="6660" w:hAnchor="page" w:vAnchor="page" w:x="1016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Summary Compensation Table for the Year Ended December 31, 2022</w:t>
      </w:r>
    </w:p>
    <w:p>
      <w:pPr>
        <w:pStyle w:val="Normal"/>
        <w:framePr w:w="432" w:hAnchor="page" w:vAnchor="page" w:x="11158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82</w:t>
      </w:r>
    </w:p>
    <w:p>
      <w:pPr>
        <w:pStyle w:val="Normal"/>
        <w:framePr w:w="4827" w:hAnchor="page" w:vAnchor="page" w:x="1016" w:y="14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Other Compensation, Benefits, and Considerations</w:t>
      </w:r>
    </w:p>
    <w:p>
      <w:pPr>
        <w:pStyle w:val="Normal"/>
        <w:framePr w:w="432" w:hAnchor="page" w:vAnchor="page" w:x="11158" w:y="14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78</w:t>
      </w:r>
    </w:p>
    <w:p>
      <w:pPr>
        <w:pStyle w:val="Normal"/>
        <w:framePr w:w="4121" w:hAnchor="page" w:vAnchor="page" w:x="1016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Elements of 2022 Executive Compensation</w:t>
      </w:r>
    </w:p>
    <w:p>
      <w:pPr>
        <w:pStyle w:val="Normal"/>
        <w:framePr w:w="432" w:hAnchor="page" w:vAnchor="page" w:x="11158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62</w:t>
      </w:r>
    </w:p>
    <w:p>
      <w:pPr>
        <w:pStyle w:val="Normal"/>
        <w:framePr w:w="2698" w:hAnchor="page" w:vAnchor="page" w:x="1016" w:y="9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Compensation Governance</w:t>
      </w:r>
    </w:p>
    <w:p>
      <w:pPr>
        <w:pStyle w:val="Normal"/>
        <w:framePr w:w="432" w:hAnchor="page" w:vAnchor="page" w:x="11158" w:y="9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59</w:t>
      </w:r>
    </w:p>
    <w:p>
      <w:pPr>
        <w:pStyle w:val="Normal"/>
        <w:framePr w:w="6990" w:hAnchor="page" w:vAnchor="page" w:x="1016" w:y="7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Good Governance and Compensation Practices Aligned with Shareholders</w:t>
      </w:r>
    </w:p>
    <w:p>
      <w:pPr>
        <w:pStyle w:val="Normal"/>
        <w:framePr w:w="432" w:hAnchor="page" w:vAnchor="page" w:x="11158" w:y="7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58</w:t>
      </w:r>
    </w:p>
    <w:p>
      <w:pPr>
        <w:pStyle w:val="Normal"/>
        <w:framePr w:w="3927" w:hAnchor="page" w:vAnchor="page" w:x="1016" w:y="4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ee"/>
          <w:w w:val="100"/>
          <w:sz w:val="17"/>
          <w:szCs w:val="17"/>
        </w:rPr>
        <w:t>Our Executive Compensation Philosophy</w:t>
      </w:r>
    </w:p>
    <w:p>
      <w:pPr>
        <w:pStyle w:val="Normal"/>
        <w:framePr w:w="432" w:hAnchor="page" w:vAnchor="page" w:x="11158" w:y="4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54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7pt;margin-top:1pt;z-index:-167766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12.7pt;margin-top:432pt;z-index:-167766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49.8pt;margin-top:30.15pt;z-index:-16776616;width:15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49.8pt;margin-top:42.95pt;z-index:-16776612;width:28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49.8pt;margin-top:55.75pt;z-index:-16776608;width:10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49.8pt;margin-top:68.55pt;z-index:-16776604;width:165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49.8pt;margin-top:81.35pt;z-index:-16776600;width:19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49.8pt;margin-top:94.15pt;z-index:-16776596;width:26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49.8pt;margin-top:106.95pt;z-index:-16776592;width:13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49.8pt;margin-top:119.75pt;z-index:-16776588;width:19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49.8pt;margin-top:132.55pt;z-index:-16776584;width:15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49.8pt;margin-top:145.4pt;z-index:-16776580;width:88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49.8pt;margin-top:158.2pt;z-index:-16776576;width:16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49.8pt;margin-top:171pt;z-index:-16776572;width:14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49.8pt;margin-top:183.8pt;z-index:-167765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49.8pt;margin-top:196.6pt;z-index:-16776564;width:9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43.65pt;margin-top:209.4pt;z-index:-16776560;width:182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43.65pt;margin-top:222.2pt;z-index:-16776556;width:10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43.65pt;margin-top:235pt;z-index:-16776552;width:235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43.65pt;margin-top:247.8pt;z-index:-16776548;width:1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43.65pt;margin-top:260.6pt;z-index:-16776544;width:219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43.65pt;margin-top:273.4pt;z-index:-16776540;width:21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43.65pt;margin-top:286.2pt;z-index:-16776536;width:19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43.65pt;margin-top:299pt;z-index:-16776532;width:309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43.65pt;margin-top:311.8pt;z-index:-16776528;width:14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43.65pt;margin-top:324.6pt;z-index:-16776524;width:272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49.8pt;margin-top:337.4pt;z-index:-16776520;width:128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43.65pt;margin-top:350.2pt;z-index:-16776516;width:26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3.65pt;margin-top:363pt;z-index:-16776512;width:13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3.65pt;margin-top:375.8pt;z-index:-16776508;width:18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43.65pt;margin-top:388.6pt;z-index:-16776504;width:21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</w:p>
    <w:p>
      <w:pPr>
        <w:pStyle w:val="Normal"/>
        <w:framePr w:w="1631" w:hAnchor="page" w:vAnchor="page" w:x="274" w:y="137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    TechnipFMC</w:t>
      </w:r>
    </w:p>
    <w:p>
      <w:pPr>
        <w:pStyle w:val="Normal"/>
        <w:framePr w:w="10747" w:hAnchor="page" w:vAnchor="page" w:x="528" w:y="1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markets. Please also review “How do I vote?” in the section entitled </w:t>
      </w: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“General Information about the Annual Meeting.”</w:t>
      </w:r>
    </w:p>
    <w:p>
      <w:pPr>
        <w:pStyle w:val="Normal"/>
        <w:framePr w:w="13328" w:hAnchor="page" w:vAnchor="page" w:x="528" w:y="1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Please follow the voting instructions on your proxy card and/or your voting instruction form as different voting deadlines may be applicable across</w:t>
      </w:r>
    </w:p>
    <w:p>
      <w:pPr>
        <w:pStyle w:val="Normal"/>
        <w:framePr w:w="4473" w:hAnchor="page" w:vAnchor="page" w:x="1688" w:y="117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11:59 p.m., New York time, on April 26, 2023</w:t>
      </w:r>
    </w:p>
    <w:p>
      <w:pPr>
        <w:pStyle w:val="Normal"/>
        <w:framePr w:w="1752" w:hAnchor="page" w:vAnchor="page" w:x="1688" w:y="113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  <w:t>Voting Deadline</w:t>
      </w:r>
    </w:p>
    <w:p>
      <w:pPr>
        <w:pStyle w:val="Normal"/>
        <w:framePr w:w="7833" w:hAnchor="page" w:vAnchor="page" w:x="1688" w:y="102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Ordinary Share is entitled to one vote for each of the proposals to be voted on.</w:t>
      </w:r>
    </w:p>
    <w:p>
      <w:pPr>
        <w:pStyle w:val="Normal"/>
        <w:framePr w:w="841" w:hAnchor="page" w:vAnchor="page" w:x="1688" w:y="98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  <w:t>Voting</w:t>
      </w:r>
    </w:p>
    <w:p>
      <w:pPr>
        <w:pStyle w:val="Normal"/>
        <w:framePr w:w="4155" w:hAnchor="page" w:vAnchor="page" w:x="1688" w:y="90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the Annual Meeting?” for more information. </w:t>
      </w:r>
    </w:p>
    <w:p>
      <w:pPr>
        <w:pStyle w:val="Normal"/>
        <w:framePr w:w="12136" w:hAnchor="page" w:vAnchor="page" w:x="1688" w:y="88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Admission ticket and valid photo identification required. Please see “General Information about the Annual Meeting–Who can attend</w:t>
      </w:r>
    </w:p>
    <w:p>
      <w:pPr>
        <w:pStyle w:val="Normal"/>
        <w:framePr w:w="1251" w:hAnchor="page" w:vAnchor="page" w:x="1688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  <w:t>Admission</w:t>
      </w:r>
    </w:p>
    <w:p>
      <w:pPr>
        <w:pStyle w:val="Normal"/>
        <w:framePr w:w="1548" w:hAnchor="page" w:vAnchor="page" w:x="1688" w:y="73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March 6, 2023</w:t>
      </w:r>
    </w:p>
    <w:p>
      <w:pPr>
        <w:pStyle w:val="Normal"/>
        <w:framePr w:w="1411" w:hAnchor="page" w:vAnchor="page" w:x="1688" w:y="69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  <w:t>Record Date</w:t>
      </w:r>
    </w:p>
    <w:p>
      <w:pPr>
        <w:pStyle w:val="Normal"/>
        <w:framePr w:w="8444" w:hAnchor="page" w:vAnchor="page" w:x="1688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Hadrian House, Wincomblee Road, Newcastle upon Tyne, NE6 3PL, United Kingdom </w:t>
      </w:r>
    </w:p>
    <w:p>
      <w:pPr>
        <w:pStyle w:val="Normal"/>
        <w:framePr w:w="739" w:hAnchor="page" w:vAnchor="page" w:x="1688" w:y="55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  <w:t>Place</w:t>
      </w:r>
    </w:p>
    <w:p>
      <w:pPr>
        <w:pStyle w:val="Normal"/>
        <w:framePr w:w="4052" w:hAnchor="page" w:vAnchor="page" w:x="1688" w:y="44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April 28, 2023 at 4:00 p.m., London time</w:t>
      </w:r>
    </w:p>
    <w:p>
      <w:pPr>
        <w:pStyle w:val="Normal"/>
        <w:framePr w:w="1604" w:hAnchor="page" w:vAnchor="page" w:x="1688" w:y="40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3ed"/>
          <w:w w:val="100"/>
          <w:sz w:val="17"/>
          <w:szCs w:val="17"/>
        </w:rPr>
        <w:t>Time and Date</w:t>
      </w:r>
    </w:p>
    <w:p>
      <w:pPr>
        <w:pStyle w:val="Normal"/>
        <w:framePr w:w="5798" w:hAnchor="page" w:vAnchor="page" w:x="419" w:y="323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Annual Meeting Information</w:t>
      </w:r>
    </w:p>
    <w:p>
      <w:pPr>
        <w:pStyle w:val="Normal"/>
        <w:framePr w:w="1103" w:hAnchor="page" w:vAnchor="page" w:x="419" w:y="28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Accounts.</w:t>
      </w:r>
    </w:p>
    <w:p>
      <w:pPr>
        <w:pStyle w:val="Normal"/>
        <w:framePr w:w="13036" w:hAnchor="page" w:vAnchor="page" w:x="419" w:y="26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further information regarding our 2022 financial performance, please review our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Annual Report on Form 10-K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 and our U.K. Annual Report and</w:t>
      </w:r>
    </w:p>
    <w:p>
      <w:pPr>
        <w:pStyle w:val="Normal"/>
        <w:framePr w:w="13491" w:hAnchor="page" w:vAnchor="page" w:x="419" w:y="24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consider regarding each of the proposals to be voted on at the Annual Meeting. Please read the entire Proxy Statement carefully before voting. For</w:t>
      </w:r>
    </w:p>
    <w:p>
      <w:pPr>
        <w:pStyle w:val="Normal"/>
        <w:framePr w:w="13661" w:hAnchor="page" w:vAnchor="page" w:x="419" w:y="22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This summary highlights information contained elsewhere in this Proxy Statement. This summary does not contain all the information that you should</w:t>
      </w:r>
    </w:p>
    <w:p>
      <w:pPr>
        <w:pStyle w:val="Normal"/>
        <w:framePr w:w="10018" w:hAnchor="page" w:vAnchor="page" w:x="419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the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Annual Report on Form 10-K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 connection with the Annual Meeting (collectively, the “</w:t>
      </w: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Proxy Materials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”).</w:t>
      </w:r>
    </w:p>
    <w:p>
      <w:pPr>
        <w:pStyle w:val="Normal"/>
        <w:framePr w:w="13662" w:hAnchor="page" w:vAnchor="page" w:x="419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Along with the Notice of Annual General Meeting of Shareholders, we are providing this Proxy Statement, the U.K. Annual Report and Accounts, and</w:t>
      </w:r>
    </w:p>
    <w:p>
      <w:pPr>
        <w:pStyle w:val="Normal"/>
        <w:framePr w:w="7969" w:hAnchor="page" w:vAnchor="page" w:x="419" w:y="691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2023 Proxy Summary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7pt;margin-top:1pt;z-index:-167765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13.4pt;margin-top:20.2pt;z-index:-16776496;width:588.05pt;height:647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19.8pt;margin-top:192.3pt;z-index:-16776492;width:59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9.8pt;margin-top:203pt;z-index:-16776488;width:59.6pt;height:5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19.8pt;margin-top:254.2pt;z-index:-16776484;width:59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19.8pt;margin-top:264.15pt;z-index:-16776480;width:59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9.8pt;margin-top:274.8pt;z-index:-16776476;width:59.6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19.8pt;margin-top:327.45pt;z-index:-16776472;width:59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19.8pt;margin-top:337.4pt;z-index:-16776468;width:59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9.8pt;margin-top:348.05pt;z-index:-16776464;width:59.6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9.8pt;margin-top:401.4pt;z-index:-16776460;width:59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19.8pt;margin-top:411.35pt;z-index:-16776456;width:59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9.8pt;margin-top:422.05pt;z-index:-16776452;width:59.6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9.8pt;margin-top:471.1pt;z-index:-16776448;width:59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9.8pt;margin-top:481.05pt;z-index:-16776444;width:59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9.8pt;margin-top:491.75pt;z-index:-16776440;width:59.6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9.8pt;margin-top:544.35pt;z-index:-16776436;width:59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9.8pt;margin-top:554.35pt;z-index:-16776432;width:59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9.8pt;margin-top:565pt;z-index:-16776428;width:59.6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19.8pt;margin-top:615.5pt;z-index:-16776424;width:59.6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9.8pt;margin-top:625.45pt;z-index:-16776420;width:5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9.8pt;margin-top:654.6pt;z-index:-16776416;width:5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9.8pt;margin-top:625.45pt;z-index:-16776412;width:2.7pt;height:3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91.6pt;margin-top:625.45pt;z-index:-16776408;width:2.7pt;height:3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77.4pt;margin-top:625.45pt;z-index:-16776404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91.6pt;margin-top:615.5pt;z-index:-1677640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9.8pt;margin-top:625.45pt;z-index:-1677639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19.8pt;margin-top:615.5pt;z-index:-1677639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77.4pt;margin-top:615.5pt;z-index:-167763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91.6pt;margin-top:565pt;z-index:-16776384;width:2.7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9.8pt;margin-top:565pt;z-index:-16776380;width:2.7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77.4pt;margin-top:565pt;z-index:-16776376;width:2.7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91.6pt;margin-top:554.35pt;z-index:-167763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19.8pt;margin-top:554.35pt;z-index:-167763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77.4pt;margin-top:554.35pt;z-index:-1677636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77.4pt;margin-top:554.35pt;z-index:-16776360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91.6pt;margin-top:544.35pt;z-index:-1677635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19.8pt;margin-top:554.35pt;z-index:-1677635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19.8pt;margin-top:544.35pt;z-index:-1677634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77.4pt;margin-top:544.35pt;z-index:-1677634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91.6pt;margin-top:491.75pt;z-index:-16776340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19.8pt;margin-top:491.75pt;z-index:-16776336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77.4pt;margin-top:491.75pt;z-index:-16776332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91.6pt;margin-top:481.05pt;z-index:-167763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9.8pt;margin-top:481.05pt;z-index:-167763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77.4pt;margin-top:481.05pt;z-index:-167763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77.4pt;margin-top:481.05pt;z-index:-16776316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91.6pt;margin-top:471.1pt;z-index:-167763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9.8pt;margin-top:481.05pt;z-index:-1677630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19.8pt;margin-top:471.1pt;z-index:-1677630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77.4pt;margin-top:471.1pt;z-index:-1677630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91.6pt;margin-top:422.05pt;z-index:-16776296;width:2.7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9.8pt;margin-top:422.05pt;z-index:-16776292;width:2.7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77.4pt;margin-top:422.05pt;z-index:-16776288;width:2.7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91.6pt;margin-top:411.35pt;z-index:-1677628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9.8pt;margin-top:411.35pt;z-index:-167762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77.4pt;margin-top:411.35pt;z-index:-167762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77.4pt;margin-top:411.35pt;z-index:-16776272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91.6pt;margin-top:401.4pt;z-index:-167762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19.8pt;margin-top:411.35pt;z-index:-167762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9.8pt;margin-top:401.4pt;z-index:-1677626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77.4pt;margin-top:401.4pt;z-index:-1677625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91.6pt;margin-top:348.05pt;z-index:-16776252;width:2.7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9.8pt;margin-top:348.05pt;z-index:-16776248;width:2.7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77.4pt;margin-top:348.05pt;z-index:-16776244;width:2.7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91.6pt;margin-top:337.4pt;z-index:-1677624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9.8pt;margin-top:337.4pt;z-index:-167762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77.4pt;margin-top:337.4pt;z-index:-167762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77.4pt;margin-top:337.4pt;z-index:-16776228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91.6pt;margin-top:327.45pt;z-index:-167762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9.8pt;margin-top:337.4pt;z-index:-167762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19.8pt;margin-top:327.45pt;z-index:-1677621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77.4pt;margin-top:327.45pt;z-index:-167762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91.6pt;margin-top:274.8pt;z-index:-16776208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9.8pt;margin-top:274.8pt;z-index:-16776204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77.4pt;margin-top:274.8pt;z-index:-16776200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91.6pt;margin-top:264.15pt;z-index:-1677619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19.8pt;margin-top:264.15pt;z-index:-1677619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77.4pt;margin-top:264.15pt;z-index:-167761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77.4pt;margin-top:264.15pt;z-index:-16776184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91.6pt;margin-top:254.2pt;z-index:-167761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9.8pt;margin-top:264.15pt;z-index:-1677617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19.8pt;margin-top:254.2pt;z-index:-167761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77.4pt;margin-top:254.2pt;z-index:-167761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91.6pt;margin-top:203pt;z-index:-16776164;width:2.7pt;height:5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19.8pt;margin-top:203pt;z-index:-16776160;width:2.7pt;height:5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77.4pt;margin-top:203pt;z-index:-16776156;width:2.7pt;height:5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77.4pt;margin-top:192.3pt;z-index:-16776152;width:51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91.6pt;margin-top:192.3pt;z-index:-1677614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9.8pt;margin-top:192.3pt;z-index:-167761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9.8pt;margin-top:192.3pt;z-index:-1677614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77.4pt;margin-top:192.3pt;z-index:-167761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2.7pt;margin-top:704.4pt;z-index:-167761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23.65pt;margin-top:204pt;z-index:-16776128;width:51.2pt;height:4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25.8pt;margin-top:275.8pt;z-index:-16776124;width:51.2pt;height:5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23.65pt;margin-top:349.05pt;z-index:-16776120;width:50.5pt;height:5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25.05pt;margin-top:423.05pt;z-index:-16776116;width:47.65pt;height:4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22.95pt;margin-top:492.75pt;z-index:-16776112;width:52.65pt;height:5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22.95pt;margin-top:566pt;z-index:-16776108;width:51.9pt;height:4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</w:p>
    <w:p>
      <w:pPr>
        <w:pStyle w:val="Normal"/>
        <w:framePr w:w="1631" w:hAnchor="page" w:vAnchor="page" w:x="274" w:y="85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    TechnipFMC</w:t>
      </w:r>
    </w:p>
    <w:p>
      <w:pPr>
        <w:pStyle w:val="Normal"/>
        <w:framePr w:w="6543" w:hAnchor="page" w:vAnchor="page" w:x="521" w:y="76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9: Authority to Allot Equity Securities without Pre-emptive Rights</w:t>
      </w:r>
    </w:p>
    <w:p>
      <w:pPr>
        <w:pStyle w:val="Normal"/>
        <w:framePr w:w="636" w:hAnchor="page" w:vAnchor="page" w:x="8034" w:y="76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1081" w:hAnchor="page" w:vAnchor="page" w:x="10310" w:y="76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107</w:t>
      </w:r>
    </w:p>
    <w:p>
      <w:pPr>
        <w:pStyle w:val="Normal"/>
        <w:framePr w:w="2037" w:hAnchor="page" w:vAnchor="page" w:x="521" w:y="71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Special Resolution</w:t>
      </w:r>
    </w:p>
    <w:p>
      <w:pPr>
        <w:pStyle w:val="Normal"/>
        <w:framePr w:w="3835" w:hAnchor="page" w:vAnchor="page" w:x="521" w:y="66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8: Authority to Allot Equity Securities</w:t>
      </w:r>
    </w:p>
    <w:p>
      <w:pPr>
        <w:pStyle w:val="Normal"/>
        <w:framePr w:w="636" w:hAnchor="page" w:vAnchor="page" w:x="8027" w:y="66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1081" w:hAnchor="page" w:vAnchor="page" w:x="10302" w:y="66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105</w:t>
      </w:r>
    </w:p>
    <w:p>
      <w:pPr>
        <w:pStyle w:val="Normal"/>
        <w:framePr w:w="4312" w:hAnchor="page" w:vAnchor="page" w:x="521" w:y="61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7: Approval of U.K. Statutory Auditor Fees</w:t>
      </w:r>
    </w:p>
    <w:p>
      <w:pPr>
        <w:pStyle w:val="Normal"/>
        <w:framePr w:w="636" w:hAnchor="page" w:vAnchor="page" w:x="8034" w:y="61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1081" w:hAnchor="page" w:vAnchor="page" w:x="10310" w:y="61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104</w:t>
      </w:r>
    </w:p>
    <w:p>
      <w:pPr>
        <w:pStyle w:val="Normal"/>
        <w:framePr w:w="4392" w:hAnchor="page" w:vAnchor="page" w:x="521" w:y="56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6: Reappointment of U.K. Statutory Auditor</w:t>
      </w:r>
    </w:p>
    <w:p>
      <w:pPr>
        <w:pStyle w:val="Normal"/>
        <w:framePr w:w="636" w:hAnchor="page" w:vAnchor="page" w:x="8027" w:y="56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1081" w:hAnchor="page" w:vAnchor="page" w:x="10302" w:y="56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103</w:t>
      </w:r>
    </w:p>
    <w:p>
      <w:pPr>
        <w:pStyle w:val="Normal"/>
        <w:framePr w:w="3049" w:hAnchor="page" w:vAnchor="page" w:x="521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5: Ratification of U.S. Auditor</w:t>
      </w:r>
    </w:p>
    <w:p>
      <w:pPr>
        <w:pStyle w:val="Normal"/>
        <w:framePr w:w="636" w:hAnchor="page" w:vAnchor="page" w:x="8034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1081" w:hAnchor="page" w:vAnchor="page" w:x="10310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101</w:t>
      </w:r>
    </w:p>
    <w:p>
      <w:pPr>
        <w:pStyle w:val="Normal"/>
        <w:framePr w:w="4779" w:hAnchor="page" w:vAnchor="page" w:x="521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4: Receipt of U.K. Annual Report and Accounts</w:t>
      </w:r>
    </w:p>
    <w:p>
      <w:pPr>
        <w:pStyle w:val="Normal"/>
        <w:framePr w:w="636" w:hAnchor="page" w:vAnchor="page" w:x="8027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1081" w:hAnchor="page" w:vAnchor="page" w:x="10302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100</w:t>
      </w:r>
    </w:p>
    <w:p>
      <w:pPr>
        <w:pStyle w:val="Normal"/>
        <w:framePr w:w="4063" w:hAnchor="page" w:vAnchor="page" w:x="521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3: 2022 Directors’ Remuneration Report</w:t>
      </w:r>
    </w:p>
    <w:p>
      <w:pPr>
        <w:pStyle w:val="Normal"/>
        <w:framePr w:w="636" w:hAnchor="page" w:vAnchor="page" w:x="8034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967" w:hAnchor="page" w:vAnchor="page" w:x="10357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47</w:t>
      </w:r>
    </w:p>
    <w:p>
      <w:pPr>
        <w:pStyle w:val="Normal"/>
        <w:framePr w:w="3016" w:hAnchor="page" w:vAnchor="page" w:x="521" w:y="37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2: 2022 Say-on-Pay for NEOs</w:t>
      </w:r>
    </w:p>
    <w:p>
      <w:pPr>
        <w:pStyle w:val="Normal"/>
        <w:framePr w:w="636" w:hAnchor="page" w:vAnchor="page" w:x="8027" w:y="37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967" w:hAnchor="page" w:vAnchor="page" w:x="10350" w:y="37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46</w:t>
      </w:r>
    </w:p>
    <w:p>
      <w:pPr>
        <w:pStyle w:val="Normal"/>
        <w:framePr w:w="2458" w:hAnchor="page" w:vAnchor="page" w:x="7299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Each Director Nominee</w:t>
      </w:r>
    </w:p>
    <w:p>
      <w:pPr>
        <w:pStyle w:val="Normal"/>
        <w:framePr w:w="3118" w:hAnchor="page" w:vAnchor="page" w:x="521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1(a) – (i): Election of Directors</w:t>
      </w:r>
    </w:p>
    <w:p>
      <w:pPr>
        <w:pStyle w:val="Normal"/>
        <w:framePr w:w="967" w:hAnchor="page" w:vAnchor="page" w:x="10357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Page 15</w:t>
      </w:r>
    </w:p>
    <w:p>
      <w:pPr>
        <w:pStyle w:val="Normal"/>
        <w:framePr w:w="636" w:hAnchor="page" w:vAnchor="page" w:x="8034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FOR</w:t>
      </w:r>
    </w:p>
    <w:p>
      <w:pPr>
        <w:pStyle w:val="Normal"/>
        <w:framePr w:w="2287" w:hAnchor="page" w:vAnchor="page" w:x="521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Ordinary Resolutions</w:t>
      </w:r>
    </w:p>
    <w:p>
      <w:pPr>
        <w:pStyle w:val="Normal"/>
        <w:framePr w:w="2833" w:hAnchor="page" w:vAnchor="page" w:x="521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Proposal to be Voted Upon</w:t>
      </w:r>
    </w:p>
    <w:p>
      <w:pPr>
        <w:pStyle w:val="Normal"/>
        <w:framePr w:w="1923" w:hAnchor="page" w:vAnchor="page" w:x="7065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Recommendation</w:t>
      </w:r>
    </w:p>
    <w:p>
      <w:pPr>
        <w:pStyle w:val="Normal"/>
        <w:framePr w:w="1877" w:hAnchor="page" w:vAnchor="page" w:x="9582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More Information</w:t>
      </w:r>
    </w:p>
    <w:p>
      <w:pPr>
        <w:pStyle w:val="Normal"/>
        <w:framePr w:w="853" w:hAnchor="page" w:vAnchor="page" w:x="7065" w:y="18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Board </w:t>
      </w:r>
    </w:p>
    <w:p>
      <w:pPr>
        <w:pStyle w:val="Normal"/>
        <w:framePr w:w="2264" w:hAnchor="page" w:vAnchor="page" w:x="9582" w:y="18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Where You Can Find </w:t>
      </w:r>
    </w:p>
    <w:p>
      <w:pPr>
        <w:pStyle w:val="Normal"/>
        <w:framePr w:w="12467" w:hAnchor="page" w:vAnchor="page" w:x="419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The full text of each resolution to be voted on at the Annual Meeting is set out in the Notice of Annual General Meeting of Shareholders.</w:t>
      </w:r>
    </w:p>
    <w:p>
      <w:pPr>
        <w:pStyle w:val="Normal"/>
        <w:framePr w:w="9183" w:hAnchor="page" w:vAnchor="page" w:x="419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Voting Matters and Board Recommendations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7pt;margin-top:1pt;z-index:-167761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3.4pt;margin-top:31.6pt;z-index:-16776100;width:588.05pt;height:37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9.8pt;margin-top:84.9pt;z-index:-16776096;width:328.45pt;height:3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46.25pt;margin-top:84.9pt;z-index:-16776092;width:127.9pt;height:3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72.15pt;margin-top:84.9pt;z-index:-16776088;width:122.2pt;height:3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9.8pt;margin-top:119.05pt;z-index:-16776084;width:328.45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346.25pt;margin-top:119.05pt;z-index:-16776080;width:127.9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472.15pt;margin-top:119.05pt;z-index:-16776076;width:122.2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9.8pt;margin-top:143.25pt;z-index:-16776072;width:328.45pt;height:36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46.25pt;margin-top:143.25pt;z-index:-16776068;width:127.9pt;height:36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72.15pt;margin-top:143.25pt;z-index:-16776064;width:122.2pt;height:36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9.8pt;margin-top:202.25pt;z-index:-16776060;width:328.45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46.25pt;margin-top:202.25pt;z-index:-16776056;width:127.9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72.15pt;margin-top:202.25pt;z-index:-16776052;width:122.2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19.8pt;margin-top:250.65pt;z-index:-16776048;width:328.45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46.25pt;margin-top:250.65pt;z-index:-16776044;width:127.9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72.15pt;margin-top:250.65pt;z-index:-16776040;width:122.2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9.8pt;margin-top:299pt;z-index:-16776036;width:328.45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46.25pt;margin-top:299pt;z-index:-16776032;width:127.9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72.15pt;margin-top:299pt;z-index:-16776028;width:122.2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19.8pt;margin-top:347.35pt;z-index:-16776024;width:328.45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46.25pt;margin-top:347.35pt;z-index:-16776020;width:127.9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72.15pt;margin-top:347.35pt;z-index:-16776016;width:122.2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9.8pt;margin-top:371.55pt;z-index:-16776012;width:328.4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46.25pt;margin-top:371.55pt;z-index:-16776008;width:127.9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472.15pt;margin-top:371.55pt;z-index:-16776004;width:122.2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72.15pt;margin-top:371.55pt;z-index:-16776000;width:2.7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46.25pt;margin-top:371.55pt;z-index:-16775996;width:2.7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72.15pt;margin-top:371.55pt;z-index:-16775992;width:122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46.25pt;margin-top:371.55pt;z-index:-16775988;width:12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19.8pt;margin-top:371.55pt;z-index:-16775984;width:32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472.15pt;margin-top:299pt;z-index:-16775980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46.25pt;margin-top:299pt;z-index:-16775976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72.15pt;margin-top:250.65pt;z-index:-16775972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346.25pt;margin-top:250.65pt;z-index:-16775968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72.15pt;margin-top:202.25pt;z-index:-16775964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346.25pt;margin-top:202.25pt;z-index:-16775960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72.15pt;margin-top:143.25pt;z-index:-16775956;width:2.7pt;height:36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46.25pt;margin-top:143.25pt;z-index:-16775952;width:2.7pt;height:36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72.15pt;margin-top:143.25pt;z-index:-16775948;width:122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46.25pt;margin-top:143.25pt;z-index:-16775944;width:12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19.8pt;margin-top:143.25pt;z-index:-16775940;width:32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72.15pt;margin-top:84.9pt;z-index:-16775936;width:2.7pt;height:3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346.25pt;margin-top:84.9pt;z-index:-16775932;width:2.7pt;height:3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2.7pt;margin-top:445.5pt;z-index:-1677592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</w:p>
    <w:p>
      <w:pPr>
        <w:pStyle w:val="Normal"/>
        <w:framePr w:w="1631" w:hAnchor="page" w:vAnchor="page" w:x="274" w:y="122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    TechnipFMC</w:t>
      </w:r>
    </w:p>
    <w:p>
      <w:pPr>
        <w:pStyle w:val="Normal"/>
        <w:framePr w:w="3540" w:hAnchor="page" w:vAnchor="page" w:x="419" w:y="113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(as adopted by the United Kingdom).</w:t>
      </w:r>
    </w:p>
    <w:p>
      <w:pPr>
        <w:pStyle w:val="Normal"/>
        <w:framePr w:w="13660" w:hAnchor="page" w:vAnchor="page" w:x="419" w:y="111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accounting principles (“</w:t>
      </w: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GAAP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”), and our U.K. Annual Report and Accounts, which reports our results using international financial reporting standards</w:t>
      </w:r>
    </w:p>
    <w:p>
      <w:pPr>
        <w:pStyle w:val="Normal"/>
        <w:framePr w:w="13799" w:hAnchor="page" w:vAnchor="page" w:x="419" w:y="109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For additional details regarding our 2022 results, please see our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Annual Report on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 Form 10-K, which reports our results using U.S. generally accepted</w:t>
      </w:r>
    </w:p>
    <w:p>
      <w:pPr>
        <w:pStyle w:val="Normal"/>
        <w:framePr w:w="1090" w:hAnchor="page" w:vAnchor="page" w:x="761" w:y="106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33740"/>
          <w:w w:val="100"/>
          <w:sz w:val="15"/>
          <w:szCs w:val="15"/>
        </w:rPr>
        <w:t>Form 10-K.</w:t>
      </w:r>
    </w:p>
    <w:p>
      <w:pPr>
        <w:pStyle w:val="Normal"/>
        <w:framePr w:w="13505" w:hAnchor="page" w:vAnchor="page" w:x="419" w:y="104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33740"/>
          <w:w w:val="100"/>
          <w:sz w:val="15"/>
          <w:szCs w:val="15"/>
        </w:rPr>
        <w:t>(1)  Reported financial results for the 12 months ended December 31, 2022 and inbound and backlog as of December 31, 2022 are included in our Annual Report on</w:t>
      </w:r>
    </w:p>
    <w:p>
      <w:pPr>
        <w:pStyle w:val="Normal"/>
        <w:framePr w:w="1526" w:hAnchor="page" w:vAnchor="page" w:x="521" w:y="969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  <w:t>Initiatives</w:t>
      </w:r>
    </w:p>
    <w:p>
      <w:pPr>
        <w:pStyle w:val="Normal"/>
        <w:framePr w:w="7570" w:hAnchor="page" w:vAnchor="page" w:x="3395" w:y="95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based pilot which will prepare the system for large-scale commercial use offshore</w:t>
      </w:r>
    </w:p>
    <w:p>
      <w:pPr>
        <w:pStyle w:val="Normal"/>
        <w:framePr w:w="1827" w:hAnchor="page" w:vAnchor="page" w:x="521" w:y="939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  <w:t>New Energy</w:t>
      </w:r>
    </w:p>
    <w:p>
      <w:pPr>
        <w:pStyle w:val="Normal"/>
        <w:framePr w:w="8208" w:hAnchor="page" w:vAnchor="page" w:x="3395" w:y="93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form a complete, zero-emission offshore energy system, with the development of a land-</w:t>
      </w:r>
    </w:p>
    <w:p>
      <w:pPr>
        <w:pStyle w:val="Normal"/>
        <w:framePr w:w="8639" w:hAnchor="page" w:vAnchor="page" w:x="3167" w:y="91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Progressed Deep Purple™, our solution for integrating renewable energy with hydrogen to</w:t>
      </w:r>
    </w:p>
    <w:p>
      <w:pPr>
        <w:pStyle w:val="Normal"/>
        <w:framePr w:w="1513" w:hAnchor="page" w:vAnchor="page" w:x="3395" w:y="87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Offshore Wind</w:t>
      </w:r>
    </w:p>
    <w:p>
      <w:pPr>
        <w:pStyle w:val="Normal"/>
        <w:framePr w:w="8174" w:hAnchor="page" w:vAnchor="page" w:x="3395" w:y="85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Option to Lease Agreement for the ScotWind N3 area through our partnership, Magnora</w:t>
      </w:r>
    </w:p>
    <w:p>
      <w:pPr>
        <w:pStyle w:val="Normal"/>
        <w:framePr w:w="8253" w:hAnchor="page" w:vAnchor="page" w:x="3395" w:y="83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including two tidal energy contracts with partner Orbital Marine Power in the U.K. and the</w:t>
      </w:r>
    </w:p>
    <w:p>
      <w:pPr>
        <w:pStyle w:val="Normal"/>
        <w:framePr w:w="8024" w:hAnchor="page" w:vAnchor="page" w:x="3167" w:y="81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Announced strategic agreements and partnerships for floating offshore renewables,</w:t>
      </w:r>
    </w:p>
    <w:p>
      <w:pPr>
        <w:pStyle w:val="Normal"/>
        <w:framePr w:w="2810" w:hAnchor="page" w:vAnchor="page" w:x="3395" w:y="75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WellFlex</w:t>
      </w:r>
      <w:r>
        <w:rPr>
          <w:rFonts w:ascii="TYIFDT+ArialMT" w:hAnsi="TYIFDT+ArialMT" w:fareast="TYIFDT+ArialMT" w:cs="TYIFDT+ArialMT"/>
          <w:color w:val="333740"/>
          <w:w w:val="100"/>
          <w:sz w:val="14"/>
          <w:szCs w:val="14"/>
        </w:rPr>
        <w:t>™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 flexibles solutions</w:t>
      </w:r>
    </w:p>
    <w:p>
      <w:pPr>
        <w:pStyle w:val="Normal"/>
        <w:framePr w:w="8368" w:hAnchor="page" w:vAnchor="page" w:x="3395" w:y="73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complexity and eliminates intervention in the red zone, driven in part by further adoption of</w:t>
      </w:r>
    </w:p>
    <w:p>
      <w:pPr>
        <w:pStyle w:val="Normal"/>
        <w:framePr w:w="2023" w:hAnchor="page" w:vAnchor="page" w:x="521" w:y="7116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  <w:t>Technologies</w:t>
      </w:r>
    </w:p>
    <w:p>
      <w:pPr>
        <w:pStyle w:val="Normal"/>
        <w:framePr w:w="8731" w:hAnchor="page" w:vAnchor="page" w:x="3167" w:y="71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Extended market reach of iComplete</w:t>
      </w:r>
      <w:r>
        <w:rPr>
          <w:rFonts w:ascii="TYIFDT+ArialMT" w:hAnsi="TYIFDT+ArialMT" w:fareast="TYIFDT+ArialMT" w:cs="TYIFDT+ArialMT"/>
          <w:color w:val="333740"/>
          <w:w w:val="100"/>
          <w:sz w:val="14"/>
          <w:szCs w:val="14"/>
        </w:rPr>
        <w:t>™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, our integrated completions system which minimizes</w:t>
      </w:r>
    </w:p>
    <w:p>
      <w:pPr>
        <w:pStyle w:val="Normal"/>
        <w:framePr w:w="1345" w:hAnchor="page" w:vAnchor="page" w:x="521" w:y="681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  <w:t xml:space="preserve">Surface </w:t>
      </w:r>
    </w:p>
    <w:p>
      <w:pPr>
        <w:pStyle w:val="Normal"/>
        <w:framePr w:w="2117" w:hAnchor="page" w:vAnchor="page" w:x="3395" w:y="67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international revenue</w:t>
      </w:r>
    </w:p>
    <w:p>
      <w:pPr>
        <w:pStyle w:val="Normal"/>
        <w:framePr w:w="8276" w:hAnchor="page" w:vAnchor="page" w:x="3395" w:y="65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acceleration of orders from our Aramco backlog providing support for continued growth in</w:t>
      </w:r>
    </w:p>
    <w:p>
      <w:pPr>
        <w:pStyle w:val="Normal"/>
        <w:framePr w:w="8059" w:hAnchor="page" w:vAnchor="page" w:x="3167" w:y="63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Expanded our manufacturing capabilities in Saudi Arabia, where we experienced an</w:t>
      </w:r>
    </w:p>
    <w:p>
      <w:pPr>
        <w:pStyle w:val="Normal"/>
        <w:framePr w:w="2276" w:hAnchor="page" w:vAnchor="page" w:x="3395" w:y="59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second half of the year</w:t>
      </w:r>
    </w:p>
    <w:p>
      <w:pPr>
        <w:pStyle w:val="Normal"/>
        <w:framePr w:w="8480" w:hAnchor="page" w:vAnchor="page" w:x="3167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Inbound orders of $1.3 billion included an acceleration of orders in the Middle East in the</w:t>
      </w:r>
    </w:p>
    <w:p>
      <w:pPr>
        <w:pStyle w:val="Normal"/>
        <w:framePr w:w="1980" w:hAnchor="page" w:vAnchor="page" w:x="3395" w:y="53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total Subsea orders</w:t>
      </w:r>
    </w:p>
    <w:p>
      <w:pPr>
        <w:pStyle w:val="Normal"/>
        <w:framePr w:w="8458" w:hAnchor="page" w:vAnchor="page" w:x="3167" w:y="50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Direct awards, iEPCI</w:t>
      </w:r>
      <w:r>
        <w:rPr>
          <w:rFonts w:ascii="TYIFDT+ArialMT" w:hAnsi="TYIFDT+ArialMT" w:fareast="TYIFDT+ArialMT" w:cs="TYIFDT+ArialMT"/>
          <w:color w:val="333740"/>
          <w:w w:val="100"/>
          <w:sz w:val="14"/>
          <w:szCs w:val="14"/>
        </w:rPr>
        <w:t>™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 projects and Subsea Services represented approximately 70% of</w:t>
      </w:r>
    </w:p>
    <w:p>
      <w:pPr>
        <w:pStyle w:val="Normal"/>
        <w:framePr w:w="6500" w:hAnchor="page" w:vAnchor="page" w:x="3395" w:y="47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Procurement, Construction, and Installation (“</w:t>
      </w: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iEPCI™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”) award to date</w:t>
      </w:r>
    </w:p>
    <w:p>
      <w:pPr>
        <w:pStyle w:val="Normal"/>
        <w:framePr w:w="1240" w:hAnchor="page" w:vAnchor="page" w:x="521" w:y="4584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  <w:t>Subsea</w:t>
      </w:r>
    </w:p>
    <w:p>
      <w:pPr>
        <w:pStyle w:val="Normal"/>
        <w:framePr w:w="7935" w:hAnchor="page" w:vAnchor="page" w:x="3395" w:y="45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upon final investment decision would be the industry’s largest integrated Engineering,</w:t>
      </w:r>
    </w:p>
    <w:p>
      <w:pPr>
        <w:pStyle w:val="Normal"/>
        <w:framePr w:w="8547" w:hAnchor="page" w:vAnchor="page" w:x="3167" w:y="43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Received integrated FEED award by Equinor for the BM-C-33 project offshore Brazil, and</w:t>
      </w:r>
    </w:p>
    <w:p>
      <w:pPr>
        <w:pStyle w:val="Normal"/>
        <w:framePr w:w="4689" w:hAnchor="page" w:vAnchor="page" w:x="3395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illustrating growing diversity of our customer base</w:t>
      </w:r>
    </w:p>
    <w:p>
      <w:pPr>
        <w:pStyle w:val="Normal"/>
        <w:framePr w:w="8173" w:hAnchor="page" w:vAnchor="page" w:x="3395" w:y="37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composed of project and services orders from more than 40 operators across all basins,</w:t>
      </w:r>
    </w:p>
    <w:p>
      <w:pPr>
        <w:pStyle w:val="Normal"/>
        <w:framePr w:w="8331" w:hAnchor="page" w:vAnchor="page" w:x="3167" w:y="35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Inbound orders increased 36% year-over-year to $6.7 billion, including contract awards</w:t>
      </w:r>
    </w:p>
    <w:p>
      <w:pPr>
        <w:pStyle w:val="Normal"/>
        <w:framePr w:w="3619" w:hAnchor="page" w:vAnchor="page" w:x="3395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million of ordinary shares by year-end</w:t>
      </w:r>
    </w:p>
    <w:p>
      <w:pPr>
        <w:pStyle w:val="Normal"/>
        <w:framePr w:w="8207" w:hAnchor="page" w:vAnchor="page" w:x="3167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Announced a new $400 million share buyback program in July and repurchased $100</w:t>
      </w:r>
    </w:p>
    <w:p>
      <w:pPr>
        <w:pStyle w:val="Normal"/>
        <w:framePr w:w="7809" w:hAnchor="page" w:vAnchor="page" w:x="3395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activities and proceeds from the divestiture of remaining shares in Technip Energies</w:t>
      </w:r>
    </w:p>
    <w:p>
      <w:pPr>
        <w:pStyle w:val="Normal"/>
        <w:framePr w:w="7911" w:hAnchor="page" w:vAnchor="page" w:x="3167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Reduced debt outstanding by $638 million, enabled by cash provided by operating</w:t>
      </w:r>
    </w:p>
    <w:p>
      <w:pPr>
        <w:pStyle w:val="Normal"/>
        <w:framePr w:w="4576" w:hAnchor="page" w:vAnchor="page" w:x="3395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shift in spending to offshore and the Middle East</w:t>
      </w:r>
    </w:p>
    <w:p>
      <w:pPr>
        <w:pStyle w:val="Normal"/>
        <w:framePr w:w="2233" w:hAnchor="page" w:vAnchor="page" w:x="521" w:y="166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25"/>
          <w:szCs w:val="25"/>
        </w:rPr>
        <w:t>Total Company</w:t>
      </w:r>
    </w:p>
    <w:p>
      <w:pPr>
        <w:pStyle w:val="Normal"/>
        <w:framePr w:w="8509" w:hAnchor="page" w:vAnchor="page" w:x="3167" w:y="1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Inbound orders</w:t>
      </w:r>
      <w:r>
        <w:rPr>
          <w:rFonts w:ascii="TYIFDT+ArialMT" w:hAnsi="TYIFDT+ArialMT" w:fareast="TYIFDT+ArialMT" w:cs="TYIFDT+ArialMT"/>
          <w:color w:val="33374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 improved to $8.1 billion, driven by increased customer expenditures and</w:t>
      </w:r>
    </w:p>
    <w:p>
      <w:pPr>
        <w:pStyle w:val="Normal"/>
        <w:framePr w:w="5919" w:hAnchor="page" w:vAnchor="page" w:x="419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2022 Financial Performance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7pt;margin-top:1pt;z-index:-167759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13.4pt;margin-top:31.6pt;z-index:-16775920;width:588.05pt;height:558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19.8pt;margin-top:74.95pt;z-index:-16775916;width:134.3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152.1pt;margin-top:74.95pt;z-index:-16775912;width:368.3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18.35pt;margin-top:74.95pt;z-index:-16775908;width:75.95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19.8pt;margin-top:168.15pt;z-index:-16775904;width:134.3pt;height:11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52.1pt;margin-top:168.15pt;z-index:-16775900;width:368.3pt;height:11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8.35pt;margin-top:168.15pt;z-index:-16775896;width:75.95pt;height:11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19.8pt;margin-top:279.8pt;z-index:-16775892;width:134.3pt;height:12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52.1pt;margin-top:279.8pt;z-index:-16775888;width:368.3pt;height:12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18.35pt;margin-top:279.8pt;z-index:-16775884;width:75.95pt;height:12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9.8pt;margin-top:401.4pt;z-index:-16775880;width:134.3pt;height:10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52.1pt;margin-top:401.4pt;z-index:-16775876;width:368.3pt;height:10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18.35pt;margin-top:401.4pt;z-index:-16775872;width:75.95pt;height:10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18.35pt;margin-top:401.4pt;z-index:-16775868;width:2.7pt;height:10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18.35pt;margin-top:401.4pt;z-index:-16775864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152.1pt;margin-top:401.4pt;z-index:-16775860;width:36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18.35pt;margin-top:279.8pt;z-index:-16775856;width:2.7pt;height:124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9.8pt;margin-top:401.4pt;z-index:-16775852;width:13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18.35pt;margin-top:279.8pt;z-index:-16775848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152.1pt;margin-top:279.8pt;z-index:-16775844;width:36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18.35pt;margin-top:168.15pt;z-index:-16775840;width:2.7pt;height:114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19.8pt;margin-top:279.8pt;z-index:-16775836;width:13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18.35pt;margin-top:74.95pt;z-index:-16775832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18.35pt;margin-top:168.15pt;z-index:-16775828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52.1pt;margin-top:74.95pt;z-index:-16775824;width:36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52.1pt;margin-top:168.15pt;z-index:-16775820;width:36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18.35pt;margin-top:74.95pt;z-index:-16775816;width:2.7pt;height:9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19.8pt;margin-top:74.95pt;z-index:-16775812;width:13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19.8pt;margin-top:168.15pt;z-index:-16775808;width:13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12.7pt;margin-top:626.15pt;z-index:-167758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29.3pt;margin-top:82.35pt;z-index:-16775800;width:53.35pt;height:7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29.35pt;margin-top:175.55pt;z-index:-16775796;width:46.25pt;height:3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29.3pt;margin-top:175.55pt;z-index:-16775792;width:53.35pt;height:7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25.8pt;margin-top:287.2pt;z-index:-16775788;width:27.05pt;height:37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29.3pt;margin-top:287.2pt;z-index:-16775784;width:53.35pt;height:7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29.35pt;margin-top:408.8pt;z-index:-16775780;width:35.55pt;height:4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29.3pt;margin-top:408.8pt;z-index:-16775776;width:53.35pt;height:93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</w:p>
    <w:p>
      <w:pPr>
        <w:pStyle w:val="Normal"/>
        <w:framePr w:w="1631" w:hAnchor="page" w:vAnchor="page" w:x="274" w:y="97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    TechnipFMC</w:t>
      </w:r>
    </w:p>
    <w:p>
      <w:pPr>
        <w:pStyle w:val="Normal"/>
        <w:framePr w:w="11927" w:hAnchor="page" w:vAnchor="page" w:x="419" w:y="89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For additional details on the Company’s corporate governance practices, please see the section entitled “</w:t>
      </w: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Corporate Governance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</w:t>
      </w:r>
    </w:p>
    <w:p>
      <w:pPr>
        <w:pStyle w:val="Normal"/>
        <w:framePr w:w="7410" w:hAnchor="page" w:vAnchor="page" w:x="521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ESG Performance as a performance measure in our Annual Incentive Plan</w:t>
      </w:r>
    </w:p>
    <w:p>
      <w:pPr>
        <w:pStyle w:val="Normal"/>
        <w:framePr w:w="4029" w:hAnchor="page" w:vAnchor="page" w:x="521" w:y="80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Director share ownership requirements</w:t>
      </w:r>
    </w:p>
    <w:p>
      <w:pPr>
        <w:pStyle w:val="Normal"/>
        <w:framePr w:w="5486" w:hAnchor="page" w:vAnchor="page" w:x="521" w:y="77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Governance Guidelines with director retirement policy</w:t>
      </w:r>
    </w:p>
    <w:p>
      <w:pPr>
        <w:pStyle w:val="Normal"/>
        <w:framePr w:w="5064" w:hAnchor="page" w:vAnchor="page" w:x="521" w:y="73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Code of Business Conduct applicable to directors</w:t>
      </w:r>
    </w:p>
    <w:p>
      <w:pPr>
        <w:pStyle w:val="Normal"/>
        <w:framePr w:w="5553" w:hAnchor="page" w:vAnchor="page" w:x="521" w:y="69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with new director orientation and continuing education</w:t>
      </w:r>
    </w:p>
    <w:p>
      <w:pPr>
        <w:pStyle w:val="Normal"/>
        <w:framePr w:w="12315" w:hAnchor="page" w:vAnchor="page" w:x="521" w:y="67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Review of the mix of experience, qualifications, and skills in the boardroom to meet evolving needs of the business, coupled</w:t>
      </w:r>
    </w:p>
    <w:p>
      <w:pPr>
        <w:pStyle w:val="Normal"/>
        <w:framePr w:w="4825" w:hAnchor="page" w:vAnchor="page" w:x="521" w:y="64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Board oversight of risk management structures</w:t>
      </w:r>
    </w:p>
    <w:p>
      <w:pPr>
        <w:pStyle w:val="Normal"/>
        <w:framePr w:w="7409" w:hAnchor="page" w:vAnchor="page" w:x="521" w:y="60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Consider properly submitted shareholder recommended director nominee</w:t>
      </w:r>
    </w:p>
    <w:p>
      <w:pPr>
        <w:pStyle w:val="Normal"/>
        <w:framePr w:w="6705" w:hAnchor="page" w:vAnchor="page" w:x="521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reflected by one new director in each of 2019, 2020, 2021, and 2023</w:t>
      </w:r>
    </w:p>
    <w:p>
      <w:pPr>
        <w:pStyle w:val="Normal"/>
        <w:framePr w:w="11848" w:hAnchor="page" w:vAnchor="page" w:x="521" w:y="5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Ongoing Board refreshment efforts informed by a comprehensive annual Board and committee self-evaluation process,</w:t>
      </w:r>
    </w:p>
    <w:p>
      <w:pPr>
        <w:pStyle w:val="Normal"/>
        <w:framePr w:w="8377" w:hAnchor="page" w:vAnchor="page" w:x="521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Annual shareholder engagement program to solicit feedback on Company practices</w:t>
      </w:r>
    </w:p>
    <w:p>
      <w:pPr>
        <w:pStyle w:val="Normal"/>
        <w:framePr w:w="9926" w:hAnchor="page" w:vAnchor="page" w:x="521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Engaged Board with deep expertise, skills, and experience that are closely tied to business strategy</w:t>
      </w:r>
    </w:p>
    <w:p>
      <w:pPr>
        <w:pStyle w:val="Normal"/>
        <w:framePr w:w="5793" w:hAnchor="page" w:vAnchor="page" w:x="521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Annual election of directors under majority vote standard</w:t>
      </w:r>
    </w:p>
    <w:p>
      <w:pPr>
        <w:pStyle w:val="Normal"/>
        <w:framePr w:w="10334" w:hAnchor="page" w:vAnchor="page" w:x="521" w:y="41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and environmental matters, and Compensation and Talent Committee on diversity, equity, and inclusion</w:t>
      </w:r>
    </w:p>
    <w:p>
      <w:pPr>
        <w:pStyle w:val="Normal"/>
        <w:framePr w:w="12246" w:hAnchor="page" w:vAnchor="page" w:x="521" w:y="39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Board oversight of ESG matters through ESG Committee on broader ESG affairs, Audit Committee on certain health, safety,</w:t>
      </w:r>
    </w:p>
    <w:p>
      <w:pPr>
        <w:pStyle w:val="Normal"/>
        <w:framePr w:w="2857" w:hAnchor="page" w:vAnchor="page" w:x="521" w:y="36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Governance Best Practices</w:t>
      </w:r>
    </w:p>
    <w:p>
      <w:pPr>
        <w:pStyle w:val="Normal"/>
        <w:framePr w:w="5349" w:hAnchor="page" w:vAnchor="page" w:x="521" w:y="33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Regular executive sessions of independent directors</w:t>
      </w:r>
    </w:p>
    <w:p>
      <w:pPr>
        <w:pStyle w:val="Normal"/>
        <w:framePr w:w="3801" w:hAnchor="page" w:vAnchor="page" w:x="521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Fully independent Board committees</w:t>
      </w:r>
    </w:p>
    <w:p>
      <w:pPr>
        <w:pStyle w:val="Normal"/>
        <w:framePr w:w="5611" w:hAnchor="page" w:vAnchor="page" w:x="521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All directors are independent except the Chair and CEO</w:t>
      </w:r>
    </w:p>
    <w:p>
      <w:pPr>
        <w:pStyle w:val="Normal"/>
        <w:framePr w:w="3994" w:hAnchor="page" w:vAnchor="page" w:x="521" w:y="21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Robust Lead Independent Director role</w:t>
      </w:r>
    </w:p>
    <w:p>
      <w:pPr>
        <w:pStyle w:val="Normal"/>
        <w:framePr w:w="3084" w:hAnchor="page" w:vAnchor="page" w:x="521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Independent Board Oversight</w:t>
      </w:r>
    </w:p>
    <w:p>
      <w:pPr>
        <w:pStyle w:val="Normal"/>
        <w:framePr w:w="5203" w:hAnchor="page" w:vAnchor="page" w:x="419" w:y="154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Board and Governance Best Practices</w:t>
      </w:r>
    </w:p>
    <w:p>
      <w:pPr>
        <w:pStyle w:val="Normal"/>
        <w:framePr w:w="4872" w:hAnchor="page" w:vAnchor="page" w:x="419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Governance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7pt;margin-top:1pt;z-index:-1677577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3.4pt;margin-top:31.6pt;z-index:-16775768;width:588.05pt;height:43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19.8pt;margin-top:89.9pt;z-index:-16775764;width:529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46.8pt;margin-top:89.9pt;z-index:-16775760;width:47.5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9.8pt;margin-top:102.7pt;z-index:-16775756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46.8pt;margin-top:102.7pt;z-index:-16775752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9.8pt;margin-top:121.9pt;z-index:-16775748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46.8pt;margin-top:121.9pt;z-index:-16775744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9.8pt;margin-top:141.1pt;z-index:-16775740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46.8pt;margin-top:141.1pt;z-index:-16775736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19.8pt;margin-top:160.3pt;z-index:-16775732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46.8pt;margin-top:160.3pt;z-index:-16775728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9.8pt;margin-top:179.5pt;z-index:-16775724;width:52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46.8pt;margin-top:179.5pt;z-index:-16775720;width:47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9.8pt;margin-top:193.05pt;z-index:-16775716;width:52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46.8pt;margin-top:193.05pt;z-index:-16775712;width:47.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19.8pt;margin-top:216.5pt;z-index:-16775708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46.8pt;margin-top:216.5pt;z-index:-16775704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19.8pt;margin-top:235.7pt;z-index:-16775700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46.8pt;margin-top:235.7pt;z-index:-16775696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9.8pt;margin-top:254.9pt;z-index:-16775692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46.8pt;margin-top:254.9pt;z-index:-16775688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9.8pt;margin-top:274.1pt;z-index:-16775684;width:52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46.8pt;margin-top:274.1pt;z-index:-16775680;width:47.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19.8pt;margin-top:297.6pt;z-index:-16775676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46.8pt;margin-top:297.6pt;z-index:-16775672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19.8pt;margin-top:316.8pt;z-index:-16775668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46.8pt;margin-top:316.8pt;z-index:-16775664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9.8pt;margin-top:336pt;z-index:-16775660;width:52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46.8pt;margin-top:336pt;z-index:-16775656;width:47.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19.8pt;margin-top:359.45pt;z-index:-16775652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46.8pt;margin-top:359.45pt;z-index:-16775648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9.8pt;margin-top:378.65pt;z-index:-16775644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46.8pt;margin-top:378.65pt;z-index:-16775640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9.8pt;margin-top:397.85pt;z-index:-16775636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46.8pt;margin-top:397.85pt;z-index:-16775632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9.8pt;margin-top:417.05pt;z-index:-16775628;width:52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46.8pt;margin-top:417.05pt;z-index:-16775624;width:4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546.8pt;margin-top:417.05pt;z-index:-16775620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46.8pt;margin-top:417.05pt;z-index:-16775616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9.8pt;margin-top:417.05pt;z-index:-16775612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46.8pt;margin-top:397.85pt;z-index:-16775608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46.8pt;margin-top:397.85pt;z-index:-16775604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19.8pt;margin-top:397.85pt;z-index:-16775600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46.8pt;margin-top:378.65pt;z-index:-16775596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46.8pt;margin-top:378.65pt;z-index:-16775592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19.8pt;margin-top:378.65pt;z-index:-16775588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46.8pt;margin-top:359.45pt;z-index:-16775584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46.8pt;margin-top:359.45pt;z-index:-16775580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9.8pt;margin-top:359.45pt;z-index:-16775576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546.8pt;margin-top:336pt;z-index:-16775572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46.8pt;margin-top:336pt;z-index:-16775568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9.8pt;margin-top:336pt;z-index:-16775564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46.8pt;margin-top:316.8pt;z-index:-16775560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46.8pt;margin-top:316.8pt;z-index:-16775556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9.8pt;margin-top:316.8pt;z-index:-16775552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46.8pt;margin-top:297.6pt;z-index:-16775548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46.8pt;margin-top:297.6pt;z-index:-16775544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9.8pt;margin-top:297.6pt;z-index:-16775540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46.8pt;margin-top:274.1pt;z-index:-16775536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46.8pt;margin-top:274.1pt;z-index:-16775532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19.8pt;margin-top:274.1pt;z-index:-16775528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46.8pt;margin-top:254.9pt;z-index:-16775524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46.8pt;margin-top:254.9pt;z-index:-16775520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9.8pt;margin-top:254.9pt;z-index:-16775516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46.8pt;margin-top:235.7pt;z-index:-16775512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46.8pt;margin-top:235.7pt;z-index:-16775508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9.8pt;margin-top:235.7pt;z-index:-16775504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46.8pt;margin-top:216.5pt;z-index:-16775500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46.8pt;margin-top:216.5pt;z-index:-16775496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9.8pt;margin-top:216.5pt;z-index:-16775492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46.8pt;margin-top:193.05pt;z-index:-16775488;width:2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46.8pt;margin-top:193.05pt;z-index:-16775484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9.8pt;margin-top:193.05pt;z-index:-16775480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46.8pt;margin-top:179.5pt;z-index:-16775476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9.8pt;margin-top:179.5pt;z-index:-16775472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46.8pt;margin-top:160.3pt;z-index:-16775468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46.8pt;margin-top:160.3pt;z-index:-16775464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9.8pt;margin-top:160.3pt;z-index:-16775460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46.8pt;margin-top:141.1pt;z-index:-16775456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46.8pt;margin-top:141.1pt;z-index:-16775452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19.8pt;margin-top:141.1pt;z-index:-16775448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46.8pt;margin-top:121.9pt;z-index:-16775444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46.8pt;margin-top:121.9pt;z-index:-16775440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19.8pt;margin-top:121.9pt;z-index:-16775436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46.8pt;margin-top:102.7pt;z-index:-16775432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46.8pt;margin-top:102.7pt;z-index:-16775428;width:4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9.8pt;margin-top:102.7pt;z-index:-16775424;width:52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2.7pt;margin-top:505.25pt;z-index:-167754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62.05pt;margin-top:105.85pt;z-index:-16775416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62.05pt;margin-top:125.05pt;z-index:-16775412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62.05pt;margin-top:144.25pt;z-index:-16775408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62.05pt;margin-top:163.45pt;z-index:-16775404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62.05pt;margin-top:198.3pt;z-index:-16775400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62.05pt;margin-top:219.65pt;z-index:-16775396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62.05pt;margin-top:238.85pt;z-index:-16775392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62.05pt;margin-top:258.05pt;z-index:-16775388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62.05pt;margin-top:279.35pt;z-index:-16775384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62.05pt;margin-top:300.7pt;z-index:-16775380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62.05pt;margin-top:319.9pt;z-index:-16775376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62.05pt;margin-top:341.25pt;z-index:-16775372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62.05pt;margin-top:362.6pt;z-index:-16775368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62.05pt;margin-top:381.8pt;z-index:-16775364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62.05pt;margin-top:401pt;z-index:-16775360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62.05pt;margin-top:420.2pt;z-index:-16775356;width:17.8pt;height:1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</w:p>
    <w:p>
      <w:pPr>
        <w:pStyle w:val="Normal"/>
        <w:framePr w:w="1631" w:hAnchor="page" w:vAnchor="page" w:x="274" w:y="133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    TechnipFMC</w:t>
      </w:r>
    </w:p>
    <w:p>
      <w:pPr>
        <w:pStyle w:val="Normal"/>
        <w:framePr w:w="1251" w:hAnchor="page" w:vAnchor="page" w:x="419" w:y="125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Nominees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.”</w:t>
      </w:r>
    </w:p>
    <w:p>
      <w:pPr>
        <w:pStyle w:val="Normal"/>
        <w:framePr w:w="13000" w:hAnchor="page" w:vAnchor="page" w:x="419" w:y="123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Detailed biographies for each of our director nominees are disclosed in the section entitled “</w:t>
      </w: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Proposal 1(a)-(i) —Election of Directors—Director</w:t>
      </w:r>
    </w:p>
    <w:p>
      <w:pPr>
        <w:pStyle w:val="Normal"/>
        <w:framePr w:w="2025" w:hAnchor="page" w:vAnchor="page" w:x="521" w:y="1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Audit </w:t>
      </w:r>
    </w:p>
    <w:p>
      <w:pPr>
        <w:pStyle w:val="Normal"/>
        <w:framePr w:w="1001" w:hAnchor="page" w:vAnchor="page" w:x="521" w:y="1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56 </w:t>
      </w:r>
    </w:p>
    <w:p>
      <w:pPr>
        <w:pStyle w:val="Normal"/>
        <w:framePr w:w="1479" w:hAnchor="page" w:vAnchor="page" w:x="521" w:y="10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Independent </w:t>
      </w:r>
    </w:p>
    <w:p>
      <w:pPr>
        <w:pStyle w:val="Normal"/>
        <w:framePr w:w="2565" w:hAnchor="page" w:vAnchor="page" w:x="521" w:y="105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Sophie Zurquiyah</w:t>
      </w:r>
    </w:p>
    <w:p>
      <w:pPr>
        <w:pStyle w:val="Normal"/>
        <w:framePr w:w="637" w:hAnchor="page" w:vAnchor="page" w:x="6268" w:y="98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ESG</w:t>
      </w:r>
    </w:p>
    <w:p>
      <w:pPr>
        <w:pStyle w:val="Normal"/>
        <w:framePr w:w="2651" w:hAnchor="page" w:vAnchor="page" w:x="521" w:y="96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Audit (Chair)</w:t>
      </w:r>
    </w:p>
    <w:p>
      <w:pPr>
        <w:pStyle w:val="Normal"/>
        <w:framePr w:w="3904" w:hAnchor="page" w:vAnchor="page" w:x="6268" w:y="96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Compensation and Talent,</w:t>
      </w:r>
    </w:p>
    <w:p>
      <w:pPr>
        <w:pStyle w:val="Normal"/>
        <w:framePr w:w="944" w:hAnchor="page" w:vAnchor="page" w:x="521" w:y="94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67</w:t>
      </w:r>
    </w:p>
    <w:p>
      <w:pPr>
        <w:pStyle w:val="Normal"/>
        <w:framePr w:w="944" w:hAnchor="page" w:vAnchor="page" w:x="6268" w:y="94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63</w:t>
      </w:r>
    </w:p>
    <w:p>
      <w:pPr>
        <w:pStyle w:val="Normal"/>
        <w:framePr w:w="1536" w:hAnchor="page" w:vAnchor="page" w:x="521" w:y="92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Independent  </w:t>
      </w:r>
    </w:p>
    <w:p>
      <w:pPr>
        <w:pStyle w:val="Normal"/>
        <w:framePr w:w="1536" w:hAnchor="page" w:vAnchor="page" w:x="6268" w:y="92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Independent  </w:t>
      </w:r>
    </w:p>
    <w:p>
      <w:pPr>
        <w:pStyle w:val="Normal"/>
        <w:framePr w:w="2189" w:hAnchor="page" w:vAnchor="page" w:x="521" w:y="895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Kay G. Priestly</w:t>
      </w:r>
    </w:p>
    <w:p>
      <w:pPr>
        <w:pStyle w:val="Normal"/>
        <w:framePr w:w="2294" w:hAnchor="page" w:vAnchor="page" w:x="6268" w:y="895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John Yearwood</w:t>
      </w:r>
    </w:p>
    <w:p>
      <w:pPr>
        <w:pStyle w:val="Normal"/>
        <w:framePr w:w="830" w:hAnchor="page" w:vAnchor="page" w:x="521" w:y="82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(Chair)</w:t>
      </w:r>
    </w:p>
    <w:p>
      <w:pPr>
        <w:pStyle w:val="Normal"/>
        <w:framePr w:w="3847" w:hAnchor="page" w:vAnchor="page" w:x="521" w:y="80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Compensation and Talent</w:t>
      </w:r>
    </w:p>
    <w:p>
      <w:pPr>
        <w:pStyle w:val="Normal"/>
        <w:framePr w:w="1934" w:hAnchor="page" w:vAnchor="page" w:x="6268" w:y="80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ESG</w:t>
      </w:r>
    </w:p>
    <w:p>
      <w:pPr>
        <w:pStyle w:val="Normal"/>
        <w:framePr w:w="944" w:hAnchor="page" w:vAnchor="page" w:x="521" w:y="78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67</w:t>
      </w:r>
    </w:p>
    <w:p>
      <w:pPr>
        <w:pStyle w:val="Normal"/>
        <w:framePr w:w="944" w:hAnchor="page" w:vAnchor="page" w:x="6268" w:y="78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64</w:t>
      </w:r>
    </w:p>
    <w:p>
      <w:pPr>
        <w:pStyle w:val="Normal"/>
        <w:framePr w:w="1536" w:hAnchor="page" w:vAnchor="page" w:x="521" w:y="76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Independent  </w:t>
      </w:r>
    </w:p>
    <w:p>
      <w:pPr>
        <w:pStyle w:val="Normal"/>
        <w:framePr w:w="1536" w:hAnchor="page" w:vAnchor="page" w:x="6268" w:y="76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Independent  </w:t>
      </w:r>
    </w:p>
    <w:p>
      <w:pPr>
        <w:pStyle w:val="Normal"/>
        <w:framePr w:w="2008" w:hAnchor="page" w:vAnchor="page" w:x="521" w:y="733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John O’Leary</w:t>
      </w:r>
    </w:p>
    <w:p>
      <w:pPr>
        <w:pStyle w:val="Normal"/>
        <w:framePr w:w="2535" w:hAnchor="page" w:vAnchor="page" w:x="6268" w:y="733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Margareth Øvrum</w:t>
      </w:r>
    </w:p>
    <w:p>
      <w:pPr>
        <w:pStyle w:val="Normal"/>
        <w:framePr w:w="1968" w:hAnchor="page" w:vAnchor="page" w:x="521" w:y="63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Audit</w:t>
      </w:r>
    </w:p>
    <w:p>
      <w:pPr>
        <w:pStyle w:val="Normal"/>
        <w:framePr w:w="1968" w:hAnchor="page" w:vAnchor="page" w:x="6268" w:y="63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Audit</w:t>
      </w:r>
    </w:p>
    <w:p>
      <w:pPr>
        <w:pStyle w:val="Normal"/>
        <w:framePr w:w="1001" w:hAnchor="page" w:vAnchor="page" w:x="521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65 </w:t>
      </w:r>
    </w:p>
    <w:p>
      <w:pPr>
        <w:pStyle w:val="Normal"/>
        <w:framePr w:w="944" w:hAnchor="page" w:vAnchor="page" w:x="6268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59</w:t>
      </w:r>
    </w:p>
    <w:p>
      <w:pPr>
        <w:pStyle w:val="Normal"/>
        <w:framePr w:w="1479" w:hAnchor="page" w:vAnchor="page" w:x="521" w:y="59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Independent </w:t>
      </w:r>
    </w:p>
    <w:p>
      <w:pPr>
        <w:pStyle w:val="Normal"/>
        <w:framePr w:w="1422" w:hAnchor="page" w:vAnchor="page" w:x="6268" w:y="59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>Independent</w:t>
      </w:r>
    </w:p>
    <w:p>
      <w:pPr>
        <w:pStyle w:val="Normal"/>
        <w:framePr w:w="3575" w:hAnchor="page" w:vAnchor="page" w:x="521" w:y="570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Eleazar de Carvalho Filho</w:t>
      </w:r>
    </w:p>
    <w:p>
      <w:pPr>
        <w:pStyle w:val="Normal"/>
        <w:framePr w:w="2248" w:hAnchor="page" w:vAnchor="page" w:x="6268" w:y="570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Robert G. Gwin</w:t>
      </w:r>
    </w:p>
    <w:p>
      <w:pPr>
        <w:pStyle w:val="Normal"/>
        <w:framePr w:w="1991" w:hAnchor="page" w:vAnchor="page" w:x="521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None</w:t>
      </w:r>
    </w:p>
    <w:p>
      <w:pPr>
        <w:pStyle w:val="Normal"/>
        <w:framePr w:w="3847" w:hAnchor="page" w:vAnchor="page" w:x="6268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Committees: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Compensation and Talent</w:t>
      </w:r>
    </w:p>
    <w:p>
      <w:pPr>
        <w:pStyle w:val="Normal"/>
        <w:framePr w:w="1001" w:hAnchor="page" w:vAnchor="page" w:x="521" w:y="45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59 </w:t>
      </w:r>
    </w:p>
    <w:p>
      <w:pPr>
        <w:pStyle w:val="Normal"/>
        <w:framePr w:w="1001" w:hAnchor="page" w:vAnchor="page" w:x="6268" w:y="45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64 </w:t>
      </w:r>
    </w:p>
    <w:p>
      <w:pPr>
        <w:pStyle w:val="Normal"/>
        <w:framePr w:w="1706" w:hAnchor="page" w:vAnchor="page" w:x="521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Chair and CEO </w:t>
      </w:r>
    </w:p>
    <w:p>
      <w:pPr>
        <w:pStyle w:val="Normal"/>
        <w:framePr w:w="2856" w:hAnchor="page" w:vAnchor="page" w:x="6268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17"/>
          <w:szCs w:val="17"/>
        </w:rPr>
        <w:t xml:space="preserve">Lead Independent Director </w:t>
      </w:r>
    </w:p>
    <w:p>
      <w:pPr>
        <w:pStyle w:val="Normal"/>
        <w:framePr w:w="3002" w:hAnchor="page" w:vAnchor="page" w:x="521" w:y="410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Douglas J. Pferdehirt</w:t>
      </w:r>
    </w:p>
    <w:p>
      <w:pPr>
        <w:pStyle w:val="Normal"/>
        <w:framePr w:w="2234" w:hAnchor="page" w:vAnchor="page" w:x="6268" w:y="410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Claire S. Farley</w:t>
      </w:r>
    </w:p>
    <w:p>
      <w:pPr>
        <w:pStyle w:val="Normal"/>
        <w:framePr w:w="6044" w:hAnchor="page" w:vAnchor="page" w:x="419" w:y="36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director nominees and their current committee assignments:</w:t>
      </w:r>
    </w:p>
    <w:p>
      <w:pPr>
        <w:pStyle w:val="Normal"/>
        <w:framePr w:w="4068" w:hAnchor="page" w:vAnchor="page" w:x="419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Director Nominees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7pt;margin-top:1pt;z-index:-1677535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13.4pt;margin-top:31.6pt;z-index:-16775348;width:588.05pt;height:614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19.8pt;margin-top:198.7pt;z-index:-16775344;width:574.55pt;height:40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77.85pt;margin-top:602.7pt;z-index:-16775340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06.4pt;margin-top:602.7pt;z-index:-16775336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191.9pt;margin-top:602.7pt;z-index:-16775332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06.4pt;margin-top:521.6pt;z-index:-16775328;width:2.7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9.8pt;margin-top:602.7pt;z-index:-16775324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77.85pt;margin-top:521.6pt;z-index:-16775320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306.4pt;margin-top:521.6pt;z-index:-16775316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91.9pt;margin-top:521.6pt;z-index:-16775312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06.4pt;margin-top:440.55pt;z-index:-16775308;width:2.7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9.8pt;margin-top:521.6pt;z-index:-16775304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77.85pt;margin-top:440.55pt;z-index:-16775300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06.4pt;margin-top:440.55pt;z-index:-16775296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91.9pt;margin-top:440.55pt;z-index:-16775292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306.4pt;margin-top:359.45pt;z-index:-16775288;width:2.7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9.8pt;margin-top:440.55pt;z-index:-16775284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77.85pt;margin-top:359.45pt;z-index:-16775280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306.4pt;margin-top:359.45pt;z-index:-16775276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91.9pt;margin-top:359.45pt;z-index:-16775272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06.4pt;margin-top:278.35pt;z-index:-16775268;width:2.7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9.8pt;margin-top:359.45pt;z-index:-16775264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477.85pt;margin-top:278.35pt;z-index:-16775260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06.4pt;margin-top:278.35pt;z-index:-16775256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191.9pt;margin-top:278.35pt;z-index:-16775252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06.4pt;margin-top:198.7pt;z-index:-16775248;width:2.7pt;height:82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9.8pt;margin-top:278.35pt;z-index:-16775244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2.7pt;margin-top:682.35pt;z-index:-1677524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0.8pt;margin-top:75.95pt;z-index:-16775236;width:555.45pt;height:9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227.75pt;margin-top:204pt;z-index:-16775232;width:72.55pt;height:6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13.65pt;margin-top:204pt;z-index:-16775228;width:72.55pt;height:6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227.75pt;margin-top:284.35pt;z-index:-16775224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13.65pt;margin-top:284.35pt;z-index:-16775220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227.75pt;margin-top:365.45pt;z-index:-16775216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13.65pt;margin-top:365.45pt;z-index:-16775212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229.9pt;margin-top:446.5pt;z-index:-16775208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13.65pt;margin-top:446.5pt;z-index:-16775204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229.9pt;margin-top:527.6pt;z-index:-16775200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</w:p>
    <w:p>
      <w:pPr>
        <w:pStyle w:val="Normal"/>
        <w:framePr w:w="1631" w:hAnchor="page" w:vAnchor="page" w:x="274" w:y="133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    TechnipFMC</w:t>
      </w:r>
    </w:p>
    <w:p>
      <w:pPr>
        <w:pStyle w:val="Normal"/>
        <w:framePr w:w="1673" w:hAnchor="page" w:vAnchor="page" w:x="419" w:y="17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support in 2022.</w:t>
      </w:r>
    </w:p>
    <w:p>
      <w:pPr>
        <w:pStyle w:val="Normal"/>
        <w:framePr w:w="13239" w:hAnchor="page" w:vAnchor="page" w:x="419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prompted us to make several changes to our compensation program and to our disclosure philosophy following lower-than-preferred say-on-pay</w:t>
      </w:r>
    </w:p>
    <w:p>
      <w:pPr>
        <w:pStyle w:val="Normal"/>
        <w:framePr w:w="12694" w:hAnchor="page" w:vAnchor="page" w:x="419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 2022-2023, our annual shareholder engagement program allowed us to understand our shareholders’ priorities and perspectives, which</w:t>
      </w:r>
    </w:p>
    <w:p>
      <w:pPr>
        <w:pStyle w:val="Normal"/>
        <w:framePr w:w="9452" w:hAnchor="page" w:vAnchor="page" w:x="419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2022-2023 Shareholder Engagement Program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7pt;margin-top:1pt;z-index:-1677519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13.4pt;margin-top:31.6pt;z-index:-16775192;width:588.05pt;height:615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2.7pt;margin-top:683.75pt;z-index:-1677518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7.05pt;margin-top:105.85pt;z-index:-16775184;width:497.85pt;height:527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</w:p>
    <w:p>
      <w:pPr>
        <w:pStyle w:val="Normal"/>
        <w:framePr w:w="1631" w:hAnchor="page" w:vAnchor="page" w:x="274" w:y="109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    TechnipFMC</w:t>
      </w:r>
    </w:p>
    <w:p>
      <w:pPr>
        <w:pStyle w:val="Normal"/>
        <w:framePr w:w="13511" w:hAnchor="page" w:vAnchor="page" w:x="647" w:y="101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Providing market competitive levels of compensation to help us retain and attract exceptionally talented individuals who can deliver on our vision</w:t>
      </w:r>
    </w:p>
    <w:p>
      <w:pPr>
        <w:pStyle w:val="Normal"/>
        <w:framePr w:w="8914" w:hAnchor="page" w:vAnchor="page" w:x="874" w:y="97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of sustainable shareholder value and by ensuring a majority of executive compensation is at-risk</w:t>
      </w:r>
    </w:p>
    <w:p>
      <w:pPr>
        <w:pStyle w:val="Normal"/>
        <w:framePr w:w="13668" w:hAnchor="page" w:vAnchor="page" w:x="647" w:y="95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Aligning the interests of our executive officers with the interests of our shareholders by focusing our executive compensation program on drivers</w:t>
      </w:r>
    </w:p>
    <w:p>
      <w:pPr>
        <w:pStyle w:val="Normal"/>
        <w:framePr w:w="10069" w:hAnchor="page" w:vAnchor="page" w:x="647" w:y="91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Motivating our executive officers to achieve and exceed our short-term and long-term goals and objectives</w:t>
      </w:r>
    </w:p>
    <w:p>
      <w:pPr>
        <w:pStyle w:val="Normal"/>
        <w:framePr w:w="5544" w:hAnchor="page" w:vAnchor="page" w:x="419" w:y="87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compensation is designed to help us achieve our vision by:</w:t>
      </w:r>
    </w:p>
    <w:p>
      <w:pPr>
        <w:pStyle w:val="Normal"/>
        <w:framePr w:w="13781" w:hAnchor="page" w:vAnchor="page" w:x="419" w:y="85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united by one single purpose: to bring together the scope, knowledge, and determination to transform our clients’ project economics. Our executive</w:t>
      </w:r>
    </w:p>
    <w:p>
      <w:pPr>
        <w:pStyle w:val="Normal"/>
        <w:framePr w:w="13789" w:hAnchor="page" w:vAnchor="page" w:x="419" w:y="83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vision to enhance the performance of the world’s energy industry is supported by the relentless drive of every individual at TechnipFMC. We are</w:t>
      </w:r>
    </w:p>
    <w:p>
      <w:pPr>
        <w:pStyle w:val="Normal"/>
        <w:framePr w:w="9934" w:hAnchor="page" w:vAnchor="page" w:x="419" w:y="79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TechnipFMC’s overall objectives and business strategies to create and preserve value for our shareholders.</w:t>
      </w:r>
    </w:p>
    <w:p>
      <w:pPr>
        <w:pStyle w:val="Normal"/>
        <w:framePr w:w="13359" w:hAnchor="page" w:vAnchor="page" w:x="419" w:y="77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 executive  compensation  programs  are  designed  to  directly  link  our  executives’  pay  to  their  performance  and  the  achievement  of</w:t>
      </w:r>
    </w:p>
    <w:p>
      <w:pPr>
        <w:pStyle w:val="Normal"/>
        <w:framePr w:w="3274" w:hAnchor="page" w:vAnchor="page" w:x="419" w:y="747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000053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000053"/>
          <w:w w:val="100"/>
          <w:sz w:val="25"/>
          <w:szCs w:val="25"/>
        </w:rPr>
        <w:t>Executive Compensation</w:t>
      </w:r>
    </w:p>
    <w:p>
      <w:pPr>
        <w:pStyle w:val="Normal"/>
        <w:framePr w:w="1935" w:hAnchor="page" w:vAnchor="page" w:x="521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President, Subsea </w:t>
      </w:r>
    </w:p>
    <w:p>
      <w:pPr>
        <w:pStyle w:val="Normal"/>
        <w:framePr w:w="2333" w:hAnchor="page" w:vAnchor="page" w:x="521" w:y="62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Position Held in 2022:</w:t>
      </w:r>
    </w:p>
    <w:p>
      <w:pPr>
        <w:pStyle w:val="Normal"/>
        <w:framePr w:w="1001" w:hAnchor="page" w:vAnchor="page" w:x="521" w:y="60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Age: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 50 </w:t>
      </w:r>
    </w:p>
    <w:p>
      <w:pPr>
        <w:pStyle w:val="Normal"/>
        <w:framePr w:w="2505" w:hAnchor="page" w:vAnchor="page" w:x="521" w:y="575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Jonathan Landes</w:t>
      </w:r>
    </w:p>
    <w:p>
      <w:pPr>
        <w:pStyle w:val="Normal"/>
        <w:framePr w:w="1980" w:hAnchor="page" w:vAnchor="page" w:x="521" w:y="50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Technology Officer </w:t>
      </w:r>
    </w:p>
    <w:p>
      <w:pPr>
        <w:pStyle w:val="Normal"/>
        <w:framePr w:w="3289" w:hAnchor="page" w:vAnchor="page" w:x="6268" w:y="50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Chief Legal Officer and Secretary </w:t>
      </w:r>
    </w:p>
    <w:p>
      <w:pPr>
        <w:pStyle w:val="Normal"/>
        <w:framePr w:w="3403" w:hAnchor="page" w:vAnchor="page" w:x="521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Executive Vice President and Chief</w:t>
      </w:r>
    </w:p>
    <w:p>
      <w:pPr>
        <w:pStyle w:val="Normal"/>
        <w:framePr w:w="2583" w:hAnchor="page" w:vAnchor="page" w:x="6268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Executive Vice President, </w:t>
      </w:r>
    </w:p>
    <w:p>
      <w:pPr>
        <w:pStyle w:val="Normal"/>
        <w:framePr w:w="2333" w:hAnchor="page" w:vAnchor="page" w:x="521" w:y="46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Position Held in 2022:</w:t>
      </w:r>
    </w:p>
    <w:p>
      <w:pPr>
        <w:pStyle w:val="Normal"/>
        <w:framePr w:w="2333" w:hAnchor="page" w:vAnchor="page" w:x="6268" w:y="46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Position Held in 2022:</w:t>
      </w:r>
    </w:p>
    <w:p>
      <w:pPr>
        <w:pStyle w:val="Normal"/>
        <w:framePr w:w="1001" w:hAnchor="page" w:vAnchor="page" w:x="521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56 </w:t>
      </w:r>
    </w:p>
    <w:p>
      <w:pPr>
        <w:pStyle w:val="Normal"/>
        <w:framePr w:w="1001" w:hAnchor="page" w:vAnchor="page" w:x="6268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57 </w:t>
      </w:r>
    </w:p>
    <w:p>
      <w:pPr>
        <w:pStyle w:val="Normal"/>
        <w:framePr w:w="2219" w:hAnchor="page" w:vAnchor="page" w:x="521" w:y="412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 xml:space="preserve">Justin Rounce </w:t>
      </w:r>
    </w:p>
    <w:p>
      <w:pPr>
        <w:pStyle w:val="Normal"/>
        <w:framePr w:w="2053" w:hAnchor="page" w:vAnchor="page" w:x="6268" w:y="412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Victoria Lazar</w:t>
      </w:r>
    </w:p>
    <w:p>
      <w:pPr>
        <w:pStyle w:val="Normal"/>
        <w:framePr w:w="1741" w:hAnchor="page" w:vAnchor="page" w:x="6268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Financial Officer </w:t>
      </w:r>
    </w:p>
    <w:p>
      <w:pPr>
        <w:pStyle w:val="Normal"/>
        <w:framePr w:w="3289" w:hAnchor="page" w:vAnchor="page" w:x="521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Chair and Chief Executive Officer </w:t>
      </w:r>
    </w:p>
    <w:p>
      <w:pPr>
        <w:pStyle w:val="Normal"/>
        <w:framePr w:w="3403" w:hAnchor="page" w:vAnchor="page" w:x="6268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Executive Vice President and Chief</w:t>
      </w:r>
    </w:p>
    <w:p>
      <w:pPr>
        <w:pStyle w:val="Normal"/>
        <w:framePr w:w="2333" w:hAnchor="page" w:vAnchor="page" w:x="521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Position Held in 2022:</w:t>
      </w:r>
    </w:p>
    <w:p>
      <w:pPr>
        <w:pStyle w:val="Normal"/>
        <w:framePr w:w="2333" w:hAnchor="page" w:vAnchor="page" w:x="6268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Position Held in 2022:</w:t>
      </w:r>
    </w:p>
    <w:p>
      <w:pPr>
        <w:pStyle w:val="Normal"/>
        <w:framePr w:w="1001" w:hAnchor="page" w:vAnchor="page" w:x="521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59 </w:t>
      </w:r>
    </w:p>
    <w:p>
      <w:pPr>
        <w:pStyle w:val="Normal"/>
        <w:framePr w:w="1001" w:hAnchor="page" w:vAnchor="page" w:x="6268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 xml:space="preserve">53 </w:t>
      </w:r>
    </w:p>
    <w:p>
      <w:pPr>
        <w:pStyle w:val="Normal"/>
        <w:framePr w:w="3078" w:hAnchor="page" w:vAnchor="page" w:x="521" w:y="232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 xml:space="preserve">Douglas J. Pferdehirt </w:t>
      </w:r>
    </w:p>
    <w:p>
      <w:pPr>
        <w:pStyle w:val="Normal"/>
        <w:framePr w:w="1405" w:hAnchor="page" w:vAnchor="page" w:x="6268" w:y="232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51f6f"/>
          <w:w w:val="100"/>
          <w:sz w:val="25"/>
          <w:szCs w:val="25"/>
        </w:rPr>
        <w:t>Alf Melin</w:t>
      </w:r>
    </w:p>
    <w:p>
      <w:pPr>
        <w:pStyle w:val="Normal"/>
        <w:framePr w:w="4974" w:hAnchor="page" w:vAnchor="page" w:x="419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named executive officers (“</w:t>
      </w: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NEOs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”) for 2022 are:</w:t>
      </w:r>
    </w:p>
    <w:p>
      <w:pPr>
        <w:pStyle w:val="Normal"/>
        <w:framePr w:w="3409" w:hAnchor="page" w:vAnchor="page" w:x="419" w:y="154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000053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000053"/>
          <w:w w:val="100"/>
          <w:sz w:val="25"/>
          <w:szCs w:val="25"/>
        </w:rPr>
        <w:t>Named Executive Officers</w:t>
      </w:r>
    </w:p>
    <w:p>
      <w:pPr>
        <w:pStyle w:val="Normal"/>
        <w:framePr w:w="5286" w:hAnchor="page" w:vAnchor="page" w:x="419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Executive Compensation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7pt;margin-top:1pt;z-index:-1677518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13.4pt;margin-top:31.6pt;z-index:-16775176;width:588.05pt;height:49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9.8pt;margin-top:109.8pt;z-index:-16775172;width:574.55pt;height:25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06.4pt;margin-top:280.5pt;z-index:-16775168;width:2.7pt;height:8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477.85pt;margin-top:280.5pt;z-index:-16775164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06.4pt;margin-top:280.5pt;z-index:-16775160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91.9pt;margin-top:280.5pt;z-index:-16775156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06.4pt;margin-top:199.45pt;z-index:-16775152;width:2.7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19.8pt;margin-top:280.5pt;z-index:-16775148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77.85pt;margin-top:199.45pt;z-index:-16775144;width:11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06.4pt;margin-top:199.45pt;z-index:-16775140;width:17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191.9pt;margin-top:199.45pt;z-index:-16775136;width:11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06.4pt;margin-top:109.8pt;z-index:-16775132;width:2.7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9.8pt;margin-top:199.45pt;z-index:-16775128;width:17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12.7pt;margin-top:565pt;z-index:-167751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227.75pt;margin-top:115.1pt;z-index:-16775120;width:72.55pt;height:6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13.65pt;margin-top:115.1pt;z-index:-16775116;width:72.55pt;height:7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227.75pt;margin-top:205.4pt;z-index:-16775112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13.65pt;margin-top:205.4pt;z-index:-16775108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227.75pt;margin-top:286.5pt;z-index:-16775104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</w:p>
    <w:p>
      <w:pPr>
        <w:pStyle w:val="Normal"/>
        <w:framePr w:w="1631" w:hAnchor="page" w:vAnchor="page" w:x="274" w:y="1334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    TechnipFMC</w:t>
      </w:r>
    </w:p>
    <w:p>
      <w:pPr>
        <w:pStyle w:val="Normal"/>
        <w:framePr w:w="7741" w:hAnchor="page" w:vAnchor="page" w:x="419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please see the section entitled “</w:t>
      </w: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Executive Compensation Discussion and Analysis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.”</w:t>
      </w:r>
    </w:p>
    <w:p>
      <w:pPr>
        <w:pStyle w:val="Normal"/>
        <w:framePr w:w="12180" w:hAnchor="page" w:vAnchor="page" w:x="419" w:y="55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executive compensation framework is summarized below. For additional details regarding our executive compensation program,</w:t>
      </w:r>
    </w:p>
    <w:p>
      <w:pPr>
        <w:pStyle w:val="Normal"/>
        <w:framePr w:w="5965" w:hAnchor="page" w:vAnchor="page" w:x="749" w:y="47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relative TSR exceeds peers’ TSR, but absolute TSR is negative</w:t>
      </w:r>
    </w:p>
    <w:p>
      <w:pPr>
        <w:pStyle w:val="Normal"/>
        <w:framePr w:w="5871" w:hAnchor="page" w:vAnchor="page" w:x="521" w:y="45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Cap Performance Share Unit (“</w:t>
      </w: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PSU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”) payout at target when</w:t>
      </w:r>
    </w:p>
    <w:p>
      <w:pPr>
        <w:pStyle w:val="Normal"/>
        <w:framePr w:w="1297" w:hAnchor="page" w:vAnchor="page" w:x="749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peer groups</w:t>
      </w:r>
    </w:p>
    <w:p>
      <w:pPr>
        <w:pStyle w:val="Normal"/>
        <w:framePr w:w="6111" w:hAnchor="page" w:vAnchor="page" w:x="521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Benchmark compensation against relevant global and industry</w:t>
      </w:r>
    </w:p>
    <w:p>
      <w:pPr>
        <w:pStyle w:val="Normal"/>
        <w:framePr w:w="4825" w:hAnchor="page" w:vAnchor="page" w:x="6481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hedging and pledging of Company securities</w:t>
      </w:r>
    </w:p>
    <w:p>
      <w:pPr>
        <w:pStyle w:val="Normal"/>
        <w:framePr w:w="5805" w:hAnchor="page" w:vAnchor="page" w:x="521" w:y="35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Engage an independent, external compensation consultant</w:t>
      </w:r>
    </w:p>
    <w:p>
      <w:pPr>
        <w:pStyle w:val="Normal"/>
        <w:framePr w:w="5394" w:hAnchor="page" w:vAnchor="page" w:x="6481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discounting, reloading, or repricing of stock options</w:t>
      </w:r>
    </w:p>
    <w:p>
      <w:pPr>
        <w:pStyle w:val="Normal"/>
        <w:framePr w:w="1399" w:hAnchor="page" w:vAnchor="page" w:x="749" w:y="31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requirements</w:t>
      </w:r>
    </w:p>
    <w:p>
      <w:pPr>
        <w:pStyle w:val="Normal"/>
        <w:framePr w:w="5428" w:hAnchor="page" w:vAnchor="page" w:x="521" w:y="29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Require robust executive and director share ownership</w:t>
      </w:r>
    </w:p>
    <w:p>
      <w:pPr>
        <w:pStyle w:val="Normal"/>
        <w:framePr w:w="5576" w:hAnchor="page" w:vAnchor="page" w:x="6481" w:y="29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excessive perquisites, benefits, or pension payments</w:t>
      </w:r>
    </w:p>
    <w:p>
      <w:pPr>
        <w:pStyle w:val="Normal"/>
        <w:framePr w:w="6282" w:hAnchor="page" w:vAnchor="page" w:x="521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Maintain a claw-back policy in the event of malfeasance or fraud</w:t>
      </w:r>
    </w:p>
    <w:p>
      <w:pPr>
        <w:pStyle w:val="Normal"/>
        <w:framePr w:w="4631" w:hAnchor="page" w:vAnchor="page" w:x="6481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tax gross-ups on any severance payments</w:t>
      </w:r>
    </w:p>
    <w:p>
      <w:pPr>
        <w:pStyle w:val="Normal"/>
        <w:framePr w:w="2230" w:hAnchor="page" w:vAnchor="page" w:x="749" w:y="21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“at-risk” compensation</w:t>
      </w:r>
    </w:p>
    <w:p>
      <w:pPr>
        <w:pStyle w:val="Normal"/>
        <w:framePr w:w="2650" w:hAnchor="page" w:vAnchor="page" w:x="6481" w:y="21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uncapped incentives</w:t>
      </w:r>
    </w:p>
    <w:p>
      <w:pPr>
        <w:pStyle w:val="Normal"/>
        <w:framePr w:w="6498" w:hAnchor="page" w:vAnchor="page" w:x="521" w:y="19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Provide the majority of NEO compensation as performance-based,</w:t>
      </w:r>
    </w:p>
    <w:p>
      <w:pPr>
        <w:pStyle w:val="Normal"/>
        <w:framePr w:w="2650" w:hAnchor="page" w:vAnchor="page" w:x="6481" w:y="17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guaranteed bonuses</w:t>
      </w:r>
    </w:p>
    <w:p>
      <w:pPr>
        <w:pStyle w:val="Normal"/>
        <w:framePr w:w="3301" w:hAnchor="page" w:vAnchor="page" w:x="749" w:y="15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strategy and shareholder interests</w:t>
      </w:r>
    </w:p>
    <w:p>
      <w:pPr>
        <w:pStyle w:val="Normal"/>
        <w:framePr w:w="6293" w:hAnchor="page" w:vAnchor="page" w:x="521" w:y="13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Pay for performance by aligning performance measures with our</w:t>
      </w:r>
    </w:p>
    <w:p>
      <w:pPr>
        <w:pStyle w:val="Normal"/>
        <w:framePr w:w="4995" w:hAnchor="page" w:vAnchor="page" w:x="6481" w:y="13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No single-trigger vesting upon a change-in-control</w:t>
      </w:r>
    </w:p>
    <w:p>
      <w:pPr>
        <w:pStyle w:val="Normal"/>
        <w:framePr w:w="1467" w:hAnchor="page" w:vAnchor="page" w:x="521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What We Do:</w:t>
      </w:r>
    </w:p>
    <w:p>
      <w:pPr>
        <w:pStyle w:val="Normal"/>
        <w:framePr w:w="1979" w:hAnchor="page" w:vAnchor="page" w:x="6481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What We Don’t Do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7pt;margin-top:1pt;z-index:-167751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13.4pt;margin-top:31.6pt;z-index:-16775096;width:588.05pt;height:61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19.8pt;margin-top:42.25pt;z-index:-16775092;width:277.2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17.8pt;margin-top:42.25pt;z-index:-16775088;width:27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19.8pt;margin-top:60.75pt;z-index:-16775084;width:277.25pt;height:205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17.8pt;margin-top:60.75pt;z-index:-16775080;width:276.55pt;height:205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12.7pt;margin-top:683.05pt;z-index:-167750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20.8pt;margin-top:305pt;z-index:-16775072;width:568.95pt;height:327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</w:p>
    <w:p>
      <w:pPr>
        <w:pStyle w:val="Normal"/>
        <w:framePr w:w="1631" w:hAnchor="page" w:vAnchor="page" w:x="274" w:y="819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    TechnipFMC</w:t>
      </w:r>
    </w:p>
    <w:p>
      <w:pPr>
        <w:pStyle w:val="Normal"/>
        <w:framePr w:w="3062" w:hAnchor="page" w:vAnchor="page" w:x="274" w:y="75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and monitoring required by law.</w:t>
      </w:r>
    </w:p>
    <w:p>
      <w:pPr>
        <w:pStyle w:val="Normal"/>
        <w:framePr w:w="13729" w:hAnchor="page" w:vAnchor="page" w:x="274" w:y="73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While the Scorecard measures specific achievements in ESG, our activities are not limited to those that are measured on our Scorecard, or to actions</w:t>
      </w:r>
    </w:p>
    <w:p>
      <w:pPr>
        <w:pStyle w:val="Normal"/>
        <w:framePr w:w="9359" w:hAnchor="page" w:vAnchor="page" w:x="274" w:y="69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 snapshot of our 2022 progress toward our ESG goals in our 2021-2023 Scorecard is set out below.</w:t>
      </w:r>
    </w:p>
    <w:p>
      <w:pPr>
        <w:pStyle w:val="Normal"/>
        <w:framePr w:w="2083" w:hAnchor="page" w:vAnchor="page" w:x="274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and Analysis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 below.</w:t>
      </w:r>
    </w:p>
    <w:p>
      <w:pPr>
        <w:pStyle w:val="Normal"/>
        <w:framePr w:w="13843" w:hAnchor="page" w:vAnchor="page" w:x="274" w:y="63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information on how ESG metrics are tied to our executive compensation program, please see the section entitled “</w:t>
      </w:r>
      <w:r>
        <w:rPr>
          <w:rFonts w:ascii="QFTFTF+Arial-ItalicMT" w:hAnsi="QFTFTF+Arial-ItalicMT" w:fareast="QFTFTF+Arial-ItalicMT" w:cs="QFTFTF+Arial-ItalicMT"/>
          <w:color w:val="333740"/>
          <w:w w:val="100"/>
          <w:sz w:val="17"/>
          <w:szCs w:val="17"/>
        </w:rPr>
        <w:t>Executive Compensation Discussion</w:t>
      </w:r>
    </w:p>
    <w:p>
      <w:pPr>
        <w:pStyle w:val="Normal"/>
        <w:framePr w:w="13349" w:hAnchor="page" w:vAnchor="page" w:x="274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performance. We believe that this allows us to drive leadership behavior with meaningful metrics and further supports our ESG mission. For more</w:t>
      </w:r>
    </w:p>
    <w:p>
      <w:pPr>
        <w:pStyle w:val="Normal"/>
        <w:framePr w:w="13240" w:hAnchor="page" w:vAnchor="page" w:x="274" w:y="59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compensation program. In 2021, we introduced a feature of our program that ties 25% of our executives’ annual cash incentive to our Scorecard</w:t>
      </w:r>
    </w:p>
    <w:p>
      <w:pPr>
        <w:pStyle w:val="Normal"/>
        <w:framePr w:w="13726" w:hAnchor="page" w:vAnchor="page" w:x="274" w:y="58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We believe this approach drives change and holds us accountable for delivering on our commitments. It is punctuated by a direct link to our executive</w:t>
      </w:r>
    </w:p>
    <w:p>
      <w:pPr>
        <w:pStyle w:val="Normal"/>
        <w:framePr w:w="12773" w:hAnchor="page" w:vAnchor="page" w:x="274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initiatives such as gender diversity and giving back to our communities, support safety and integrity, and advancing human rights practices.</w:t>
      </w:r>
    </w:p>
    <w:p>
      <w:pPr>
        <w:pStyle w:val="Normal"/>
        <w:framePr w:w="13726" w:hAnchor="page" w:vAnchor="page" w:x="274" w:y="52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pillar of “E,” “S,” and “G,” and spans a variety of types of initiatives, including efforts to reduce greenhouse gas emissions, advance social governance</w:t>
      </w:r>
    </w:p>
    <w:p>
      <w:pPr>
        <w:pStyle w:val="Normal"/>
        <w:framePr w:w="13923" w:hAnchor="page" w:vAnchor="page" w:x="274" w:y="50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relevant to our business in relation to the planet, people, and communities in which we operate. The Scorecard contains data-driven metrics under each</w:t>
      </w:r>
    </w:p>
    <w:p>
      <w:pPr>
        <w:pStyle w:val="Normal"/>
        <w:framePr w:w="14116" w:hAnchor="page" w:vAnchor="page" w:x="274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clear, verifiable metrics designed to drive behavior over the long term. Our unique Scorecard depicts our progress toward specific, measurable ESG goals</w:t>
      </w:r>
    </w:p>
    <w:p>
      <w:pPr>
        <w:pStyle w:val="Normal"/>
        <w:framePr w:w="13719" w:hAnchor="page" w:vAnchor="page" w:x="274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Building on this approach, in 2020, we established a scorecard with an extensive set of ESG goals measured over 2021-2023 (the “</w:t>
      </w:r>
      <w:r>
        <w:rPr>
          <w:rFonts w:ascii="WIPJFN+Arial-BoldMT" w:hAnsi="WIPJFN+Arial-BoldMT" w:fareast="WIPJFN+Arial-BoldMT" w:cs="WIPJFN+Arial-BoldMT"/>
          <w:color w:val="333740"/>
          <w:w w:val="100"/>
          <w:sz w:val="17"/>
          <w:szCs w:val="17"/>
        </w:rPr>
        <w:t>Scorecard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”), with</w:t>
      </w:r>
    </w:p>
    <w:p>
      <w:pPr>
        <w:pStyle w:val="Normal"/>
        <w:framePr w:w="8196" w:hAnchor="page" w:vAnchor="page" w:x="274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led us to advancements in our Company in this area with a number of accomplishments.</w:t>
      </w:r>
    </w:p>
    <w:p>
      <w:pPr>
        <w:pStyle w:val="Normal"/>
        <w:framePr w:w="13806" w:hAnchor="page" w:vAnchor="page" w:x="274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groups of experts in our business to implement our strategy, share knowledge and best practices and initiate global and local efforts, and these groups</w:t>
      </w:r>
    </w:p>
    <w:p>
      <w:pPr>
        <w:pStyle w:val="Normal"/>
        <w:framePr w:w="13658" w:hAnchor="page" w:vAnchor="page" w:x="274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align with our Code of Business Conduct, and aspects of both the UN Global Compact and the UN’s Sustainable Development Goals. We developed</w:t>
      </w:r>
    </w:p>
    <w:p>
      <w:pPr>
        <w:pStyle w:val="Normal"/>
        <w:framePr w:w="13931" w:hAnchor="page" w:vAnchor="page" w:x="274" w:y="36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communities, promoting gender diversity and equality, and respecting the environment. The 2018-2020 roadmap set performance goals designed to</w:t>
      </w:r>
    </w:p>
    <w:p>
      <w:pPr>
        <w:pStyle w:val="Normal"/>
        <w:framePr w:w="13830" w:hAnchor="page" w:vAnchor="page" w:x="274" w:y="34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roadmap that sought to guide our efforts and focus our attention on these priorities. The roadmap focused on three aspirational objectives – supporting</w:t>
      </w:r>
    </w:p>
    <w:p>
      <w:pPr>
        <w:pStyle w:val="Normal"/>
        <w:framePr w:w="13840" w:hAnchor="page" w:vAnchor="page" w:x="274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We have been realizing these ambitions through measures that seek to hold us accountable. From 2018 to 2020, we utilized a three-year sustainability</w:t>
      </w:r>
    </w:p>
    <w:p>
      <w:pPr>
        <w:pStyle w:val="Normal"/>
        <w:framePr w:w="9074" w:hAnchor="page" w:vAnchor="page" w:x="274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support us in being responsible corporate citizens and drive our ambitions to be more sustainable.</w:t>
      </w:r>
    </w:p>
    <w:p>
      <w:pPr>
        <w:pStyle w:val="Normal"/>
        <w:framePr w:w="14084" w:hAnchor="page" w:vAnchor="page" w:x="274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and Foundational Beliefs provide the framework for all of our decision making. The three pillars of ESG – Environmental, Social, and Governance –</w:t>
      </w:r>
    </w:p>
    <w:p>
      <w:pPr>
        <w:pStyle w:val="Normal"/>
        <w:framePr w:w="14123" w:hAnchor="page" w:vAnchor="page" w:x="274" w:y="24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Our decisions regarding corporate responsibility, governance, and sustainability are founded on the principles that guide our Company. Our Core Values</w:t>
      </w:r>
    </w:p>
    <w:p>
      <w:pPr>
        <w:pStyle w:val="Normal"/>
        <w:framePr w:w="4840" w:hAnchor="page" w:vAnchor="page" w:x="274" w:y="1474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Governance</w:t>
      </w:r>
    </w:p>
    <w:p>
      <w:pPr>
        <w:pStyle w:val="Normal"/>
        <w:framePr w:w="9682" w:hAnchor="page" w:vAnchor="page" w:x="274" w:y="691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Environmental, Social, and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7pt;margin-top:1pt;z-index:-1677506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12.7pt;margin-top:425.6pt;z-index:-1677506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</w:p>
    <w:p>
      <w:pPr>
        <w:pStyle w:val="Normal"/>
        <w:framePr w:w="1631" w:hAnchor="page" w:vAnchor="page" w:x="274" w:y="802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  TechnipFMC</w:t>
      </w:r>
    </w:p>
    <w:p>
      <w:pPr>
        <w:pStyle w:val="Normal"/>
        <w:framePr w:w="3324" w:hAnchor="page" w:vAnchor="page" w:x="274" w:y="74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U.K. Annual Report and Accounts.</w:t>
      </w:r>
    </w:p>
    <w:p>
      <w:pPr>
        <w:pStyle w:val="Normal"/>
        <w:framePr w:w="14163" w:hAnchor="page" w:vAnchor="page" w:x="274" w:y="72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more detail on how each metric is measured and our progress in 2022,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Environmental, Social, and Governance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in our</w:t>
      </w:r>
    </w:p>
    <w:p>
      <w:pPr>
        <w:pStyle w:val="Normal"/>
        <w:framePr w:w="3937" w:hAnchor="page" w:vAnchor="page" w:x="274" w:y="68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  Metric shows against target and is annual</w:t>
      </w:r>
    </w:p>
    <w:p>
      <w:pPr>
        <w:pStyle w:val="Normal"/>
        <w:framePr w:w="4261" w:hAnchor="page" w:vAnchor="page" w:x="274" w:y="66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Metric shows against target and is cumulative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7pt;margin-top:1pt;z-index:-1677506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2.7pt;margin-top:417.05pt;z-index:-1677505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3.7pt;margin-top:31.85pt;z-index:-16775052;width:590.3pt;height:281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</w:p>
    <w:p>
      <w:pPr>
        <w:pStyle w:val="Normal"/>
        <w:framePr w:w="1631" w:hAnchor="page" w:vAnchor="page" w:x="274" w:y="143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   TechnipFMC</w:t>
      </w:r>
    </w:p>
    <w:p>
      <w:pPr>
        <w:pStyle w:val="Normal"/>
        <w:framePr w:w="8925" w:hAnchor="page" w:vAnchor="page" w:x="274" w:y="137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our ESG approach, we are informed by several important global frameworks described below.</w:t>
      </w:r>
    </w:p>
    <w:p>
      <w:pPr>
        <w:pStyle w:val="Normal"/>
        <w:framePr w:w="2868" w:hAnchor="page" w:vAnchor="page" w:x="274" w:y="133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Annual Report and Accounts.</w:t>
      </w:r>
    </w:p>
    <w:p>
      <w:pPr>
        <w:pStyle w:val="Normal"/>
        <w:framePr w:w="13149" w:hAnchor="page" w:vAnchor="page" w:x="274" w:y="131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more information on our ESG initiatives and programs,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Environmental, Social, and Governance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in our U.K.</w:t>
      </w:r>
    </w:p>
    <w:p>
      <w:pPr>
        <w:pStyle w:val="Normal"/>
        <w:framePr w:w="354" w:hAnchor="page" w:vAnchor="page" w:x="274" w:y="171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4" w:hAnchor="page" w:vAnchor="page" w:x="274" w:y="15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measurable progress toward our goals. A summary of our achievements is below.</w:t>
      </w:r>
    </w:p>
    <w:p>
      <w:pPr>
        <w:pStyle w:val="Normal"/>
        <w:framePr w:w="13844" w:hAnchor="page" w:vAnchor="page" w:x="274" w:y="13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internal expertise to advance tangible initiatives that could help us achieve our goals. In 2022, we have been able to capitalize on our structure to show</w:t>
      </w:r>
    </w:p>
    <w:p>
      <w:pPr>
        <w:pStyle w:val="Normal"/>
        <w:framePr w:w="13639" w:hAnchor="page" w:vAnchor="page" w:x="274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Scorecard has been important in driving our behavior. In 2021, our first year of measurement, we focused on program structure, and built on our</w:t>
      </w:r>
    </w:p>
    <w:p>
      <w:pPr>
        <w:pStyle w:val="Normal"/>
        <w:framePr w:w="4507" w:hAnchor="page" w:vAnchor="page" w:x="274" w:y="67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2022 ESG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7pt;margin-top:1pt;z-index:-1677504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12.7pt;margin-top:735.7pt;z-index:-167750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13.7pt;margin-top:95.9pt;z-index:-16775040;width:590.3pt;height:55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</w:p>
    <w:p>
      <w:pPr>
        <w:pStyle w:val="Normal"/>
        <w:framePr w:w="1631" w:hAnchor="page" w:vAnchor="page" w:x="274" w:y="67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  TechnipFMC</w:t>
      </w:r>
    </w:p>
    <w:p>
      <w:pPr>
        <w:pStyle w:val="Normal"/>
        <w:framePr w:w="7252" w:hAnchor="page" w:vAnchor="page" w:x="274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 Core Values and Foundational Beliefs and regulatory requirements.</w:t>
      </w:r>
    </w:p>
    <w:p>
      <w:pPr>
        <w:pStyle w:val="Normal"/>
        <w:framePr w:w="13463" w:hAnchor="page" w:vAnchor="page" w:x="274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change. We continue to proactively optimize our processes, particularly around risk management and measuring strategy resilience in line with our</w:t>
      </w:r>
    </w:p>
    <w:p>
      <w:pPr>
        <w:pStyle w:val="Normal"/>
        <w:framePr w:w="13752" w:hAnchor="page" w:vAnchor="page" w:x="274" w:y="57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society by disclosing clear, comparable, and consistent information, including in our Scorecard, about the risks and opportunities presented by climate</w:t>
      </w:r>
    </w:p>
    <w:p>
      <w:pPr>
        <w:pStyle w:val="Normal"/>
        <w:framePr w:w="13567" w:hAnchor="page" w:vAnchor="page" w:x="274" w:y="55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TechnipFMC is taking greater environmental responsibility, positioning ourselves as leaders, and playing our part in the journey to a net zero-carbon</w:t>
      </w:r>
    </w:p>
    <w:p>
      <w:pPr>
        <w:pStyle w:val="Normal"/>
        <w:framePr w:w="796" w:hAnchor="page" w:vAnchor="page" w:x="274" w:y="51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labels.</w:t>
      </w:r>
    </w:p>
    <w:p>
      <w:pPr>
        <w:pStyle w:val="Normal"/>
        <w:framePr w:w="13726" w:hAnchor="page" w:vAnchor="page" w:x="274" w:y="49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given their relevance to our business and sustainability strategy. The application of these SDGs throughout this section are identified by the SDG icon</w:t>
      </w:r>
    </w:p>
    <w:p>
      <w:pPr>
        <w:pStyle w:val="Normal"/>
        <w:framePr w:w="14150" w:hAnchor="page" w:vAnchor="page" w:x="274" w:y="47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prosperity by 2030. At TechnipFMC, our targets are designed to align with the UN SDGs for which we believe we can achieve the greatest positive impact,</w:t>
      </w:r>
    </w:p>
    <w:p>
      <w:pPr>
        <w:pStyle w:val="Normal"/>
        <w:framePr w:w="13747" w:hAnchor="page" w:vAnchor="page" w:x="274" w:y="45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UN’s 2030 Agenda for Sustainable Development and are aimed at ending poverty, protecting the planet, and ensuring that all people enjoy peace and</w:t>
      </w:r>
    </w:p>
    <w:p>
      <w:pPr>
        <w:pStyle w:val="Normal"/>
        <w:framePr w:w="13912" w:hAnchor="page" w:vAnchor="page" w:x="274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UN Global Compact is also a call for action to achieve its 17 Sustainable Development Goals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SDGs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 These societal goals are at the heart of the</w:t>
      </w:r>
    </w:p>
    <w:p>
      <w:pPr>
        <w:pStyle w:val="Normal"/>
        <w:framePr w:w="11187" w:hAnchor="page" w:vAnchor="page" w:x="274" w:y="39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areas of Human Rights, Labor, Environment, and Anti-Corruption into our business strategy, culture, and daily operations.</w:t>
      </w:r>
    </w:p>
    <w:p>
      <w:pPr>
        <w:pStyle w:val="Normal"/>
        <w:framePr w:w="13501" w:hAnchor="page" w:vAnchor="page" w:x="274" w:y="37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TechnipFMC supports the Ten Principles of the United Nations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UN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Global Compact. We integrate the UN Global Compact’s ten principles in the</w:t>
      </w:r>
    </w:p>
    <w:p>
      <w:pPr>
        <w:pStyle w:val="Normal"/>
        <w:framePr w:w="6406" w:hAnchor="page" w:vAnchor="page" w:x="274" w:y="446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UN Global Compact Alignment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7pt;margin-top:1pt;z-index:-1677503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12.7pt;margin-top:353.75pt;z-index:-167750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13.7pt;margin-top:54.65pt;z-index:-16775028;width:590.3pt;height:12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</w:p>
    <w:p>
      <w:pPr>
        <w:pStyle w:val="Normal"/>
        <w:framePr w:w="1631" w:hAnchor="page" w:vAnchor="page" w:x="274" w:y="1452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13  TechnipFMC</w:t>
      </w:r>
    </w:p>
    <w:p>
      <w:pPr>
        <w:pStyle w:val="Normal"/>
        <w:framePr w:w="1946" w:hAnchor="page" w:vAnchor="page" w:x="274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areas of oversight. </w:t>
      </w:r>
    </w:p>
    <w:p>
      <w:pPr>
        <w:pStyle w:val="Normal"/>
        <w:framePr w:w="14151" w:hAnchor="page" w:vAnchor="page" w:x="274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 to oversight by the ESG Committee, the Audit and Compensation and Talent Committees also oversee certain ESG matters that align with their</w:t>
      </w:r>
    </w:p>
    <w:p>
      <w:pPr>
        <w:pStyle w:val="Normal"/>
        <w:framePr w:w="10412" w:hAnchor="page" w:vAnchor="page" w:x="430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Reviewing the Company’s engagement with stakeholders and public disclosures with respect to ESG matters.</w:t>
      </w:r>
    </w:p>
    <w:p>
      <w:pPr>
        <w:pStyle w:val="Normal"/>
        <w:framePr w:w="1809" w:hAnchor="page" w:vAnchor="page" w:x="658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performance; and</w:t>
      </w:r>
    </w:p>
    <w:p>
      <w:pPr>
        <w:pStyle w:val="Normal"/>
        <w:framePr w:w="13274" w:hAnchor="page" w:vAnchor="page" w:x="430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Reviewing and monitoring the development and implementation of targets, standards, metrics, or methodologies to track the Company’s ESG</w:t>
      </w:r>
    </w:p>
    <w:p>
      <w:pPr>
        <w:pStyle w:val="Normal"/>
        <w:framePr w:w="11064" w:hAnchor="page" w:vAnchor="page" w:x="430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Environmental stewardship, responsible investment, corporate citizenship, human rights, and ESG risk management;</w:t>
      </w:r>
    </w:p>
    <w:p>
      <w:pPr>
        <w:pStyle w:val="Normal"/>
        <w:framePr w:w="12476" w:hAnchor="page" w:vAnchor="page" w:x="27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”), which, as set forth in its charter, has principal responsibility of overseeing ESG matters. These areas of oversight include:</w:t>
      </w:r>
    </w:p>
    <w:p>
      <w:pPr>
        <w:pStyle w:val="Normal"/>
        <w:framePr w:w="14064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Board members participate in oversight of ESG matters. Oversight is concentrated in the Environmental, Social, and Governance Committee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ESG</w:t>
      </w:r>
    </w:p>
    <w:p>
      <w:pPr>
        <w:pStyle w:val="Normal"/>
        <w:framePr w:w="2310" w:hAnchor="page" w:vAnchor="page" w:x="274" w:y="156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000053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000053"/>
          <w:w w:val="100"/>
          <w:sz w:val="25"/>
          <w:szCs w:val="25"/>
        </w:rPr>
        <w:t xml:space="preserve">Board Oversight </w:t>
      </w:r>
    </w:p>
    <w:p>
      <w:pPr>
        <w:pStyle w:val="Normal"/>
        <w:framePr w:w="4409" w:hAnchor="page" w:vAnchor="page" w:x="274" w:y="901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Governance Matters</w:t>
      </w:r>
    </w:p>
    <w:p>
      <w:pPr>
        <w:pStyle w:val="Normal"/>
        <w:framePr w:w="8647" w:hAnchor="page" w:vAnchor="page" w:x="274" w:y="446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Governance of Environmental, Social, and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7pt;margin-top:1pt;z-index:-167750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2.7pt;margin-top:742.1pt;z-index:-167750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0.1pt;margin-top:222.5pt;z-index:-16775016;width:568.95pt;height:479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</w:p>
    <w:p>
      <w:pPr>
        <w:pStyle w:val="Normal"/>
        <w:framePr w:w="1631" w:hAnchor="page" w:vAnchor="page" w:x="274" w:y="33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14  TechnipFMC</w:t>
      </w:r>
    </w:p>
    <w:p>
      <w:pPr>
        <w:pStyle w:val="Normal"/>
        <w:framePr w:w="3893" w:hAnchor="page" w:vAnchor="page" w:x="274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our U.K. Annual Report and Accounts.</w:t>
      </w:r>
    </w:p>
    <w:p>
      <w:pPr>
        <w:pStyle w:val="Normal"/>
        <w:framePr w:w="13719" w:hAnchor="page" w:vAnchor="page" w:x="274" w:y="23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more information on other internal ESG-related groups,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Environmental, Social, and Governance – Environmental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</w:t>
      </w:r>
    </w:p>
    <w:p>
      <w:pPr>
        <w:pStyle w:val="Normal"/>
        <w:framePr w:w="990" w:hAnchor="page" w:vAnchor="page" w:x="274" w:y="19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strategy.</w:t>
      </w:r>
    </w:p>
    <w:p>
      <w:pPr>
        <w:pStyle w:val="Normal"/>
        <w:framePr w:w="13958" w:hAnchor="page" w:vAnchor="page" w:x="274" w:y="17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updates and provides guidance to subject-matter experts in each of the ESG pillars that coordinate activity across the Company that underpins our ESG</w:t>
      </w:r>
    </w:p>
    <w:p>
      <w:pPr>
        <w:pStyle w:val="Normal"/>
        <w:framePr w:w="14002" w:hAnchor="page" w:vAnchor="page" w:x="274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methodologies to achieve our ESG goals and publication of our external communication on ESG topics. The ESG Steering Committee regularly receives</w:t>
      </w:r>
    </w:p>
    <w:p>
      <w:pPr>
        <w:pStyle w:val="Normal"/>
        <w:framePr w:w="13366" w:hAnchor="page" w:vAnchor="page" w:x="274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direction and long-term strategy to achieve our ESG-related plans, the development and implementation of targets, standards, and metrics, or</w:t>
      </w:r>
    </w:p>
    <w:p>
      <w:pPr>
        <w:pStyle w:val="Normal"/>
        <w:framePr w:w="14036" w:hAnchor="page" w:vAnchor="page" w:x="274" w:y="11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initiatives toward corporate responsibility and sustainability and actions to further those initiatives. The ESG Steering Committee is responsible for setting</w:t>
      </w:r>
    </w:p>
    <w:p>
      <w:pPr>
        <w:pStyle w:val="Normal"/>
        <w:framePr w:w="13353" w:hAnchor="page" w:vAnchor="page" w:x="274" w:y="9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members of the executive leadership team directly responsible for various aspects of the ESG program, is responsible for the specific Company’s</w:t>
      </w:r>
    </w:p>
    <w:p>
      <w:pPr>
        <w:pStyle w:val="Normal"/>
        <w:framePr w:w="13893" w:hAnchor="page" w:vAnchor="page" w:x="274" w:y="7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TechnipFMC’s Executive Leadership Team sets the overall direction and approach toward our ESG efforts. The ESG Steering Committee, composed of</w:t>
      </w:r>
    </w:p>
    <w:p>
      <w:pPr>
        <w:pStyle w:val="Normal"/>
        <w:framePr w:w="3907" w:hAnchor="page" w:vAnchor="page" w:x="274" w:y="445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  <w:t xml:space="preserve">Management-Level Oversight 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7pt;margin-top:1pt;z-index:-1677501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2.7pt;margin-top:184.5pt;z-index:-1677500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</w:p>
    <w:p>
      <w:pPr>
        <w:pStyle w:val="Normal"/>
        <w:framePr w:w="1631" w:hAnchor="page" w:vAnchor="page" w:x="274" w:y="122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15  TechnipFMC</w:t>
      </w:r>
    </w:p>
    <w:p>
      <w:pPr>
        <w:pStyle w:val="Normal"/>
        <w:framePr w:w="354" w:hAnchor="page" w:vAnchor="page" w:x="274" w:y="1202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84" w:hAnchor="page" w:vAnchor="page" w:x="274" w:y="35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director nominees demonstrate a broad range of skills, experience, perspective, and diversity.</w:t>
      </w:r>
    </w:p>
    <w:p>
      <w:pPr>
        <w:pStyle w:val="Normal"/>
        <w:framePr w:w="2504" w:hAnchor="page" w:vAnchor="page" w:x="274" w:y="323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 xml:space="preserve">Board highlights </w:t>
      </w:r>
    </w:p>
    <w:p>
      <w:pPr>
        <w:pStyle w:val="Normal"/>
        <w:framePr w:w="3403" w:hAnchor="page" w:vAnchor="page" w:x="274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Director Nominees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below.</w:t>
      </w:r>
    </w:p>
    <w:p>
      <w:pPr>
        <w:pStyle w:val="Normal"/>
        <w:framePr w:w="14182" w:hAnchor="page" w:vAnchor="page" w:x="274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indicates each director nominee’s the key qualifications and pertinent information. Detailed biographies for each of our director nominees are in the section</w:t>
      </w:r>
    </w:p>
    <w:p>
      <w:pPr>
        <w:pStyle w:val="Normal"/>
        <w:framePr w:w="13491" w:hAnchor="page" w:vAnchor="page" w:x="274" w:y="24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Upon the recommendation of the ESG Committee, the Board nominates the candidates below for election at the Annual Meeting. The matrix below</w:t>
      </w:r>
    </w:p>
    <w:p>
      <w:pPr>
        <w:pStyle w:val="Normal"/>
        <w:framePr w:w="2275" w:hAnchor="page" w:vAnchor="page" w:x="274" w:y="22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3753" w:hAnchor="page" w:vAnchor="page" w:x="274" w:y="1260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Directors</w:t>
      </w:r>
    </w:p>
    <w:p>
      <w:pPr>
        <w:pStyle w:val="Normal"/>
        <w:framePr w:w="9014" w:hAnchor="page" w:vAnchor="page" w:x="274" w:y="47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1 — Election of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7pt;margin-top:1pt;z-index:-167750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12.7pt;margin-top:628.3pt;z-index:-1677500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3.7pt;margin-top:196.15pt;z-index:-16774996;width:590.3pt;height:39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</w:p>
    <w:p>
      <w:pPr>
        <w:pStyle w:val="Normal"/>
        <w:framePr w:w="1631" w:hAnchor="page" w:vAnchor="page" w:x="274" w:y="900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16  TechnipFMC</w:t>
      </w:r>
    </w:p>
    <w:p>
      <w:pPr>
        <w:pStyle w:val="Normal"/>
        <w:framePr w:w="7228" w:hAnchor="page" w:vAnchor="page" w:x="644" w:y="84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Annual Meeting. Upon his appointment, he will no longer serve on the Audit Committee.</w:t>
      </w:r>
    </w:p>
    <w:p>
      <w:pPr>
        <w:pStyle w:val="Normal"/>
        <w:framePr w:w="13345" w:hAnchor="page" w:vAnchor="page" w:x="644" w:y="82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at the 2023 Annual Meeting. The Board expects to appoint Mr. Carvalho Filho to the ESG Committee and as Chair of the ESG Committee as of the date of the 2023</w:t>
      </w:r>
    </w:p>
    <w:p>
      <w:pPr>
        <w:pStyle w:val="Normal"/>
        <w:framePr w:w="14172" w:hAnchor="page" w:vAnchor="page" w:x="274" w:y="80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   As of the date of this Proxy Statement, Mr. Peter Mellbye is the Chair of the ESG Committee. Mr. Mellbye has informed the Company that he will not stand for re-election</w:t>
      </w:r>
    </w:p>
    <w:p>
      <w:pPr>
        <w:pStyle w:val="Normal"/>
        <w:framePr w:w="10402" w:hAnchor="page" w:vAnchor="page" w:x="274" w:y="78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All members of the Audit Committee are “audit committee financial experts” as defined by the applicable rules of the SEC.</w:t>
      </w:r>
    </w:p>
    <w:p>
      <w:pPr>
        <w:pStyle w:val="Normal"/>
        <w:framePr w:w="2971" w:hAnchor="page" w:vAnchor="page" w:x="406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Gender Diversity (Female or Male)</w:t>
      </w:r>
    </w:p>
    <w:p>
      <w:pPr>
        <w:pStyle w:val="Normal"/>
        <w:framePr w:w="332" w:hAnchor="page" w:vAnchor="page" w:x="4841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</w:t>
      </w:r>
    </w:p>
    <w:p>
      <w:pPr>
        <w:pStyle w:val="Normal"/>
        <w:framePr w:w="291" w:hAnchor="page" w:vAnchor="page" w:x="5697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</w:t>
      </w:r>
    </w:p>
    <w:p>
      <w:pPr>
        <w:pStyle w:val="Normal"/>
        <w:framePr w:w="332" w:hAnchor="page" w:vAnchor="page" w:x="6491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</w:t>
      </w:r>
    </w:p>
    <w:p>
      <w:pPr>
        <w:pStyle w:val="Normal"/>
        <w:framePr w:w="332" w:hAnchor="page" w:vAnchor="page" w:x="7301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</w:t>
      </w:r>
    </w:p>
    <w:p>
      <w:pPr>
        <w:pStyle w:val="Normal"/>
        <w:framePr w:w="332" w:hAnchor="page" w:vAnchor="page" w:x="8112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</w:t>
      </w:r>
    </w:p>
    <w:p>
      <w:pPr>
        <w:pStyle w:val="Normal"/>
        <w:framePr w:w="291" w:hAnchor="page" w:vAnchor="page" w:x="8940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</w:t>
      </w:r>
    </w:p>
    <w:p>
      <w:pPr>
        <w:pStyle w:val="Normal"/>
        <w:framePr w:w="291" w:hAnchor="page" w:vAnchor="page" w:x="9751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</w:t>
      </w:r>
    </w:p>
    <w:p>
      <w:pPr>
        <w:pStyle w:val="Normal"/>
        <w:framePr w:w="332" w:hAnchor="page" w:vAnchor="page" w:x="10573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</w:t>
      </w:r>
    </w:p>
    <w:p>
      <w:pPr>
        <w:pStyle w:val="Normal"/>
        <w:framePr w:w="291" w:hAnchor="page" w:vAnchor="page" w:x="11472" w:y="74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</w:t>
      </w:r>
    </w:p>
    <w:p>
      <w:pPr>
        <w:pStyle w:val="Normal"/>
        <w:framePr w:w="1940" w:hAnchor="page" w:vAnchor="page" w:x="406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Board Tenure (Years)</w:t>
      </w:r>
    </w:p>
    <w:p>
      <w:pPr>
        <w:pStyle w:val="Normal"/>
        <w:framePr w:w="281" w:hAnchor="page" w:vAnchor="page" w:x="4862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</w:t>
      </w:r>
    </w:p>
    <w:p>
      <w:pPr>
        <w:pStyle w:val="Normal"/>
        <w:framePr w:w="281" w:hAnchor="page" w:vAnchor="page" w:x="5701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</w:t>
      </w:r>
    </w:p>
    <w:p>
      <w:pPr>
        <w:pStyle w:val="Normal"/>
        <w:framePr w:w="281" w:hAnchor="page" w:vAnchor="page" w:x="6512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</w:t>
      </w:r>
    </w:p>
    <w:p>
      <w:pPr>
        <w:pStyle w:val="Normal"/>
        <w:framePr w:w="387" w:hAnchor="page" w:vAnchor="page" w:x="7278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&lt;1</w:t>
      </w:r>
    </w:p>
    <w:p>
      <w:pPr>
        <w:pStyle w:val="Normal"/>
        <w:framePr w:w="281" w:hAnchor="page" w:vAnchor="page" w:x="8133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</w:t>
      </w:r>
    </w:p>
    <w:p>
      <w:pPr>
        <w:pStyle w:val="Normal"/>
        <w:framePr w:w="281" w:hAnchor="page" w:vAnchor="page" w:x="8944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</w:t>
      </w:r>
    </w:p>
    <w:p>
      <w:pPr>
        <w:pStyle w:val="Normal"/>
        <w:framePr w:w="281" w:hAnchor="page" w:vAnchor="page" w:x="9755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</w:t>
      </w:r>
    </w:p>
    <w:p>
      <w:pPr>
        <w:pStyle w:val="Normal"/>
        <w:framePr w:w="281" w:hAnchor="page" w:vAnchor="page" w:x="10594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</w:t>
      </w:r>
    </w:p>
    <w:p>
      <w:pPr>
        <w:pStyle w:val="Normal"/>
        <w:framePr w:w="281" w:hAnchor="page" w:vAnchor="page" w:x="11476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</w:t>
      </w:r>
    </w:p>
    <w:p>
      <w:pPr>
        <w:pStyle w:val="Normal"/>
        <w:framePr w:w="1151" w:hAnchor="page" w:vAnchor="page" w:x="406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Age (Years)</w:t>
      </w:r>
    </w:p>
    <w:p>
      <w:pPr>
        <w:pStyle w:val="Normal"/>
        <w:framePr w:w="382" w:hAnchor="page" w:vAnchor="page" w:x="4820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59</w:t>
      </w:r>
    </w:p>
    <w:p>
      <w:pPr>
        <w:pStyle w:val="Normal"/>
        <w:framePr w:w="382" w:hAnchor="page" w:vAnchor="page" w:x="5659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64</w:t>
      </w:r>
    </w:p>
    <w:p>
      <w:pPr>
        <w:pStyle w:val="Normal"/>
        <w:framePr w:w="382" w:hAnchor="page" w:vAnchor="page" w:x="6470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65</w:t>
      </w:r>
    </w:p>
    <w:p>
      <w:pPr>
        <w:pStyle w:val="Normal"/>
        <w:framePr w:w="382" w:hAnchor="page" w:vAnchor="page" w:x="7280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59</w:t>
      </w:r>
    </w:p>
    <w:p>
      <w:pPr>
        <w:pStyle w:val="Normal"/>
        <w:framePr w:w="382" w:hAnchor="page" w:vAnchor="page" w:x="8091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67</w:t>
      </w:r>
    </w:p>
    <w:p>
      <w:pPr>
        <w:pStyle w:val="Normal"/>
        <w:framePr w:w="382" w:hAnchor="page" w:vAnchor="page" w:x="8902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64</w:t>
      </w:r>
    </w:p>
    <w:p>
      <w:pPr>
        <w:pStyle w:val="Normal"/>
        <w:framePr w:w="382" w:hAnchor="page" w:vAnchor="page" w:x="9713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67</w:t>
      </w:r>
    </w:p>
    <w:p>
      <w:pPr>
        <w:pStyle w:val="Normal"/>
        <w:framePr w:w="382" w:hAnchor="page" w:vAnchor="page" w:x="10552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63</w:t>
      </w:r>
    </w:p>
    <w:p>
      <w:pPr>
        <w:pStyle w:val="Normal"/>
        <w:framePr w:w="382" w:hAnchor="page" w:vAnchor="page" w:x="11434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56</w:t>
      </w:r>
    </w:p>
    <w:p>
      <w:pPr>
        <w:pStyle w:val="Normal"/>
        <w:framePr w:w="2765" w:hAnchor="page" w:vAnchor="page" w:x="421" w:y="67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Demographic Background</w:t>
      </w:r>
    </w:p>
    <w:p>
      <w:pPr>
        <w:pStyle w:val="Normal"/>
        <w:framePr w:w="637" w:hAnchor="page" w:vAnchor="page" w:x="421" w:y="640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ESG</w:t>
      </w:r>
      <w:r>
        <w:rPr>
          <w:rFonts w:ascii="TYIFDT+ArialMT" w:hAnsi="TYIFDT+ArialMT" w:fareast="TYIFDT+ArialMT" w:cs="TYIFDT+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404" w:hAnchor="page" w:vAnchor="page" w:x="8925" w:y="637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75" w:y="637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605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605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1353" w:hAnchor="page" w:vAnchor="page" w:x="406" w:y="610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Compensation</w:t>
      </w:r>
    </w:p>
    <w:p>
      <w:pPr>
        <w:pStyle w:val="Normal"/>
        <w:framePr w:w="615" w:hAnchor="page" w:vAnchor="page" w:x="7994" w:y="605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Chair</w:t>
      </w:r>
    </w:p>
    <w:p>
      <w:pPr>
        <w:pStyle w:val="Normal"/>
        <w:framePr w:w="667" w:hAnchor="page" w:vAnchor="page" w:x="406" w:y="575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Audit</w:t>
      </w:r>
      <w:r>
        <w:rPr>
          <w:rFonts w:ascii="TYIFDT+ArialMT" w:hAnsi="TYIFDT+ArialMT" w:fareast="TYIFDT+ArialMT" w:cs="TYIFDT+ArialMT"/>
          <w:color w:val="000000"/>
          <w:w w:val="100"/>
          <w:sz w:val="13"/>
          <w:szCs w:val="13"/>
        </w:rPr>
        <w:t>1</w:t>
      </w:r>
    </w:p>
    <w:p>
      <w:pPr>
        <w:pStyle w:val="Normal"/>
        <w:framePr w:w="404" w:hAnchor="page" w:vAnchor="page" w:x="6485" w:y="572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572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615" w:hAnchor="page" w:vAnchor="page" w:x="9616" w:y="577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Chair</w:t>
      </w:r>
    </w:p>
    <w:p>
      <w:pPr>
        <w:pStyle w:val="Normal"/>
        <w:framePr w:w="365" w:hAnchor="page" w:vAnchor="page" w:x="11461" w:y="574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  <w:t>●</w:t>
      </w:r>
    </w:p>
    <w:p>
      <w:pPr>
        <w:pStyle w:val="Normal"/>
        <w:framePr w:w="2526" w:hAnchor="page" w:vAnchor="page" w:x="421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Committee Membership</w:t>
      </w:r>
    </w:p>
    <w:p>
      <w:pPr>
        <w:pStyle w:val="Normal"/>
        <w:framePr w:w="2638" w:hAnchor="page" w:vAnchor="page" w:x="999" w:y="521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Other Public Company Boards</w:t>
      </w:r>
    </w:p>
    <w:p>
      <w:pPr>
        <w:pStyle w:val="Normal"/>
        <w:framePr w:w="281" w:hAnchor="page" w:vAnchor="page" w:x="4862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0</w:t>
      </w:r>
    </w:p>
    <w:p>
      <w:pPr>
        <w:pStyle w:val="Normal"/>
        <w:framePr w:w="281" w:hAnchor="page" w:vAnchor="page" w:x="5708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</w:t>
      </w:r>
    </w:p>
    <w:p>
      <w:pPr>
        <w:pStyle w:val="Normal"/>
        <w:framePr w:w="281" w:hAnchor="page" w:vAnchor="page" w:x="6512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</w:t>
      </w:r>
    </w:p>
    <w:p>
      <w:pPr>
        <w:pStyle w:val="Normal"/>
        <w:framePr w:w="281" w:hAnchor="page" w:vAnchor="page" w:x="7330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</w:t>
      </w:r>
    </w:p>
    <w:p>
      <w:pPr>
        <w:pStyle w:val="Normal"/>
        <w:framePr w:w="281" w:hAnchor="page" w:vAnchor="page" w:x="8133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0</w:t>
      </w:r>
    </w:p>
    <w:p>
      <w:pPr>
        <w:pStyle w:val="Normal"/>
        <w:framePr w:w="281" w:hAnchor="page" w:vAnchor="page" w:x="8951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</w:t>
      </w:r>
    </w:p>
    <w:p>
      <w:pPr>
        <w:pStyle w:val="Normal"/>
        <w:framePr w:w="281" w:hAnchor="page" w:vAnchor="page" w:x="9755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</w:t>
      </w:r>
    </w:p>
    <w:p>
      <w:pPr>
        <w:pStyle w:val="Normal"/>
        <w:framePr w:w="281" w:hAnchor="page" w:vAnchor="page" w:x="10594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</w:t>
      </w:r>
    </w:p>
    <w:p>
      <w:pPr>
        <w:pStyle w:val="Normal"/>
        <w:framePr w:w="281" w:hAnchor="page" w:vAnchor="page" w:x="11476" w:y="51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</w:t>
      </w:r>
    </w:p>
    <w:p>
      <w:pPr>
        <w:pStyle w:val="Normal"/>
        <w:framePr w:w="1879" w:hAnchor="page" w:vAnchor="page" w:x="985" w:y="487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Independent Director</w:t>
      </w:r>
    </w:p>
    <w:p>
      <w:pPr>
        <w:pStyle w:val="Normal"/>
        <w:framePr w:w="404" w:hAnchor="page" w:vAnchor="page" w:x="5674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477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2587" w:hAnchor="page" w:vAnchor="page" w:x="985" w:y="45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Finance/Accounting Expertise</w:t>
      </w:r>
    </w:p>
    <w:p>
      <w:pPr>
        <w:pStyle w:val="Normal"/>
        <w:framePr w:w="404" w:hAnchor="page" w:vAnchor="page" w:x="4835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443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3214" w:hAnchor="page" w:vAnchor="page" w:x="985" w:y="41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Sustainability/Emerging Technologies</w:t>
      </w:r>
    </w:p>
    <w:p>
      <w:pPr>
        <w:pStyle w:val="Normal"/>
        <w:framePr w:w="404" w:hAnchor="page" w:vAnchor="page" w:x="4835" w:y="408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408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408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408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408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408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2193" w:hAnchor="page" w:vAnchor="page" w:x="985" w:y="38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Executive Compensation</w:t>
      </w:r>
    </w:p>
    <w:p>
      <w:pPr>
        <w:pStyle w:val="Normal"/>
        <w:framePr w:w="404" w:hAnchor="page" w:vAnchor="page" w:x="4835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3747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1667" w:hAnchor="page" w:vAnchor="page" w:x="985" w:y="35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Governance/Legal</w:t>
      </w:r>
    </w:p>
    <w:p>
      <w:pPr>
        <w:pStyle w:val="Normal"/>
        <w:framePr w:w="404" w:hAnchor="page" w:vAnchor="page" w:x="4835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340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2921" w:hAnchor="page" w:vAnchor="page" w:x="985" w:y="31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Strategy, M&amp;A, Risk Management</w:t>
      </w:r>
    </w:p>
    <w:p>
      <w:pPr>
        <w:pStyle w:val="Normal"/>
        <w:framePr w:w="404" w:hAnchor="page" w:vAnchor="page" w:x="4835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3064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3882" w:hAnchor="page" w:vAnchor="page" w:x="985" w:y="28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International Experience/Geographic Diversity</w:t>
      </w:r>
    </w:p>
    <w:p>
      <w:pPr>
        <w:pStyle w:val="Normal"/>
        <w:framePr w:w="404" w:hAnchor="page" w:vAnchor="page" w:x="4835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2723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1839" w:hAnchor="page" w:vAnchor="page" w:x="985" w:y="24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Oil and Gas Industry</w:t>
      </w:r>
    </w:p>
    <w:p>
      <w:pPr>
        <w:pStyle w:val="Normal"/>
        <w:framePr w:w="404" w:hAnchor="page" w:vAnchor="page" w:x="4835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2381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2466" w:hAnchor="page" w:vAnchor="page" w:x="985" w:y="214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Executive/Board Experience</w:t>
      </w:r>
    </w:p>
    <w:p>
      <w:pPr>
        <w:pStyle w:val="Normal"/>
        <w:framePr w:w="404" w:hAnchor="page" w:vAnchor="page" w:x="4835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2040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2506" w:hAnchor="page" w:vAnchor="page" w:x="985" w:y="18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Public Company Perspective</w:t>
      </w:r>
    </w:p>
    <w:p>
      <w:pPr>
        <w:pStyle w:val="Normal"/>
        <w:framePr w:w="404" w:hAnchor="page" w:vAnchor="page" w:x="4835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5674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6485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7296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107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8918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9728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0568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404" w:hAnchor="page" w:vAnchor="page" w:x="11449" w:y="1698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</w:pPr>
      <w:r>
        <w:rPr>
          <w:rFonts w:ascii="TYIFDT+ArialMT" w:hAnsi="TYIFDT+ArialMT" w:fareast="TYIFDT+ArialMT" w:cs="TYIFDT+ArialMT"/>
          <w:color w:val="000000"/>
          <w:w w:val="100"/>
          <w:sz w:val="23"/>
          <w:szCs w:val="23"/>
        </w:rPr>
        <w:t>●</w:t>
      </w:r>
    </w:p>
    <w:p>
      <w:pPr>
        <w:pStyle w:val="Normal"/>
        <w:framePr w:w="693" w:hAnchor="page" w:vAnchor="page" w:x="6350" w:y="14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Filho</w:t>
      </w:r>
    </w:p>
    <w:p>
      <w:pPr>
        <w:pStyle w:val="Normal"/>
        <w:framePr w:w="3448" w:hAnchor="page" w:vAnchor="page" w:x="406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Skills, Experience, and Attributes</w:t>
      </w:r>
    </w:p>
    <w:p>
      <w:pPr>
        <w:pStyle w:val="Normal"/>
        <w:framePr w:w="1997" w:hAnchor="page" w:vAnchor="page" w:x="4501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Pferdehirt  Farley</w:t>
      </w:r>
    </w:p>
    <w:p>
      <w:pPr>
        <w:pStyle w:val="Normal"/>
        <w:framePr w:w="5934" w:hAnchor="page" w:vAnchor="page" w:x="7156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Gwin    O’Leary   Øvrum   Priestly Yearwood Zurquiyah</w:t>
      </w:r>
    </w:p>
    <w:p>
      <w:pPr>
        <w:pStyle w:val="Normal"/>
        <w:framePr w:w="1081" w:hAnchor="page" w:vAnchor="page" w:x="6189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Carvalho</w:t>
      </w:r>
    </w:p>
    <w:p>
      <w:pPr>
        <w:pStyle w:val="Normal"/>
        <w:framePr w:w="4570" w:hAnchor="page" w:vAnchor="page" w:x="274" w:y="65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Skills, Experience, and Attributes</w:t>
      </w:r>
    </w:p>
    <w:p>
      <w:pPr>
        <w:pStyle w:val="Normal"/>
        <w:framePr w:w="3213" w:hAnchor="page" w:vAnchor="page" w:x="274" w:y="2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7pt;margin-top:1pt;z-index:-167749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2.7pt;margin-top:56.45pt;z-index:-16774988;width:211.8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22.5pt;margin-top:56.45pt;z-index:-16774984;width:45.4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265.9pt;margin-top:56.45pt;z-index:-16774980;width:42.5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06.4pt;margin-top:56.45pt;z-index:-16774976;width:42.5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46.95pt;margin-top:56.45pt;z-index:-16774972;width:42.5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87.5pt;margin-top:56.45pt;z-index:-16774968;width:42.5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28.05pt;margin-top:56.45pt;z-index:-16774964;width:42.5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68.6pt;margin-top:56.45pt;z-index:-16774960;width:42.5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509.1pt;margin-top:56.45pt;z-index:-16774956;width:45.4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52.5pt;margin-top:56.45pt;z-index:-16774952;width:46.8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12.7pt;margin-top:269.15pt;z-index:-16774948;width:586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2.7pt;margin-top:331.7pt;z-index:-16774944;width:586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222.5pt;margin-top:81.35pt;z-index:-1677494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06.4pt;margin-top:81.35pt;z-index:-1677493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87.5pt;margin-top:81.35pt;z-index:-1677493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68.6pt;margin-top:81.35pt;z-index:-1677492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52.5pt;margin-top:81.35pt;z-index:-1677492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222.5pt;margin-top:98.45pt;z-index:-1677492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06.4pt;margin-top:98.45pt;z-index:-1677491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87.5pt;margin-top:98.45pt;z-index:-1677491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468.6pt;margin-top:98.45pt;z-index:-1677490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52.5pt;margin-top:98.45pt;z-index:-1677490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222.5pt;margin-top:115.5pt;z-index:-1677490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06.4pt;margin-top:115.5pt;z-index:-1677489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87.5pt;margin-top:115.5pt;z-index:-1677489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68.6pt;margin-top:115.5pt;z-index:-1677488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52.5pt;margin-top:115.5pt;z-index:-1677488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22.5pt;margin-top:132.55pt;z-index:-1677488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306.4pt;margin-top:132.55pt;z-index:-1677487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387.5pt;margin-top:132.55pt;z-index:-1677487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68.6pt;margin-top:132.55pt;z-index:-1677486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52.5pt;margin-top:132.55pt;z-index:-1677486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222.5pt;margin-top:149.65pt;z-index:-1677486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06.4pt;margin-top:149.65pt;z-index:-1677485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87.5pt;margin-top:149.65pt;z-index:-1677485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468.6pt;margin-top:149.65pt;z-index:-1677484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52.5pt;margin-top:149.65pt;z-index:-1677484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222.5pt;margin-top:166.7pt;z-index:-1677484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06.4pt;margin-top:166.7pt;z-index:-1677483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387.5pt;margin-top:166.7pt;z-index:-1677483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468.6pt;margin-top:166.7pt;z-index:-1677482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52.5pt;margin-top:166.7pt;z-index:-1677482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222.5pt;margin-top:183.8pt;z-index:-1677482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06.4pt;margin-top:183.8pt;z-index:-1677481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387.5pt;margin-top:183.8pt;z-index:-1677481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468.6pt;margin-top:183.8pt;z-index:-1677480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52.5pt;margin-top:183.8pt;z-index:-1677480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222.5pt;margin-top:200.85pt;z-index:-1677480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06.4pt;margin-top:200.85pt;z-index:-1677479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87.5pt;margin-top:200.85pt;z-index:-1677479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68.6pt;margin-top:200.85pt;z-index:-1677478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52.5pt;margin-top:200.85pt;z-index:-1677478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222.5pt;margin-top:217.9pt;z-index:-1677478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06.4pt;margin-top:217.9pt;z-index:-1677477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87.5pt;margin-top:217.9pt;z-index:-1677477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68.6pt;margin-top:217.9pt;z-index:-1677476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52.5pt;margin-top:217.9pt;z-index:-1677476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222.5pt;margin-top:235pt;z-index:-1677476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306.4pt;margin-top:235pt;z-index:-1677475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387.5pt;margin-top:235pt;z-index:-1677475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68.6pt;margin-top:235pt;z-index:-1677474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52.5pt;margin-top:235pt;z-index:-1677474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222.5pt;margin-top:252.05pt;z-index:-16774740;width:45.4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06.4pt;margin-top:252.05pt;z-index:-16774736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87.5pt;margin-top:252.05pt;z-index:-16774732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68.6pt;margin-top:252.05pt;z-index:-16774728;width:42.5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52.5pt;margin-top:252.05pt;z-index:-16774724;width:4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222.5pt;margin-top:282.65pt;z-index:-16774720;width:45.4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306.4pt;margin-top:282.65pt;z-index:-16774716;width:42.5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387.5pt;margin-top:282.65pt;z-index:-16774712;width:42.5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68.6pt;margin-top:282.65pt;z-index:-16774708;width:42.5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52.5pt;margin-top:282.65pt;z-index:-16774704;width:46.8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22.5pt;margin-top:299pt;z-index:-16774700;width:45.4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306.4pt;margin-top:299pt;z-index:-16774696;width:42.55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387.5pt;margin-top:299pt;z-index:-16774692;width:42.55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468.6pt;margin-top:299pt;z-index:-16774688;width:42.55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52.5pt;margin-top:299pt;z-index:-16774684;width:46.8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222.5pt;margin-top:345.25pt;z-index:-16774680;width:45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306.4pt;margin-top:345.25pt;z-index:-16774676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87.5pt;margin-top:345.25pt;z-index:-16774672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468.6pt;margin-top:345.25pt;z-index:-16774668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52.5pt;margin-top:345.25pt;z-index:-16774664;width:46.8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222.5pt;margin-top:357.3pt;z-index:-16774660;width:45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06.4pt;margin-top:357.3pt;z-index:-16774656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87.5pt;margin-top:357.3pt;z-index:-16774652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68.6pt;margin-top:357.3pt;z-index:-16774648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52.5pt;margin-top:357.3pt;z-index:-16774644;width:46.8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222.5pt;margin-top:369.4pt;z-index:-16774640;width:45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06.4pt;margin-top:369.4pt;z-index:-16774636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87.5pt;margin-top:369.4pt;z-index:-16774632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468.6pt;margin-top:369.4pt;z-index:-16774628;width:42.5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52.5pt;margin-top:369.4pt;z-index:-16774624;width:46.8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52.5pt;margin-top:381.5pt;z-index:-16774620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09.1pt;margin-top:381.5pt;z-index:-167746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68.6pt;margin-top:381.5pt;z-index:-167746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428.05pt;margin-top:381.5pt;z-index:-1677460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87.5pt;margin-top:381.5pt;z-index:-167746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46.95pt;margin-top:381.5pt;z-index:-1677460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306.4pt;margin-top:381.5pt;z-index:-167745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265.9pt;margin-top:381.5pt;z-index:-167745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222.5pt;margin-top:381.5pt;z-index:-1677458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2.7pt;margin-top:381.5pt;z-index:-16774584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52.5pt;margin-top:369.4pt;z-index:-16774580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09.1pt;margin-top:369.4pt;z-index:-167745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468.6pt;margin-top:369.4pt;z-index:-167745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428.05pt;margin-top:369.4pt;z-index:-1677456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387.5pt;margin-top:369.4pt;z-index:-167745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346.95pt;margin-top:369.4pt;z-index:-1677456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06.4pt;margin-top:369.4pt;z-index:-167745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65.9pt;margin-top:369.4pt;z-index:-167745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22.5pt;margin-top:369.4pt;z-index:-1677454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12.7pt;margin-top:369.4pt;z-index:-16774544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52.5pt;margin-top:345.25pt;z-index:-16774540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52.5pt;margin-top:357.3pt;z-index:-16774536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09.1pt;margin-top:345.25pt;z-index:-1677453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09.1pt;margin-top:357.3pt;z-index:-167745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68.6pt;margin-top:345.25pt;z-index:-167745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68.6pt;margin-top:357.3pt;z-index:-1677452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28.05pt;margin-top:345.25pt;z-index:-167745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28.05pt;margin-top:357.3pt;z-index:-167745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87.5pt;margin-top:345.25pt;z-index:-1677450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87.5pt;margin-top:357.3pt;z-index:-167745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346.95pt;margin-top:345.25pt;z-index:-1677450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46.95pt;margin-top:357.3pt;z-index:-167744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06.4pt;margin-top:345.25pt;z-index:-167744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306.4pt;margin-top:357.3pt;z-index:-1677448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265.9pt;margin-top:345.25pt;z-index:-167744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265.9pt;margin-top:357.3pt;z-index:-1677448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222.5pt;margin-top:345.25pt;z-index:-167744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222.5pt;margin-top:357.3pt;z-index:-1677447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2.7pt;margin-top:357.3pt;z-index:-16774468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2.7pt;margin-top:331.7pt;z-index:-16774464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12.7pt;margin-top:345.25pt;z-index:-16774460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2.7pt;margin-top:331.7pt;z-index:-16774456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09.1pt;margin-top:331.7pt;z-index:-1677445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09.1pt;margin-top:315.35pt;z-index:-16774448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428.05pt;margin-top:331.7pt;z-index:-167744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428.05pt;margin-top:315.35pt;z-index:-16774440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46.95pt;margin-top:331.7pt;z-index:-167744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346.95pt;margin-top:315.35pt;z-index:-16774432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265.9pt;margin-top:331.7pt;z-index:-1677442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265.9pt;margin-top:315.35pt;z-index:-16774424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2.7pt;margin-top:331.7pt;z-index:-16774420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12.7pt;margin-top:315.35pt;z-index:-16774416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52.5pt;margin-top:331.7pt;z-index:-16774412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09.1pt;margin-top:315.35pt;z-index:-167744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68.6pt;margin-top:331.7pt;z-index:-167744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428.05pt;margin-top:315.35pt;z-index:-1677440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87.5pt;margin-top:331.7pt;z-index:-167743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46.95pt;margin-top:315.35pt;z-index:-167743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06.4pt;margin-top:331.7pt;z-index:-1677438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265.9pt;margin-top:315.35pt;z-index:-167743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222.5pt;margin-top:331.7pt;z-index:-1677438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12.7pt;margin-top:315.35pt;z-index:-16774376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52.5pt;margin-top:282.65pt;z-index:-16774372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52.5pt;margin-top:299pt;z-index:-16774368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09.1pt;margin-top:282.65pt;z-index:-1677436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09.1pt;margin-top:299pt;z-index:-1677436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68.6pt;margin-top:282.65pt;z-index:-167743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68.6pt;margin-top:299pt;z-index:-167743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28.05pt;margin-top:282.65pt;z-index:-1677434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28.05pt;margin-top:299pt;z-index:-167743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87.5pt;margin-top:282.65pt;z-index:-1677434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87.5pt;margin-top:299pt;z-index:-167743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46.95pt;margin-top:282.65pt;z-index:-167743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346.95pt;margin-top:299pt;z-index:-1677432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306.4pt;margin-top:282.65pt;z-index:-167743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306.4pt;margin-top:299pt;z-index:-1677432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265.9pt;margin-top:282.65pt;z-index:-167743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265.9pt;margin-top:299pt;z-index:-167743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22.5pt;margin-top:282.65pt;z-index:-167743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222.5pt;margin-top:299pt;z-index:-1677430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12.7pt;margin-top:299pt;z-index:-16774300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12.7pt;margin-top:269.15pt;z-index:-16774296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12.7pt;margin-top:282.65pt;z-index:-16774292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2.7pt;margin-top:269.15pt;z-index:-16774288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52.5pt;margin-top:269.15pt;z-index:-16774284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09.1pt;margin-top:269.15pt;z-index:-1677428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468.6pt;margin-top:269.15pt;z-index:-1677427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428.05pt;margin-top:269.15pt;z-index:-167742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87.5pt;margin-top:269.15pt;z-index:-167742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28.05pt;margin-top:252.05pt;z-index:-16774264;width:2.7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46.95pt;margin-top:269.15pt;z-index:-1677426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06.4pt;margin-top:269.15pt;z-index:-167742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46.95pt;margin-top:252.05pt;z-index:-16774252;width:2.7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265.9pt;margin-top:269.15pt;z-index:-1677424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222.5pt;margin-top:269.15pt;z-index:-16774244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265.9pt;margin-top:252.05pt;z-index:-16774240;width:2.7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46.85pt;margin-top:269.15pt;z-index:-16774236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2.7pt;margin-top:269.15pt;z-index:-16774232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12.7pt;margin-top:252.05pt;z-index:-16774228;width:2.7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6.85pt;margin-top:252.05pt;z-index:-16774224;width:2.7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552.5pt;margin-top:252.05pt;z-index:-16774220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09.1pt;margin-top:252.05pt;z-index:-167742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68.6pt;margin-top:252.05pt;z-index:-167742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28.05pt;margin-top:252.05pt;z-index:-1677420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387.5pt;margin-top:252.05pt;z-index:-167742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46.95pt;margin-top:252.05pt;z-index:-1677420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306.4pt;margin-top:252.05pt;z-index:-167741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265.9pt;margin-top:252.05pt;z-index:-167741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222.5pt;margin-top:252.05pt;z-index:-16774188;width:4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46.85pt;margin-top:252.05pt;z-index:-16774184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2.7pt;margin-top:252.05pt;z-index:-16774180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52.5pt;margin-top:235pt;z-index:-16774176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09.1pt;margin-top:235pt;z-index:-1677417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468.6pt;margin-top:235pt;z-index:-1677416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28.05pt;margin-top:235pt;z-index:-167741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87.5pt;margin-top:235pt;z-index:-1677416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46.95pt;margin-top:235pt;z-index:-167741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06.4pt;margin-top:235pt;z-index:-167741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265.9pt;margin-top:235pt;z-index:-1677414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22.5pt;margin-top:235pt;z-index:-167741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6.85pt;margin-top:235pt;z-index:-16774140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2.7pt;margin-top:235pt;z-index:-16774136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52.5pt;margin-top:217.9pt;z-index:-16774132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09.1pt;margin-top:217.9pt;z-index:-167741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68.6pt;margin-top:217.9pt;z-index:-167741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28.05pt;margin-top:217.9pt;z-index:-1677412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87.5pt;margin-top:217.9pt;z-index:-167741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46.95pt;margin-top:217.9pt;z-index:-167741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06.4pt;margin-top:217.9pt;z-index:-1677410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265.9pt;margin-top:217.9pt;z-index:-167741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222.5pt;margin-top:217.9pt;z-index:-167741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6.85pt;margin-top:217.9pt;z-index:-16774096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12.7pt;margin-top:217.9pt;z-index:-16774092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52.5pt;margin-top:200.85pt;z-index:-16774088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09.1pt;margin-top:200.85pt;z-index:-167740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68.6pt;margin-top:200.85pt;z-index:-1677408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428.05pt;margin-top:200.85pt;z-index:-1677407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87.5pt;margin-top:200.85pt;z-index:-167740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46.95pt;margin-top:200.85pt;z-index:-1677406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06.4pt;margin-top:200.85pt;z-index:-167740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265.9pt;margin-top:200.85pt;z-index:-1677406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222.5pt;margin-top:200.85pt;z-index:-1677405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6.85pt;margin-top:200.85pt;z-index:-16774052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12.7pt;margin-top:200.85pt;z-index:-16774048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52.5pt;margin-top:183.8pt;z-index:-16774044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09.1pt;margin-top:183.8pt;z-index:-1677404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468.6pt;margin-top:183.8pt;z-index:-167740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28.05pt;margin-top:183.8pt;z-index:-167740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87.5pt;margin-top:183.8pt;z-index:-1677402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346.95pt;margin-top:183.8pt;z-index:-167740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306.4pt;margin-top:183.8pt;z-index:-1677402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265.9pt;margin-top:183.8pt;z-index:-167740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22.5pt;margin-top:183.8pt;z-index:-167740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6.85pt;margin-top:183.8pt;z-index:-16774008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12.7pt;margin-top:183.8pt;z-index:-16774004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52.5pt;margin-top:166.7pt;z-index:-16774000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09.1pt;margin-top:166.7pt;z-index:-167739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68.6pt;margin-top:166.7pt;z-index:-167739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28.05pt;margin-top:166.7pt;z-index:-1677398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87.5pt;margin-top:166.7pt;z-index:-167739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46.95pt;margin-top:166.7pt;z-index:-1677398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306.4pt;margin-top:166.7pt;z-index:-1677397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265.9pt;margin-top:166.7pt;z-index:-167739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222.5pt;margin-top:166.7pt;z-index:-1677396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46.85pt;margin-top:166.7pt;z-index:-16773964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2.7pt;margin-top:166.7pt;z-index:-16773960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552.5pt;margin-top:149.65pt;z-index:-16773956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509.1pt;margin-top:149.65pt;z-index:-1677395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68.6pt;margin-top:149.65pt;z-index:-1677394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428.05pt;margin-top:149.65pt;z-index:-167739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87.5pt;margin-top:149.65pt;z-index:-1677394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46.95pt;margin-top:149.65pt;z-index:-167739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06.4pt;margin-top:149.65pt;z-index:-167739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265.9pt;margin-top:149.65pt;z-index:-1677392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22.5pt;margin-top:149.65pt;z-index:-1677392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6.85pt;margin-top:149.65pt;z-index:-16773920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12.7pt;margin-top:149.65pt;z-index:-16773916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52.5pt;margin-top:132.55pt;z-index:-16773912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09.1pt;margin-top:132.55pt;z-index:-167739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468.6pt;margin-top:132.55pt;z-index:-167739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428.05pt;margin-top:132.55pt;z-index:-1677390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387.5pt;margin-top:132.55pt;z-index:-167738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346.95pt;margin-top:132.55pt;z-index:-167738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06.4pt;margin-top:132.55pt;z-index:-1677388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265.9pt;margin-top:132.55pt;z-index:-167738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22.5pt;margin-top:132.55pt;z-index:-1677388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6.85pt;margin-top:132.55pt;z-index:-16773876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2.7pt;margin-top:132.55pt;z-index:-16773872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52.5pt;margin-top:115.5pt;z-index:-16773868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09.1pt;margin-top:115.5pt;z-index:-1677386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468.6pt;margin-top:115.5pt;z-index:-1677386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428.05pt;margin-top:115.5pt;z-index:-167738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87.5pt;margin-top:115.5pt;z-index:-167738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346.95pt;margin-top:115.5pt;z-index:-1677384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306.4pt;margin-top:115.5pt;z-index:-167738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265.9pt;margin-top:115.5pt;z-index:-1677384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222.5pt;margin-top:115.5pt;z-index:-1677383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46.85pt;margin-top:115.5pt;z-index:-16773832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12.7pt;margin-top:115.5pt;z-index:-16773828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52.5pt;margin-top:98.45pt;z-index:-16773824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09.1pt;margin-top:98.45pt;z-index:-1677382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68.6pt;margin-top:98.45pt;z-index:-167738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28.05pt;margin-top:98.45pt;z-index:-167738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87.5pt;margin-top:98.45pt;z-index:-1677380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46.95pt;margin-top:98.45pt;z-index:-167738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06.4pt;margin-top:98.45pt;z-index:-1677380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265.9pt;margin-top:98.45pt;z-index:-167737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222.5pt;margin-top:98.45pt;z-index:-167737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6.85pt;margin-top:81.35pt;z-index:-16773788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6.85pt;margin-top:98.45pt;z-index:-16773784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12.7pt;margin-top:98.45pt;z-index:-16773780;width:3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52.5pt;margin-top:81.35pt;z-index:-16773776;width:4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09.1pt;margin-top:81.35pt;z-index:-1677377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68.6pt;margin-top:81.35pt;z-index:-1677376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428.05pt;margin-top:81.35pt;z-index:-167737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87.5pt;margin-top:81.35pt;z-index:-1677376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46.95pt;margin-top:81.35pt;z-index:-167737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06.4pt;margin-top:81.35pt;z-index:-167737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65.9pt;margin-top:81.35pt;z-index:-1677374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222.5pt;margin-top:81.35pt;z-index:-167737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12.7pt;margin-top:81.35pt;z-index:-16773740;width:21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12.7pt;margin-top:466.15pt;z-index:-1677373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0.1pt;margin-top:84.5pt;z-index:-16773732;width:17.0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20.1pt;margin-top:101.55pt;z-index:-16773728;width:13.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0.1pt;margin-top:118.65pt;z-index:-16773724;width:13.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20.1pt;margin-top:135.7pt;z-index:-16773720;width:13.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0.1pt;margin-top:152.8pt;z-index:-16773716;width:15.6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20.1pt;margin-top:169.85pt;z-index:-16773712;width:16.3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0.1pt;margin-top:186.9pt;z-index:-16773708;width:15.6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0.1pt;margin-top:204pt;z-index:-16773704;width:17.8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0.1pt;margin-top:221.05pt;z-index:-16773700;width:14.2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20.1pt;margin-top:238.1pt;z-index:-16773696;width:5.7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20.8pt;margin-top:255.2pt;z-index:-16773692;width:16.35pt;height:1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</w:p>
    <w:p>
      <w:pPr>
        <w:pStyle w:val="Normal"/>
        <w:framePr w:w="1631" w:hAnchor="page" w:vAnchor="page" w:x="274" w:y="364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17  TechnipFMC</w:t>
      </w:r>
    </w:p>
    <w:p>
      <w:pPr>
        <w:pStyle w:val="Normal"/>
        <w:framePr w:w="6915" w:hAnchor="page" w:vAnchor="page" w:x="2715" w:y="2673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the election of each director nominee.</w:t>
      </w:r>
    </w:p>
    <w:p>
      <w:pPr>
        <w:pStyle w:val="Normal"/>
        <w:framePr w:w="5914" w:hAnchor="page" w:vAnchor="page" w:x="2715" w:y="2318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180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1217" w:hAnchor="page" w:vAnchor="page" w:x="274" w:y="12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Articles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</w:t>
      </w:r>
    </w:p>
    <w:p>
      <w:pPr>
        <w:pStyle w:val="Normal"/>
        <w:framePr w:w="14115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her successor is elected and qualified, or (ii) his or her earlier death, retirement, resignation, or removal in accordance with our Articles of Association (the</w:t>
      </w:r>
    </w:p>
    <w:p>
      <w:pPr>
        <w:pStyle w:val="Normal"/>
        <w:framePr w:w="14071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 nominee elected at the Annual Meeting will serve for a one-year term expiring at the 2024 Annual Meeting or until the earliest to occur of (i) his or</w:t>
      </w:r>
    </w:p>
    <w:p>
      <w:pPr>
        <w:pStyle w:val="Normal"/>
        <w:framePr w:w="13924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of the director nominees has consented to serving as a nominee, being named in this Proxy Statement, and serving on the Board, if elected. Each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7pt;margin-top:1pt;z-index:-1677368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12.7pt;margin-top:82.1pt;z-index:-16773684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130.05pt;margin-top:82.1pt;z-index:-16773680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130.05pt;margin-top:105.55pt;z-index:-16773676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12.7pt;margin-top:198pt;z-index:-1677367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4.25pt;margin-top:87.35pt;z-index:-16773668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</w:p>
    <w:p>
      <w:pPr>
        <w:pStyle w:val="Normal"/>
        <w:framePr w:w="1631" w:hAnchor="page" w:vAnchor="page" w:x="274" w:y="98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18  TechnipFMC</w:t>
      </w:r>
    </w:p>
    <w:p>
      <w:pPr>
        <w:pStyle w:val="Normal"/>
        <w:framePr w:w="10918" w:hAnchor="page" w:vAnchor="page" w:x="274" w:y="92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Mr. Pferdehirt previously served on the board of directors of FMC Technologies, Inc. before it merged with Technip S.A. in 2017.</w:t>
      </w:r>
    </w:p>
    <w:p>
      <w:pPr>
        <w:pStyle w:val="Normal"/>
        <w:framePr w:w="4072" w:hAnchor="page" w:vAnchor="page" w:x="2735" w:y="86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Past Five Years: None</w:t>
      </w:r>
    </w:p>
    <w:p>
      <w:pPr>
        <w:pStyle w:val="Normal"/>
        <w:framePr w:w="1750" w:hAnchor="page" w:vAnchor="page" w:x="2735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None</w:t>
      </w:r>
    </w:p>
    <w:p>
      <w:pPr>
        <w:pStyle w:val="Normal"/>
        <w:framePr w:w="3789" w:hAnchor="page" w:vAnchor="page" w:x="2735" w:y="79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Other Public Company Directorships</w:t>
      </w:r>
    </w:p>
    <w:p>
      <w:pPr>
        <w:pStyle w:val="Normal"/>
        <w:framePr w:w="11033" w:hAnchor="page" w:vAnchor="page" w:x="2735" w:y="75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Valuable link between the Company’s management and the Board that aids the Board in performing its oversight role</w:t>
      </w:r>
    </w:p>
    <w:p>
      <w:pPr>
        <w:pStyle w:val="Normal"/>
        <w:framePr w:w="2572" w:hAnchor="page" w:vAnchor="page" w:x="2943" w:y="71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has a significant presence</w:t>
      </w:r>
    </w:p>
    <w:p>
      <w:pPr>
        <w:pStyle w:val="Normal"/>
        <w:framePr w:w="11242" w:hAnchor="page" w:vAnchor="page" w:x="2735" w:y="69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Thorough understanding of the different cultural, political, and regulatory requirements in countries where the Company</w:t>
      </w:r>
    </w:p>
    <w:p>
      <w:pPr>
        <w:pStyle w:val="Normal"/>
        <w:framePr w:w="694" w:hAnchor="page" w:vAnchor="page" w:x="463" w:y="68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None</w:t>
      </w:r>
    </w:p>
    <w:p>
      <w:pPr>
        <w:pStyle w:val="Normal"/>
        <w:framePr w:w="1445" w:hAnchor="page" w:vAnchor="page" w:x="463" w:y="66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4095" w:hAnchor="page" w:vAnchor="page" w:x="2735" w:y="65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Commitment to our ESG responsibilities</w:t>
      </w:r>
    </w:p>
    <w:p>
      <w:pPr>
        <w:pStyle w:val="Normal"/>
        <w:framePr w:w="737" w:hAnchor="page" w:vAnchor="page" w:x="463" w:y="62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2016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5655" w:hAnchor="page" w:vAnchor="page" w:x="2735" w:y="61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Financial, risk management, strategy, and M&amp;A expertise</w:t>
      </w:r>
    </w:p>
    <w:p>
      <w:pPr>
        <w:pStyle w:val="Normal"/>
        <w:framePr w:w="2424" w:hAnchor="page" w:vAnchor="page" w:x="463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Legacy Director Since:</w:t>
      </w:r>
    </w:p>
    <w:p>
      <w:pPr>
        <w:pStyle w:val="Normal"/>
        <w:framePr w:w="6009" w:hAnchor="page" w:vAnchor="page" w:x="2735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Extensive energy industry experience and client relationships</w:t>
      </w:r>
    </w:p>
    <w:p>
      <w:pPr>
        <w:pStyle w:val="Normal"/>
        <w:framePr w:w="660" w:hAnchor="page" w:vAnchor="page" w:x="463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2017</w:t>
      </w:r>
    </w:p>
    <w:p>
      <w:pPr>
        <w:pStyle w:val="Normal"/>
        <w:framePr w:w="1661" w:hAnchor="page" w:vAnchor="page" w:x="463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7842" w:hAnchor="page" w:vAnchor="page" w:x="2735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Deep knowledge of the Company’s strategy, markets, technology, and operations</w:t>
      </w:r>
    </w:p>
    <w:p>
      <w:pPr>
        <w:pStyle w:val="Normal"/>
        <w:framePr w:w="432" w:hAnchor="page" w:vAnchor="page" w:x="463" w:y="5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59</w:t>
      </w:r>
    </w:p>
    <w:p>
      <w:pPr>
        <w:pStyle w:val="Normal"/>
        <w:framePr w:w="1422" w:hAnchor="page" w:vAnchor="page" w:x="2943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Technologies</w:t>
      </w:r>
    </w:p>
    <w:p>
      <w:pPr>
        <w:pStyle w:val="Normal"/>
        <w:framePr w:w="659" w:hAnchor="page" w:vAnchor="page" w:x="463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10217" w:hAnchor="page" w:vAnchor="page" w:x="2735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Strong executive leadership skills, including experience as Chief Executive Officer of TechnipFMC and FMC</w:t>
      </w:r>
    </w:p>
    <w:p>
      <w:pPr>
        <w:pStyle w:val="Normal"/>
        <w:framePr w:w="1649" w:hAnchor="page" w:vAnchor="page" w:x="463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Chair and CEO</w:t>
      </w:r>
    </w:p>
    <w:p>
      <w:pPr>
        <w:pStyle w:val="Normal"/>
        <w:framePr w:w="3004" w:hAnchor="page" w:vAnchor="page" w:x="2735" w:y="44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1556" w:hAnchor="page" w:vAnchor="page" w:x="463" w:y="417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Pferdehirt</w:t>
      </w:r>
    </w:p>
    <w:p>
      <w:pPr>
        <w:pStyle w:val="Normal"/>
        <w:framePr w:w="2071" w:hAnchor="page" w:vAnchor="page" w:x="2943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leadership positions.</w:t>
      </w:r>
    </w:p>
    <w:p>
      <w:pPr>
        <w:pStyle w:val="Normal"/>
        <w:framePr w:w="1646" w:hAnchor="page" w:vAnchor="page" w:x="463" w:y="38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Douglas J.</w:t>
      </w:r>
    </w:p>
    <w:p>
      <w:pPr>
        <w:pStyle w:val="Normal"/>
        <w:framePr w:w="10881" w:hAnchor="page" w:vAnchor="page" w:x="2735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Prior to joining FMC Technologies in 2012, he spent 26 years at Schlumberger Limited in a succession of executive</w:t>
      </w:r>
    </w:p>
    <w:p>
      <w:pPr>
        <w:pStyle w:val="Normal"/>
        <w:framePr w:w="2584" w:hAnchor="page" w:vAnchor="page" w:x="2943" w:y="34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Officer from 2012 to 2016.</w:t>
      </w:r>
    </w:p>
    <w:p>
      <w:pPr>
        <w:pStyle w:val="Normal"/>
        <w:framePr w:w="11173" w:hAnchor="page" w:vAnchor="page" w:x="2735" w:y="32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 was previously President and Chief Executive Officer of FMC Technologies from 2016 to 2017 and Chief Operating</w:t>
      </w:r>
    </w:p>
    <w:p>
      <w:pPr>
        <w:pStyle w:val="Normal"/>
        <w:framePr w:w="1923" w:hAnchor="page" w:vAnchor="page" w:x="2943" w:y="28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since May 1, 2019.</w:t>
      </w:r>
    </w:p>
    <w:p>
      <w:pPr>
        <w:pStyle w:val="Normal"/>
        <w:framePr w:w="11063" w:hAnchor="page" w:vAnchor="page" w:x="2735" w:y="26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Mr. Pferdehirt has served as our CEO since the merger of FMC Technologies, Inc. and Technip S.A. and as our Chair</w:t>
      </w:r>
    </w:p>
    <w:p>
      <w:pPr>
        <w:pStyle w:val="Normal"/>
        <w:framePr w:w="1911" w:hAnchor="page" w:vAnchor="page" w:x="2735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2808" w:hAnchor="page" w:vAnchor="page" w:x="274" w:y="175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Company’s shareholders.</w:t>
      </w:r>
    </w:p>
    <w:p>
      <w:pPr>
        <w:pStyle w:val="Normal"/>
        <w:framePr w:w="13333" w:hAnchor="page" w:vAnchor="page" w:x="274" w:y="154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diversity necessary and appropriate to effectively oversee the Company’s strategic direction and represent the best interests of the</w:t>
      </w:r>
    </w:p>
    <w:p>
      <w:pPr>
        <w:pStyle w:val="Normal"/>
        <w:framePr w:w="13607" w:hAnchor="page" w:vAnchor="page" w:x="274" w:y="133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to our Board. The Board and its ESG Committee believe each of the director nominees brings skills, experience, perspective, and the</w:t>
      </w:r>
    </w:p>
    <w:p>
      <w:pPr>
        <w:pStyle w:val="Normal"/>
        <w:framePr w:w="14101" w:hAnchor="page" w:vAnchor="page" w:x="274" w:y="111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Our Board is composed of a diverse group of leaders in their respective fields, each qualified to make unique and substantial contributions</w:t>
      </w:r>
    </w:p>
    <w:p>
      <w:pPr>
        <w:pStyle w:val="Normal"/>
        <w:framePr w:w="4068" w:hAnchor="page" w:vAnchor="page" w:x="274" w:y="67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Director Nominees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7pt;margin-top:1pt;z-index:-167736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12.7pt;margin-top:107.7pt;z-index:-16773660;width:119.35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130.05pt;margin-top:107.7pt;z-index:-16773656;width:7.7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135.75pt;margin-top:107.7pt;z-index:-16773652;width:463.6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130.05pt;margin-top:107.7pt;z-index:-16773648;width:2.7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2.7pt;margin-top:510.25pt;z-index:-167736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22.95pt;margin-top:117.95pt;z-index:-16773640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</w:p>
    <w:p>
      <w:pPr>
        <w:pStyle w:val="Normal"/>
        <w:framePr w:w="1631" w:hAnchor="page" w:vAnchor="page" w:x="274" w:y="935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19  TechnipFMC</w:t>
      </w:r>
    </w:p>
    <w:p>
      <w:pPr>
        <w:pStyle w:val="Normal"/>
        <w:framePr w:w="10675" w:hAnchor="page" w:vAnchor="page" w:x="274" w:y="876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Ms. Farley previously served on the board of directors of FMC Technologies, Inc. before it merged with Technip S.A. in 2017.</w:t>
      </w:r>
    </w:p>
    <w:p>
      <w:pPr>
        <w:pStyle w:val="Normal"/>
        <w:framePr w:w="6577" w:hAnchor="page" w:vAnchor="page" w:x="2735" w:y="81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Past Five Years: Anadarko Petroleum Corporation</w:t>
      </w:r>
    </w:p>
    <w:p>
      <w:pPr>
        <w:pStyle w:val="Normal"/>
        <w:framePr w:w="5621" w:hAnchor="page" w:vAnchor="page" w:x="2735" w:y="77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LyondellBasell Industries N.V., Crescent Energy</w:t>
      </w:r>
    </w:p>
    <w:p>
      <w:pPr>
        <w:pStyle w:val="Normal"/>
        <w:framePr w:w="3903" w:hAnchor="page" w:vAnchor="page" w:x="2735" w:y="74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Other Public Company Directorships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 xml:space="preserve">  </w:t>
      </w:r>
    </w:p>
    <w:p>
      <w:pPr>
        <w:pStyle w:val="Normal"/>
        <w:framePr w:w="1399" w:hAnchor="page" w:vAnchor="page" w:x="2943" w:y="70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Directorships</w:t>
      </w:r>
    </w:p>
    <w:p>
      <w:pPr>
        <w:pStyle w:val="Normal"/>
        <w:framePr w:w="10983" w:hAnchor="page" w:vAnchor="page" w:x="2735" w:y="68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and private companies with international operations Other Public Company</w:t>
      </w:r>
    </w:p>
    <w:p>
      <w:pPr>
        <w:pStyle w:val="Normal"/>
        <w:framePr w:w="3970" w:hAnchor="page" w:vAnchor="page" w:x="2735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Financial, strategy, and M&amp;A expertise</w:t>
      </w:r>
    </w:p>
    <w:p>
      <w:pPr>
        <w:pStyle w:val="Normal"/>
        <w:framePr w:w="5030" w:hAnchor="page" w:vAnchor="page" w:x="2735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Oil and gas exploration and production experience</w:t>
      </w:r>
    </w:p>
    <w:p>
      <w:pPr>
        <w:pStyle w:val="Normal"/>
        <w:framePr w:w="9675" w:hAnchor="page" w:vAnchor="page" w:x="2735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management experience, including as chief executive officer of several major organizations</w:t>
      </w:r>
    </w:p>
    <w:p>
      <w:pPr>
        <w:pStyle w:val="Normal"/>
        <w:framePr w:w="2550" w:hAnchor="page" w:vAnchor="page" w:x="463" w:y="53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and Talent</w:t>
      </w:r>
    </w:p>
    <w:p>
      <w:pPr>
        <w:pStyle w:val="Normal"/>
        <w:framePr w:w="3061" w:hAnchor="page" w:vAnchor="page" w:x="2735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 xml:space="preserve">Key Skills and Qualifications </w:t>
      </w:r>
    </w:p>
    <w:p>
      <w:pPr>
        <w:pStyle w:val="Normal"/>
        <w:framePr w:w="1354" w:hAnchor="page" w:vAnchor="page" w:x="463" w:y="51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5783" w:hAnchor="page" w:vAnchor="page" w:x="2943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2001 and Trade-Ranger Inc. from January 2001 to May 2002.</w:t>
      </w:r>
    </w:p>
    <w:p>
      <w:pPr>
        <w:pStyle w:val="Normal"/>
        <w:framePr w:w="737" w:hAnchor="page" w:vAnchor="page" w:x="463" w:y="4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2009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11116" w:hAnchor="page" w:vAnchor="page" w:x="2735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Farley also served as Chief Executive Officer of Intelligent Diagnostics Corporation from October 1999 to January</w:t>
      </w:r>
    </w:p>
    <w:p>
      <w:pPr>
        <w:pStyle w:val="Normal"/>
        <w:framePr w:w="2424" w:hAnchor="page" w:vAnchor="page" w:x="463" w:y="45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Legacy Director Since:</w:t>
      </w:r>
    </w:p>
    <w:p>
      <w:pPr>
        <w:pStyle w:val="Normal"/>
        <w:framePr w:w="3767" w:hAnchor="page" w:vAnchor="page" w:x="2943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Officer of Hydro-Texaco, Inc.</w:t>
      </w:r>
    </w:p>
    <w:p>
      <w:pPr>
        <w:pStyle w:val="Normal"/>
        <w:framePr w:w="660" w:hAnchor="page" w:vAnchor="page" w:x="463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2017</w:t>
      </w:r>
    </w:p>
    <w:p>
      <w:pPr>
        <w:pStyle w:val="Normal"/>
        <w:framePr w:w="10697" w:hAnchor="page" w:vAnchor="page" w:x="2943" w:y="41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including President of Worldwide Exploration and New Ventures, President of North American Production, and Chief</w:t>
      </w:r>
    </w:p>
    <w:p>
      <w:pPr>
        <w:pStyle w:val="Normal"/>
        <w:framePr w:w="1661" w:hAnchor="page" w:vAnchor="page" w:x="463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11143" w:hAnchor="page" w:vAnchor="page" w:x="2735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Farley has extensive oil and gas exploration expertise, holding several positions within Texaco from 1981 to 1999,</w:t>
      </w:r>
    </w:p>
    <w:p>
      <w:pPr>
        <w:pStyle w:val="Normal"/>
        <w:framePr w:w="432" w:hAnchor="page" w:vAnchor="page" w:x="463" w:y="35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64</w:t>
      </w:r>
    </w:p>
    <w:p>
      <w:pPr>
        <w:pStyle w:val="Normal"/>
        <w:framePr w:w="4872" w:hAnchor="page" w:vAnchor="page" w:x="2943" w:y="35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Investment Banking Group of Jefferies &amp; Company.</w:t>
      </w:r>
    </w:p>
    <w:p>
      <w:pPr>
        <w:pStyle w:val="Normal"/>
        <w:framePr w:w="659" w:hAnchor="page" w:vAnchor="page" w:x="463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9983" w:hAnchor="page" w:vAnchor="page" w:x="2943" w:y="33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advisory firm, from September 2002 until February 2005, when Randall and Dewey became the Oil and Gas</w:t>
      </w:r>
    </w:p>
    <w:p>
      <w:pPr>
        <w:pStyle w:val="Normal"/>
        <w:framePr w:w="10509" w:hAnchor="page" w:vAnchor="page" w:x="2735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Prior to that, Ms. Farley served as Chief Executive Officer of Randall &amp; Dewey, an oil and gas asset transaction</w:t>
      </w:r>
    </w:p>
    <w:p>
      <w:pPr>
        <w:pStyle w:val="Normal"/>
        <w:framePr w:w="989" w:hAnchor="page" w:vAnchor="page" w:x="463" w:y="29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Director</w:t>
      </w:r>
    </w:p>
    <w:p>
      <w:pPr>
        <w:pStyle w:val="Normal"/>
        <w:framePr w:w="1957" w:hAnchor="page" w:vAnchor="page" w:x="463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Lead Independent</w:t>
      </w:r>
    </w:p>
    <w:p>
      <w:pPr>
        <w:pStyle w:val="Normal"/>
        <w:framePr w:w="9528" w:hAnchor="page" w:vAnchor="page" w:x="2943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industry advisor, and was Co-President of Jefferies Randall &amp; Dewey from February 2005 to July 2008.</w:t>
      </w:r>
    </w:p>
    <w:p>
      <w:pPr>
        <w:pStyle w:val="Normal"/>
        <w:framePr w:w="2234" w:hAnchor="page" w:vAnchor="page" w:x="463" w:y="249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Claire S. Farley</w:t>
      </w:r>
    </w:p>
    <w:p>
      <w:pPr>
        <w:pStyle w:val="Normal"/>
        <w:framePr w:w="11108" w:hAnchor="page" w:vAnchor="page" w:x="2735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Prior to founding RPM Energy, Ms. Farley was an Advisory Director at Jefferies Randall &amp; Dewey, a global oil and gas</w:t>
      </w:r>
    </w:p>
    <w:p>
      <w:pPr>
        <w:pStyle w:val="Normal"/>
        <w:framePr w:w="6637" w:hAnchor="page" w:vAnchor="page" w:x="2943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gas exploration and development company, which partnered with KKR.</w:t>
      </w:r>
    </w:p>
    <w:p>
      <w:pPr>
        <w:pStyle w:val="Normal"/>
        <w:framePr w:w="11125" w:hAnchor="page" w:vAnchor="page" w:x="2735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She began her affiliation with KKR in September 2010 as a co-founder of RPM Energy, LLC, a privately owned oil and</w:t>
      </w:r>
    </w:p>
    <w:p>
      <w:pPr>
        <w:pStyle w:val="Normal"/>
        <w:framePr w:w="717" w:hAnchor="page" w:vAnchor="page" w:x="2943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2021.</w:t>
      </w:r>
    </w:p>
    <w:p>
      <w:pPr>
        <w:pStyle w:val="Normal"/>
        <w:framePr w:w="10607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and subsequently served as Senior Advisor from 2016 to 2022 and Vice Chair of the Energy business from 2016 to</w:t>
      </w:r>
    </w:p>
    <w:p>
      <w:pPr>
        <w:pStyle w:val="Normal"/>
        <w:framePr w:w="10971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Farley was a partner at KKR Management, LLC, a global investment firm from 2013 until her retirement in 2016,</w:t>
      </w:r>
    </w:p>
    <w:p>
      <w:pPr>
        <w:pStyle w:val="Normal"/>
        <w:framePr w:w="1968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 xml:space="preserve">Career Highlights 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7pt;margin-top:1pt;z-index:-1677363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12.7pt;margin-top:31.6pt;z-index:-16773632;width:119.35pt;height:39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30.05pt;margin-top:31.6pt;z-index:-16773628;width:7.7pt;height:39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35.75pt;margin-top:31.6pt;z-index:-16773624;width:463.6pt;height:39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30.05pt;margin-top:31.6pt;z-index:-16773620;width:2.7pt;height:39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2.7pt;margin-top:483.9pt;z-index:-1677361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2.95pt;margin-top:41.85pt;z-index:-16773612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</w:p>
    <w:p>
      <w:pPr>
        <w:pStyle w:val="Normal"/>
        <w:framePr w:w="1631" w:hAnchor="page" w:vAnchor="page" w:x="274" w:y="950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  TechnipFMC</w:t>
      </w:r>
    </w:p>
    <w:p>
      <w:pPr>
        <w:pStyle w:val="Normal"/>
        <w:framePr w:w="5096" w:hAnchor="page" w:vAnchor="page" w:x="644" w:y="89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3"/>
          <w:w w:val="100"/>
          <w:sz w:val="15"/>
          <w:szCs w:val="15"/>
        </w:rPr>
        <w:t>appointment, he will no longer serve on the Audit Committee.</w:t>
      </w:r>
    </w:p>
    <w:p>
      <w:pPr>
        <w:pStyle w:val="Normal"/>
        <w:framePr w:w="13596" w:hAnchor="page" w:vAnchor="page" w:x="274" w:y="873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3"/>
          <w:w w:val="100"/>
          <w:sz w:val="15"/>
          <w:szCs w:val="15"/>
        </w:rPr>
        <w:t>(2)   The Board expects to appoint Mr. Carvalho Filho to the ESG Committee and as Chair of the ESG Committee as of the date of the 2023 Annual Meeting. Upon his</w:t>
      </w:r>
    </w:p>
    <w:p>
      <w:pPr>
        <w:pStyle w:val="Normal"/>
        <w:framePr w:w="11302" w:hAnchor="page" w:vAnchor="page" w:x="274" w:y="856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3"/>
          <w:w w:val="100"/>
          <w:sz w:val="15"/>
          <w:szCs w:val="15"/>
        </w:rPr>
        <w:t>(1)   Mr. Carvalho Filho previously served on the board of directors of FMC Technologies, Inc. before it merged with Technip S.A. in 2017.</w:t>
      </w:r>
    </w:p>
    <w:p>
      <w:pPr>
        <w:pStyle w:val="Normal"/>
        <w:framePr w:w="6827" w:hAnchor="page" w:vAnchor="page" w:x="2735" w:y="79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Past Five Years: Brookfield Renewable Partners L.P.</w:t>
      </w:r>
    </w:p>
    <w:p>
      <w:pPr>
        <w:pStyle w:val="Normal"/>
        <w:framePr w:w="2276" w:hAnchor="page" w:vAnchor="page" w:x="2943" w:y="75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its affiliate, Cnova N.V.</w:t>
      </w:r>
    </w:p>
    <w:p>
      <w:pPr>
        <w:pStyle w:val="Normal"/>
        <w:framePr w:w="11244" w:hAnchor="page" w:vAnchor="page" w:x="2735" w:y="73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Brookfield Renewable Corporation, Oi S.A., Companhia Brasileira de Distribuicão (Grupo Pão de Açúcar), and</w:t>
      </w:r>
    </w:p>
    <w:p>
      <w:pPr>
        <w:pStyle w:val="Normal"/>
        <w:framePr w:w="3846" w:hAnchor="page" w:vAnchor="page" w:x="2735" w:y="70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 xml:space="preserve">Other Public Company Directorships </w:t>
      </w:r>
    </w:p>
    <w:p>
      <w:pPr>
        <w:pStyle w:val="Normal"/>
        <w:framePr w:w="5939" w:hAnchor="page" w:vAnchor="page" w:x="2735" w:y="66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in Brazil, one of TechnipFMC’s principal markets</w:t>
      </w:r>
    </w:p>
    <w:p>
      <w:pPr>
        <w:pStyle w:val="Normal"/>
        <w:framePr w:w="10859" w:hAnchor="page" w:vAnchor="page" w:x="2735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Contribution to the Board in a way that enhances perspective through diversity in geographic origin and experience</w:t>
      </w:r>
    </w:p>
    <w:p>
      <w:pPr>
        <w:pStyle w:val="Normal"/>
        <w:framePr w:w="8867" w:hAnchor="page" w:vAnchor="page" w:x="2735" w:y="58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and private companies with international operations</w:t>
      </w:r>
    </w:p>
    <w:p>
      <w:pPr>
        <w:pStyle w:val="Normal"/>
        <w:framePr w:w="748" w:hAnchor="page" w:vAnchor="page" w:x="463" w:y="5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Audit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2</w:t>
      </w:r>
    </w:p>
    <w:p>
      <w:pPr>
        <w:pStyle w:val="Normal"/>
        <w:framePr w:w="3697" w:hAnchor="page" w:vAnchor="page" w:x="2735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International investment experience</w:t>
      </w:r>
    </w:p>
    <w:p>
      <w:pPr>
        <w:pStyle w:val="Normal"/>
        <w:framePr w:w="1445" w:hAnchor="page" w:vAnchor="page" w:x="463" w:y="52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7864" w:hAnchor="page" w:vAnchor="page" w:x="2735" w:y="5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Commitment to our quality, health, safety, environmental, and social responsibility</w:t>
      </w:r>
    </w:p>
    <w:p>
      <w:pPr>
        <w:pStyle w:val="Normal"/>
        <w:framePr w:w="737" w:hAnchor="page" w:vAnchor="page" w:x="463" w:y="48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2010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2424" w:hAnchor="page" w:vAnchor="page" w:x="463" w:y="46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Legacy Director Since:</w:t>
      </w:r>
    </w:p>
    <w:p>
      <w:pPr>
        <w:pStyle w:val="Normal"/>
        <w:framePr w:w="5655" w:hAnchor="page" w:vAnchor="page" w:x="2735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Financial, strategy, risk management, and M&amp;A expertise</w:t>
      </w:r>
    </w:p>
    <w:p>
      <w:pPr>
        <w:pStyle w:val="Normal"/>
        <w:framePr w:w="660" w:hAnchor="page" w:vAnchor="page" w:x="463" w:y="42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2017</w:t>
      </w:r>
    </w:p>
    <w:p>
      <w:pPr>
        <w:pStyle w:val="Normal"/>
        <w:framePr w:w="2470" w:hAnchor="page" w:vAnchor="page" w:x="2943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investment organizations</w:t>
      </w:r>
    </w:p>
    <w:p>
      <w:pPr>
        <w:pStyle w:val="Normal"/>
        <w:framePr w:w="1661" w:hAnchor="page" w:vAnchor="page" w:x="463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11186" w:hAnchor="page" w:vAnchor="page" w:x="2735" w:y="40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management experience, including as chief executive officer and founding/managing partner of international</w:t>
      </w:r>
    </w:p>
    <w:p>
      <w:pPr>
        <w:pStyle w:val="Normal"/>
        <w:framePr w:w="3061" w:hAnchor="page" w:vAnchor="page" w:x="2735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 xml:space="preserve">Key Skills and Qualifications </w:t>
      </w:r>
    </w:p>
    <w:p>
      <w:pPr>
        <w:pStyle w:val="Normal"/>
        <w:framePr w:w="432" w:hAnchor="page" w:vAnchor="page" w:x="463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65</w:t>
      </w:r>
    </w:p>
    <w:p>
      <w:pPr>
        <w:pStyle w:val="Normal"/>
        <w:framePr w:w="659" w:hAnchor="page" w:vAnchor="page" w:x="463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8835" w:hAnchor="page" w:vAnchor="page" w:x="2943" w:y="33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Ltda., established in 2010, which are independent advisory and asset management companies.</w:t>
      </w:r>
    </w:p>
    <w:p>
      <w:pPr>
        <w:pStyle w:val="Normal"/>
        <w:framePr w:w="11211" w:hAnchor="page" w:vAnchor="page" w:x="2735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 was a Founding Partner of Iposeira Capital Ltda., established in 2003, as well as STK Capital Gestora de Recursos</w:t>
      </w:r>
    </w:p>
    <w:p>
      <w:pPr>
        <w:pStyle w:val="Normal"/>
        <w:framePr w:w="1422" w:hAnchor="page" w:vAnchor="page" w:x="463" w:y="30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2158" w:hAnchor="page" w:vAnchor="page" w:x="463" w:y="279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Carvalho Filho</w:t>
      </w:r>
    </w:p>
    <w:p>
      <w:pPr>
        <w:pStyle w:val="Normal"/>
        <w:framePr w:w="717" w:hAnchor="page" w:vAnchor="page" w:x="2943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2011.</w:t>
      </w:r>
    </w:p>
    <w:p>
      <w:pPr>
        <w:pStyle w:val="Normal"/>
        <w:framePr w:w="1616" w:hAnchor="page" w:vAnchor="page" w:x="463" w:y="249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Eleazar de</w:t>
      </w:r>
    </w:p>
    <w:p>
      <w:pPr>
        <w:pStyle w:val="Normal"/>
        <w:framePr w:w="10740" w:hAnchor="page" w:vAnchor="page" w:x="2735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Mr. Carvalho Filho was a consultant for BHP Billiton Metais SA, a global natural resources company, from 2006 to</w:t>
      </w:r>
    </w:p>
    <w:p>
      <w:pPr>
        <w:pStyle w:val="Normal"/>
        <w:framePr w:w="3574" w:hAnchor="page" w:vAnchor="page" w:x="2943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bank, from April 2008 to March 2009.</w:t>
      </w:r>
    </w:p>
    <w:p>
      <w:pPr>
        <w:pStyle w:val="Normal"/>
        <w:framePr w:w="318" w:hAnchor="page" w:vAnchor="page" w:x="1928" w:y="20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  </w:t>
      </w:r>
    </w:p>
    <w:p>
      <w:pPr>
        <w:pStyle w:val="Normal"/>
        <w:framePr w:w="10740" w:hAnchor="page" w:vAnchor="page" w:x="2735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 served as Chief Executive Officer and Managing Partner of Unibanco Investment Bank, a Brazilian investment</w:t>
      </w:r>
    </w:p>
    <w:p>
      <w:pPr>
        <w:pStyle w:val="Normal"/>
        <w:framePr w:w="4644" w:hAnchor="page" w:vAnchor="page" w:x="2943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which are financial advisory and consulting firms.</w:t>
      </w:r>
    </w:p>
    <w:p>
      <w:pPr>
        <w:pStyle w:val="Normal"/>
        <w:framePr w:w="10576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and is also a Founding Partner of Sinfonia Consultoria Financeira e Participações Ltda. since August 2012, both of</w:t>
      </w:r>
    </w:p>
    <w:p>
      <w:pPr>
        <w:pStyle w:val="Normal"/>
        <w:framePr w:w="10991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Mr. Carvalho Filho has been a Founding Partner of Virtus BR Partners Assessoria Corporativa Ltda. since May 2009</w:t>
      </w:r>
    </w:p>
    <w:p>
      <w:pPr>
        <w:pStyle w:val="Normal"/>
        <w:framePr w:w="1911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7pt;margin-top:1pt;z-index:-1677360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2.7pt;margin-top:31.6pt;z-index:-16773604;width:119.35pt;height:386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30.05pt;margin-top:31.6pt;z-index:-16773600;width:7.7pt;height:386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135.75pt;margin-top:31.6pt;z-index:-16773596;width:463.6pt;height:386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30.05pt;margin-top:31.6pt;z-index:-16773592;width:2.7pt;height:386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2.7pt;margin-top:491.05pt;z-index:-1677358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2.95pt;margin-top:41.85pt;z-index:-16773584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</w:p>
    <w:p>
      <w:pPr>
        <w:pStyle w:val="Normal"/>
        <w:framePr w:w="1631" w:hAnchor="page" w:vAnchor="page" w:x="274" w:y="71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21  TechnipFMC</w:t>
      </w:r>
    </w:p>
    <w:p>
      <w:pPr>
        <w:pStyle w:val="Normal"/>
        <w:framePr w:w="6306" w:hAnchor="page" w:vAnchor="page" w:x="274" w:y="65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Mr. Gwin was appointed to the Audit Committee on February 21, 2023.</w:t>
      </w:r>
    </w:p>
    <w:p>
      <w:pPr>
        <w:pStyle w:val="Normal"/>
        <w:framePr w:w="7274" w:hAnchor="page" w:vAnchor="page" w:x="2943" w:y="59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partner, Western Gas Equity Partners, LP, and LyondellBasell Industries, N.V.</w:t>
      </w:r>
    </w:p>
    <w:p>
      <w:pPr>
        <w:pStyle w:val="Normal"/>
        <w:framePr w:w="10657" w:hAnchor="page" w:vAnchor="page" w:x="2735" w:y="57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the Past Five Years: Enable Midstream Partners, LP, Western Gas Partners, LP, and its general</w:t>
      </w:r>
    </w:p>
    <w:p>
      <w:pPr>
        <w:pStyle w:val="Normal"/>
        <w:framePr w:w="6555" w:hAnchor="page" w:vAnchor="page" w:x="2735" w:y="53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Pembina Pipeline Corporation, Crescent Energy Company</w:t>
      </w:r>
    </w:p>
    <w:p>
      <w:pPr>
        <w:pStyle w:val="Normal"/>
        <w:framePr w:w="3789" w:hAnchor="page" w:vAnchor="page" w:x="2735" w:y="5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Other Public Company Directorships</w:t>
      </w:r>
    </w:p>
    <w:p>
      <w:pPr>
        <w:pStyle w:val="Normal"/>
        <w:framePr w:w="8867" w:hAnchor="page" w:vAnchor="page" w:x="2735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and private companies with international operations</w:t>
      </w:r>
    </w:p>
    <w:p>
      <w:pPr>
        <w:pStyle w:val="Normal"/>
        <w:framePr w:w="748" w:hAnchor="page" w:vAnchor="page" w:x="463" w:y="4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Audit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1445" w:hAnchor="page" w:vAnchor="page" w:x="463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4813" w:hAnchor="page" w:vAnchor="page" w:x="2735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Financial, risk management, and M&amp;A expertise</w:t>
      </w:r>
    </w:p>
    <w:p>
      <w:pPr>
        <w:pStyle w:val="Normal"/>
        <w:framePr w:w="660" w:hAnchor="page" w:vAnchor="page" w:x="463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2023</w:t>
      </w:r>
    </w:p>
    <w:p>
      <w:pPr>
        <w:pStyle w:val="Normal"/>
        <w:framePr w:w="8241" w:hAnchor="page" w:vAnchor="page" w:x="2735" w:y="38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Strategy and operational expertise, including sustainability and technology experience</w:t>
      </w:r>
    </w:p>
    <w:p>
      <w:pPr>
        <w:pStyle w:val="Normal"/>
        <w:framePr w:w="1661" w:hAnchor="page" w:vAnchor="page" w:x="463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1161" w:hAnchor="page" w:vAnchor="page" w:x="2943" w:y="34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operations</w:t>
      </w:r>
    </w:p>
    <w:p>
      <w:pPr>
        <w:pStyle w:val="Normal"/>
        <w:framePr w:w="432" w:hAnchor="page" w:vAnchor="page" w:x="463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59</w:t>
      </w:r>
    </w:p>
    <w:p>
      <w:pPr>
        <w:pStyle w:val="Normal"/>
        <w:framePr w:w="11166" w:hAnchor="page" w:vAnchor="page" w:x="2735" w:y="32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Significant management and operational experience as an executive of a major oil and gas company with international</w:t>
      </w:r>
    </w:p>
    <w:p>
      <w:pPr>
        <w:pStyle w:val="Normal"/>
        <w:framePr w:w="659" w:hAnchor="page" w:vAnchor="page" w:x="463" w:y="31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3004" w:hAnchor="page" w:vAnchor="page" w:x="2735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1422" w:hAnchor="page" w:vAnchor="page" w:x="463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2248" w:hAnchor="page" w:vAnchor="page" w:x="463" w:y="249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Robert G. Gwin</w:t>
      </w:r>
    </w:p>
    <w:p>
      <w:pPr>
        <w:pStyle w:val="Normal"/>
        <w:framePr w:w="5465" w:hAnchor="page" w:vAnchor="page" w:x="2943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2018, and as a director of both entities from 2007 to 2019.</w:t>
      </w:r>
    </w:p>
    <w:p>
      <w:pPr>
        <w:pStyle w:val="Normal"/>
        <w:framePr w:w="10682" w:hAnchor="page" w:vAnchor="page" w:x="2943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the boards of both Western Gas Partners, LP and its general partner Western Gas Equity Partners, LP from 2009 to</w:t>
      </w:r>
    </w:p>
    <w:p>
      <w:pPr>
        <w:pStyle w:val="Normal"/>
        <w:framePr w:w="11241" w:hAnchor="page" w:vAnchor="page" w:x="2735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Mr. Gwin served as founding President and CEO of Western Gas Partners, LP from 2007-2010, as well as Chairman of</w:t>
      </w:r>
    </w:p>
    <w:p>
      <w:pPr>
        <w:pStyle w:val="Normal"/>
        <w:framePr w:w="3745" w:hAnchor="page" w:vAnchor="page" w:x="2943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Officer of Anadarko from 2009 to 2018.</w:t>
      </w:r>
    </w:p>
    <w:p>
      <w:pPr>
        <w:pStyle w:val="Normal"/>
        <w:framePr w:w="10640" w:hAnchor="page" w:vAnchor="page" w:x="2943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Occidental Petroleum Corporation, and previously served as Executive Vice President, Finance and Chief Financial</w:t>
      </w:r>
    </w:p>
    <w:p>
      <w:pPr>
        <w:pStyle w:val="Normal"/>
        <w:framePr w:w="10144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natural gas exploration and production companies, until August of 2019 when the company was purchased by</w:t>
      </w:r>
    </w:p>
    <w:p>
      <w:pPr>
        <w:pStyle w:val="Normal"/>
        <w:framePr w:w="10730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Robert G. Gwin was President of Anadarko Petroleum Corporation, one of the world’s largest independent oil and</w:t>
      </w:r>
    </w:p>
    <w:p>
      <w:pPr>
        <w:pStyle w:val="Normal"/>
        <w:framePr w:w="1911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7pt;margin-top:1pt;z-index:-1677358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2.7pt;margin-top:31.6pt;z-index:-16773576;width:119.35pt;height:28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130.05pt;margin-top:31.6pt;z-index:-16773572;width:7.7pt;height:28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135.75pt;margin-top:31.6pt;z-index:-16773568;width:463.6pt;height:28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130.05pt;margin-top:31.6pt;z-index:-16773564;width:2.7pt;height:28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12.7pt;margin-top:374.4pt;z-index:-1677356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22.95pt;margin-top:41.85pt;z-index:-16773556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</w:p>
    <w:p>
      <w:pPr>
        <w:pStyle w:val="Normal"/>
        <w:framePr w:w="1631" w:hAnchor="page" w:vAnchor="page" w:x="274" w:y="79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22  TechnipFMC</w:t>
      </w:r>
    </w:p>
    <w:p>
      <w:pPr>
        <w:pStyle w:val="Normal"/>
        <w:framePr w:w="10746" w:hAnchor="page" w:vAnchor="page" w:x="274" w:y="73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Mr. O’Leary previously served on the board of directors of Technip S.A. before it merged with FMC Technologies, Inc. in 2017.</w:t>
      </w:r>
    </w:p>
    <w:p>
      <w:pPr>
        <w:pStyle w:val="Normal"/>
        <w:framePr w:w="4414" w:hAnchor="page" w:vAnchor="page" w:x="2735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the Past Five Years: None</w:t>
      </w:r>
    </w:p>
    <w:p>
      <w:pPr>
        <w:pStyle w:val="Normal"/>
        <w:framePr w:w="1750" w:hAnchor="page" w:vAnchor="page" w:x="2735" w:y="63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None</w:t>
      </w:r>
    </w:p>
    <w:p>
      <w:pPr>
        <w:pStyle w:val="Normal"/>
        <w:framePr w:w="3846" w:hAnchor="page" w:vAnchor="page" w:x="2735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 xml:space="preserve">Other Public Company Directorships </w:t>
      </w:r>
    </w:p>
    <w:p>
      <w:pPr>
        <w:pStyle w:val="Normal"/>
        <w:framePr w:w="8070" w:hAnchor="page" w:vAnchor="page" w:x="2735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International experience in countries where the Company has a significant presence</w:t>
      </w:r>
    </w:p>
    <w:p>
      <w:pPr>
        <w:pStyle w:val="Normal"/>
        <w:framePr w:w="830" w:hAnchor="page" w:vAnchor="page" w:x="463" w:y="53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(Chair)</w:t>
      </w:r>
    </w:p>
    <w:p>
      <w:pPr>
        <w:pStyle w:val="Normal"/>
        <w:framePr w:w="8867" w:hAnchor="page" w:vAnchor="page" w:x="2735" w:y="5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and private companies with international operations</w:t>
      </w:r>
    </w:p>
    <w:p>
      <w:pPr>
        <w:pStyle w:val="Normal"/>
        <w:framePr w:w="2550" w:hAnchor="page" w:vAnchor="page" w:x="463" w:y="51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and Talent</w:t>
      </w:r>
    </w:p>
    <w:p>
      <w:pPr>
        <w:pStyle w:val="Normal"/>
        <w:framePr w:w="1445" w:hAnchor="page" w:vAnchor="page" w:x="463" w:y="49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4756" w:hAnchor="page" w:vAnchor="page" w:x="2735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Strategy, risk management, and M&amp;A expertise</w:t>
      </w:r>
    </w:p>
    <w:p>
      <w:pPr>
        <w:pStyle w:val="Normal"/>
        <w:framePr w:w="737" w:hAnchor="page" w:vAnchor="page" w:x="463" w:y="4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2007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10278" w:hAnchor="page" w:vAnchor="page" w:x="2735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Significant industry and leadership experience gained as an executive in international oil and gas companies</w:t>
      </w:r>
    </w:p>
    <w:p>
      <w:pPr>
        <w:pStyle w:val="Normal"/>
        <w:framePr w:w="2424" w:hAnchor="page" w:vAnchor="page" w:x="463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Legacy Director Since:</w:t>
      </w:r>
    </w:p>
    <w:p>
      <w:pPr>
        <w:pStyle w:val="Normal"/>
        <w:framePr w:w="3004" w:hAnchor="page" w:vAnchor="page" w:x="2735" w:y="41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660" w:hAnchor="page" w:vAnchor="page" w:x="463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2017</w:t>
      </w:r>
    </w:p>
    <w:p>
      <w:pPr>
        <w:pStyle w:val="Normal"/>
        <w:framePr w:w="1661" w:hAnchor="page" w:vAnchor="page" w:x="463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1787" w:hAnchor="page" w:vAnchor="page" w:x="2943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engineer in 1980.</w:t>
      </w:r>
    </w:p>
    <w:p>
      <w:pPr>
        <w:pStyle w:val="Normal"/>
        <w:framePr w:w="10586" w:hAnchor="page" w:vAnchor="page" w:x="2735" w:y="35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 began his career as a trader in the Irish National Petroleum Corporation before joining Total S.A. as a drilling</w:t>
      </w:r>
    </w:p>
    <w:p>
      <w:pPr>
        <w:pStyle w:val="Normal"/>
        <w:framePr w:w="432" w:hAnchor="page" w:vAnchor="page" w:x="463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67</w:t>
      </w:r>
    </w:p>
    <w:p>
      <w:pPr>
        <w:pStyle w:val="Normal"/>
        <w:framePr w:w="625" w:hAnchor="page" w:vAnchor="page" w:x="463" w:y="31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Age:</w:t>
      </w:r>
    </w:p>
    <w:p>
      <w:pPr>
        <w:pStyle w:val="Normal"/>
        <w:framePr w:w="5658" w:hAnchor="page" w:vAnchor="page" w:x="2943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Development and Partnerships Manager from 1985 to 1989.</w:t>
      </w:r>
    </w:p>
    <w:p>
      <w:pPr>
        <w:pStyle w:val="Normal"/>
        <w:framePr w:w="11104" w:hAnchor="page" w:vAnchor="page" w:x="2735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 previously served as Vice Chair for Marketing for Forasol-Foramer from 1990 to 1998, and, prior to that, served as</w:t>
      </w:r>
    </w:p>
    <w:p>
      <w:pPr>
        <w:pStyle w:val="Normal"/>
        <w:framePr w:w="1343" w:hAnchor="page" w:vAnchor="page" w:x="463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2008" w:hAnchor="page" w:vAnchor="page" w:x="463" w:y="249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John O’Leary</w:t>
      </w:r>
    </w:p>
    <w:p>
      <w:pPr>
        <w:pStyle w:val="Normal"/>
        <w:framePr w:w="10420" w:hAnchor="page" w:vAnchor="page" w:x="2943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company specializing in onshore and offshore drilling, which acquired his former company, Forasol-Foramer N.V.</w:t>
      </w:r>
    </w:p>
    <w:p>
      <w:pPr>
        <w:pStyle w:val="Normal"/>
        <w:framePr w:w="10744" w:hAnchor="page" w:vAnchor="page" w:x="2735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From 1997 to 2004, Mr. O’Leary served in various roles, most recently as President, for Pride International, Inc., a</w:t>
      </w:r>
    </w:p>
    <w:p>
      <w:pPr>
        <w:pStyle w:val="Normal"/>
        <w:framePr w:w="1832" w:hAnchor="page" w:vAnchor="page" w:x="2943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production sector.</w:t>
      </w:r>
    </w:p>
    <w:p>
      <w:pPr>
        <w:pStyle w:val="Normal"/>
        <w:framePr w:w="10673" w:hAnchor="page" w:vAnchor="page" w:x="2735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From 2004 to 2006, he was a partner in Pareto Offshore ASA, a Norwegian consulting firm in the exploration and</w:t>
      </w:r>
    </w:p>
    <w:p>
      <w:pPr>
        <w:pStyle w:val="Normal"/>
        <w:framePr w:w="5704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development in the oil and gas industry, since January 2007.</w:t>
      </w:r>
    </w:p>
    <w:p>
      <w:pPr>
        <w:pStyle w:val="Normal"/>
        <w:framePr w:w="11101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Mr. O’Leary has served as Chief Executive Officer of Strand Energy, a Dubai-based company specializing in business</w:t>
      </w:r>
    </w:p>
    <w:p>
      <w:pPr>
        <w:pStyle w:val="Normal"/>
        <w:framePr w:w="1911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7pt;margin-top:1pt;z-index:-1677355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12.7pt;margin-top:31.6pt;z-index:-16773548;width:119.35pt;height:32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130.05pt;margin-top:31.6pt;z-index:-16773544;width:7.7pt;height:32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135.75pt;margin-top:31.6pt;z-index:-16773540;width:463.6pt;height:32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130.05pt;margin-top:31.6pt;z-index:-16773536;width:2.7pt;height:32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12.7pt;margin-top:414.2pt;z-index:-167735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22.95pt;margin-top:41.85pt;z-index:-16773528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</w:p>
    <w:p>
      <w:pPr>
        <w:pStyle w:val="Normal"/>
        <w:framePr w:w="1631" w:hAnchor="page" w:vAnchor="page" w:x="274" w:y="888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23  TechnipFMC</w:t>
      </w:r>
    </w:p>
    <w:p>
      <w:pPr>
        <w:pStyle w:val="Normal"/>
        <w:framePr w:w="5154" w:hAnchor="page" w:vAnchor="page" w:x="2735" w:y="80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the Past Five Years: Alfa Laval AB</w:t>
      </w:r>
    </w:p>
    <w:p>
      <w:pPr>
        <w:pStyle w:val="Normal"/>
        <w:framePr w:w="6304" w:hAnchor="page" w:vAnchor="page" w:x="2735" w:y="76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FMC Corporation, Harbour Energy plc, Transocean Ltd.</w:t>
      </w:r>
    </w:p>
    <w:p>
      <w:pPr>
        <w:pStyle w:val="Normal"/>
        <w:framePr w:w="3789" w:hAnchor="page" w:vAnchor="page" w:x="2735" w:y="72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Other Public Company Directorships</w:t>
      </w:r>
    </w:p>
    <w:p>
      <w:pPr>
        <w:pStyle w:val="Normal"/>
        <w:framePr w:w="10859" w:hAnchor="page" w:vAnchor="page" w:x="2735" w:y="68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Contribution to the Board in a way that enhances perspective through diversity in geographic origin and experience</w:t>
      </w:r>
    </w:p>
    <w:p>
      <w:pPr>
        <w:pStyle w:val="Normal"/>
        <w:framePr w:w="10493" w:hAnchor="page" w:vAnchor="page" w:x="2735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Extensive experience working in Norway and Brazil, countries in which the Company has significant operations</w:t>
      </w:r>
    </w:p>
    <w:p>
      <w:pPr>
        <w:pStyle w:val="Normal"/>
        <w:framePr w:w="8867" w:hAnchor="page" w:vAnchor="page" w:x="2735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and private companies with international operations</w:t>
      </w:r>
    </w:p>
    <w:p>
      <w:pPr>
        <w:pStyle w:val="Normal"/>
        <w:framePr w:w="8241" w:hAnchor="page" w:vAnchor="page" w:x="2735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Strategy and operational expertise, including sustainability and technology experience</w:t>
      </w:r>
    </w:p>
    <w:p>
      <w:pPr>
        <w:pStyle w:val="Normal"/>
        <w:framePr w:w="2333" w:hAnchor="page" w:vAnchor="page" w:x="2943" w:y="5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international operations</w:t>
      </w:r>
    </w:p>
    <w:p>
      <w:pPr>
        <w:pStyle w:val="Normal"/>
        <w:framePr w:w="11140" w:hAnchor="page" w:vAnchor="page" w:x="2735" w:y="5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Significant management, technology, and operational experience as an executive of a major oil and gas company with</w:t>
      </w:r>
    </w:p>
    <w:p>
      <w:pPr>
        <w:pStyle w:val="Normal"/>
        <w:framePr w:w="637" w:hAnchor="page" w:vAnchor="page" w:x="463" w:y="48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ESG</w:t>
      </w:r>
    </w:p>
    <w:p>
      <w:pPr>
        <w:pStyle w:val="Normal"/>
        <w:framePr w:w="3004" w:hAnchor="page" w:vAnchor="page" w:x="2735" w:y="47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1445" w:hAnchor="page" w:vAnchor="page" w:x="463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7081" w:hAnchor="page" w:vAnchor="page" w:x="2943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youngest platform manager of the company’s Gulfaks field in the North Sea.</w:t>
      </w:r>
    </w:p>
    <w:p>
      <w:pPr>
        <w:pStyle w:val="Normal"/>
        <w:framePr w:w="660" w:hAnchor="page" w:vAnchor="page" w:x="463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2020</w:t>
      </w:r>
    </w:p>
    <w:p>
      <w:pPr>
        <w:pStyle w:val="Normal"/>
        <w:framePr w:w="10870" w:hAnchor="page" w:vAnchor="page" w:x="2735" w:y="41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Øvrum began her career at Equinor in 1982 in Strategic Analysis, and in 1993, became the first female and the</w:t>
      </w:r>
    </w:p>
    <w:p>
      <w:pPr>
        <w:pStyle w:val="Normal"/>
        <w:framePr w:w="1661" w:hAnchor="page" w:vAnchor="page" w:x="463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9416" w:hAnchor="page" w:vAnchor="page" w:x="2943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Planning from 1988 to 1989, and Strategic Analysis, Production and Maintenance, from 1982 to 1987.</w:t>
      </w:r>
    </w:p>
    <w:p>
      <w:pPr>
        <w:pStyle w:val="Normal"/>
        <w:framePr w:w="432" w:hAnchor="page" w:vAnchor="page" w:x="463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64</w:t>
      </w:r>
    </w:p>
    <w:p>
      <w:pPr>
        <w:pStyle w:val="Normal"/>
        <w:framePr w:w="10793" w:hAnchor="page" w:vAnchor="page" w:x="2943" w:y="35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1991 to 1993, Department Head, Operations Technology from 1989 to 1991, Section Head, Maintenance and Activity</w:t>
      </w:r>
    </w:p>
    <w:p>
      <w:pPr>
        <w:pStyle w:val="Normal"/>
        <w:framePr w:w="659" w:hAnchor="page" w:vAnchor="page" w:x="463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10550" w:hAnchor="page" w:vAnchor="page" w:x="2943" w:y="33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1996 to 1999, Offshore Installation Manager from 1993 to 1996, Production and Maintenance Superintendent from</w:t>
      </w:r>
    </w:p>
    <w:p>
      <w:pPr>
        <w:pStyle w:val="Normal"/>
        <w:framePr w:w="10732" w:hAnchor="page" w:vAnchor="page" w:x="2943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Support, Exploration and Production, Norway from 2000 to 2003, Senior Vice President, Operations, Veslefrikk, from</w:t>
      </w:r>
    </w:p>
    <w:p>
      <w:pPr>
        <w:pStyle w:val="Normal"/>
        <w:framePr w:w="1422" w:hAnchor="page" w:vAnchor="page" w:x="463" w:y="30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10651" w:hAnchor="page" w:vAnchor="page" w:x="2735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She has also held numerous management and operations positions, including Senior Vice President, Operations</w:t>
      </w:r>
    </w:p>
    <w:p>
      <w:pPr>
        <w:pStyle w:val="Normal"/>
        <w:framePr w:w="1149" w:hAnchor="page" w:vAnchor="page" w:x="463" w:y="274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Øvrum</w:t>
      </w:r>
    </w:p>
    <w:p>
      <w:pPr>
        <w:pStyle w:val="Normal"/>
        <w:framePr w:w="10307" w:hAnchor="page" w:vAnchor="page" w:x="2943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Projects, from 2004 to 2007, and Executive Vice President of Health, Safety, and the Environment, during 2004.</w:t>
      </w:r>
    </w:p>
    <w:p>
      <w:pPr>
        <w:pStyle w:val="Normal"/>
        <w:framePr w:w="1586" w:hAnchor="page" w:vAnchor="page" w:x="463" w:y="245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Margareth</w:t>
      </w:r>
    </w:p>
    <w:p>
      <w:pPr>
        <w:pStyle w:val="Normal"/>
        <w:framePr w:w="10193" w:hAnchor="page" w:vAnchor="page" w:x="2943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Technology and New Energy for Statoil Hydro, from 2007 to 2011, Executive Vice President of Technology and</w:t>
      </w:r>
    </w:p>
    <w:p>
      <w:pPr>
        <w:pStyle w:val="Normal"/>
        <w:framePr w:w="318" w:hAnchor="page" w:vAnchor="page" w:x="463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  </w:t>
      </w:r>
    </w:p>
    <w:p>
      <w:pPr>
        <w:pStyle w:val="Normal"/>
        <w:framePr w:w="10641" w:hAnchor="page" w:vAnchor="page" w:x="2943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2020; Executive Vice President of Technology, Projects, and Drilling from 2011 to 2018, Executive Vice President of</w:t>
      </w:r>
    </w:p>
    <w:p>
      <w:pPr>
        <w:pStyle w:val="Normal"/>
        <w:framePr w:w="10722" w:hAnchor="page" w:vAnchor="page" w:x="2735" w:y="19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Øvrum held a succession of leadership positions at Equinor, including President, Equinor Brazil, from 2018 to</w:t>
      </w:r>
    </w:p>
    <w:p>
      <w:pPr>
        <w:pStyle w:val="Normal"/>
        <w:framePr w:w="1718" w:hAnchor="page" w:vAnchor="page" w:x="2943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December 2020.</w:t>
      </w:r>
    </w:p>
    <w:p>
      <w:pPr>
        <w:pStyle w:val="Normal"/>
        <w:framePr w:w="10617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she served as Executive Vice President of Equinor ASA, Development and Production Brazil, until her retirement in</w:t>
      </w:r>
    </w:p>
    <w:p>
      <w:pPr>
        <w:pStyle w:val="Normal"/>
        <w:framePr w:w="11017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Øvrum has more than 39 years of experience at Equinor (formerly Statoil), a Norwegian energy company, where</w:t>
      </w:r>
    </w:p>
    <w:p>
      <w:pPr>
        <w:pStyle w:val="Normal"/>
        <w:framePr w:w="1911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7pt;margin-top:1pt;z-index:-167735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12.7pt;margin-top:31.6pt;z-index:-16773520;width:119.35pt;height:39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130.05pt;margin-top:31.6pt;z-index:-16773516;width:7.7pt;height:39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135.75pt;margin-top:31.6pt;z-index:-16773512;width:463.6pt;height:39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130.05pt;margin-top:31.6pt;z-index:-16773508;width:2.7pt;height:39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12.7pt;margin-top:460.45pt;z-index:-167735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22.95pt;margin-top:41.85pt;z-index:-16773500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</w:p>
    <w:p>
      <w:pPr>
        <w:pStyle w:val="Normal"/>
        <w:framePr w:w="1631" w:hAnchor="page" w:vAnchor="page" w:x="274" w:y="94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24  TechnipFMC</w:t>
      </w:r>
    </w:p>
    <w:p>
      <w:pPr>
        <w:pStyle w:val="Normal"/>
        <w:framePr w:w="10766" w:hAnchor="page" w:vAnchor="page" w:x="274" w:y="886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Ms. Priestly previously served on the board of directors of FMC Technologies, Inc. before it merged with Technip S.A. in 2017.</w:t>
      </w:r>
    </w:p>
    <w:p>
      <w:pPr>
        <w:pStyle w:val="Normal"/>
        <w:framePr w:w="4869" w:hAnchor="page" w:vAnchor="page" w:x="2735" w:y="82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Past Five Years: New Gold Inc.</w:t>
      </w:r>
    </w:p>
    <w:p>
      <w:pPr>
        <w:pStyle w:val="Normal"/>
        <w:framePr w:w="4516" w:hAnchor="page" w:vAnchor="page" w:x="2735" w:y="78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Stericycle, Inc. and SSR Mining Inc.</w:t>
      </w:r>
    </w:p>
    <w:p>
      <w:pPr>
        <w:pStyle w:val="Normal"/>
        <w:framePr w:w="3846" w:hAnchor="page" w:vAnchor="page" w:x="2735" w:y="75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 xml:space="preserve">Other Public Company Directorships </w:t>
      </w:r>
    </w:p>
    <w:p>
      <w:pPr>
        <w:pStyle w:val="Normal"/>
        <w:framePr w:w="8208" w:hAnchor="page" w:vAnchor="page" w:x="2943" w:y="71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mining experience, including in countries where the Company has a significant presence</w:t>
      </w:r>
    </w:p>
    <w:p>
      <w:pPr>
        <w:pStyle w:val="Normal"/>
        <w:framePr w:w="11015" w:hAnchor="page" w:vAnchor="page" w:x="2735" w:y="69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Thorough understanding of different cultural, political, and regulatory requirements through her extensive energy and</w:t>
      </w:r>
    </w:p>
    <w:p>
      <w:pPr>
        <w:pStyle w:val="Normal"/>
        <w:framePr w:w="7067" w:hAnchor="page" w:vAnchor="page" w:x="2735" w:y="65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in a variety of industries that provides diversity of perspective</w:t>
      </w:r>
    </w:p>
    <w:p>
      <w:pPr>
        <w:pStyle w:val="Normal"/>
        <w:framePr w:w="3390" w:hAnchor="page" w:vAnchor="page" w:x="2735" w:y="61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Extensive consulting experience</w:t>
      </w:r>
    </w:p>
    <w:p>
      <w:pPr>
        <w:pStyle w:val="Normal"/>
        <w:framePr w:w="5655" w:hAnchor="page" w:vAnchor="page" w:x="2735" w:y="57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Financial, strategy, risk management, and M&amp;A expertise</w:t>
      </w:r>
    </w:p>
    <w:p>
      <w:pPr>
        <w:pStyle w:val="Normal"/>
        <w:framePr w:w="2333" w:hAnchor="page" w:vAnchor="page" w:x="2943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international operations</w:t>
      </w:r>
    </w:p>
    <w:p>
      <w:pPr>
        <w:pStyle w:val="Normal"/>
        <w:framePr w:w="1354" w:hAnchor="page" w:vAnchor="page" w:x="463" w:y="51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Audit (Chair)</w:t>
      </w:r>
    </w:p>
    <w:p>
      <w:pPr>
        <w:pStyle w:val="Normal"/>
        <w:framePr w:w="10247" w:hAnchor="page" w:vAnchor="page" w:x="2735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management experience as a chief executive officer and senior officer of major organizations with</w:t>
      </w:r>
    </w:p>
    <w:p>
      <w:pPr>
        <w:pStyle w:val="Normal"/>
        <w:framePr w:w="1445" w:hAnchor="page" w:vAnchor="page" w:x="463" w:y="49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3004" w:hAnchor="page" w:vAnchor="page" w:x="2735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774" w:hAnchor="page" w:vAnchor="page" w:x="463" w:y="45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20151</w:t>
      </w:r>
    </w:p>
    <w:p>
      <w:pPr>
        <w:pStyle w:val="Normal"/>
        <w:framePr w:w="2424" w:hAnchor="page" w:vAnchor="page" w:x="463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Legacy Director Since:</w:t>
      </w:r>
    </w:p>
    <w:p>
      <w:pPr>
        <w:pStyle w:val="Normal"/>
        <w:framePr w:w="10925" w:hAnchor="page" w:vAnchor="page" w:x="2943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and M&amp;A services to global companies across many industries, including energy, mining, manufacturing, and services.</w:t>
      </w:r>
    </w:p>
    <w:p>
      <w:pPr>
        <w:pStyle w:val="Normal"/>
        <w:framePr w:w="10724" w:hAnchor="page" w:vAnchor="page" w:x="2943" w:y="41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team as Global Managing Partner – People. During her 24 years with Arthur Andersen, she provided tax, consulting,</w:t>
      </w:r>
    </w:p>
    <w:p>
      <w:pPr>
        <w:pStyle w:val="Normal"/>
        <w:framePr w:w="660" w:hAnchor="page" w:vAnchor="page" w:x="463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2017</w:t>
      </w:r>
    </w:p>
    <w:p>
      <w:pPr>
        <w:pStyle w:val="Normal"/>
        <w:framePr w:w="10929" w:hAnchor="page" w:vAnchor="page" w:x="2943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accountant to partner, holding various management and leadership positions, including serving on the global executive</w:t>
      </w:r>
    </w:p>
    <w:p>
      <w:pPr>
        <w:pStyle w:val="Normal"/>
        <w:framePr w:w="1661" w:hAnchor="page" w:vAnchor="page" w:x="463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11130" w:hAnchor="page" w:vAnchor="page" w:x="2735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Priestly began her career with global professional services firm Arthur Andersen, where she progressed from staff</w:t>
      </w:r>
    </w:p>
    <w:p>
      <w:pPr>
        <w:pStyle w:val="Normal"/>
        <w:framePr w:w="432" w:hAnchor="page" w:vAnchor="page" w:x="463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67</w:t>
      </w:r>
    </w:p>
    <w:p>
      <w:pPr>
        <w:pStyle w:val="Normal"/>
        <w:framePr w:w="10747" w:hAnchor="page" w:vAnchor="page" w:x="2943" w:y="33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energy company engaged primarily in electric power production and retail distribution operations, from 2004 to 2006.</w:t>
      </w:r>
    </w:p>
    <w:p>
      <w:pPr>
        <w:pStyle w:val="Normal"/>
        <w:framePr w:w="659" w:hAnchor="page" w:vAnchor="page" w:x="463" w:y="31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11047" w:hAnchor="page" w:vAnchor="page" w:x="2735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Priestly served as Vice President, Risk Management, and General Auditor for Entergy Corporation, an integrated</w:t>
      </w:r>
    </w:p>
    <w:p>
      <w:pPr>
        <w:pStyle w:val="Normal"/>
        <w:framePr w:w="1422" w:hAnchor="page" w:vAnchor="page" w:x="463" w:y="27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1217" w:hAnchor="page" w:vAnchor="page" w:x="2943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operations.</w:t>
      </w:r>
    </w:p>
    <w:p>
      <w:pPr>
        <w:pStyle w:val="Normal"/>
        <w:framePr w:w="2189" w:hAnchor="page" w:vAnchor="page" w:x="463" w:y="249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Kay G. Priestly</w:t>
      </w:r>
    </w:p>
    <w:p>
      <w:pPr>
        <w:pStyle w:val="Normal"/>
        <w:framePr w:w="11238" w:hAnchor="page" w:vAnchor="page" w:x="2735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From 2006 to 2008, she was Vice President, Finance, and Chief Financial Officer of Rio Tinto’s Kennecott Utah Copper</w:t>
      </w:r>
    </w:p>
    <w:p>
      <w:pPr>
        <w:pStyle w:val="Normal"/>
        <w:framePr w:w="4166" w:hAnchor="page" w:vAnchor="page" w:x="2943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Officer of Turquoise Hill Resources in 2012.</w:t>
      </w:r>
    </w:p>
    <w:p>
      <w:pPr>
        <w:pStyle w:val="Normal"/>
        <w:framePr w:w="10488" w:hAnchor="page" w:vAnchor="page" w:x="2943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and Rio Tinto Limited), a global metal and mining corporation, from 2008 until her appointment as Chief Executive</w:t>
      </w:r>
    </w:p>
    <w:p>
      <w:pPr>
        <w:pStyle w:val="Normal"/>
        <w:framePr w:w="11055" w:hAnchor="page" w:vAnchor="page" w:x="2735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She previously served as Chief Financial Officer of Rio Tinto Copper (a division of the Rio Tinto Group – Rio Tinto plc</w:t>
      </w:r>
    </w:p>
    <w:p>
      <w:pPr>
        <w:pStyle w:val="Normal"/>
        <w:framePr w:w="10599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focused on copper, gold, and coal in the Asia Pacific region, from May 2012 until her retirement in December 2014.</w:t>
      </w:r>
    </w:p>
    <w:p>
      <w:pPr>
        <w:pStyle w:val="Normal"/>
        <w:framePr w:w="10629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Priestly served as Chief Executive Officer of Turquoise Hill Resources Ltd., an international mining company</w:t>
      </w:r>
    </w:p>
    <w:p>
      <w:pPr>
        <w:pStyle w:val="Normal"/>
        <w:framePr w:w="1911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7pt;margin-top:1pt;z-index:-1677349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12.7pt;margin-top:31.6pt;z-index:-16773492;width:119.35pt;height:40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130.05pt;margin-top:31.6pt;z-index:-16773488;width:7.7pt;height:40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135.75pt;margin-top:31.6pt;z-index:-16773484;width:463.6pt;height:40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30.05pt;margin-top:31.6pt;z-index:-16773480;width:2.7pt;height:40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12.7pt;margin-top:488.9pt;z-index:-167734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22.95pt;margin-top:41.8pt;z-index:-16773472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</w:p>
    <w:p>
      <w:pPr>
        <w:pStyle w:val="Normal"/>
        <w:framePr w:w="1631" w:hAnchor="page" w:vAnchor="page" w:x="274" w:y="800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25  TechnipFMC</w:t>
      </w:r>
    </w:p>
    <w:p>
      <w:pPr>
        <w:pStyle w:val="Normal"/>
        <w:framePr w:w="4072" w:hAnchor="page" w:vAnchor="page" w:x="2735" w:y="71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Past Five Years: None</w:t>
      </w:r>
    </w:p>
    <w:p>
      <w:pPr>
        <w:pStyle w:val="Normal"/>
        <w:framePr w:w="7625" w:hAnchor="page" w:vAnchor="page" w:x="2735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Nabors Industries Ltd. and its affiliate, Nabors Energy Transition Corp.</w:t>
      </w:r>
    </w:p>
    <w:p>
      <w:pPr>
        <w:pStyle w:val="Normal"/>
        <w:framePr w:w="3789" w:hAnchor="page" w:vAnchor="page" w:x="2735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Other Public Company Directorships</w:t>
      </w:r>
    </w:p>
    <w:p>
      <w:pPr>
        <w:pStyle w:val="Normal"/>
        <w:framePr w:w="6635" w:hAnchor="page" w:vAnchor="page" w:x="2735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Diversity in geographic origin that enhances the Board’s perspective</w:t>
      </w:r>
    </w:p>
    <w:p>
      <w:pPr>
        <w:pStyle w:val="Normal"/>
        <w:framePr w:w="8070" w:hAnchor="page" w:vAnchor="page" w:x="2735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International experience in countries where the Company has a significant presence</w:t>
      </w:r>
    </w:p>
    <w:p>
      <w:pPr>
        <w:pStyle w:val="Normal"/>
        <w:framePr w:w="5030" w:hAnchor="page" w:vAnchor="page" w:x="2735" w:y="52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Oil and gas exploration and production experience</w:t>
      </w:r>
    </w:p>
    <w:p>
      <w:pPr>
        <w:pStyle w:val="Normal"/>
        <w:framePr w:w="5394" w:hAnchor="page" w:vAnchor="page" w:x="2735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Technology, strategy, governance, and M&amp;A expertise</w:t>
      </w:r>
    </w:p>
    <w:p>
      <w:pPr>
        <w:pStyle w:val="Normal"/>
        <w:framePr w:w="1320" w:hAnchor="page" w:vAnchor="page" w:x="463" w:y="47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Talent, ESG</w:t>
      </w:r>
    </w:p>
    <w:p>
      <w:pPr>
        <w:pStyle w:val="Normal"/>
        <w:framePr w:w="1923" w:hAnchor="page" w:vAnchor="page" w:x="463" w:y="45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and</w:t>
      </w:r>
    </w:p>
    <w:p>
      <w:pPr>
        <w:pStyle w:val="Normal"/>
        <w:framePr w:w="8867" w:hAnchor="page" w:vAnchor="page" w:x="2735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and private companies with international operations</w:t>
      </w:r>
    </w:p>
    <w:p>
      <w:pPr>
        <w:pStyle w:val="Normal"/>
        <w:framePr w:w="1445" w:hAnchor="page" w:vAnchor="page" w:x="463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1161" w:hAnchor="page" w:vAnchor="page" w:x="2943" w:y="40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operations</w:t>
      </w:r>
    </w:p>
    <w:p>
      <w:pPr>
        <w:pStyle w:val="Normal"/>
        <w:framePr w:w="660" w:hAnchor="page" w:vAnchor="page" w:x="463" w:y="39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2019</w:t>
      </w:r>
    </w:p>
    <w:p>
      <w:pPr>
        <w:pStyle w:val="Normal"/>
        <w:framePr w:w="10619" w:hAnchor="page" w:vAnchor="page" w:x="2735" w:y="38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Significant executive management experience as an executive of a major oil and gas company with international</w:t>
      </w:r>
    </w:p>
    <w:p>
      <w:pPr>
        <w:pStyle w:val="Normal"/>
        <w:framePr w:w="1661" w:hAnchor="page" w:vAnchor="page" w:x="463" w:y="37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3004" w:hAnchor="page" w:vAnchor="page" w:x="2735" w:y="35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432" w:hAnchor="page" w:vAnchor="page" w:x="463" w:y="33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63</w:t>
      </w:r>
    </w:p>
    <w:p>
      <w:pPr>
        <w:pStyle w:val="Normal"/>
        <w:framePr w:w="659" w:hAnchor="page" w:vAnchor="page" w:x="463" w:y="31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4735" w:hAnchor="page" w:vAnchor="page" w:x="2943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Schlumberger, a joint venture with Dow Chemical.</w:t>
      </w:r>
    </w:p>
    <w:p>
      <w:pPr>
        <w:pStyle w:val="Normal"/>
        <w:framePr w:w="11006" w:hAnchor="page" w:vAnchor="page" w:x="2735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 began his career serving in numerous management and technical positions for Schlumberger Limited and Dowell</w:t>
      </w:r>
    </w:p>
    <w:p>
      <w:pPr>
        <w:pStyle w:val="Normal"/>
        <w:framePr w:w="1422" w:hAnchor="page" w:vAnchor="page" w:x="463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1457" w:hAnchor="page" w:vAnchor="page" w:x="2943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1999 to 2000.</w:t>
      </w:r>
    </w:p>
    <w:p>
      <w:pPr>
        <w:pStyle w:val="Normal"/>
        <w:framePr w:w="2294" w:hAnchor="page" w:vAnchor="page" w:x="463" w:y="245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John Yearwood</w:t>
      </w:r>
    </w:p>
    <w:p>
      <w:pPr>
        <w:pStyle w:val="Normal"/>
        <w:framePr w:w="10576" w:hAnchor="page" w:vAnchor="page" w:x="2943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Vice President, Finance, WesternGeco and OFS Controller from 2000 to 2004, and Vice President, Marketing from</w:t>
      </w:r>
    </w:p>
    <w:p>
      <w:pPr>
        <w:pStyle w:val="Normal"/>
        <w:framePr w:w="10667" w:hAnchor="page" w:vAnchor="page" w:x="2943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leadership positions, including President of North and South America Oilfield Services from 2004 to 2006,</w:t>
      </w:r>
    </w:p>
    <w:p>
      <w:pPr>
        <w:pStyle w:val="Normal"/>
        <w:framePr w:w="10664" w:hAnchor="page" w:vAnchor="page" w:x="2735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Prior to joining Smith International, Inc., he spent more than 26 years at Schlumberger Limited in a succession of</w:t>
      </w:r>
    </w:p>
    <w:p>
      <w:pPr>
        <w:pStyle w:val="Normal"/>
        <w:framePr w:w="8652" w:hAnchor="page" w:vAnchor="page" w:x="2943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industry from 2009 until August 2010, when the company merged with Schlumberger Limited.</w:t>
      </w:r>
    </w:p>
    <w:p>
      <w:pPr>
        <w:pStyle w:val="Normal"/>
        <w:framePr w:w="10997" w:hAnchor="page" w:vAnchor="page" w:x="2943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Houston-based company specializing in the provision of services and the manufacturing of products used by the drilling</w:t>
      </w:r>
    </w:p>
    <w:p>
      <w:pPr>
        <w:pStyle w:val="Normal"/>
        <w:framePr w:w="11025" w:hAnchor="page" w:vAnchor="page" w:x="2735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Mr. Yearwood served as President, Chief Executive Officer, and Chief Operating Officer of Smith International, Inc., a</w:t>
      </w:r>
    </w:p>
    <w:p>
      <w:pPr>
        <w:pStyle w:val="Normal"/>
        <w:framePr w:w="1911" w:hAnchor="page" w:vAnchor="page" w:x="2735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7pt;margin-top:1pt;z-index:-1677346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12.7pt;margin-top:31.6pt;z-index:-16773464;width:119.35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130.05pt;margin-top:31.6pt;z-index:-16773460;width:7.7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135.75pt;margin-top:31.6pt;z-index:-16773456;width:463.6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130.05pt;margin-top:31.6pt;z-index:-16773452;width:2.7pt;height:34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12.7pt;margin-top:416.35pt;z-index:-1677344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2.95pt;margin-top:41.85pt;z-index:-16773444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</w:p>
    <w:p>
      <w:pPr>
        <w:pStyle w:val="Normal"/>
        <w:framePr w:w="1786" w:hAnchor="page" w:vAnchor="page" w:x="274" w:y="66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26  TechnipFMC</w:t>
      </w:r>
    </w:p>
    <w:p>
      <w:pPr>
        <w:pStyle w:val="Normal"/>
        <w:framePr w:w="4630" w:hAnchor="page" w:vAnchor="page" w:x="2735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Formerly Held in Past Five Years: Safran S.A.</w:t>
      </w:r>
    </w:p>
    <w:p>
      <w:pPr>
        <w:pStyle w:val="Normal"/>
        <w:framePr w:w="2171" w:hAnchor="page" w:vAnchor="page" w:x="2735" w:y="53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Current: CGG S.A.</w:t>
      </w:r>
    </w:p>
    <w:p>
      <w:pPr>
        <w:pStyle w:val="Normal"/>
        <w:framePr w:w="3789" w:hAnchor="page" w:vAnchor="page" w:x="2735" w:y="50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Other Public Company Directorships</w:t>
      </w:r>
    </w:p>
    <w:p>
      <w:pPr>
        <w:pStyle w:val="Normal"/>
        <w:framePr w:w="671" w:hAnchor="page" w:vAnchor="page" w:x="463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Audit</w:t>
      </w:r>
    </w:p>
    <w:p>
      <w:pPr>
        <w:pStyle w:val="Normal"/>
        <w:framePr w:w="1445" w:hAnchor="page" w:vAnchor="page" w:x="463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Committees:</w:t>
      </w:r>
    </w:p>
    <w:p>
      <w:pPr>
        <w:pStyle w:val="Normal"/>
        <w:framePr w:w="10859" w:hAnchor="page" w:vAnchor="page" w:x="2735" w:y="46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Contribution to the Board in a way that enhances perspective through diversity in geographic origin and experience</w:t>
      </w:r>
    </w:p>
    <w:p>
      <w:pPr>
        <w:pStyle w:val="Normal"/>
        <w:framePr w:w="660" w:hAnchor="page" w:vAnchor="page" w:x="463" w:y="42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2021</w:t>
      </w:r>
    </w:p>
    <w:p>
      <w:pPr>
        <w:pStyle w:val="Normal"/>
        <w:framePr w:w="7796" w:hAnchor="page" w:vAnchor="page" w:x="2735" w:y="42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Experience as a board member of public companies with international operations</w:t>
      </w:r>
    </w:p>
    <w:p>
      <w:pPr>
        <w:pStyle w:val="Normal"/>
        <w:framePr w:w="1661" w:hAnchor="page" w:vAnchor="page" w:x="463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Director Since:</w:t>
      </w:r>
    </w:p>
    <w:p>
      <w:pPr>
        <w:pStyle w:val="Normal"/>
        <w:framePr w:w="6715" w:hAnchor="page" w:vAnchor="page" w:x="2735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Financial, technology, sustainability, and oil and gas drilling expertise</w:t>
      </w:r>
    </w:p>
    <w:p>
      <w:pPr>
        <w:pStyle w:val="Normal"/>
        <w:framePr w:w="432" w:hAnchor="page" w:vAnchor="page" w:x="463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56</w:t>
      </w:r>
    </w:p>
    <w:p>
      <w:pPr>
        <w:pStyle w:val="Normal"/>
        <w:framePr w:w="659" w:hAnchor="page" w:vAnchor="page" w:x="463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</w:p>
    <w:p>
      <w:pPr>
        <w:pStyle w:val="Normal"/>
        <w:framePr w:w="7750" w:hAnchor="page" w:vAnchor="page" w:x="2735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management experience, including as Chief Executive Officer of CGG</w:t>
      </w:r>
    </w:p>
    <w:p>
      <w:pPr>
        <w:pStyle w:val="Normal"/>
        <w:framePr w:w="3004" w:hAnchor="page" w:vAnchor="page" w:x="2735" w:y="31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Key Skills and Qualifications</w:t>
      </w:r>
    </w:p>
    <w:p>
      <w:pPr>
        <w:pStyle w:val="Normal"/>
        <w:framePr w:w="1422" w:hAnchor="page" w:vAnchor="page" w:x="463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Independent</w:t>
      </w:r>
    </w:p>
    <w:p>
      <w:pPr>
        <w:pStyle w:val="Normal"/>
        <w:framePr w:w="1586" w:hAnchor="page" w:vAnchor="page" w:x="463" w:y="2764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Zurquiyah</w:t>
      </w:r>
    </w:p>
    <w:p>
      <w:pPr>
        <w:pStyle w:val="Normal"/>
        <w:framePr w:w="1183" w:hAnchor="page" w:vAnchor="page" w:x="2943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April 2009.</w:t>
      </w:r>
    </w:p>
    <w:p>
      <w:pPr>
        <w:pStyle w:val="Normal"/>
        <w:framePr w:w="10739" w:hAnchor="page" w:vAnchor="page" w:x="2943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May 2009 to July 2012. Prior to this, she was Schlumberger Limited’s Chief Information Officer from January 2007 to</w:t>
      </w:r>
    </w:p>
    <w:p>
      <w:pPr>
        <w:pStyle w:val="Normal"/>
        <w:framePr w:w="1179" w:hAnchor="page" w:vAnchor="page" w:x="463" w:y="2465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Sophie</w:t>
      </w:r>
    </w:p>
    <w:p>
      <w:pPr>
        <w:pStyle w:val="Normal"/>
        <w:framePr w:w="10928" w:hAnchor="page" w:vAnchor="page" w:x="2943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Technology Sustaining from August 2012 to January 2013, as well as its President, Data and Consulting Services from</w:t>
      </w:r>
    </w:p>
    <w:p>
      <w:pPr>
        <w:pStyle w:val="Normal"/>
        <w:framePr w:w="10591" w:hAnchor="page" w:vAnchor="page" w:x="2943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successively senior positions before joining CGG in 2013. She served as Schlumberger Limited’s Vice President of</w:t>
      </w:r>
    </w:p>
    <w:p>
      <w:pPr>
        <w:pStyle w:val="Normal"/>
        <w:framePr w:w="10232" w:hAnchor="page" w:vAnchor="page" w:x="2735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Zurquiyah joined Schlumberger Limited in 1991 as an interpretation engineer and geophysicist and held</w:t>
      </w:r>
    </w:p>
    <w:p>
      <w:pPr>
        <w:pStyle w:val="Normal"/>
        <w:framePr w:w="6830" w:hAnchor="page" w:vAnchor="page" w:x="2943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President in charge of the Geology, Geophysics, and Reservoir segment.</w:t>
      </w:r>
    </w:p>
    <w:p>
      <w:pPr>
        <w:pStyle w:val="Normal"/>
        <w:framePr w:w="10701" w:hAnchor="page" w:vAnchor="page" w:x="2943" w:y="13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April 2018. Ms. Zurquiyah has held a succession of leadership positions at CGG, including as Senior Executive Vice</w:t>
      </w:r>
    </w:p>
    <w:p>
      <w:pPr>
        <w:pStyle w:val="Normal"/>
        <w:framePr w:w="10979" w:hAnchor="page" w:vAnchor="page" w:x="2735" w:y="11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Ms. Zurquiyah has been Chief Executive Officer of CGG S.A. (“CGG”), a global geoscience technology leader, since</w:t>
      </w:r>
    </w:p>
    <w:p>
      <w:pPr>
        <w:pStyle w:val="Normal"/>
        <w:framePr w:w="1911" w:hAnchor="page" w:vAnchor="page" w:x="2735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3"/>
          <w:w w:val="100"/>
          <w:sz w:val="17"/>
          <w:szCs w:val="17"/>
        </w:rPr>
        <w:t>Career Highlights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7pt;margin-top:1pt;z-index:-1677344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12.7pt;margin-top:32.3pt;z-index:-16773436;width:119.35pt;height:27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30.05pt;margin-top:32.3pt;z-index:-16773432;width:7.7pt;height:27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135.75pt;margin-top:32.3pt;z-index:-16773428;width:463.6pt;height:27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130.05pt;margin-top:32.3pt;z-index:-16773424;width:2.7pt;height:27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12.7pt;margin-top:348.8pt;z-index:-167734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22.95pt;margin-top:42.55pt;z-index:-16773416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</w:p>
    <w:p>
      <w:pPr>
        <w:pStyle w:val="Normal"/>
        <w:framePr w:w="1631" w:hAnchor="page" w:vAnchor="page" w:x="274" w:y="111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27  TechnipFMC</w:t>
      </w:r>
    </w:p>
    <w:p>
      <w:pPr>
        <w:pStyle w:val="Normal"/>
        <w:framePr w:w="11817" w:hAnchor="page" w:vAnchor="page" w:x="715" w:y="105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participate in ongoing education, and reimburses directors for expenses incurred in connection with such education programs.</w:t>
      </w:r>
    </w:p>
    <w:p>
      <w:pPr>
        <w:pStyle w:val="Normal"/>
        <w:framePr w:w="13568" w:hAnchor="page" w:vAnchor="page" w:x="715" w:y="103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challenges. The Board believes that ongoing education is important for maintaining an effective Board. Accordingly, our Board encourages directors</w:t>
      </w:r>
    </w:p>
    <w:p>
      <w:pPr>
        <w:pStyle w:val="Normal"/>
        <w:framePr w:w="12955" w:hAnchor="page" w:vAnchor="page" w:x="715" w:y="101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its committees; a review of director duties and responsibilities; and comprehensive information about our industry, operations, strategies, and</w:t>
      </w:r>
    </w:p>
    <w:p>
      <w:pPr>
        <w:pStyle w:val="Normal"/>
        <w:framePr w:w="13476" w:hAnchor="page" w:vAnchor="page" w:x="715" w:y="99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written materials and meetings with our executive officers. The orientation program is designed to provide general information about our Board and</w:t>
      </w:r>
    </w:p>
    <w:p>
      <w:pPr>
        <w:pStyle w:val="Normal"/>
        <w:framePr w:w="13503" w:hAnchor="page" w:vAnchor="page" w:x="544" w:y="97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New Director Orientation and Continuing Education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An orientation program has been developed for new non-executive directors, which includes</w:t>
      </w:r>
    </w:p>
    <w:p>
      <w:pPr>
        <w:pStyle w:val="Normal"/>
        <w:framePr w:w="8059" w:hAnchor="page" w:vAnchor="page" w:x="715" w:y="93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evaluations, as well as recommendations for improvements in the overall performance.</w:t>
      </w:r>
    </w:p>
    <w:p>
      <w:pPr>
        <w:pStyle w:val="Normal"/>
        <w:framePr w:w="13103" w:hAnchor="page" w:vAnchor="page" w:x="715" w:y="91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personal backgrounds of the Board members. The Board and committees, under the auspices of the ESG Committee, review the results of the</w:t>
      </w:r>
    </w:p>
    <w:p>
      <w:pPr>
        <w:pStyle w:val="Normal"/>
        <w:framePr w:w="13400" w:hAnchor="page" w:vAnchor="page" w:x="715" w:y="89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and the adequacy of its charter. These evaluations include an assessment of the diversity of talents, expertise, and occupational and</w:t>
      </w:r>
    </w:p>
    <w:p>
      <w:pPr>
        <w:pStyle w:val="Normal"/>
        <w:framePr w:w="13287" w:hAnchor="page" w:vAnchor="page" w:x="715" w:y="87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functioning effectively. Additionally, each of the Audit, Compensation and Talent, and ESG Committees conducts a separate evaluation of its own</w:t>
      </w:r>
    </w:p>
    <w:p>
      <w:pPr>
        <w:pStyle w:val="Normal"/>
        <w:framePr w:w="13274" w:hAnchor="page" w:vAnchor="page" w:x="544" w:y="85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Board and Committee Evaluations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Each year, our directors complete a self-evaluation to determine whether the Board and its committees are</w:t>
      </w:r>
    </w:p>
    <w:p>
      <w:pPr>
        <w:pStyle w:val="Normal"/>
        <w:framePr w:w="5839" w:hAnchor="page" w:vAnchor="page" w:x="814" w:y="81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(e) Ability to commit the time required for service on our Board</w:t>
      </w:r>
    </w:p>
    <w:p>
      <w:pPr>
        <w:pStyle w:val="Normal"/>
        <w:framePr w:w="4496" w:hAnchor="page" w:vAnchor="page" w:x="814" w:y="77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(d) Cultural perspective and diversity of thought</w:t>
      </w:r>
    </w:p>
    <w:p>
      <w:pPr>
        <w:pStyle w:val="Normal"/>
        <w:framePr w:w="2025" w:hAnchor="page" w:vAnchor="page" w:x="814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(c) Leadership skills</w:t>
      </w:r>
    </w:p>
    <w:p>
      <w:pPr>
        <w:pStyle w:val="Normal"/>
        <w:framePr w:w="6170" w:hAnchor="page" w:vAnchor="page" w:x="814" w:y="69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(b) Professional and academic experience relevant to our industry</w:t>
      </w:r>
    </w:p>
    <w:p>
      <w:pPr>
        <w:pStyle w:val="Normal"/>
        <w:framePr w:w="2356" w:hAnchor="page" w:vAnchor="page" w:x="1070" w:y="65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practices</w:t>
      </w:r>
    </w:p>
    <w:p>
      <w:pPr>
        <w:pStyle w:val="Normal"/>
        <w:framePr w:w="12327" w:hAnchor="page" w:vAnchor="page" w:x="814" w:y="63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(a) Experience in corporate management, as a board member of another publicly held company, and in finance and accounting and/or</w:t>
      </w:r>
    </w:p>
    <w:p>
      <w:pPr>
        <w:pStyle w:val="Normal"/>
        <w:framePr w:w="6545" w:hAnchor="page" w:vAnchor="page" w:x="715" w:y="5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directors. As such, our ESG Committee often considers a candidate’s:</w:t>
      </w:r>
    </w:p>
    <w:p>
      <w:pPr>
        <w:pStyle w:val="Normal"/>
        <w:framePr w:w="12979" w:hAnchor="page" w:vAnchor="page" w:x="715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serve on our Board and helps achieve a balance between fresh perspectives and the deep knowledge and experience of our more tenured</w:t>
      </w:r>
    </w:p>
    <w:p>
      <w:pPr>
        <w:pStyle w:val="Normal"/>
        <w:framePr w:w="13627" w:hAnchor="page" w:vAnchor="page" w:x="715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but also bring diversity of thought and experience. Our ESG Committee considers multiple factors when determining whether a candidate is qualified</w:t>
      </w:r>
    </w:p>
    <w:p>
      <w:pPr>
        <w:pStyle w:val="Normal"/>
        <w:framePr w:w="13787" w:hAnchor="page" w:vAnchor="page" w:x="544" w:y="53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 xml:space="preserve">Composition of the Board.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Board seeks to attract professionals who are not only qualified under the governance rules pertinent to our Company</w:t>
      </w:r>
    </w:p>
    <w:p>
      <w:pPr>
        <w:pStyle w:val="Normal"/>
        <w:framePr w:w="3892" w:hAnchor="page" w:vAnchor="page" w:x="274" w:y="5096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Key Elements and Practices</w:t>
      </w:r>
    </w:p>
    <w:p>
      <w:pPr>
        <w:pStyle w:val="Normal"/>
        <w:framePr w:w="7161" w:hAnchor="page" w:vAnchor="page" w:x="274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governance authorities, to benchmark the standards under which it operates.</w:t>
      </w:r>
    </w:p>
    <w:p>
      <w:pPr>
        <w:pStyle w:val="Normal"/>
        <w:framePr w:w="13184" w:hAnchor="page" w:vAnchor="page" w:x="274" w:y="44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which we are incorporated, the rules and listing standards of the NYSE, and the regulations of the SEC, as well as best practices recognized by</w:t>
      </w:r>
    </w:p>
    <w:p>
      <w:pPr>
        <w:pStyle w:val="Normal"/>
        <w:framePr w:w="13821" w:hAnchor="page" w:vAnchor="page" w:x="274" w:y="42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management and aligned with the interests of our shareholders. The Board reviews these governance practices, the laws of England and Wales under</w:t>
      </w:r>
    </w:p>
    <w:p>
      <w:pPr>
        <w:pStyle w:val="Normal"/>
        <w:framePr w:w="13616" w:hAnchor="page" w:vAnchor="page" w:x="274" w:y="40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committees. The Governance Guidelines establish a framework to guide the Board in its oversight responsibilities in a manner that is independent of</w:t>
      </w:r>
    </w:p>
    <w:p>
      <w:pPr>
        <w:pStyle w:val="Normal"/>
        <w:framePr w:w="13855" w:hAnchor="page" w:vAnchor="page" w:x="274" w:y="38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Corporate Governance Guidelines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Governance Guidelines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contain general principles and practices regarding the function of the Board and its</w:t>
      </w:r>
    </w:p>
    <w:p>
      <w:pPr>
        <w:pStyle w:val="Normal"/>
        <w:framePr w:w="9962" w:hAnchor="page" w:vAnchor="page" w:x="274" w:y="344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Governance Guidelines and Key Board Practices</w:t>
      </w:r>
    </w:p>
    <w:p>
      <w:pPr>
        <w:pStyle w:val="Normal"/>
        <w:framePr w:w="5623" w:hAnchor="page" w:vAnchor="page" w:x="274" w:y="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implementation of control systems to carry out that strategy.</w:t>
      </w:r>
    </w:p>
    <w:p>
      <w:pPr>
        <w:pStyle w:val="Normal"/>
        <w:framePr w:w="13560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understanding, and pursuit of a sound strategy for the success of our Company; and the availability of financial and management resources and the</w:t>
      </w:r>
    </w:p>
    <w:p>
      <w:pPr>
        <w:pStyle w:val="Normal"/>
        <w:framePr w:w="13081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carrying out its responsibilities to our shareholders, the fundamental role of the Board is to ensure continuity of leadership; the implementation,</w:t>
      </w:r>
    </w:p>
    <w:p>
      <w:pPr>
        <w:pStyle w:val="Normal"/>
        <w:framePr w:w="13563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provides accountability, objectivity, perspective, judgment, and, in some cases, specific industry or technical knowledge or experience. In</w:t>
      </w:r>
    </w:p>
    <w:p>
      <w:pPr>
        <w:pStyle w:val="Normal"/>
        <w:framePr w:w="1456" w:hAnchor="page" w:vAnchor="page" w:x="274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requirements.</w:t>
      </w:r>
    </w:p>
    <w:p>
      <w:pPr>
        <w:pStyle w:val="Normal"/>
        <w:framePr w:w="13897" w:hAnchor="page" w:vAnchor="page" w:x="274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value in a manner consistent with our vision statement, purpose, Core Values, Foundational Beliefs, Code of Business Conduct, and all applicable legal</w:t>
      </w:r>
    </w:p>
    <w:p>
      <w:pPr>
        <w:pStyle w:val="Normal"/>
        <w:framePr w:w="14171" w:hAnchor="page" w:vAnchor="page" w:x="274" w:y="16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believes that the purpose of corporate governance is to facilitate effective oversight and management of the Company to maximize shareholder</w:t>
      </w:r>
    </w:p>
    <w:p>
      <w:pPr>
        <w:pStyle w:val="Normal"/>
        <w:framePr w:w="8388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f6e"/>
          <w:w w:val="100"/>
          <w:sz w:val="68"/>
          <w:szCs w:val="68"/>
        </w:rPr>
        <w:t>Corporate Governance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7pt;margin-top:1pt;z-index:-1677341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12.7pt;margin-top:574.25pt;z-index:-1677340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</w:p>
    <w:p>
      <w:pPr>
        <w:pStyle w:val="Normal"/>
        <w:framePr w:w="1631" w:hAnchor="page" w:vAnchor="page" w:x="274" w:y="1083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28  TechnipFMC</w:t>
      </w:r>
    </w:p>
    <w:p>
      <w:pPr>
        <w:pStyle w:val="Normal"/>
        <w:framePr w:w="2083" w:hAnchor="page" w:vAnchor="page" w:x="274" w:y="102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Program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on page 6.</w:t>
      </w:r>
    </w:p>
    <w:p>
      <w:pPr>
        <w:pStyle w:val="Normal"/>
        <w:framePr w:w="13924" w:hAnchor="page" w:vAnchor="page" w:x="274" w:y="100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more information on our actions that were informed by shareholder feedback,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2022- 2023 Shareholder Engagement</w:t>
      </w:r>
    </w:p>
    <w:p>
      <w:pPr>
        <w:pStyle w:val="Normal"/>
        <w:framePr w:w="8083" w:hAnchor="page" w:vAnchor="page" w:x="274" w:y="96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shareholders representing approximately 49% of our Ordinary Shares outstanding.</w:t>
      </w:r>
    </w:p>
    <w:p>
      <w:pPr>
        <w:pStyle w:val="Normal"/>
        <w:framePr w:w="14081" w:hAnchor="page" w:vAnchor="page" w:x="274" w:y="94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advisory firms and our top shareholders representing approximately 55% of our Ordinary Shares outstanding. We ultimately met with proxy advisory firms</w:t>
      </w:r>
    </w:p>
    <w:p>
      <w:pPr>
        <w:pStyle w:val="Normal"/>
        <w:framePr w:w="13617" w:hAnchor="page" w:vAnchor="page" w:x="274" w:y="92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our 2022-2023 engagement (including the meetings in December 2022 and annual engagement sessions described above), we contacted proxy</w:t>
      </w:r>
    </w:p>
    <w:p>
      <w:pPr>
        <w:pStyle w:val="Normal"/>
        <w:framePr w:w="12816" w:hAnchor="page" w:vAnchor="page" w:x="772" w:y="88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offered the participation of our Lead Independent Director and Chair of Compensation and Talent Committee as requested by shareholders.</w:t>
      </w:r>
    </w:p>
    <w:p>
      <w:pPr>
        <w:pStyle w:val="Normal"/>
        <w:framePr w:w="13330" w:hAnchor="page" w:vAnchor="page" w:x="772" w:y="86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executives, and appropriately compensating our executives for performance, while increasing long-term shareholder value. In these sessions, we</w:t>
      </w:r>
    </w:p>
    <w:p>
      <w:pPr>
        <w:pStyle w:val="Normal"/>
        <w:framePr w:w="13321" w:hAnchor="page" w:vAnchor="page" w:x="772" w:y="84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feedback and suggestions in maintaining the balance between strengthening the link between pay and performance, retaining and motivating our</w:t>
      </w:r>
    </w:p>
    <w:p>
      <w:pPr>
        <w:pStyle w:val="Normal"/>
        <w:framePr w:w="13532" w:hAnchor="page" w:vAnchor="page" w:x="772" w:y="82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discussed our Board leadership structure and diversity, general Board practices, and our sustainability efforts. We also welcomed our shareholders’</w:t>
      </w:r>
    </w:p>
    <w:p>
      <w:pPr>
        <w:pStyle w:val="Normal"/>
        <w:framePr w:w="13411" w:hAnchor="page" w:vAnchor="page" w:x="772" w:y="80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shareholders and proxy advisory firms each year as part of our regular, annual shareholder engagement sessions. During these sessions, we</w:t>
      </w:r>
    </w:p>
    <w:p>
      <w:pPr>
        <w:pStyle w:val="Normal"/>
        <w:framePr w:w="13900" w:hAnchor="page" w:vAnchor="page" w:x="544" w:y="78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shareholder engagement sessions.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 addition to direct engagement with portfolio management teams, we continued our practice to meet</w:t>
      </w:r>
    </w:p>
    <w:p>
      <w:pPr>
        <w:pStyle w:val="Normal"/>
        <w:framePr w:w="5111" w:hAnchor="page" w:vAnchor="page" w:x="772" w:y="74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discussion of several topics cited by our shareholders.</w:t>
      </w:r>
    </w:p>
    <w:p>
      <w:pPr>
        <w:pStyle w:val="Normal"/>
        <w:framePr w:w="13092" w:hAnchor="page" w:vAnchor="page" w:x="772" w:y="72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traveled to meet in person with several institutional shareholders. These meetings followed our perception study and allowed for a more robust</w:t>
      </w:r>
    </w:p>
    <w:p>
      <w:pPr>
        <w:pStyle w:val="Normal"/>
        <w:framePr w:w="13797" w:hAnchor="page" w:vAnchor="page" w:x="544" w:y="70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Held face-to-face meetings with shareholders.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 December 2022, our Chair and CEO and SVP, Investor Relations and Corporate Development</w:t>
      </w:r>
    </w:p>
    <w:p>
      <w:pPr>
        <w:pStyle w:val="Normal"/>
        <w:framePr w:w="5704" w:hAnchor="page" w:vAnchor="page" w:x="772" w:y="66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management performance and corporate governance topics.</w:t>
      </w:r>
    </w:p>
    <w:p>
      <w:pPr>
        <w:pStyle w:val="Normal"/>
        <w:framePr w:w="13445" w:hAnchor="page" w:vAnchor="page" w:x="772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carry out a perception study with shareholders to gain anonymous insight and feedback on topics such as our business strategy, capital allocation,</w:t>
      </w:r>
    </w:p>
    <w:p>
      <w:pPr>
        <w:pStyle w:val="Normal"/>
        <w:framePr w:w="13839" w:hAnchor="page" w:vAnchor="page" w:x="544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Undertook a shareholder perception study.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During August and September 2022, we engaged a highly regarded strategic communications firm to</w:t>
      </w:r>
    </w:p>
    <w:p>
      <w:pPr>
        <w:pStyle w:val="Normal"/>
        <w:framePr w:w="5624" w:hAnchor="page" w:vAnchor="page" w:x="274" w:y="58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2022-2023, we engaged with shareholders in three ways:</w:t>
      </w:r>
    </w:p>
    <w:p>
      <w:pPr>
        <w:pStyle w:val="Normal"/>
        <w:framePr w:w="9381" w:hAnchor="page" w:vAnchor="page" w:x="274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dialogue with our shareholders are important parts of our Board’s corporate governance commitment.</w:t>
      </w:r>
    </w:p>
    <w:p>
      <w:pPr>
        <w:pStyle w:val="Normal"/>
        <w:framePr w:w="13867" w:hAnchor="page" w:vAnchor="page" w:x="274" w:y="5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 regularly seeks feedback through engagement with shareholders, and we continued this practice in 2022. Our relationships and ongoing</w:t>
      </w:r>
    </w:p>
    <w:p>
      <w:pPr>
        <w:pStyle w:val="Normal"/>
        <w:framePr w:w="5433" w:hAnchor="page" w:vAnchor="page" w:x="274" w:y="2238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Shareholder Engagement</w:t>
      </w:r>
    </w:p>
    <w:p>
      <w:pPr>
        <w:pStyle w:val="Normal"/>
        <w:framePr w:w="8527" w:hAnchor="page" w:vAnchor="page" w:x="715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value equal to or more than five times the Company’s annual cash retainer paid to directors.</w:t>
      </w:r>
    </w:p>
    <w:p>
      <w:pPr>
        <w:pStyle w:val="Normal"/>
        <w:framePr w:w="13888" w:hAnchor="page" w:vAnchor="page" w:x="544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Director Share Ownership Requirements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Within five years following initial election to the Board, directors are required to own Ordinary Shares with a</w:t>
      </w:r>
    </w:p>
    <w:p>
      <w:pPr>
        <w:pStyle w:val="Normal"/>
        <w:framePr w:w="4884" w:hAnchor="page" w:vAnchor="page" w:x="715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best interests of the Company and its shareholders.</w:t>
      </w:r>
    </w:p>
    <w:p>
      <w:pPr>
        <w:pStyle w:val="Normal"/>
        <w:framePr w:w="13418" w:hAnchor="page" w:vAnchor="page" w:x="715" w:y="10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birthday. Our Board may waive this policy on a case-by-case basis on the recommendation of the ESG Committee if it deems a waiver to be in the</w:t>
      </w:r>
    </w:p>
    <w:p>
      <w:pPr>
        <w:pStyle w:val="Normal"/>
        <w:framePr w:w="13612" w:hAnchor="page" w:vAnchor="page" w:x="715" w:y="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birth date occurs on or after July 1 must retire at the annual general meeting of shareholders of the Company the year following such director’s 72nd</w:t>
      </w:r>
    </w:p>
    <w:p>
      <w:pPr>
        <w:pStyle w:val="Normal"/>
        <w:framePr w:w="13336" w:hAnchor="page" w:vAnchor="page" w:x="715" w:y="6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annual general meeting of shareholders of the Company during the year of such director’s 72nd birthday, and a non-executive director whose</w:t>
      </w:r>
    </w:p>
    <w:p>
      <w:pPr>
        <w:pStyle w:val="Normal"/>
        <w:framePr w:w="13786" w:hAnchor="page" w:vAnchor="page" w:x="544" w:y="4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Retirement Policy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As further described in our Governance Guidelines, a non-executive director whose birth date occurs prior to July 1 must retire at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7pt;margin-top:1pt;z-index:-167734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12.7pt;margin-top:557.9pt;z-index:-1677340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13.7pt;margin-top:153.5pt;z-index:-16773396;width:590.3pt;height:9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</w:p>
    <w:p>
      <w:pPr>
        <w:pStyle w:val="Normal"/>
        <w:framePr w:w="1631" w:hAnchor="page" w:vAnchor="page" w:x="274" w:y="115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29  TechnipFMC</w:t>
      </w:r>
    </w:p>
    <w:p>
      <w:pPr>
        <w:pStyle w:val="Normal"/>
        <w:framePr w:w="7902" w:hAnchor="page" w:vAnchor="page" w:x="274" w:y="109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director, and ensures that the Board functions independently. Moreover,</w:t>
      </w:r>
    </w:p>
    <w:p>
      <w:pPr>
        <w:pStyle w:val="Normal"/>
        <w:framePr w:w="13764" w:hAnchor="page" w:vAnchor="page" w:x="274" w:y="107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This leadership structure is balanced by the oversight of the Lead Independent Director and the remaining members of our Board, each of whom is an</w:t>
      </w:r>
    </w:p>
    <w:p>
      <w:pPr>
        <w:pStyle w:val="Normal"/>
        <w:framePr w:w="9585" w:hAnchor="page" w:vAnchor="page" w:x="274" w:y="103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Board discusses key business and strategic issues for the benefit of the Company and its shareholders.</w:t>
      </w:r>
    </w:p>
    <w:p>
      <w:pPr>
        <w:pStyle w:val="Normal"/>
        <w:framePr w:w="14079" w:hAnchor="page" w:vAnchor="page" w:x="274" w:y="101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individual with primary responsibility for managing the Company’s day-to-day operations and is best positioned to chair regular Board meetings as the</w:t>
      </w:r>
    </w:p>
    <w:p>
      <w:pPr>
        <w:pStyle w:val="Normal"/>
        <w:framePr w:w="14056" w:hAnchor="page" w:vAnchor="page" w:x="274" w:y="99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Board believes that a combined Chair and CEO leads to a more decisive and effective leadership, both within and outside the Company. The CEO is</w:t>
      </w:r>
    </w:p>
    <w:p>
      <w:pPr>
        <w:pStyle w:val="Normal"/>
        <w:framePr w:w="7796" w:hAnchor="page" w:vAnchor="page" w:x="3901" w:y="94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Participating in the Company’s shareholder engagement program, when required</w:t>
      </w:r>
    </w:p>
    <w:p>
      <w:pPr>
        <w:pStyle w:val="Normal"/>
        <w:framePr w:w="7170" w:hAnchor="page" w:vAnchor="page" w:x="3901" w:y="90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Monitoring and reporting to the Board any conflicts of interests of directors</w:t>
      </w:r>
    </w:p>
    <w:p>
      <w:pPr>
        <w:pStyle w:val="Normal"/>
        <w:framePr w:w="2799" w:hAnchor="page" w:vAnchor="page" w:x="949" w:y="86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Lead Independent Director</w:t>
      </w:r>
    </w:p>
    <w:p>
      <w:pPr>
        <w:pStyle w:val="Normal"/>
        <w:framePr w:w="7672" w:hAnchor="page" w:vAnchor="page" w:x="3901" w:y="86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Acting as the liaison between the independent directors and the Chair and CEO</w:t>
      </w:r>
    </w:p>
    <w:p>
      <w:pPr>
        <w:pStyle w:val="Normal"/>
        <w:framePr w:w="2234" w:hAnchor="page" w:vAnchor="page" w:x="1140" w:y="838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Claire S. Farley</w:t>
      </w:r>
    </w:p>
    <w:p>
      <w:pPr>
        <w:pStyle w:val="Normal"/>
        <w:framePr w:w="6145" w:hAnchor="page" w:vAnchor="page" w:x="3901" w:y="82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Presiding over executive sessions of the independent directors</w:t>
      </w:r>
    </w:p>
    <w:p>
      <w:pPr>
        <w:pStyle w:val="Normal"/>
        <w:framePr w:w="4471" w:hAnchor="page" w:vAnchor="page" w:x="3901" w:y="78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Calling meetings of the Board, as necessary</w:t>
      </w:r>
    </w:p>
    <w:p>
      <w:pPr>
        <w:pStyle w:val="Normal"/>
        <w:framePr w:w="7978" w:hAnchor="page" w:vAnchor="page" w:x="3901" w:y="74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Presiding over all meetings of the Board at which the Chair and CEO is not present</w:t>
      </w:r>
    </w:p>
    <w:p>
      <w:pPr>
        <w:pStyle w:val="Normal"/>
        <w:framePr w:w="7329" w:hAnchor="page" w:vAnchor="page" w:x="3901" w:y="70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Regularly meeting with the Chair and CEO to discuss Board-related matters</w:t>
      </w:r>
    </w:p>
    <w:p>
      <w:pPr>
        <w:pStyle w:val="Normal"/>
        <w:framePr w:w="4996" w:hAnchor="page" w:vAnchor="page" w:x="3901" w:y="66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Approving Board meeting schedules and agendas</w:t>
      </w:r>
    </w:p>
    <w:p>
      <w:pPr>
        <w:pStyle w:val="Normal"/>
        <w:framePr w:w="2208" w:hAnchor="page" w:vAnchor="page" w:x="3901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Key Responsibilities</w:t>
      </w:r>
    </w:p>
    <w:p>
      <w:pPr>
        <w:pStyle w:val="Normal"/>
        <w:framePr w:w="2571" w:hAnchor="page" w:vAnchor="page" w:x="388" w:y="58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Independent Leadership</w:t>
      </w:r>
    </w:p>
    <w:p>
      <w:pPr>
        <w:pStyle w:val="Normal"/>
        <w:framePr w:w="397" w:hAnchor="page" w:vAnchor="page" w:x="3787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  </w:t>
      </w:r>
    </w:p>
    <w:p>
      <w:pPr>
        <w:pStyle w:val="Normal"/>
        <w:framePr w:w="4643" w:hAnchor="page" w:vAnchor="page" w:x="3901" w:y="48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High-level government and client engagement</w:t>
      </w:r>
    </w:p>
    <w:p>
      <w:pPr>
        <w:pStyle w:val="Normal"/>
        <w:framePr w:w="2913" w:hAnchor="page" w:vAnchor="page" w:x="902" w:y="46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7"/>
          <w:szCs w:val="17"/>
        </w:rPr>
        <w:t>Chair of the Board and CEO</w:t>
      </w:r>
    </w:p>
    <w:p>
      <w:pPr>
        <w:pStyle w:val="Normal"/>
        <w:framePr w:w="2138" w:hAnchor="page" w:vAnchor="page" w:x="3901" w:y="44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Leading the Board</w:t>
      </w:r>
    </w:p>
    <w:p>
      <w:pPr>
        <w:pStyle w:val="Normal"/>
        <w:framePr w:w="3002" w:hAnchor="page" w:vAnchor="page" w:x="791" w:y="432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Douglas J. Pferdehirt</w:t>
      </w:r>
    </w:p>
    <w:p>
      <w:pPr>
        <w:pStyle w:val="Normal"/>
        <w:framePr w:w="4153" w:hAnchor="page" w:vAnchor="page" w:x="3901" w:y="40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Managing all executives of the Company</w:t>
      </w:r>
    </w:p>
    <w:p>
      <w:pPr>
        <w:pStyle w:val="Normal"/>
        <w:framePr w:w="785" w:hAnchor="page" w:vAnchor="page" w:x="4109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clients</w:t>
      </w:r>
    </w:p>
    <w:p>
      <w:pPr>
        <w:pStyle w:val="Normal"/>
        <w:framePr w:w="9572" w:hAnchor="page" w:vAnchor="page" w:x="3901" w:y="34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Serving as the principal external spokesperson for the Company with analysts, investors, media, and</w:t>
      </w:r>
    </w:p>
    <w:p>
      <w:pPr>
        <w:pStyle w:val="Normal"/>
        <w:framePr w:w="5257" w:hAnchor="page" w:vAnchor="page" w:x="3901" w:y="30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strategic and operational aspects of the Company</w:t>
      </w:r>
    </w:p>
    <w:p>
      <w:pPr>
        <w:pStyle w:val="Normal"/>
        <w:framePr w:w="2208" w:hAnchor="page" w:vAnchor="page" w:x="3901" w:y="26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Key Responsibilities</w:t>
      </w:r>
    </w:p>
    <w:p>
      <w:pPr>
        <w:pStyle w:val="Normal"/>
        <w:framePr w:w="3380" w:hAnchor="page" w:vAnchor="page" w:x="388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Executive and Board Leadership</w:t>
      </w:r>
    </w:p>
    <w:p>
      <w:pPr>
        <w:pStyle w:val="Normal"/>
        <w:framePr w:w="8652" w:hAnchor="page" w:vAnchor="page" w:x="274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of the Chair’s and Lead Independent Director’s specific responsibilities are listed below:</w:t>
      </w:r>
    </w:p>
    <w:p>
      <w:pPr>
        <w:pStyle w:val="Normal"/>
        <w:framePr w:w="13043" w:hAnchor="page" w:vAnchor="page" w:x="274" w:y="13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Company. The Board believes that a strong Lead Independent Director and a combined Chair and CEO is in the best interest of shareholders.</w:t>
      </w:r>
    </w:p>
    <w:p>
      <w:pPr>
        <w:pStyle w:val="Normal"/>
        <w:framePr w:w="14038" w:hAnchor="page" w:vAnchor="page" w:x="274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believes that our shareholders are best served by a Board that has the flexibility to adjust our leadership structure to the evolving needs of the</w:t>
      </w:r>
    </w:p>
    <w:p>
      <w:pPr>
        <w:pStyle w:val="Normal"/>
        <w:framePr w:w="7016" w:hAnchor="page" w:vAnchor="page" w:x="274" w:y="673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Leadership Structure of the Board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7pt;margin-top:1pt;z-index:-167733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12.7pt;margin-top:104.1pt;z-index:-16773388;width:586.6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12.7pt;margin-top:126.9pt;z-index:-16773384;width:177.65pt;height:13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188.35pt;margin-top:126.9pt;z-index:-16773380;width:7.7pt;height:13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194.05pt;margin-top:126.9pt;z-index:-16773376;width:405.25pt;height:13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12.7pt;margin-top:281.95pt;z-index:-16773372;width:586.6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12.7pt;margin-top:304.7pt;z-index:-16773368;width:177.65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188.35pt;margin-top:304.7pt;z-index:-16773364;width:7.7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194.05pt;margin-top:304.7pt;z-index:-16773360;width:405.25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188.35pt;margin-top:304.7pt;z-index:-16773356;width:2.7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188.35pt;margin-top:126.9pt;z-index:-16773352;width:2.7pt;height:13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12.7pt;margin-top:594.15pt;z-index:-1677334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63.45pt;margin-top:137.85pt;z-index:-16773344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63.45pt;margin-top:340.55pt;z-index:-16773340;width:73.2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</w:p>
    <w:p>
      <w:pPr>
        <w:pStyle w:val="Normal"/>
        <w:framePr w:w="1631" w:hAnchor="page" w:vAnchor="page" w:x="274" w:y="110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30  TechnipFMC</w:t>
      </w:r>
    </w:p>
    <w:p>
      <w:pPr>
        <w:pStyle w:val="Normal"/>
        <w:framePr w:w="5805" w:hAnchor="page" w:vAnchor="page" w:x="544" w:y="104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Ability to commit the time required for service on our Board</w:t>
      </w:r>
    </w:p>
    <w:p>
      <w:pPr>
        <w:pStyle w:val="Normal"/>
        <w:framePr w:w="4462" w:hAnchor="page" w:vAnchor="page" w:x="544" w:y="100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Cultural perspective and diversity of thought</w:t>
      </w:r>
    </w:p>
    <w:p>
      <w:pPr>
        <w:pStyle w:val="Normal"/>
        <w:framePr w:w="1991" w:hAnchor="page" w:vAnchor="page" w:x="544" w:y="96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Leadership skills</w:t>
      </w:r>
    </w:p>
    <w:p>
      <w:pPr>
        <w:pStyle w:val="Normal"/>
        <w:framePr w:w="6136" w:hAnchor="page" w:vAnchor="page" w:x="544" w:y="92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Professional and academic experience relevant to our industry</w:t>
      </w:r>
    </w:p>
    <w:p>
      <w:pPr>
        <w:pStyle w:val="Normal"/>
        <w:framePr w:w="1024" w:hAnchor="page" w:vAnchor="page" w:x="772" w:y="88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practices</w:t>
      </w:r>
    </w:p>
    <w:p>
      <w:pPr>
        <w:pStyle w:val="Normal"/>
        <w:framePr w:w="13625" w:hAnchor="page" w:vAnchor="page" w:x="544" w:y="86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Experience in corporate management, as a board member of another publicly held company, and in finance and accounting and/or compensation</w:t>
      </w:r>
    </w:p>
    <w:p>
      <w:pPr>
        <w:pStyle w:val="Normal"/>
        <w:framePr w:w="4588" w:hAnchor="page" w:vAnchor="page" w:x="274" w:y="82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serve on our Board, including the candidate’s:</w:t>
      </w:r>
    </w:p>
    <w:p>
      <w:pPr>
        <w:pStyle w:val="Normal"/>
        <w:framePr w:w="14231" w:hAnchor="page" w:vAnchor="page" w:x="274" w:y="80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addition, the Governance Guidelines provide that the ESG Committee may consider additional factors when determining whether a candidate is qualified</w:t>
      </w:r>
    </w:p>
    <w:p>
      <w:pPr>
        <w:pStyle w:val="Normal"/>
        <w:framePr w:w="4758" w:hAnchor="page" w:vAnchor="page" w:x="544" w:y="76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The ability to make mature business judgments</w:t>
      </w:r>
    </w:p>
    <w:p>
      <w:pPr>
        <w:pStyle w:val="Normal"/>
        <w:framePr w:w="2720" w:hAnchor="page" w:vAnchor="page" w:x="544" w:y="72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Strong ethics and values</w:t>
      </w:r>
    </w:p>
    <w:p>
      <w:pPr>
        <w:pStyle w:val="Normal"/>
        <w:framePr w:w="4941" w:hAnchor="page" w:vAnchor="page" w:x="544" w:y="68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 high level of personal and professional integrity</w:t>
      </w:r>
    </w:p>
    <w:p>
      <w:pPr>
        <w:pStyle w:val="Normal"/>
        <w:framePr w:w="6785" w:hAnchor="page" w:vAnchor="page" w:x="274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applicable law, the Articles, and the NYSE rules, and should have:</w:t>
      </w:r>
    </w:p>
    <w:p>
      <w:pPr>
        <w:pStyle w:val="Normal"/>
        <w:framePr w:w="13981" w:hAnchor="page" w:vAnchor="page" w:x="274" w:y="62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Governance Guidelines state that candidates for our Board, in order to be nominated by our ESG Committee, must be qualified and eligible to serve</w:t>
      </w:r>
    </w:p>
    <w:p>
      <w:pPr>
        <w:pStyle w:val="Normal"/>
        <w:framePr w:w="7612" w:hAnchor="page" w:vAnchor="page" w:x="274" w:y="595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Criteria for Board Membership in Governance Guidelines</w:t>
      </w:r>
    </w:p>
    <w:p>
      <w:pPr>
        <w:pStyle w:val="Normal"/>
        <w:framePr w:w="8549" w:hAnchor="page" w:vAnchor="page" w:x="274" w:y="55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perspectives of new directors and those of longer-serving directors with institutional insights.</w:t>
      </w:r>
    </w:p>
    <w:p>
      <w:pPr>
        <w:pStyle w:val="Normal"/>
        <w:framePr w:w="13670" w:hAnchor="page" w:vAnchor="page" w:x="274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Company’s strategy and oversight. Our Board also assesses director age, tenure, and Board continuity and strives to achieve a balance between the</w:t>
      </w:r>
    </w:p>
    <w:p>
      <w:pPr>
        <w:pStyle w:val="Normal"/>
        <w:framePr w:w="13957" w:hAnchor="page" w:vAnchor="page" w:x="274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business operations, sustainability and emerging technologies, finance and audit, corporate governance, cybersecurity, and other areas important to the</w:t>
      </w:r>
    </w:p>
    <w:p>
      <w:pPr>
        <w:pStyle w:val="Normal"/>
        <w:framePr w:w="14034" w:hAnchor="page" w:vAnchor="page" w:x="274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expertise in areas critical to the Company. These include expertise in the energy and engineering industry, strategic planning and business development,</w:t>
      </w:r>
    </w:p>
    <w:p>
      <w:pPr>
        <w:pStyle w:val="Normal"/>
        <w:framePr w:w="13809" w:hAnchor="page" w:vAnchor="page" w:x="274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Board seeks directors whose complementary and diverse knowledge, experience, and skills provide a broad range of perspectives and leadership</w:t>
      </w:r>
    </w:p>
    <w:p>
      <w:pPr>
        <w:pStyle w:val="Normal"/>
        <w:framePr w:w="4774" w:hAnchor="page" w:vAnchor="page" w:x="274" w:y="4301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for Board Membership</w:t>
      </w:r>
    </w:p>
    <w:p>
      <w:pPr>
        <w:pStyle w:val="Normal"/>
        <w:framePr w:w="6674" w:hAnchor="page" w:vAnchor="page" w:x="274" w:y="3846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 xml:space="preserve">Board Composition and Criteria </w:t>
      </w:r>
    </w:p>
    <w:p>
      <w:pPr>
        <w:pStyle w:val="Normal"/>
        <w:framePr w:w="1456" w:hAnchor="page" w:vAnchor="page" w:x="27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effectiveness.</w:t>
      </w:r>
    </w:p>
    <w:p>
      <w:pPr>
        <w:pStyle w:val="Normal"/>
        <w:framePr w:w="13626" w:hAnchor="page" w:vAnchor="page" w:x="274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considers shareholder feedback, its evaluation results, peer company practices, and Company performance to confirm that its structure maintains its</w:t>
      </w:r>
    </w:p>
    <w:p>
      <w:pPr>
        <w:pStyle w:val="Normal"/>
        <w:framePr w:w="14220" w:hAnchor="page" w:vAnchor="page" w:x="274" w:y="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regularly evaluates its leadership structure to ensure appropriate, strong and independent oversight for our shareholders. In doing so, the Board</w:t>
      </w:r>
    </w:p>
    <w:p>
      <w:pPr>
        <w:pStyle w:val="Normal"/>
        <w:framePr w:w="3358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combined Chair and CEO position.</w:t>
      </w:r>
    </w:p>
    <w:p>
      <w:pPr>
        <w:pStyle w:val="Normal"/>
        <w:framePr w:w="13589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the Board’s culture of open communication and transparency with the CEO and senior management, are conducive to Board effectiveness with a</w:t>
      </w:r>
    </w:p>
    <w:p>
      <w:pPr>
        <w:pStyle w:val="Normal"/>
        <w:framePr w:w="14140" w:hAnchor="page" w:vAnchor="page" w:x="274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Finally, the Board believes that the Company’s Governance Guidelines, and the quality, stature, and substantive business knowledge of the Board, as well</w:t>
      </w:r>
    </w:p>
    <w:p>
      <w:pPr>
        <w:pStyle w:val="Normal"/>
        <w:framePr w:w="8755" w:hAnchor="page" w:vAnchor="page" w:x="274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Board to promote a comprehensive analysis and evaluation of our CEO’s annual performance.</w:t>
      </w:r>
    </w:p>
    <w:p>
      <w:pPr>
        <w:pStyle w:val="Normal"/>
        <w:framePr w:w="13697" w:hAnchor="page" w:vAnchor="page" w:x="274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annual performance objectives are reported and evaluated by both the Compensation and Talent Committee and during executive sessions of the full</w:t>
      </w:r>
    </w:p>
    <w:p>
      <w:pPr>
        <w:pStyle w:val="Normal"/>
        <w:framePr w:w="13715" w:hAnchor="page" w:vAnchor="page" w:x="274" w:y="14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fully independent Compensation and Talent Committee approves our CEO’s compensation, after consulting all independent directors. The CEO’s</w:t>
      </w:r>
    </w:p>
    <w:p>
      <w:pPr>
        <w:pStyle w:val="Normal"/>
        <w:framePr w:w="1149" w:hAnchor="page" w:vAnchor="page" w:x="274" w:y="10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Board.</w:t>
      </w:r>
    </w:p>
    <w:p>
      <w:pPr>
        <w:pStyle w:val="Normal"/>
        <w:framePr w:w="13946" w:hAnchor="page" w:vAnchor="page" w:x="274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Ms. Farley to continue to serve as Lead Independent Director, who has the ability to call meetings of the Board, and presides over executive sessions of</w:t>
      </w:r>
    </w:p>
    <w:p>
      <w:pPr>
        <w:pStyle w:val="Normal"/>
        <w:framePr w:w="13924" w:hAnchor="page" w:vAnchor="page" w:x="274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only independent directors serve on our Audit Committee, Compensation and Talent Committee, and ESG Committee. In addition, the Board nominated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7pt;margin-top:1pt;z-index:-16773336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12.7pt;margin-top:567.1pt;z-index:-167733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</w:p>
    <w:p>
      <w:pPr>
        <w:pStyle w:val="Normal"/>
        <w:framePr w:w="1631" w:hAnchor="page" w:vAnchor="page" w:x="274" w:y="77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31  TechnipFMC</w:t>
      </w:r>
    </w:p>
    <w:p>
      <w:pPr>
        <w:pStyle w:val="Normal"/>
        <w:framePr w:w="4224" w:hAnchor="page" w:vAnchor="page" w:x="274" w:y="71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these changes on the Board’s effectiveness.</w:t>
      </w:r>
    </w:p>
    <w:p>
      <w:pPr>
        <w:pStyle w:val="Normal"/>
        <w:framePr w:w="14002" w:hAnchor="page" w:vAnchor="page" w:x="274" w:y="69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the professional status, independence, outside commitments, and other public company directorships of our directors to assess the potential impact of</w:t>
      </w:r>
    </w:p>
    <w:p>
      <w:pPr>
        <w:pStyle w:val="Normal"/>
        <w:framePr w:w="14185" w:hAnchor="page" w:vAnchor="page" w:x="274" w:y="67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 to evaluating directors’ skills and experience that tie directly to our business strategy, the ESG Committee also regularly considers any changes</w:t>
      </w:r>
    </w:p>
    <w:p>
      <w:pPr>
        <w:pStyle w:val="Normal"/>
        <w:framePr w:w="12648" w:hAnchor="page" w:vAnchor="page" w:x="274" w:y="63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2021, and 2023: Mr. Yearwood, Mses. Øvrum and Zurquiyah, and Mr. Gwin, respectively, as part of our ongoing Board refreshment focus.</w:t>
      </w:r>
    </w:p>
    <w:p>
      <w:pPr>
        <w:pStyle w:val="Normal"/>
        <w:framePr w:w="13832" w:hAnchor="page" w:vAnchor="page" w:x="274" w:y="61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potential new director candidates. In recent years, this process resulted in the Company identifying and appointing new Board members in 2019, 2020,</w:t>
      </w:r>
    </w:p>
    <w:p>
      <w:pPr>
        <w:pStyle w:val="Normal"/>
        <w:framePr w:w="14139" w:hAnchor="page" w:vAnchor="page" w:x="274" w:y="59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ESG Committee conducts a search, which may include assistance from an independent search firm, to identify, screen, and assess the capabilities of</w:t>
      </w:r>
    </w:p>
    <w:p>
      <w:pPr>
        <w:pStyle w:val="Normal"/>
        <w:framePr w:w="6113" w:hAnchor="page" w:vAnchor="page" w:x="544" w:y="55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Acquisition, divestment, and investment portfolio management</w:t>
      </w:r>
    </w:p>
    <w:p>
      <w:pPr>
        <w:pStyle w:val="Normal"/>
        <w:framePr w:w="2106" w:hAnchor="page" w:vAnchor="page" w:x="544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Finance and audit</w:t>
      </w:r>
    </w:p>
    <w:p>
      <w:pPr>
        <w:pStyle w:val="Normal"/>
        <w:framePr w:w="3950" w:hAnchor="page" w:vAnchor="page" w:x="544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Outside public company board service</w:t>
      </w:r>
    </w:p>
    <w:p>
      <w:pPr>
        <w:pStyle w:val="Normal"/>
        <w:framePr w:w="4201" w:hAnchor="page" w:vAnchor="page" w:x="544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Sustainability and emerging technologies</w:t>
      </w:r>
    </w:p>
    <w:p>
      <w:pPr>
        <w:pStyle w:val="Normal"/>
        <w:framePr w:w="3084" w:hAnchor="page" w:vAnchor="page" w:x="544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Cultural and gender diversity</w:t>
      </w:r>
    </w:p>
    <w:p>
      <w:pPr>
        <w:pStyle w:val="Normal"/>
        <w:framePr w:w="3267" w:hAnchor="page" w:vAnchor="page" w:x="544" w:y="35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Strategy and risk management</w:t>
      </w:r>
    </w:p>
    <w:p>
      <w:pPr>
        <w:pStyle w:val="Normal"/>
        <w:framePr w:w="3404" w:hAnchor="page" w:vAnchor="page" w:x="544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Corporate governance and legal</w:t>
      </w:r>
    </w:p>
    <w:p>
      <w:pPr>
        <w:pStyle w:val="Normal"/>
        <w:framePr w:w="2265" w:hAnchor="page" w:vAnchor="page" w:x="544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Industry experience</w:t>
      </w:r>
    </w:p>
    <w:p>
      <w:pPr>
        <w:pStyle w:val="Normal"/>
        <w:framePr w:w="2367" w:hAnchor="page" w:vAnchor="page" w:x="544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Executive leadership</w:t>
      </w:r>
    </w:p>
    <w:p>
      <w:pPr>
        <w:pStyle w:val="Normal"/>
        <w:framePr w:w="3085" w:hAnchor="page" w:vAnchor="page" w:x="274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business, such as the following:</w:t>
      </w:r>
    </w:p>
    <w:p>
      <w:pPr>
        <w:pStyle w:val="Normal"/>
        <w:framePr w:w="13330" w:hAnchor="page" w:vAnchor="page" w:x="274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recruitment and nomination of directors. Our current directors possess a diversity of such skills, experience, and expertise that are relevant to our</w:t>
      </w:r>
    </w:p>
    <w:p>
      <w:pPr>
        <w:pStyle w:val="Normal"/>
        <w:framePr w:w="13590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actively considers diversity of backgrounds, experience, skills, geography, and perspectives, including gender and cultural diversity, in the</w:t>
      </w:r>
    </w:p>
    <w:p>
      <w:pPr>
        <w:pStyle w:val="Normal"/>
        <w:framePr w:w="13934" w:hAnchor="page" w:vAnchor="page" w:x="274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Board composition is to ensure we have the right skills and experience on our Board to execute our strategic goals successfully and efficiently. As such,</w:t>
      </w:r>
    </w:p>
    <w:p>
      <w:pPr>
        <w:pStyle w:val="Normal"/>
        <w:framePr w:w="14128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skills, diversity, and qualifications to effectively oversee our Company’s strategy and our executives’ execution of that strategy. One of the key goals of our</w:t>
      </w:r>
    </w:p>
    <w:p>
      <w:pPr>
        <w:pStyle w:val="Normal"/>
        <w:framePr w:w="13753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ESG Committee regularly evaluates the composition of our Board and considers whether the Board has the right set of backgrounds, experience,</w:t>
      </w:r>
    </w:p>
    <w:p>
      <w:pPr>
        <w:pStyle w:val="Normal"/>
        <w:framePr w:w="8033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Board Composition, Refreshment, and Succession Planning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7pt;margin-top:1pt;z-index:-1677332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12.7pt;margin-top:402.85pt;z-index:-167733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</w:p>
    <w:p>
      <w:pPr>
        <w:pStyle w:val="Normal"/>
        <w:framePr w:w="1631" w:hAnchor="page" w:vAnchor="page" w:x="274" w:y="1217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32  TechnipFMC</w:t>
      </w:r>
    </w:p>
    <w:p>
      <w:pPr>
        <w:pStyle w:val="Normal"/>
        <w:framePr w:w="9392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its effectiveness through a comprehensive self-evaluation process at the Board and committee levels.</w:t>
      </w:r>
    </w:p>
    <w:p>
      <w:pPr>
        <w:pStyle w:val="Normal"/>
        <w:framePr w:w="14094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believes that a rigorous evaluation process is an essential component of strong corporate governance practices. Each year, the Board reviews</w:t>
      </w:r>
    </w:p>
    <w:p>
      <w:pPr>
        <w:pStyle w:val="Normal"/>
        <w:framePr w:w="4690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Board and Committee Evaluations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7pt;margin-top:1pt;z-index:-1677332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12.7pt;margin-top:624.75pt;z-index:-1677331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180.1pt;margin-top:77.4pt;z-index:-16773312;width:248.95pt;height:50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</w:p>
    <w:p>
      <w:pPr>
        <w:pStyle w:val="Normal"/>
        <w:framePr w:w="1631" w:hAnchor="page" w:vAnchor="page" w:x="274" w:y="62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33  TechnipFMC</w:t>
      </w:r>
    </w:p>
    <w:p>
      <w:pPr>
        <w:pStyle w:val="Normal"/>
        <w:framePr w:w="14094" w:hAnchor="page" w:vAnchor="page" w:x="274" w:y="56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which it evaluates other nominees.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Criteria for Board Membership in Governance Guidelines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above for more information.</w:t>
      </w:r>
    </w:p>
    <w:p>
      <w:pPr>
        <w:pStyle w:val="Normal"/>
        <w:framePr w:w="13888" w:hAnchor="page" w:vAnchor="page" w:x="274" w:y="54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will be reviewed by the ESG Committee. The ESG Committee evaluates nominees recommended by shareholders in the same manner in</w:t>
      </w:r>
    </w:p>
    <w:p>
      <w:pPr>
        <w:pStyle w:val="Normal"/>
        <w:framePr w:w="13308" w:hAnchor="page" w:vAnchor="page" w:x="274" w:y="52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Hadrian House, Wincomblee Road, Newcastle upon Tyne, NE6 3PL, United Kingdom, Attention: Corporate Secretary. All recommendations from</w:t>
      </w:r>
    </w:p>
    <w:p>
      <w:pPr>
        <w:pStyle w:val="Normal"/>
        <w:framePr w:w="13740" w:hAnchor="page" w:vAnchor="page" w:x="274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may submit recommendations for future candidates for election to the Board for consideration by the ESG Committee by writing to us at</w:t>
      </w:r>
    </w:p>
    <w:p>
      <w:pPr>
        <w:pStyle w:val="Normal"/>
        <w:framePr w:w="7251" w:hAnchor="page" w:vAnchor="page" w:x="274" w:y="4755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Shareholder Recommendations for Future Candidates</w:t>
      </w:r>
    </w:p>
    <w:p>
      <w:pPr>
        <w:pStyle w:val="Normal"/>
        <w:framePr w:w="1445" w:hAnchor="page" w:vAnchor="page" w:x="274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shareholders.</w:t>
      </w:r>
    </w:p>
    <w:p>
      <w:pPr>
        <w:pStyle w:val="Normal"/>
        <w:framePr w:w="13877" w:hAnchor="page" w:vAnchor="page" w:x="274" w:y="41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preparedness for meetings and active engagement with our Board and management continues to demonstrate his commitment to our Company and its</w:t>
      </w:r>
    </w:p>
    <w:p>
      <w:pPr>
        <w:pStyle w:val="Normal"/>
        <w:framePr w:w="13407" w:hAnchor="page" w:vAnchor="page" w:x="274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companies. Notably, Mr. Carvalho Filho has attended 100% of all Board and relevant committee meetings since the formation of TechnipFMC. His</w:t>
      </w:r>
    </w:p>
    <w:p>
      <w:pPr>
        <w:pStyle w:val="Normal"/>
        <w:framePr w:w="13752" w:hAnchor="page" w:vAnchor="page" w:x="274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GPA. As such, Mr. Carvalho Filho’s role and time commitment at these two companies differs from serving on two traditional, unrelated publicly traded</w:t>
      </w:r>
    </w:p>
    <w:p>
      <w:pPr>
        <w:pStyle w:val="Normal"/>
        <w:framePr w:w="14061" w:hAnchor="page" w:vAnchor="page" w:x="274" w:y="35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affiliate, Cnova N.V. GPA has a 34% ownership interest in Cnova N.V. and three out of nine directors on Cnova N.V.’s board of directors are appointed by</w:t>
      </w:r>
    </w:p>
    <w:p>
      <w:pPr>
        <w:pStyle w:val="Normal"/>
        <w:framePr w:w="13907" w:hAnchor="page" w:vAnchor="page" w:x="274" w:y="33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Mr. Carvalho Filho’s duties as a director of Companhia Brasileira de Distribuição (Grupo Pão de Açúcar)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GPA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include serving on the board of a GPA</w:t>
      </w:r>
    </w:p>
    <w:p>
      <w:pPr>
        <w:pStyle w:val="Normal"/>
        <w:framePr w:w="7662" w:hAnchor="page" w:vAnchor="page" w:x="274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that he or she can continue to serve the Company and its shareholders effectively.</w:t>
      </w:r>
    </w:p>
    <w:p>
      <w:pPr>
        <w:pStyle w:val="Normal"/>
        <w:framePr w:w="13842" w:hAnchor="page" w:vAnchor="page" w:x="274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directorships. The ESG Committee also discusses with each director the time commitments and expectations of his or her other board duties to ensure</w:t>
      </w:r>
    </w:p>
    <w:p>
      <w:pPr>
        <w:pStyle w:val="Normal"/>
        <w:framePr w:w="13646" w:hAnchor="page" w:vAnchor="page" w:x="274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which they serve, including whether any board service is with a company that is either affiliated with their employer or affiliated with one of their other</w:t>
      </w:r>
    </w:p>
    <w:p>
      <w:pPr>
        <w:pStyle w:val="Normal"/>
        <w:framePr w:w="14094" w:hAnchor="page" w:vAnchor="page" w:x="274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assessing our directors’ ability to devote the required time to his or her Board duties, the ESG Committee reviews the nature of the other companies on</w:t>
      </w:r>
    </w:p>
    <w:p>
      <w:pPr>
        <w:pStyle w:val="Normal"/>
        <w:framePr w:w="14230" w:hAnchor="page" w:vAnchor="page" w:x="274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Except for Mr. Gwin, who joined in 2023, all of our current director nominees attended 100% of our Board and their respective committee meetings in 2022.</w:t>
      </w:r>
    </w:p>
    <w:p>
      <w:pPr>
        <w:pStyle w:val="Normal"/>
        <w:framePr w:w="13646" w:hAnchor="page" w:vAnchor="page" w:x="274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directors will continue to demonstrate her or his expertise and ability to dedicate sufficient time to carry out Board duties effectively and diligently.</w:t>
      </w:r>
    </w:p>
    <w:p>
      <w:pPr>
        <w:pStyle w:val="Normal"/>
        <w:framePr w:w="13957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majority of our directors serve on no more than two other public company boards of directors. Our ESG Committee and our Board believe that each of</w:t>
      </w:r>
    </w:p>
    <w:p>
      <w:pPr>
        <w:pStyle w:val="Normal"/>
        <w:framePr w:w="12067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willingness to devote the required time and attention to Board duties and to otherwise fulfill the responsibilities required of directors.</w:t>
      </w:r>
    </w:p>
    <w:p>
      <w:pPr>
        <w:pStyle w:val="Normal"/>
        <w:framePr w:w="14225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conjunction with our Board and committee evaluations, our ESG Committee is responsible for ensuring that our directors possess and demonstrate a</w:t>
      </w:r>
    </w:p>
    <w:p>
      <w:pPr>
        <w:pStyle w:val="Normal"/>
        <w:framePr w:w="2942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Board Commitments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7pt;margin-top:1pt;z-index:-1677330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12.7pt;margin-top:328.15pt;z-index:-167733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</w:p>
    <w:p>
      <w:pPr>
        <w:pStyle w:val="Normal"/>
        <w:framePr w:w="1631" w:hAnchor="page" w:vAnchor="page" w:x="274" w:y="135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34  TechnipFMC</w:t>
      </w:r>
    </w:p>
    <w:p>
      <w:pPr>
        <w:pStyle w:val="Normal"/>
        <w:framePr w:w="9892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charts show the composition of our Board by racial or ethnic, gender and nationality diversity.</w:t>
      </w:r>
    </w:p>
    <w:p>
      <w:pPr>
        <w:pStyle w:val="Normal"/>
        <w:framePr w:w="14086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Board of Directors demonstrates a broad range of diversity, across gender and race or ethnicity, in addition to their diversity of skills and experiences.</w:t>
      </w:r>
    </w:p>
    <w:p>
      <w:pPr>
        <w:pStyle w:val="Normal"/>
        <w:framePr w:w="2279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Board Diversity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7pt;margin-top:1pt;z-index:-167733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12.7pt;margin-top:695.15pt;z-index:-1677329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5.65pt;margin-top:77.4pt;z-index:-16773292;width:497.85pt;height:57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</w:p>
    <w:p>
      <w:pPr>
        <w:pStyle w:val="Normal"/>
        <w:framePr w:w="1631" w:hAnchor="page" w:vAnchor="page" w:x="274" w:y="814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35  TechnipFMC</w:t>
      </w:r>
    </w:p>
    <w:p>
      <w:pPr>
        <w:pStyle w:val="Normal"/>
        <w:framePr w:w="12523" w:hAnchor="page" w:vAnchor="page" w:x="274" w:y="75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information on our HSE activities,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Health, Safety, and Security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in our U.K. Annual Report and Accounts.</w:t>
      </w:r>
    </w:p>
    <w:p>
      <w:pPr>
        <w:pStyle w:val="Normal"/>
        <w:framePr w:w="14219" w:hAnchor="page" w:vAnchor="page" w:x="274" w:y="73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areas for our Company and therefore the Board of Directors has determined that the responsibility for this area is shouldered by the entire Board. For more</w:t>
      </w:r>
    </w:p>
    <w:p>
      <w:pPr>
        <w:pStyle w:val="Normal"/>
        <w:framePr w:w="13820" w:hAnchor="page" w:vAnchor="page" w:x="274" w:y="71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HSE risks and mitigating actions are reported to the Board of Directors by our Chair and CEO for consideration and advice. HSE is one of the core risk</w:t>
      </w:r>
    </w:p>
    <w:p>
      <w:pPr>
        <w:pStyle w:val="Normal"/>
        <w:framePr w:w="1363" w:hAnchor="page" w:vAnchor="page" w:x="402" w:y="66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Insurance</w:t>
      </w:r>
    </w:p>
    <w:p>
      <w:pPr>
        <w:pStyle w:val="Normal"/>
        <w:framePr w:w="1092" w:hAnchor="page" w:vAnchor="page" w:x="610" w:y="62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exchange</w:t>
      </w:r>
    </w:p>
    <w:p>
      <w:pPr>
        <w:pStyle w:val="Normal"/>
        <w:framePr w:w="3902" w:hAnchor="page" w:vAnchor="page" w:x="402" w:y="60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Other risks, such as taxes and foreign</w:t>
      </w:r>
    </w:p>
    <w:p>
      <w:pPr>
        <w:pStyle w:val="Normal"/>
        <w:framePr w:w="1716" w:hAnchor="page" w:vAnchor="page" w:x="402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Cybersecurity</w:t>
      </w:r>
    </w:p>
    <w:p>
      <w:pPr>
        <w:pStyle w:val="Normal"/>
        <w:framePr w:w="3219" w:hAnchor="page" w:vAnchor="page" w:x="4257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Diversity, equity, and inclusion</w:t>
      </w:r>
    </w:p>
    <w:p>
      <w:pPr>
        <w:pStyle w:val="Normal"/>
        <w:framePr w:w="3401" w:hAnchor="page" w:vAnchor="page" w:x="8225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Company’s compliance program</w:t>
      </w:r>
    </w:p>
    <w:p>
      <w:pPr>
        <w:pStyle w:val="Normal"/>
        <w:framePr w:w="2490" w:hAnchor="page" w:vAnchor="page" w:x="402" w:y="52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Contract management</w:t>
      </w:r>
    </w:p>
    <w:p>
      <w:pPr>
        <w:pStyle w:val="Normal"/>
        <w:framePr w:w="4130" w:hAnchor="page" w:vAnchor="page" w:x="4257" w:y="52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Procedures for management succession</w:t>
      </w:r>
    </w:p>
    <w:p>
      <w:pPr>
        <w:pStyle w:val="Normal"/>
        <w:framePr w:w="3993" w:hAnchor="page" w:vAnchor="page" w:x="8225" w:y="52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Environmental, social, and governance</w:t>
      </w:r>
    </w:p>
    <w:p>
      <w:pPr>
        <w:pStyle w:val="Normal"/>
        <w:framePr w:w="1215" w:hAnchor="page" w:vAnchor="page" w:x="402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Liquidity</w:t>
      </w:r>
    </w:p>
    <w:p>
      <w:pPr>
        <w:pStyle w:val="Normal"/>
        <w:framePr w:w="2925" w:hAnchor="page" w:vAnchor="page" w:x="4465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administration of equity plans)</w:t>
      </w:r>
    </w:p>
    <w:p>
      <w:pPr>
        <w:pStyle w:val="Normal"/>
        <w:framePr w:w="3538" w:hAnchor="page" w:vAnchor="page" w:x="8225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Crisis management preparedness</w:t>
      </w:r>
    </w:p>
    <w:p>
      <w:pPr>
        <w:pStyle w:val="Normal"/>
        <w:framePr w:w="3643" w:hAnchor="page" w:vAnchor="page" w:x="4465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(including employee benefit plans and</w:t>
      </w:r>
    </w:p>
    <w:p>
      <w:pPr>
        <w:pStyle w:val="Normal"/>
        <w:framePr w:w="4050" w:hAnchor="page" w:vAnchor="page" w:x="402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 reporting and internal controls</w:t>
      </w:r>
    </w:p>
    <w:p>
      <w:pPr>
        <w:pStyle w:val="Normal"/>
        <w:framePr w:w="3800" w:hAnchor="page" w:vAnchor="page" w:x="4257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Compensation policies and practices</w:t>
      </w:r>
    </w:p>
    <w:p>
      <w:pPr>
        <w:pStyle w:val="Normal"/>
        <w:framePr w:w="2251" w:hAnchor="page" w:vAnchor="page" w:x="8225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Director succession</w:t>
      </w:r>
    </w:p>
    <w:p>
      <w:pPr>
        <w:pStyle w:val="Normal"/>
        <w:framePr w:w="3494" w:hAnchor="page" w:vAnchor="page" w:x="610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financial statements and disclosures</w:t>
      </w:r>
    </w:p>
    <w:p>
      <w:pPr>
        <w:pStyle w:val="Normal"/>
        <w:framePr w:w="2652" w:hAnchor="page" w:vAnchor="page" w:x="4465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compensation and benefits</w:t>
      </w:r>
    </w:p>
    <w:p>
      <w:pPr>
        <w:pStyle w:val="Normal"/>
        <w:framePr w:w="2197" w:hAnchor="page" w:vAnchor="page" w:x="8434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corporate governance</w:t>
      </w:r>
    </w:p>
    <w:p>
      <w:pPr>
        <w:pStyle w:val="Normal"/>
        <w:framePr w:w="4335" w:hAnchor="page" w:vAnchor="page" w:x="402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Legal and regulatory compliance related to</w:t>
      </w:r>
    </w:p>
    <w:p>
      <w:pPr>
        <w:pStyle w:val="Normal"/>
        <w:framePr w:w="4608" w:hAnchor="page" w:vAnchor="page" w:x="4029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   </w:t>
      </w: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Legal and regulatory compliance related to</w:t>
      </w:r>
    </w:p>
    <w:p>
      <w:pPr>
        <w:pStyle w:val="Normal"/>
        <w:framePr w:w="4608" w:hAnchor="page" w:vAnchor="page" w:x="7998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   </w:t>
      </w: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Legal and regulatory compliance related to</w:t>
      </w:r>
    </w:p>
    <w:p>
      <w:pPr>
        <w:pStyle w:val="Normal"/>
        <w:framePr w:w="1843" w:hAnchor="page" w:vAnchor="page" w:x="402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Audit Committee</w:t>
      </w:r>
    </w:p>
    <w:p>
      <w:pPr>
        <w:pStyle w:val="Normal"/>
        <w:framePr w:w="4096" w:hAnchor="page" w:vAnchor="page" w:x="4029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    </w:t>
      </w: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 Compensation and Talent Committee</w:t>
      </w:r>
    </w:p>
    <w:p>
      <w:pPr>
        <w:pStyle w:val="Normal"/>
        <w:framePr w:w="2025" w:hAnchor="page" w:vAnchor="page" w:x="7998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    </w:t>
      </w: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 ESG Committee</w:t>
      </w:r>
    </w:p>
    <w:p>
      <w:pPr>
        <w:pStyle w:val="Normal"/>
        <w:framePr w:w="8818" w:hAnchor="page" w:vAnchor="page" w:x="274" w:y="29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oversight of certain risks within their own areas of responsibility, as indicated in the table below.</w:t>
      </w:r>
    </w:p>
    <w:p>
      <w:pPr>
        <w:pStyle w:val="Normal"/>
        <w:framePr w:w="13855" w:hAnchor="page" w:vAnchor="page" w:x="274" w:y="27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addition, while the Board has ultimate responsibility for overall risk management oversight, it has designated each of its three Board committees with</w:t>
      </w:r>
    </w:p>
    <w:p>
      <w:pPr>
        <w:pStyle w:val="Normal"/>
        <w:framePr w:w="1752" w:hAnchor="page" w:vAnchor="page" w:x="274" w:y="23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each key risk.</w:t>
      </w:r>
    </w:p>
    <w:p>
      <w:pPr>
        <w:pStyle w:val="Normal"/>
        <w:framePr w:w="14173" w:hAnchor="page" w:vAnchor="page" w:x="274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from senior management that identify and assess significant enterprise-related risks and address mitigation strategies and plans implemented or proposed</w:t>
      </w:r>
    </w:p>
    <w:p>
      <w:pPr>
        <w:pStyle w:val="Normal"/>
        <w:framePr w:w="13968" w:hAnchor="page" w:vAnchor="page" w:x="274" w:y="19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severity and likelihood of the various risks to which the Company is or may be subject. In addition, our Board and its committees receive periodic reports</w:t>
      </w:r>
    </w:p>
    <w:p>
      <w:pPr>
        <w:pStyle w:val="Normal"/>
        <w:framePr w:w="13627" w:hAnchor="page" w:vAnchor="page" w:x="274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ERM framework, our senior management, led by our Chair and CEO, undertakes a process that identifies, categorizes, and analyzes the relative</w:t>
      </w:r>
    </w:p>
    <w:p>
      <w:pPr>
        <w:pStyle w:val="Normal"/>
        <w:framePr w:w="14116" w:hAnchor="page" w:vAnchor="page" w:x="274" w:y="15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framework to identify and evaluate varying levels of risk and their potential impact on the Company, as well as steps to mitigate those risks. As part of</w:t>
      </w:r>
    </w:p>
    <w:p>
      <w:pPr>
        <w:pStyle w:val="Normal"/>
        <w:framePr w:w="14203" w:hAnchor="page" w:vAnchor="page" w:x="274" w:y="13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committees, has responsibility for the oversight of risk management for the Company. The Company has an Enterprise Risk Management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ERM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process</w:t>
      </w:r>
    </w:p>
    <w:p>
      <w:pPr>
        <w:pStyle w:val="Normal"/>
        <w:framePr w:w="14196" w:hAnchor="page" w:vAnchor="page" w:x="274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management is responsible for the day-to-day management of the risks the Company faces, while our Board, as a whole and through its various</w:t>
      </w:r>
    </w:p>
    <w:p>
      <w:pPr>
        <w:pStyle w:val="Normal"/>
        <w:framePr w:w="6089" w:hAnchor="page" w:vAnchor="page" w:x="274" w:y="67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Enterprise Risk Management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7pt;margin-top:1pt;z-index:-1677328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12.7pt;margin-top:163.85pt;z-index:-16773284;width:8.4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19.1pt;margin-top:163.85pt;z-index:-16773280;width:183.35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00.45pt;margin-top:163.85pt;z-index:-16773276;width:7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206.15pt;margin-top:163.85pt;z-index:-16773272;width:7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11.85pt;margin-top:163.85pt;z-index:-16773268;width:189.05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98.9pt;margin-top:163.85pt;z-index:-16773264;width:7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04.55pt;margin-top:163.85pt;z-index:-16773260;width:7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10.25pt;margin-top:163.85pt;z-index:-16773256;width:189.05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12.7pt;margin-top:185.2pt;z-index:-16773252;width:8.4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19.1pt;margin-top:185.2pt;z-index:-16773248;width:183.35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00.45pt;margin-top:185.2pt;z-index:-16773244;width:7.7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06.15pt;margin-top:185.2pt;z-index:-16773240;width:7.7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11.85pt;margin-top:185.2pt;z-index:-16773236;width:189.05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98.9pt;margin-top:185.2pt;z-index:-16773232;width:7.7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04.55pt;margin-top:185.2pt;z-index:-16773228;width:7.7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10.25pt;margin-top:185.2pt;z-index:-16773224;width:189.05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04.55pt;margin-top:185.2pt;z-index:-16773220;width:2.7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206.15pt;margin-top:185.2pt;z-index:-16773216;width:2.7pt;height:16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04.55pt;margin-top:163.85pt;z-index:-16773212;width:2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06.15pt;margin-top:163.85pt;z-index:-16773208;width:2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12.7pt;margin-top:423.45pt;z-index:-167732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</w:p>
    <w:p>
      <w:pPr>
        <w:pStyle w:val="Normal"/>
        <w:framePr w:w="1631" w:hAnchor="page" w:vAnchor="page" w:x="274" w:y="630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36  TechnipFMC</w:t>
      </w:r>
    </w:p>
    <w:p>
      <w:pPr>
        <w:pStyle w:val="Normal"/>
        <w:framePr w:w="7075" w:hAnchor="page" w:vAnchor="page" w:x="274" w:y="57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our website at </w:t>
      </w:r>
      <w:r>
        <w:rPr>
          <w:rFonts w:ascii="NMMUPN+Arial-BoldItalicMT" w:hAnsi="NMMUPN+Arial-BoldItalicMT" w:fareast="NMMUPN+Arial-BoldItalicMT" w:cs="NMMUPN+Arial-BoldItalicMT"/>
          <w:color w:val="481f6e"/>
          <w:w w:val="100"/>
          <w:sz w:val="17"/>
          <w:szCs w:val="17"/>
        </w:rPr>
        <w:t>www.technipfmc.com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under the heading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About us &gt; ESG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.”</w:t>
      </w:r>
    </w:p>
    <w:p>
      <w:pPr>
        <w:pStyle w:val="Normal"/>
        <w:framePr w:w="13901" w:hAnchor="page" w:vAnchor="page" w:x="274" w:y="55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operates pursuant to a written charter setting out the functions and responsibilities of the committee, which is reviewed annually, and may be viewed on</w:t>
      </w:r>
    </w:p>
    <w:p>
      <w:pPr>
        <w:pStyle w:val="Normal"/>
        <w:framePr w:w="13585" w:hAnchor="page" w:vAnchor="page" w:x="274" w:y="53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technology, investment, legal/compliance, political/legislative/regulatory, corporate social responsibility, and sustainability. Each of these committees</w:t>
      </w:r>
    </w:p>
    <w:p>
      <w:pPr>
        <w:pStyle w:val="Normal"/>
        <w:framePr w:w="13843" w:hAnchor="page" w:vAnchor="page" w:x="274" w:y="51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receives regular updates from its committees on individual categories of risk, including strategy, financial/ operations, cybersecurity, people,</w:t>
      </w:r>
    </w:p>
    <w:p>
      <w:pPr>
        <w:pStyle w:val="Normal"/>
        <w:framePr w:w="9319" w:hAnchor="page" w:vAnchor="page" w:x="274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matters. Oversight for health, safety, environmental, and security matters remains with the full Board.</w:t>
      </w:r>
    </w:p>
    <w:p>
      <w:pPr>
        <w:pStyle w:val="Normal"/>
        <w:framePr w:w="14234" w:hAnchor="page" w:vAnchor="page" w:x="274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 also  amended  the  charter  of  our  Audit  Committee  to  include  responsibility  for  reviewing  the  metrics  of  certain  health,  safety,  and  environmental</w:t>
      </w:r>
    </w:p>
    <w:p>
      <w:pPr>
        <w:pStyle w:val="Normal"/>
        <w:framePr w:w="9415" w:hAnchor="page" w:vAnchor="page" w:x="274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enhanced focus on training and development and diversity, equity, and inclusion across TechnipFMC.</w:t>
      </w:r>
    </w:p>
    <w:p>
      <w:pPr>
        <w:pStyle w:val="Normal"/>
        <w:framePr w:w="13582" w:hAnchor="page" w:vAnchor="page" w:x="274" w:y="39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Committee, and expanded the scope of its charter to include oversight of succession planning of executive officers and senior management, with an</w:t>
      </w:r>
    </w:p>
    <w:p>
      <w:pPr>
        <w:pStyle w:val="Normal"/>
        <w:framePr w:w="13275" w:hAnchor="page" w:vAnchor="page" w:x="274" w:y="37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2022, to enhance our commitment to our employees, we changed the name of our Compensation Committee to the Compensation and Talent</w:t>
      </w:r>
    </w:p>
    <w:p>
      <w:pPr>
        <w:pStyle w:val="Normal"/>
        <w:framePr w:w="13600" w:hAnchor="page" w:vAnchor="page" w:x="274" w:y="33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implementation of ESG targets, standards, metrics, or methodologies, and reviewing the Company’s public disclosures with respect to ESG matters.</w:t>
      </w:r>
    </w:p>
    <w:p>
      <w:pPr>
        <w:pStyle w:val="Normal"/>
        <w:framePr w:w="12864" w:hAnchor="page" w:vAnchor="page" w:x="274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ESG Committee, was amended to refine its focus on ESG matters, with responsibility for reviewing and monitoring the development and</w:t>
      </w:r>
    </w:p>
    <w:p>
      <w:pPr>
        <w:pStyle w:val="Normal"/>
        <w:framePr w:w="13967" w:hAnchor="page" w:vAnchor="page" w:x="274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environmental stewardship, responsible investment, corporate citizenship, human rights, and ESG risk management. The charter of this committee, now</w:t>
      </w:r>
    </w:p>
    <w:p>
      <w:pPr>
        <w:pStyle w:val="Normal"/>
        <w:framePr w:w="13267" w:hAnchor="page" w:vAnchor="page" w:x="274" w:y="27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Governance Committee’s charter was substantially expanded to include oversight of the Company’s policies, programs, and strategies related to</w:t>
      </w:r>
    </w:p>
    <w:p>
      <w:pPr>
        <w:pStyle w:val="Normal"/>
        <w:framePr w:w="13400" w:hAnchor="page" w:vAnchor="page" w:x="274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2020, to better reflect our focus on corporate responsibility and sustainability at the Board level, the originally named Nominating and Corporate</w:t>
      </w:r>
    </w:p>
    <w:p>
      <w:pPr>
        <w:pStyle w:val="Normal"/>
        <w:framePr w:w="5020" w:hAnchor="page" w:vAnchor="page" w:x="274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financial expert,” as defined by SEC rules.</w:t>
      </w:r>
    </w:p>
    <w:p>
      <w:pPr>
        <w:pStyle w:val="Normal"/>
        <w:framePr w:w="13654" w:hAnchor="page" w:vAnchor="page" w:x="274" w:y="19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defined under the NYSE’s listing standards and SEC rules, as applicable. Additionally, each member of our Audit Committee qualifies as an “audit</w:t>
      </w:r>
    </w:p>
    <w:p>
      <w:pPr>
        <w:pStyle w:val="Normal"/>
        <w:framePr w:w="14128" w:hAnchor="page" w:vAnchor="page" w:x="274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Committee, and ESG Committee, which collectively includes all members of our Board other than our Chair and CEO, meets the independence standards</w:t>
      </w:r>
    </w:p>
    <w:p>
      <w:pPr>
        <w:pStyle w:val="Normal"/>
        <w:framePr w:w="13980" w:hAnchor="page" w:vAnchor="page" w:x="274" w:y="15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three directors selected by the Board upon recommendation of the ESG Committee. Each member of our Audit Committee, Compensation and Talent</w:t>
      </w:r>
    </w:p>
    <w:p>
      <w:pPr>
        <w:pStyle w:val="Normal"/>
        <w:framePr w:w="14230" w:hAnchor="page" w:vAnchor="page" w:x="274" w:y="13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guidance. Our Board maintains an Audit Committee, a Compensation and Talent Committee, and an ESG Committee, each of which comprises a minimum</w:t>
      </w:r>
    </w:p>
    <w:p>
      <w:pPr>
        <w:pStyle w:val="Normal"/>
        <w:framePr w:w="14106" w:hAnchor="page" w:vAnchor="page" w:x="274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continually reviews the scope of responsibilities of its committees to ensure that each functions appropriately to provide requisite oversight and</w:t>
      </w:r>
    </w:p>
    <w:p>
      <w:pPr>
        <w:pStyle w:val="Normal"/>
        <w:framePr w:w="7647" w:hAnchor="page" w:vAnchor="page" w:x="274" w:y="673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Committees of the Board of Directors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7pt;margin-top:1pt;z-index:-167732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12.7pt;margin-top:331pt;z-index:-1677319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</w:p>
    <w:p>
      <w:pPr>
        <w:pStyle w:val="Normal"/>
        <w:framePr w:w="1631" w:hAnchor="page" w:vAnchor="page" w:x="274" w:y="78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37  TechnipFMC</w:t>
      </w:r>
    </w:p>
    <w:p>
      <w:pPr>
        <w:pStyle w:val="Normal"/>
        <w:framePr w:w="6306" w:hAnchor="page" w:vAnchor="page" w:x="274" w:y="72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Mr. Gwin was appointed to the Audit Committee on February 21, 2023.</w:t>
      </w:r>
    </w:p>
    <w:p>
      <w:pPr>
        <w:pStyle w:val="Normal"/>
        <w:framePr w:w="7830" w:hAnchor="page" w:vAnchor="page" w:x="3318" w:y="67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certain Company metrics on health, safety, and environmental matters</w:t>
      </w:r>
    </w:p>
    <w:p>
      <w:pPr>
        <w:pStyle w:val="Normal"/>
        <w:framePr w:w="3916" w:hAnchor="page" w:vAnchor="page" w:x="3526" w:y="63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through the Company’s allegation hotline</w:t>
      </w:r>
    </w:p>
    <w:p>
      <w:pPr>
        <w:pStyle w:val="Normal"/>
        <w:framePr w:w="10171" w:hAnchor="page" w:vAnchor="page" w:x="3318" w:y="61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the effectiveness of processes for reviewing and escalating financial-related allegations reported</w:t>
      </w:r>
    </w:p>
    <w:p>
      <w:pPr>
        <w:pStyle w:val="Normal"/>
        <w:framePr w:w="1081" w:hAnchor="page" w:vAnchor="page" w:x="3526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</w:t>
      </w:r>
    </w:p>
    <w:p>
      <w:pPr>
        <w:pStyle w:val="Normal"/>
        <w:framePr w:w="9938" w:hAnchor="page" w:vAnchor="page" w:x="3526" w:y="5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adversary assessment, risk profile status, and any countermeasures being undertaken or considered by the</w:t>
      </w:r>
    </w:p>
    <w:p>
      <w:pPr>
        <w:pStyle w:val="Normal"/>
        <w:framePr w:w="10125" w:hAnchor="page" w:vAnchor="page" w:x="3318" w:y="53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Considering risks relating to cybersecurity and receives regular reports on the Company’s cyber readiness,</w:t>
      </w:r>
    </w:p>
    <w:p>
      <w:pPr>
        <w:pStyle w:val="Normal"/>
        <w:framePr w:w="8263" w:hAnchor="page" w:vAnchor="page" w:x="3318" w:y="49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the effectiveness and performance of the Company’s internal audit function</w:t>
      </w:r>
    </w:p>
    <w:p>
      <w:pPr>
        <w:pStyle w:val="Normal"/>
        <w:framePr w:w="8357" w:hAnchor="page" w:vAnchor="page" w:x="3526" w:y="45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qualifications, independence, performance, and remuneration of such independent auditor</w:t>
      </w:r>
    </w:p>
    <w:p>
      <w:pPr>
        <w:pStyle w:val="Normal"/>
        <w:framePr w:w="9345" w:hAnchor="page" w:vAnchor="page" w:x="3318" w:y="43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Selecting, subject to shareholder approval, the Company’s independent auditor, and reviewing the</w:t>
      </w:r>
    </w:p>
    <w:p>
      <w:pPr>
        <w:pStyle w:val="Normal"/>
        <w:framePr w:w="2037" w:hAnchor="page" w:vAnchor="page" w:x="3526" w:y="39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financial disclosures</w:t>
      </w:r>
    </w:p>
    <w:p>
      <w:pPr>
        <w:pStyle w:val="Normal"/>
        <w:framePr w:w="9847" w:hAnchor="page" w:vAnchor="page" w:x="3526" w:y="37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regulatory requirements to the extent such compliance relates to the consolidated financial statements and</w:t>
      </w:r>
    </w:p>
    <w:p>
      <w:pPr>
        <w:pStyle w:val="Normal"/>
        <w:framePr w:w="10103" w:hAnchor="page" w:vAnchor="page" w:x="3318" w:y="35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Monitoring the Company’s compliance with its internal accounting and control policies, as well as legal and</w:t>
      </w:r>
    </w:p>
    <w:p>
      <w:pPr>
        <w:pStyle w:val="Normal"/>
        <w:framePr w:w="1810" w:hAnchor="page" w:vAnchor="page" w:x="406" w:y="31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Sophie Zurquiyah</w:t>
      </w:r>
    </w:p>
    <w:p>
      <w:pPr>
        <w:pStyle w:val="Normal"/>
        <w:framePr w:w="2015" w:hAnchor="page" w:vAnchor="page" w:x="3526" w:y="31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auditor</w:t>
      </w:r>
    </w:p>
    <w:p>
      <w:pPr>
        <w:pStyle w:val="Normal"/>
        <w:framePr w:w="10217" w:hAnchor="page" w:vAnchor="page" w:x="3318" w:y="29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the Company’s consolidated financial statements and internal controls with management and the</w:t>
      </w:r>
    </w:p>
    <w:p>
      <w:pPr>
        <w:pStyle w:val="Normal"/>
        <w:framePr w:w="1693" w:hAnchor="page" w:vAnchor="page" w:x="406" w:y="27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Robert G. Gwin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5291" w:hAnchor="page" w:vAnchor="page" w:x="3318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Monitoring the Company’s financial reporting process</w:t>
      </w:r>
    </w:p>
    <w:p>
      <w:pPr>
        <w:pStyle w:val="Normal"/>
        <w:framePr w:w="2561" w:hAnchor="page" w:vAnchor="page" w:x="406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Eleazar de Carvalho Filho</w:t>
      </w:r>
    </w:p>
    <w:p>
      <w:pPr>
        <w:pStyle w:val="Normal"/>
        <w:framePr w:w="4337" w:hAnchor="page" w:vAnchor="page" w:x="3526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registered public accounting firm</w:t>
      </w:r>
    </w:p>
    <w:p>
      <w:pPr>
        <w:pStyle w:val="Normal"/>
        <w:framePr w:w="2241" w:hAnchor="page" w:vAnchor="page" w:x="406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Kay G. Priestly (Chair)</w:t>
      </w:r>
    </w:p>
    <w:p>
      <w:pPr>
        <w:pStyle w:val="Normal"/>
        <w:framePr w:w="10080" w:hAnchor="page" w:vAnchor="page" w:x="3318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Oversight of the financial management and control of the Company, as well as oversight of the Company’s</w:t>
      </w:r>
    </w:p>
    <w:p>
      <w:pPr>
        <w:pStyle w:val="Normal"/>
        <w:framePr w:w="1900" w:hAnchor="page" w:vAnchor="page" w:x="406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Current Members</w:t>
      </w:r>
    </w:p>
    <w:p>
      <w:pPr>
        <w:pStyle w:val="Normal"/>
        <w:framePr w:w="2595" w:hAnchor="page" w:vAnchor="page" w:x="3318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Primary Responsibilities</w:t>
      </w:r>
    </w:p>
    <w:p>
      <w:pPr>
        <w:pStyle w:val="Normal"/>
        <w:framePr w:w="1843" w:hAnchor="page" w:vAnchor="page" w:x="406" w:y="10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Meetings: 4</w:t>
      </w:r>
    </w:p>
    <w:p>
      <w:pPr>
        <w:pStyle w:val="Normal"/>
        <w:framePr w:w="2444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Audit Committee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7pt;margin-top:1pt;z-index:-167731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12.7pt;margin-top:46.5pt;z-index:-16773188;width:586.6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12.7pt;margin-top:68.55pt;z-index:-16773184;width:148.5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159.2pt;margin-top:68.55pt;z-index:-16773180;width:7.7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164.9pt;margin-top:68.55pt;z-index:-16773176;width:434.4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12.7pt;margin-top:90.6pt;z-index:-16773172;width:148.5pt;height:26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159.2pt;margin-top:90.6pt;z-index:-16773168;width:7.7pt;height:26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164.9pt;margin-top:90.6pt;z-index:-16773164;width:434.4pt;height:26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159.2pt;margin-top:90.6pt;z-index:-16773160;width:2.7pt;height:26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164.9pt;margin-top:68.55pt;z-index:-16773156;width:43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164.9pt;margin-top:90.6pt;z-index:-16773152;width:43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159.2pt;margin-top:68.55pt;z-index:-16773148;width: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159.2pt;margin-top:90.6pt;z-index:-16773144;width: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12.7pt;margin-top:90.6pt;z-index:-16773140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159.2pt;margin-top:68.55pt;z-index:-16773136;width:2.7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12.7pt;margin-top:46.5pt;z-index:-16773132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12.7pt;margin-top:68.55pt;z-index:-16773128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12.7pt;margin-top:407.8pt;z-index:-167731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</w:p>
    <w:p>
      <w:pPr>
        <w:pStyle w:val="Normal"/>
        <w:framePr w:w="1631" w:hAnchor="page" w:vAnchor="page" w:x="274" w:y="65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38  TechnipFMC</w:t>
      </w:r>
    </w:p>
    <w:p>
      <w:pPr>
        <w:pStyle w:val="Normal"/>
        <w:framePr w:w="1388" w:hAnchor="page" w:vAnchor="page" w:x="3526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directors</w:t>
      </w:r>
    </w:p>
    <w:p>
      <w:pPr>
        <w:pStyle w:val="Normal"/>
        <w:framePr w:w="10509" w:hAnchor="page" w:vAnchor="page" w:x="3318" w:y="5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Otherwise discharging the Board’s responsibilities related to compensation of the Company’s executive officers</w:t>
      </w:r>
    </w:p>
    <w:p>
      <w:pPr>
        <w:pStyle w:val="Normal"/>
        <w:framePr w:w="7250" w:hAnchor="page" w:vAnchor="page" w:x="3318" w:y="51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and evaluating global strategy on diversity, equity, and inclusion</w:t>
      </w:r>
    </w:p>
    <w:p>
      <w:pPr>
        <w:pStyle w:val="Normal"/>
        <w:framePr w:w="9754" w:hAnchor="page" w:vAnchor="page" w:x="3318" w:y="47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and evaluating potential successors for executive officers and others in senior management</w:t>
      </w:r>
    </w:p>
    <w:p>
      <w:pPr>
        <w:pStyle w:val="Normal"/>
        <w:framePr w:w="10425" w:hAnchor="page" w:vAnchor="page" w:x="3318" w:y="43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Reviewing, evaluating, and approving the directors’ remuneration policy and the directors’ remuneration report</w:t>
      </w:r>
    </w:p>
    <w:p>
      <w:pPr>
        <w:pStyle w:val="Normal"/>
        <w:framePr w:w="10366" w:hAnchor="page" w:vAnchor="page" w:x="3318" w:y="39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Producing the Compensation and Talent Committee Report to be included in the Company’s Proxy Statement</w:t>
      </w:r>
    </w:p>
    <w:p>
      <w:pPr>
        <w:pStyle w:val="Normal"/>
        <w:framePr w:w="6523" w:hAnchor="page" w:vAnchor="page" w:x="3526" w:y="35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Statement for the Company’s annual general meeting of shareholders</w:t>
      </w:r>
    </w:p>
    <w:p>
      <w:pPr>
        <w:pStyle w:val="Normal"/>
        <w:framePr w:w="9902" w:hAnchor="page" w:vAnchor="page" w:x="3318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 the compensation disclosures in the Company’s U.K. Annual Report and Accounts and Proxy</w:t>
      </w:r>
    </w:p>
    <w:p>
      <w:pPr>
        <w:pStyle w:val="Normal"/>
        <w:framePr w:w="8174" w:hAnchor="page" w:vAnchor="page" w:x="3526" w:y="29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derivatives that the CEO is authorized to allocate to all other employees at his discretion</w:t>
      </w:r>
    </w:p>
    <w:p>
      <w:pPr>
        <w:pStyle w:val="Normal"/>
        <w:framePr w:w="1627" w:hAnchor="page" w:vAnchor="page" w:x="406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Yearwood</w:t>
      </w:r>
    </w:p>
    <w:p>
      <w:pPr>
        <w:pStyle w:val="Normal"/>
        <w:framePr w:w="9923" w:hAnchor="page" w:vAnchor="page" w:x="3526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equity awards by the Company to executive officers and approving the number of equity securities or equity</w:t>
      </w:r>
    </w:p>
    <w:p>
      <w:pPr>
        <w:pStyle w:val="Normal"/>
        <w:framePr w:w="10547" w:hAnchor="page" w:vAnchor="page" w:x="3318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Consistent with equity plans approved by the Company’s shareholders, reviewing, evaluating, and approving all</w:t>
      </w:r>
    </w:p>
    <w:p>
      <w:pPr>
        <w:pStyle w:val="Normal"/>
        <w:framePr w:w="1615" w:hAnchor="page" w:vAnchor="page" w:x="406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Claire S. Farley</w:t>
      </w:r>
    </w:p>
    <w:p>
      <w:pPr>
        <w:pStyle w:val="Normal"/>
        <w:framePr w:w="7149" w:hAnchor="page" w:vAnchor="page" w:x="3526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compensate its independent directors, the Chair and CEO, and other officers</w:t>
      </w:r>
    </w:p>
    <w:p>
      <w:pPr>
        <w:pStyle w:val="Normal"/>
        <w:framePr w:w="2105" w:hAnchor="page" w:vAnchor="page" w:x="406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O’Leary (Chair)</w:t>
      </w:r>
    </w:p>
    <w:p>
      <w:pPr>
        <w:pStyle w:val="Normal"/>
        <w:framePr w:w="9857" w:hAnchor="page" w:vAnchor="page" w:x="3318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Reviewing, evaluating, and approving the agreements, plans, policies, and programs of the Company to</w:t>
      </w:r>
    </w:p>
    <w:p>
      <w:pPr>
        <w:pStyle w:val="Normal"/>
        <w:framePr w:w="1900" w:hAnchor="page" w:vAnchor="page" w:x="406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Current Members</w:t>
      </w:r>
    </w:p>
    <w:p>
      <w:pPr>
        <w:pStyle w:val="Normal"/>
        <w:framePr w:w="2595" w:hAnchor="page" w:vAnchor="page" w:x="3318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Primary Responsibilities</w:t>
      </w:r>
    </w:p>
    <w:p>
      <w:pPr>
        <w:pStyle w:val="Normal"/>
        <w:framePr w:w="1843" w:hAnchor="page" w:vAnchor="page" w:x="406" w:y="10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Meetings: 4</w:t>
      </w:r>
    </w:p>
    <w:p>
      <w:pPr>
        <w:pStyle w:val="Normal"/>
        <w:framePr w:w="5066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Compensation and Talent Committee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7pt;margin-top:1pt;z-index:-1677312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12.7pt;margin-top:46.5pt;z-index:-16773116;width:586.6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12.7pt;margin-top:68.55pt;z-index:-16773112;width:148.5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159.2pt;margin-top:68.55pt;z-index:-16773108;width:7.7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164.9pt;margin-top:68.55pt;z-index:-16773104;width:434.4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12.7pt;margin-top:90.6pt;z-index:-16773100;width:148.5pt;height:2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159.2pt;margin-top:90.6pt;z-index:-16773096;width:7.7pt;height:2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164.9pt;margin-top:90.6pt;z-index:-16773092;width:434.4pt;height:2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159.2pt;margin-top:90.6pt;z-index:-16773088;width:2.7pt;height:2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164.9pt;margin-top:68.55pt;z-index:-16773084;width:43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64.9pt;margin-top:90.6pt;z-index:-16773080;width:43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159.2pt;margin-top:68.55pt;z-index:-16773076;width: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159.2pt;margin-top:90.6pt;z-index:-16773072;width: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12.7pt;margin-top:90.6pt;z-index:-16773068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159.2pt;margin-top:68.55pt;z-index:-16773064;width:2.7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12.7pt;margin-top:46.5pt;z-index:-16773060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12.7pt;margin-top:68.55pt;z-index:-16773056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12.7pt;margin-top:342.4pt;z-index:-167730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</w:p>
    <w:p>
      <w:pPr>
        <w:pStyle w:val="Normal"/>
        <w:framePr w:w="1631" w:hAnchor="page" w:vAnchor="page" w:x="274" w:y="60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39  TechnipFMC</w:t>
      </w:r>
    </w:p>
    <w:p>
      <w:pPr>
        <w:pStyle w:val="Normal"/>
        <w:framePr w:w="13658" w:hAnchor="page" w:vAnchor="page" w:x="644" w:y="544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ESG Committee and as Chair of the ESG Committee as of the date of the 2023 Annual Meeting. Upon his appointment, he will no longer serve on the Audit Committee.</w:t>
      </w:r>
    </w:p>
    <w:p>
      <w:pPr>
        <w:pStyle w:val="Normal"/>
        <w:framePr w:w="14203" w:hAnchor="page" w:vAnchor="page" w:x="274" w:y="527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Mr. Peter Mellbye has informed the Company that he will not stand for re-election at the 2023 Annual Meeting. The Board expects to appoint Mr. Carvalho Filho to the</w:t>
      </w:r>
    </w:p>
    <w:p>
      <w:pPr>
        <w:pStyle w:val="Normal"/>
        <w:framePr w:w="8503" w:hAnchor="page" w:vAnchor="page" w:x="3318" w:y="47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Leading the Board in the annual performance evaluation of the Board and its committees</w:t>
      </w:r>
    </w:p>
    <w:p>
      <w:pPr>
        <w:pStyle w:val="Normal"/>
        <w:framePr w:w="921" w:hAnchor="page" w:vAnchor="page" w:x="3526" w:y="43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</w:t>
      </w:r>
    </w:p>
    <w:p>
      <w:pPr>
        <w:pStyle w:val="Normal"/>
        <w:framePr w:w="10347" w:hAnchor="page" w:vAnchor="page" w:x="3318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Recommending directors to serve on each committee of the Board and recommending the Lead Independent</w:t>
      </w:r>
    </w:p>
    <w:p>
      <w:pPr>
        <w:pStyle w:val="Normal"/>
        <w:framePr w:w="4542" w:hAnchor="page" w:vAnchor="page" w:x="3526" w:y="37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or for appointment to fill vacancies on the Board</w:t>
      </w:r>
    </w:p>
    <w:p>
      <w:pPr>
        <w:pStyle w:val="Normal"/>
        <w:framePr w:w="10110" w:hAnchor="page" w:vAnchor="page" w:x="3526" w:y="35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recommending director nominees to the Board for election at the annual general meeting of shareholders</w:t>
      </w:r>
    </w:p>
    <w:p>
      <w:pPr>
        <w:pStyle w:val="Normal"/>
        <w:framePr w:w="10414" w:hAnchor="page" w:vAnchor="page" w:x="3318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Identifying individuals qualified to become Board members, consistent with the criteria approved by the Board,</w:t>
      </w:r>
    </w:p>
    <w:p>
      <w:pPr>
        <w:pStyle w:val="Normal"/>
        <w:framePr w:w="5101" w:hAnchor="page" w:vAnchor="page" w:x="3526" w:y="29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principles of ethical conduct and good governance</w:t>
      </w:r>
    </w:p>
    <w:p>
      <w:pPr>
        <w:pStyle w:val="Normal"/>
        <w:framePr w:w="1627" w:hAnchor="page" w:vAnchor="page" w:x="406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Yearwood</w:t>
      </w:r>
    </w:p>
    <w:p>
      <w:pPr>
        <w:pStyle w:val="Normal"/>
        <w:framePr w:w="10314" w:hAnchor="page" w:vAnchor="page" w:x="3526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allegation reporting, investigation, and remediation) to ensure that the Company operates in compliance with</w:t>
      </w:r>
    </w:p>
    <w:p>
      <w:pPr>
        <w:pStyle w:val="Normal"/>
        <w:framePr w:w="10410" w:hAnchor="page" w:vAnchor="page" w:x="3318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Monitoring the development and implementation of the Company’s compliance program (including procedures</w:t>
      </w:r>
    </w:p>
    <w:p>
      <w:pPr>
        <w:pStyle w:val="Normal"/>
        <w:framePr w:w="1809" w:hAnchor="page" w:vAnchor="page" w:x="406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Margareth Øvrum</w:t>
      </w:r>
    </w:p>
    <w:p>
      <w:pPr>
        <w:pStyle w:val="Normal"/>
        <w:framePr w:w="8731" w:hAnchor="page" w:vAnchor="page" w:x="3526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initiatives and overseeing the Company’s progress in implementing its practices and programs</w:t>
      </w:r>
    </w:p>
    <w:p>
      <w:pPr>
        <w:pStyle w:val="Normal"/>
        <w:framePr w:w="2216" w:hAnchor="page" w:vAnchor="page" w:x="406" w:y="1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Peter Mellbye (Chair)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10346" w:hAnchor="page" w:vAnchor="page" w:x="3318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Advising and making recommendations to the Board regarding corporate governance and ESG practices and</w:t>
      </w:r>
    </w:p>
    <w:p>
      <w:pPr>
        <w:pStyle w:val="Normal"/>
        <w:framePr w:w="1900" w:hAnchor="page" w:vAnchor="page" w:x="406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Current Members</w:t>
      </w:r>
    </w:p>
    <w:p>
      <w:pPr>
        <w:pStyle w:val="Normal"/>
        <w:framePr w:w="2595" w:hAnchor="page" w:vAnchor="page" w:x="3318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Primary Responsibilities</w:t>
      </w:r>
    </w:p>
    <w:p>
      <w:pPr>
        <w:pStyle w:val="Normal"/>
        <w:framePr w:w="1843" w:hAnchor="page" w:vAnchor="page" w:x="406" w:y="10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Meetings: 4</w:t>
      </w:r>
    </w:p>
    <w:p>
      <w:pPr>
        <w:pStyle w:val="Normal"/>
        <w:framePr w:w="2324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ESG Committee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7pt;margin-top:1pt;z-index:-1677304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12.7pt;margin-top:46.5pt;z-index:-16773044;width:586.6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12.7pt;margin-top:68.55pt;z-index:-16773040;width:148.5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159.2pt;margin-top:68.55pt;z-index:-16773036;width:7.7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164.9pt;margin-top:68.55pt;z-index:-16773032;width:434.4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12.7pt;margin-top:90.6pt;z-index:-16773028;width:148.5pt;height:1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159.2pt;margin-top:90.6pt;z-index:-16773024;width:7.7pt;height:1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164.9pt;margin-top:90.6pt;z-index:-16773020;width:434.4pt;height:1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159.2pt;margin-top:90.6pt;z-index:-16773016;width:2.7pt;height:1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164.9pt;margin-top:68.55pt;z-index:-16773012;width:43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164.9pt;margin-top:90.6pt;z-index:-16773008;width:43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159.2pt;margin-top:68.55pt;z-index:-16773004;width: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159.2pt;margin-top:90.6pt;z-index:-16773000;width: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12.7pt;margin-top:90.6pt;z-index:-16772996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159.2pt;margin-top:68.55pt;z-index:-16772992;width:2.7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12.7pt;margin-top:46.5pt;z-index:-16772988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12.7pt;margin-top:68.55pt;z-index:-16772984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12.7pt;margin-top:316.8pt;z-index:-1677298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</w:p>
    <w:p>
      <w:pPr>
        <w:pStyle w:val="Normal"/>
        <w:framePr w:w="1631" w:hAnchor="page" w:vAnchor="page" w:x="274" w:y="101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40  TechnipFMC</w:t>
      </w:r>
    </w:p>
    <w:p>
      <w:pPr>
        <w:pStyle w:val="Normal"/>
        <w:framePr w:w="1787" w:hAnchor="page" w:vAnchor="page" w:x="715" w:y="95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occurred in 2001.</w:t>
      </w:r>
    </w:p>
    <w:p>
      <w:pPr>
        <w:pStyle w:val="Normal"/>
        <w:framePr w:w="13366" w:hAnchor="page" w:vAnchor="page" w:x="715" w:y="93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a separation and distribution agreement and a joint litigation defense agreement that relate to the separation of the companies’ businesses that</w:t>
      </w:r>
    </w:p>
    <w:p>
      <w:pPr>
        <w:pStyle w:val="Normal"/>
        <w:framePr w:w="13735" w:hAnchor="page" w:vAnchor="page" w:x="544" w:y="91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Ms. Øvrum is a member of the Board of Directors of FMC Corporation, our former parent company. Our Company and FMC Corporation are parties</w:t>
      </w:r>
    </w:p>
    <w:p>
      <w:pPr>
        <w:pStyle w:val="Normal"/>
        <w:framePr w:w="1365" w:hAnchor="page" w:vAnchor="page" w:x="715" w:y="87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transactions.</w:t>
      </w:r>
    </w:p>
    <w:p>
      <w:pPr>
        <w:pStyle w:val="Normal"/>
        <w:framePr w:w="13235" w:hAnchor="page" w:vAnchor="page" w:x="715" w:y="85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officers at companies that have had commercial business relationships with the Company in 2022, all of which were ordinary course commercial</w:t>
      </w:r>
    </w:p>
    <w:p>
      <w:pPr>
        <w:pStyle w:val="Normal"/>
        <w:framePr w:w="13550" w:hAnchor="page" w:vAnchor="page" w:x="544" w:y="83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considered that Mses. Farley, Øvrum and Priestly, and Messrs. O’Leary, Yearwood and Mellbye, each served as directors or executive</w:t>
      </w:r>
    </w:p>
    <w:p>
      <w:pPr>
        <w:pStyle w:val="Normal"/>
        <w:framePr w:w="5305" w:hAnchor="page" w:vAnchor="page" w:x="274" w:y="79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relationships, and arrangements are summarized below.</w:t>
      </w:r>
    </w:p>
    <w:p>
      <w:pPr>
        <w:pStyle w:val="Normal"/>
        <w:framePr w:w="13243" w:hAnchor="page" w:vAnchor="page" w:x="274" w:y="77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subsidiaries, affiliates, and executive officers with entities associated with our directors or members of their immediate family. Such transactions,</w:t>
      </w:r>
    </w:p>
    <w:p>
      <w:pPr>
        <w:pStyle w:val="Normal"/>
        <w:framePr w:w="13852" w:hAnchor="page" w:vAnchor="page" w:x="274" w:y="75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Board’s independence determinations included a review of all 2022 commercial transactions, relationships, and arrangements between us and our</w:t>
      </w:r>
    </w:p>
    <w:p>
      <w:pPr>
        <w:pStyle w:val="Normal"/>
        <w:framePr w:w="9062" w:hAnchor="page" w:vAnchor="page" w:x="274" w:y="71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service on our legacy companies differed in breadth and scope from current service on our Board.</w:t>
      </w:r>
    </w:p>
    <w:p>
      <w:pPr>
        <w:pStyle w:val="Normal"/>
        <w:framePr w:w="14072" w:hAnchor="page" w:vAnchor="page" w:x="274" w:y="69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nominees are elected at the Annual Meeting, the average tenure of our independent directors will be approximately four years as the Board believes prior</w:t>
      </w:r>
    </w:p>
    <w:p>
      <w:pPr>
        <w:pStyle w:val="Normal"/>
        <w:framePr w:w="14173" w:hAnchor="page" w:vAnchor="page" w:x="274" w:y="67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perspectives and diversity to our Board. Our Board reviews director tenure in connection with its director independence determinations. If all of our director</w:t>
      </w:r>
    </w:p>
    <w:p>
      <w:pPr>
        <w:pStyle w:val="Normal"/>
        <w:framePr w:w="14128" w:hAnchor="page" w:vAnchor="page" w:x="274" w:y="65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natural turnover will achieve the appropriate balance between long-term directors with deep institutional knowledge and new directors who bring fresh</w:t>
      </w:r>
    </w:p>
    <w:p>
      <w:pPr>
        <w:pStyle w:val="Normal"/>
        <w:framePr w:w="13913" w:hAnchor="page" w:vAnchor="page" w:x="274" w:y="63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has not adopted a policy that deems a director to be non-independent after a certain tenure on the Board as we believe our retirement policy</w:t>
      </w:r>
    </w:p>
    <w:p>
      <w:pPr>
        <w:pStyle w:val="Normal"/>
        <w:framePr w:w="6147" w:hAnchor="page" w:vAnchor="page" w:x="274" w:y="5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persons or organizations with whom the director has an affiliation.</w:t>
      </w:r>
    </w:p>
    <w:p>
      <w:pPr>
        <w:pStyle w:val="Normal"/>
        <w:framePr w:w="14037" w:hAnchor="page" w:vAnchor="page" w:x="274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a director’s relationship with the Company, the Board considers the issue not merely from the standpoint of the director, but also from the standpoint of</w:t>
      </w:r>
    </w:p>
    <w:p>
      <w:pPr>
        <w:pStyle w:val="Normal"/>
        <w:framePr w:w="14072" w:hAnchor="page" w:vAnchor="page" w:x="274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Board makes a subjective determination of independence by evaluating all relevant facts and circumstances. In particular, when assessing the materiality</w:t>
      </w:r>
    </w:p>
    <w:p>
      <w:pPr>
        <w:pStyle w:val="Normal"/>
        <w:framePr w:w="13912" w:hAnchor="page" w:vAnchor="page" w:x="274" w:y="53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standards specify certain relationships that are prohibited in order for a director to be deemed independent. In addition to these objective standards, our</w:t>
      </w:r>
    </w:p>
    <w:p>
      <w:pPr>
        <w:pStyle w:val="Normal"/>
        <w:framePr w:w="14085" w:hAnchor="page" w:vAnchor="page" w:x="274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determination as to the independence of each director, as defined under the standards adopted by the NYSE and regulations adopted by the SEC. These</w:t>
      </w:r>
    </w:p>
    <w:p>
      <w:pPr>
        <w:pStyle w:val="Normal"/>
        <w:framePr w:w="13764" w:hAnchor="page" w:vAnchor="page" w:x="274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ESG Committee conducts an annual review of the independence of Board members and reports its findings to the full Board, which then makes a</w:t>
      </w:r>
    </w:p>
    <w:p>
      <w:pPr>
        <w:pStyle w:val="Normal"/>
        <w:framePr w:w="4433" w:hAnchor="page" w:vAnchor="page" w:x="274" w:y="469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Annual Review of Independence</w:t>
      </w:r>
    </w:p>
    <w:p>
      <w:pPr>
        <w:pStyle w:val="Normal"/>
        <w:framePr w:w="4873" w:hAnchor="page" w:vAnchor="page" w:x="274" w:y="4045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Director Independence</w:t>
      </w:r>
    </w:p>
    <w:p>
      <w:pPr>
        <w:pStyle w:val="Normal"/>
        <w:framePr w:w="6114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attended all but one Board and ESG Committee meeting in 2022.</w:t>
      </w:r>
    </w:p>
    <w:p>
      <w:pPr>
        <w:pStyle w:val="Normal"/>
        <w:framePr w:w="13787" w:hAnchor="page" w:vAnchor="page" w:x="27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*All of our 2023 director nominees attended all Board and committee meetings in 2022 except for Mr. Gwin, who joined the Board in 2023. Mr. Mellbye</w:t>
      </w:r>
    </w:p>
    <w:p>
      <w:pPr>
        <w:pStyle w:val="Normal"/>
        <w:framePr w:w="6728" w:hAnchor="page" w:vAnchor="page" w:x="274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Board met in person or by telephone conference four times in 2022.</w:t>
      </w:r>
    </w:p>
    <w:p>
      <w:pPr>
        <w:pStyle w:val="Normal"/>
        <w:framePr w:w="6700" w:hAnchor="page" w:vAnchor="page" w:x="274" w:y="673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Board Meetings and Attendance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7pt;margin-top:1pt;z-index:-16772976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12.7pt;margin-top:524.45pt;z-index:-1677297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20.1pt;margin-top:75.25pt;z-index:-16772968;width:568.95pt;height:9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</w:p>
    <w:p>
      <w:pPr>
        <w:pStyle w:val="Normal"/>
        <w:framePr w:w="1631" w:hAnchor="page" w:vAnchor="page" w:x="274" w:y="67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41  TechnipFMC</w:t>
      </w:r>
    </w:p>
    <w:p>
      <w:pPr>
        <w:pStyle w:val="Normal"/>
        <w:framePr w:w="11380" w:hAnchor="page" w:vAnchor="page" w:x="274" w:y="61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certain items unrelated to the Board’s duties, such as spam, junk mail, solicitations, employment inquires, and similar items.</w:t>
      </w:r>
    </w:p>
    <w:p>
      <w:pPr>
        <w:pStyle w:val="Normal"/>
        <w:framePr w:w="14128" w:hAnchor="page" w:vAnchor="page" w:x="274" w:y="59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address. All communications will be received, processed, and then directed to the appropriate member(s) of our Board, other than, at the Board’s request,</w:t>
      </w:r>
    </w:p>
    <w:p>
      <w:pPr>
        <w:pStyle w:val="Normal"/>
        <w:framePr w:w="13502" w:hAnchor="page" w:vAnchor="page" w:x="274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Newcastle upon Tyne, NE6 3PL, United Kingdom. Please visit our website at </w:t>
      </w:r>
      <w:r>
        <w:rPr>
          <w:rFonts w:ascii="NMMUPN+Arial-BoldItalicMT" w:hAnsi="NMMUPN+Arial-BoldItalicMT" w:fareast="NMMUPN+Arial-BoldItalicMT" w:cs="NMMUPN+Arial-BoldItalicMT"/>
          <w:color w:val="481f6e"/>
          <w:w w:val="100"/>
          <w:sz w:val="17"/>
          <w:szCs w:val="17"/>
        </w:rPr>
        <w:t>www.technipfmc.com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for any changes to our principal headquarters</w:t>
      </w:r>
    </w:p>
    <w:p>
      <w:pPr>
        <w:pStyle w:val="Normal"/>
        <w:framePr w:w="13638" w:hAnchor="page" w:vAnchor="page" w:x="274" w:y="55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directors as a group, by sending such written communication to c/o Lead Independent Director, TechnipFMC plc, Hadrian House, Wincomblee Road,</w:t>
      </w:r>
    </w:p>
    <w:p>
      <w:pPr>
        <w:pStyle w:val="Normal"/>
        <w:framePr w:w="13866" w:hAnchor="page" w:vAnchor="page" w:x="274" w:y="53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communications with any member of the Board, including our Lead Independent Director, the Chair of any of our committees, or with our non-executive</w:t>
      </w:r>
    </w:p>
    <w:p>
      <w:pPr>
        <w:pStyle w:val="Normal"/>
        <w:framePr w:w="13867" w:hAnchor="page" w:vAnchor="page" w:x="274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provide our shareholders and other interested parties with a direct and open line of communication to our Board, a process has been established for</w:t>
      </w:r>
    </w:p>
    <w:p>
      <w:pPr>
        <w:pStyle w:val="Normal"/>
        <w:framePr w:w="6478" w:hAnchor="page" w:vAnchor="page" w:x="274" w:y="4671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Communications with Directors</w:t>
      </w:r>
    </w:p>
    <w:p>
      <w:pPr>
        <w:pStyle w:val="Normal"/>
        <w:framePr w:w="7046" w:hAnchor="page" w:vAnchor="page" w:x="274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serving as a member of our Board or Compensation and Talent Committee.</w:t>
      </w:r>
    </w:p>
    <w:p>
      <w:pPr>
        <w:pStyle w:val="Normal"/>
        <w:framePr w:w="13559" w:hAnchor="page" w:vAnchor="page" w:x="274" w:y="40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directors or the compensation committee (or board committee performing equivalent functions) of any other entity that has had any executive officer</w:t>
      </w:r>
    </w:p>
    <w:p>
      <w:pPr>
        <w:pStyle w:val="Normal"/>
        <w:framePr w:w="14116" w:hAnchor="page" w:vAnchor="page" w:x="274" w:y="38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relationships with us or any of our subsidiaries requiring disclosure under SEC regulations. None of our executive officers has ever served on the board of</w:t>
      </w:r>
    </w:p>
    <w:p>
      <w:pPr>
        <w:pStyle w:val="Normal"/>
        <w:framePr w:w="13306" w:hAnchor="page" w:vAnchor="page" w:x="274" w:y="36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O’Leary, and John Yearwood. None of these persons has ever been an officer or employee of the Company or any of our subsidiaries or had any</w:t>
      </w:r>
    </w:p>
    <w:p>
      <w:pPr>
        <w:pStyle w:val="Normal"/>
        <w:framePr w:w="13821" w:hAnchor="page" w:vAnchor="page" w:x="274" w:y="34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From January 1, 2022 through December 31, 2022, the members of the Compensation and Talent Committee of the Board were Claire S. Farley, John</w:t>
      </w:r>
    </w:p>
    <w:p>
      <w:pPr>
        <w:pStyle w:val="Normal"/>
        <w:framePr w:w="5140" w:hAnchor="page" w:vAnchor="page" w:x="274" w:y="3020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and Insider Participation</w:t>
      </w:r>
    </w:p>
    <w:p>
      <w:pPr>
        <w:pStyle w:val="Normal"/>
        <w:framePr w:w="7623" w:hAnchor="page" w:vAnchor="page" w:x="274" w:y="2565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 xml:space="preserve">Compensation Committee Interlocks </w:t>
      </w:r>
    </w:p>
    <w:p>
      <w:pPr>
        <w:pStyle w:val="Normal"/>
        <w:framePr w:w="13787" w:hAnchor="page" w:vAnchor="page" w:x="274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satisfy the enhanced independence criteria required for such members under regulations adopted by the SEC and NYSE listing standards.</w:t>
      </w:r>
    </w:p>
    <w:p>
      <w:pPr>
        <w:pStyle w:val="Normal"/>
        <w:framePr w:w="13931" w:hAnchor="page" w:vAnchor="page" w:x="274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directors. In addition, the Board has affirmatively determined that all of the members of the Audit Committee and Compensation and Talent</w:t>
      </w:r>
    </w:p>
    <w:p>
      <w:pPr>
        <w:pStyle w:val="Normal"/>
        <w:framePr w:w="13570" w:hAnchor="page" w:vAnchor="page" w:x="274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“independent” as defined under the NYSE listing standards. As such, following our Annual Meeting, eight of our nine directors will be non-executive,</w:t>
      </w:r>
    </w:p>
    <w:p>
      <w:pPr>
        <w:pStyle w:val="Normal"/>
        <w:framePr w:w="13566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Based on the report and recommendation of the ESG Committee, the Board has affirmatively determined that each of our non-executive directors is</w:t>
      </w:r>
    </w:p>
    <w:p>
      <w:pPr>
        <w:pStyle w:val="Normal"/>
        <w:framePr w:w="10520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nature of the transactions, the dollar amounts involved, and the respective director’s role, if any, in the transaction.</w:t>
      </w:r>
    </w:p>
    <w:p>
      <w:pPr>
        <w:pStyle w:val="Normal"/>
        <w:framePr w:w="14160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determining that none of the relationships noted above affected the independence of any of the interested directors, the ESG Committee considered the</w:t>
      </w:r>
    </w:p>
    <w:p>
      <w:pPr>
        <w:pStyle w:val="Normal"/>
        <w:framePr w:w="3997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Independence Determination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7pt;margin-top:1pt;z-index:-167729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12.7pt;margin-top:351.6pt;z-index:-1677296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</w:p>
    <w:p>
      <w:pPr>
        <w:pStyle w:val="Normal"/>
        <w:framePr w:w="1631" w:hAnchor="page" w:vAnchor="page" w:x="274" w:y="99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42  TechnipFMC</w:t>
      </w:r>
    </w:p>
    <w:p>
      <w:pPr>
        <w:pStyle w:val="Normal"/>
        <w:framePr w:w="9574" w:hAnchor="page" w:vAnchor="page" w:x="1326" w:y="91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non-executive director is subject to a share ownership requirement of 5x the annual cash retainer.</w:t>
      </w:r>
    </w:p>
    <w:p>
      <w:pPr>
        <w:pStyle w:val="Normal"/>
        <w:framePr w:w="11805" w:hAnchor="page" w:vAnchor="page" w:x="1326" w:y="84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Directors’ Remuneration Policy provides for an annual cap on total remuneration (i.e., cash and equity awards) of $500,000.</w:t>
      </w:r>
    </w:p>
    <w:p>
      <w:pPr>
        <w:pStyle w:val="Normal"/>
        <w:framePr w:w="10197" w:hAnchor="page" w:vAnchor="page" w:x="1326" w:y="79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practices, given the global nature of the Company, our NYSE listing, and our U.K. incorporation.</w:t>
      </w:r>
    </w:p>
    <w:p>
      <w:pPr>
        <w:pStyle w:val="Normal"/>
        <w:framePr w:w="12511" w:hAnchor="page" w:vAnchor="page" w:x="1326" w:y="77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Directors’ Remuneration Policy reflects sector and geographic (U.S. and European) peer groups as well as both U.S. and European</w:t>
      </w:r>
    </w:p>
    <w:p>
      <w:pPr>
        <w:pStyle w:val="Normal"/>
        <w:framePr w:w="1707" w:hAnchor="page" w:vAnchor="page" w:x="1326" w:y="73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our full Board.</w:t>
      </w:r>
    </w:p>
    <w:p>
      <w:pPr>
        <w:pStyle w:val="Normal"/>
        <w:framePr w:w="12625" w:hAnchor="page" w:vAnchor="page" w:x="1326" w:y="71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changes to our director compensation program recommended by our Compensation and Talent Committee must be ratified by a vote</w:t>
      </w:r>
    </w:p>
    <w:p>
      <w:pPr>
        <w:pStyle w:val="Normal"/>
        <w:framePr w:w="2231" w:hAnchor="page" w:vAnchor="page" w:x="1326" w:y="66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directors.</w:t>
      </w:r>
    </w:p>
    <w:p>
      <w:pPr>
        <w:pStyle w:val="Normal"/>
        <w:framePr w:w="12579" w:hAnchor="page" w:vAnchor="page" w:x="1326" w:y="64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changes to our director compensation program are reviewed and approved by our Compensation and Talent Committee, comprising</w:t>
      </w:r>
    </w:p>
    <w:p>
      <w:pPr>
        <w:pStyle w:val="Normal"/>
        <w:framePr w:w="10962" w:hAnchor="page" w:vAnchor="page" w:x="1326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TechnipFMC uses an independent consulting firm to recommend changes in compensation for non-executive directors.</w:t>
      </w:r>
    </w:p>
    <w:p>
      <w:pPr>
        <w:pStyle w:val="Normal"/>
        <w:framePr w:w="5326" w:hAnchor="page" w:vAnchor="page" w:x="373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Key Non-executive Director Compensation Practices</w:t>
      </w:r>
    </w:p>
    <w:p>
      <w:pPr>
        <w:pStyle w:val="Normal"/>
        <w:framePr w:w="7240" w:hAnchor="page" w:vAnchor="page" w:x="274" w:y="48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directors’ compensation is linked to the long-term success of the Company.</w:t>
      </w:r>
    </w:p>
    <w:p>
      <w:pPr>
        <w:pStyle w:val="Normal"/>
        <w:framePr w:w="14080" w:hAnchor="page" w:vAnchor="page" w:x="274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needs of individuals who are located in different countries and the travel that is often required to attend meetings, while ensuring that a substantial portion</w:t>
      </w:r>
    </w:p>
    <w:p>
      <w:pPr>
        <w:pStyle w:val="Normal"/>
        <w:framePr w:w="14216" w:hAnchor="page" w:vAnchor="page" w:x="274" w:y="44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global talent pool that our directors represent, the program is also designed to provide sufficient flexibility in the form of compensation delivered to meet the</w:t>
      </w:r>
    </w:p>
    <w:p>
      <w:pPr>
        <w:pStyle w:val="Normal"/>
        <w:framePr w:w="14059" w:hAnchor="page" w:vAnchor="page" w:x="274" w:y="42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program balances the practices within our market norms in our core geographies, and the varied expectations of our diverse shareholder base. Given the</w:t>
      </w:r>
    </w:p>
    <w:p>
      <w:pPr>
        <w:pStyle w:val="Normal"/>
        <w:framePr w:w="13832" w:hAnchor="page" w:vAnchor="page" w:x="274" w:y="40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relevant experience and the necessary time and ability to serve on the board of a company of our size, complexity, and geographical breadth. The</w:t>
      </w:r>
    </w:p>
    <w:p>
      <w:pPr>
        <w:pStyle w:val="Normal"/>
        <w:framePr w:w="14197" w:hAnchor="page" w:vAnchor="page" w:x="274" w:y="38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directors’ compensation program is intended to provide a competitive package that enables the Company to attract and retain highly skilled individuals</w:t>
      </w:r>
    </w:p>
    <w:p>
      <w:pPr>
        <w:pStyle w:val="Normal"/>
        <w:framePr w:w="3915" w:hAnchor="page" w:vAnchor="page" w:x="274" w:y="34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Compensation Discussion and Analysis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.”</w:t>
      </w:r>
    </w:p>
    <w:p>
      <w:pPr>
        <w:pStyle w:val="Normal"/>
        <w:framePr w:w="14139" w:hAnchor="page" w:vAnchor="page" w:x="274" w:y="32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Stock Units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RSU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awards, is designed to reflect the practices of peer companies as determined by reference to the peer groups discussed in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Executive</w:t>
      </w:r>
    </w:p>
    <w:p>
      <w:pPr>
        <w:pStyle w:val="Normal"/>
        <w:framePr w:w="13763" w:hAnchor="page" w:vAnchor="page" w:x="274" w:y="30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consultant, Fredrick W. Cook &amp; Co., Inc.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FW Cook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”), and approved by the Board. The program, which comprises cash compensation and Restricted</w:t>
      </w:r>
    </w:p>
    <w:p>
      <w:pPr>
        <w:pStyle w:val="Normal"/>
        <w:framePr w:w="13422" w:hAnchor="page" w:vAnchor="page" w:x="274" w:y="28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for our non-executive directors was developed by the Compensation and Talent Committee with the assistance of its compensation</w:t>
      </w:r>
    </w:p>
    <w:p>
      <w:pPr>
        <w:pStyle w:val="Normal"/>
        <w:framePr w:w="7843" w:hAnchor="page" w:vAnchor="page" w:x="274" w:y="2452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Non-executive Director Compensation</w:t>
      </w:r>
    </w:p>
    <w:p>
      <w:pPr>
        <w:pStyle w:val="Normal"/>
        <w:framePr w:w="1764" w:hAnchor="page" w:vAnchor="page" w:x="274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SEC rules.</w:t>
      </w:r>
    </w:p>
    <w:p>
      <w:pPr>
        <w:pStyle w:val="Normal"/>
        <w:framePr w:w="14048" w:hAnchor="page" w:vAnchor="page" w:x="274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Douglas Pferdehirt, is included in the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Executive Compensation Discussion and Analysis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section below because he is a named executive officer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NEO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</w:t>
      </w:r>
    </w:p>
    <w:p>
      <w:pPr>
        <w:pStyle w:val="Normal"/>
        <w:framePr w:w="13486" w:hAnchor="page" w:vAnchor="page" w:x="274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This section describes the Company’s compensation programs that apply to our non-executive directors. The compensation of our Chair and CEO,</w:t>
      </w:r>
    </w:p>
    <w:p>
      <w:pPr>
        <w:pStyle w:val="Normal"/>
        <w:framePr w:w="8429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f6e"/>
          <w:w w:val="100"/>
          <w:sz w:val="68"/>
          <w:szCs w:val="68"/>
        </w:rPr>
        <w:t>Director Compensation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7pt;margin-top:1pt;z-index:-1677295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12.7pt;margin-top:262.7pt;z-index:-16772952;width:586.6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12.7pt;margin-top:283.35pt;z-index:-16772948;width:48.9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9.65pt;margin-top:283.35pt;z-index:-16772944;width:539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12.7pt;margin-top:315.35pt;z-index:-16772940;width:48.9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9.65pt;margin-top:315.35pt;z-index:-16772936;width:539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12.7pt;margin-top:347.35pt;z-index:-16772932;width:48.9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9.65pt;margin-top:347.35pt;z-index:-16772928;width:539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12.7pt;margin-top:379.35pt;z-index:-16772924;width:48.9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9.65pt;margin-top:379.35pt;z-index:-16772920;width:539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12.7pt;margin-top:411.35pt;z-index:-16772916;width:48.9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9.65pt;margin-top:411.35pt;z-index:-16772912;width:539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2.7pt;margin-top:443.4pt;z-index:-16772908;width:48.9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9.65pt;margin-top:443.4pt;z-index:-16772904;width:539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9.65pt;margin-top:443.4pt;z-index:-16772900;width:2.7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9.65pt;margin-top:443.35pt;z-index:-16772896;width:5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12.7pt;margin-top:443.35pt;z-index:-16772892;width:49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9.65pt;margin-top:411.35pt;z-index:-16772888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9.65pt;margin-top:411.35pt;z-index:-16772884;width:5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12.7pt;margin-top:411.35pt;z-index:-16772880;width:49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9.65pt;margin-top:379.35pt;z-index:-16772876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9.65pt;margin-top:379.35pt;z-index:-16772872;width:5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12.7pt;margin-top:379.35pt;z-index:-16772868;width:49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9.65pt;margin-top:347.35pt;z-index:-16772864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9.65pt;margin-top:347.35pt;z-index:-16772860;width:5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12.7pt;margin-top:347.35pt;z-index:-16772856;width:49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9.65pt;margin-top:315.35pt;z-index:-16772852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9.65pt;margin-top:283.35pt;z-index:-16772848;width:5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9.65pt;margin-top:315.35pt;z-index:-16772844;width:5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12.7pt;margin-top:315.35pt;z-index:-16772840;width:49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9.65pt;margin-top:283.35pt;z-index:-16772836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12.7pt;margin-top:262.7pt;z-index:-16772832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12.7pt;margin-top:283.35pt;z-index:-16772828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12.7pt;margin-top:515.9pt;z-index:-167728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27.9pt;margin-top:290.05pt;z-index:-16772820;width:21.35pt;height:1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27.9pt;margin-top:322.05pt;z-index:-16772816;width:21.35pt;height:1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27.9pt;margin-top:354.05pt;z-index:-16772812;width:21.35pt;height:1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27.9pt;margin-top:386.05pt;z-index:-16772808;width:21.35pt;height:1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27.9pt;margin-top:418.05pt;z-index:-16772804;width:21.35pt;height:1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27.9pt;margin-top:450.05pt;z-index:-16772800;width:21.35pt;height:1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</w:p>
    <w:p>
      <w:pPr>
        <w:pStyle w:val="Normal"/>
        <w:framePr w:w="1631" w:hAnchor="page" w:vAnchor="page" w:x="274" w:y="67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43  TechnipFMC</w:t>
      </w:r>
    </w:p>
    <w:p>
      <w:pPr>
        <w:pStyle w:val="Normal"/>
        <w:framePr w:w="4918" w:hAnchor="page" w:vAnchor="page" w:x="4484" w:y="59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Assistance with the annual individual U.K. tax return</w:t>
      </w:r>
    </w:p>
    <w:p>
      <w:pPr>
        <w:pStyle w:val="Normal"/>
        <w:framePr w:w="2435" w:hAnchor="page" w:vAnchor="page" w:x="4484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committee meetings</w:t>
      </w:r>
    </w:p>
    <w:p>
      <w:pPr>
        <w:pStyle w:val="Normal"/>
        <w:framePr w:w="1615" w:hAnchor="page" w:vAnchor="page" w:x="373" w:y="53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Other Benefits</w:t>
      </w:r>
    </w:p>
    <w:p>
      <w:pPr>
        <w:pStyle w:val="Normal"/>
        <w:framePr w:w="8960" w:hAnchor="page" w:vAnchor="page" w:x="4484" w:y="53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Reimbursement of travel and other related expenses incurred in connection with attending Board</w:t>
      </w:r>
    </w:p>
    <w:p>
      <w:pPr>
        <w:pStyle w:val="Normal"/>
        <w:framePr w:w="2503" w:hAnchor="page" w:vAnchor="page" w:x="373" w:y="49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Committee Meeting Fee</w:t>
      </w:r>
    </w:p>
    <w:p>
      <w:pPr>
        <w:pStyle w:val="Normal"/>
        <w:framePr w:w="2971" w:hAnchor="page" w:vAnchor="page" w:x="4484" w:y="49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$2,500 per committee meeting</w:t>
      </w:r>
    </w:p>
    <w:p>
      <w:pPr>
        <w:pStyle w:val="Normal"/>
        <w:framePr w:w="3960" w:hAnchor="page" w:vAnchor="page" w:x="373" w:y="45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Lead Independent Director Fee</w:t>
      </w:r>
    </w:p>
    <w:p>
      <w:pPr>
        <w:pStyle w:val="Normal"/>
        <w:framePr w:w="944" w:hAnchor="page" w:vAnchor="page" w:x="4484" w:y="45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$50,000</w:t>
      </w:r>
    </w:p>
    <w:p>
      <w:pPr>
        <w:pStyle w:val="Normal"/>
        <w:framePr w:w="2777" w:hAnchor="page" w:vAnchor="page" w:x="4484" w:y="41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$10,000 for ESG Committee</w:t>
      </w:r>
    </w:p>
    <w:p>
      <w:pPr>
        <w:pStyle w:val="Normal"/>
        <w:framePr w:w="4690" w:hAnchor="page" w:vAnchor="page" w:x="4484" w:y="38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$15,000 for Compensation and Talent Committee</w:t>
      </w:r>
    </w:p>
    <w:p>
      <w:pPr>
        <w:pStyle w:val="Normal"/>
        <w:framePr w:w="1889" w:hAnchor="page" w:vAnchor="page" w:x="373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Chair Fee</w:t>
      </w:r>
    </w:p>
    <w:p>
      <w:pPr>
        <w:pStyle w:val="Normal"/>
        <w:framePr w:w="2811" w:hAnchor="page" w:vAnchor="page" w:x="4484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$20,000 for Audit Committee</w:t>
      </w:r>
    </w:p>
    <w:p>
      <w:pPr>
        <w:pStyle w:val="Normal"/>
        <w:framePr w:w="8504" w:hAnchor="page" w:vAnchor="page" w:x="4484" w:y="30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beginning of the grant year and are irrevocable after December 31 of the year prior to grant.</w:t>
      </w:r>
    </w:p>
    <w:p>
      <w:pPr>
        <w:pStyle w:val="Normal"/>
        <w:framePr w:w="8720" w:hAnchor="page" w:vAnchor="page" w:x="4484" w:y="28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grant date or (b) upon their separation from Board service. The elections are made prior to the</w:t>
      </w:r>
    </w:p>
    <w:p>
      <w:pPr>
        <w:pStyle w:val="Normal"/>
        <w:framePr w:w="8857" w:hAnchor="page" w:vAnchor="page" w:x="4484" w:y="26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elected by the non-executive director that is either (a) after a period of one to ten years from the</w:t>
      </w:r>
    </w:p>
    <w:p>
      <w:pPr>
        <w:pStyle w:val="Normal"/>
        <w:framePr w:w="2184" w:hAnchor="page" w:vAnchor="page" w:x="373" w:y="25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Equity Grant</w:t>
      </w:r>
    </w:p>
    <w:p>
      <w:pPr>
        <w:pStyle w:val="Normal"/>
        <w:framePr w:w="8618" w:hAnchor="page" w:vAnchor="page" w:x="4484" w:y="25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$175,000 in RSUs, vesting after one year of service and settled in Ordinary Shares on a date</w:t>
      </w:r>
    </w:p>
    <w:p>
      <w:pPr>
        <w:pStyle w:val="Normal"/>
        <w:framePr w:w="2333" w:hAnchor="page" w:vAnchor="page" w:x="373" w:y="20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Cash Retainer</w:t>
      </w:r>
    </w:p>
    <w:p>
      <w:pPr>
        <w:pStyle w:val="Normal"/>
        <w:framePr w:w="1058" w:hAnchor="page" w:vAnchor="page" w:x="4484" w:y="20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$100,000</w:t>
      </w:r>
    </w:p>
    <w:p>
      <w:pPr>
        <w:pStyle w:val="Normal"/>
        <w:framePr w:w="2480" w:hAnchor="page" w:vAnchor="page" w:x="373" w:y="16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 Element</w:t>
      </w:r>
    </w:p>
    <w:p>
      <w:pPr>
        <w:pStyle w:val="Normal"/>
        <w:framePr w:w="1627" w:hAnchor="page" w:vAnchor="page" w:x="4484" w:y="16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</w:t>
      </w:r>
    </w:p>
    <w:p>
      <w:pPr>
        <w:pStyle w:val="Normal"/>
        <w:framePr w:w="6683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Remuneration Policy, which was approved at the 2021 Annual Meeting.</w:t>
      </w:r>
    </w:p>
    <w:p>
      <w:pPr>
        <w:pStyle w:val="Normal"/>
        <w:framePr w:w="13396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table describes the components of the Company’s non-executive director compensation program for 2022 pursuant to our Directors’</w:t>
      </w:r>
    </w:p>
    <w:p>
      <w:pPr>
        <w:pStyle w:val="Normal"/>
        <w:framePr w:w="7266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Components of Non-executive Director Compensation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7pt;margin-top:1pt;z-index:-1677279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2.7pt;margin-top:76.4pt;z-index:-16772792;width:206.85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217.5pt;margin-top:76.4pt;z-index:-16772788;width:381.8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12.7pt;margin-top:97pt;z-index:-16772784;width:206.85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17.5pt;margin-top:97pt;z-index:-16772780;width:381.8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12.7pt;margin-top:117.65pt;z-index:-16772776;width:206.85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17.5pt;margin-top:117.65pt;z-index:-16772772;width:381.8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12.7pt;margin-top:168.15pt;z-index:-16772768;width:206.85pt;height:5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17.5pt;margin-top:168.15pt;z-index:-16772764;width:381.8pt;height:5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12.7pt;margin-top:220.05pt;z-index:-16772760;width:206.85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217.5pt;margin-top:220.05pt;z-index:-16772756;width:381.8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12.7pt;margin-top:240.7pt;z-index:-16772752;width:206.85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17.5pt;margin-top:240.7pt;z-index:-16772748;width:381.8pt;height:2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12.7pt;margin-top:261.3pt;z-index:-16772744;width:206.85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17.5pt;margin-top:261.3pt;z-index:-16772740;width:381.8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17.5pt;margin-top:261.3pt;z-index:-16772736;width:2.7pt;height:5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217.5pt;margin-top:261.3pt;z-index:-16772732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12.7pt;margin-top:261.3pt;z-index:-16772728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217.5pt;margin-top:240.7pt;z-index:-16772724;width:2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217.5pt;margin-top:240.7pt;z-index:-16772720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12.7pt;margin-top:240.7pt;z-index:-16772716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217.5pt;margin-top:220.05pt;z-index:-16772712;width:2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17.5pt;margin-top:220.05pt;z-index:-16772708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12.7pt;margin-top:220.05pt;z-index:-16772704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17.5pt;margin-top:168.15pt;z-index:-16772700;width:2.7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17.5pt;margin-top:168.15pt;z-index:-16772696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12.7pt;margin-top:168.15pt;z-index:-16772692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17.5pt;margin-top:117.65pt;z-index:-16772688;width:2.7pt;height:5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217.5pt;margin-top:117.65pt;z-index:-16772684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12.7pt;margin-top:117.65pt;z-index:-16772680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217.5pt;margin-top:97pt;z-index:-16772676;width:2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217.5pt;margin-top:76.4pt;z-index:-16772672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217.5pt;margin-top:97pt;z-index:-16772668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12.7pt;margin-top:76.4pt;z-index:-16772664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12.7pt;margin-top:97pt;z-index:-16772660;width:20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217.5pt;margin-top:76.4pt;z-index:-16772656;width:2.7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12.7pt;margin-top:352.35pt;z-index:-167726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</w:p>
    <w:p>
      <w:pPr>
        <w:pStyle w:val="Normal"/>
        <w:framePr w:w="1631" w:hAnchor="page" w:vAnchor="page" w:x="274" w:y="83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44  TechnipFMC</w:t>
      </w:r>
    </w:p>
    <w:p>
      <w:pPr>
        <w:pStyle w:val="Normal"/>
        <w:framePr w:w="1092" w:hAnchor="page" w:vAnchor="page" w:x="274" w:y="77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meetings.</w:t>
      </w:r>
    </w:p>
    <w:p>
      <w:pPr>
        <w:pStyle w:val="Normal"/>
        <w:framePr w:w="13764" w:hAnchor="page" w:vAnchor="page" w:x="274" w:y="75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non-executive director receives reimbursement for travel and other related expenses incurred in connection with attending Board and committee</w:t>
      </w:r>
    </w:p>
    <w:p>
      <w:pPr>
        <w:pStyle w:val="Normal"/>
        <w:framePr w:w="2143" w:hAnchor="page" w:vAnchor="page" w:x="274" w:y="72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Other Benefits</w:t>
      </w:r>
    </w:p>
    <w:p>
      <w:pPr>
        <w:pStyle w:val="Normal"/>
        <w:framePr w:w="13696" w:hAnchor="page" w:vAnchor="page" w:x="274" w:y="68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(3) Includes assistance for annual individual U.K. tax preparation provided by Deloitte. Total amount is based on utilization by the respective director in a given tax year.</w:t>
      </w:r>
    </w:p>
    <w:p>
      <w:pPr>
        <w:pStyle w:val="Normal"/>
        <w:framePr w:w="4428" w:hAnchor="page" w:vAnchor="page" w:x="558" w:y="67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the Company pays dividends on its Ordinary Shares.</w:t>
      </w:r>
    </w:p>
    <w:p>
      <w:pPr>
        <w:pStyle w:val="Normal"/>
        <w:framePr w:w="13760" w:hAnchor="page" w:vAnchor="page" w:x="558" w:y="65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580,564 (402,900 of which were vested but not yet settled in Ordinary Shares as of December 31, 2022). Dividend equivalents will accumulate on the RSUs to the extent</w:t>
      </w:r>
    </w:p>
    <w:p>
      <w:pPr>
        <w:pStyle w:val="Normal"/>
        <w:framePr w:w="13293" w:hAnchor="page" w:vAnchor="page" w:x="558" w:y="63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event of a change in control of the Company. The aggregate outstanding RSUs held by each of the Company’s non-executive directors on December 31, 2022 was</w:t>
      </w:r>
    </w:p>
    <w:p>
      <w:pPr>
        <w:pStyle w:val="Normal"/>
        <w:framePr w:w="13645" w:hAnchor="page" w:vAnchor="page" w:x="558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the RSUs, except in the event of death or disability. Unvested RSUs will be settled and are payable in Ordinary Shares upon the death or disability of a director or in the</w:t>
      </w:r>
    </w:p>
    <w:p>
      <w:pPr>
        <w:pStyle w:val="Normal"/>
        <w:framePr w:w="13749" w:hAnchor="page" w:vAnchor="page" w:x="558" w:y="60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ten years from the grant date or (b) upon their separation from Board service. The RSUs are forfeited if a director ceases service on the Board prior to the vesting date of</w:t>
      </w:r>
    </w:p>
    <w:p>
      <w:pPr>
        <w:pStyle w:val="Normal"/>
        <w:framePr w:w="13759" w:hAnchor="page" w:vAnchor="page" w:x="558" w:y="587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service but is settled in Ordinary Shares. Subject to Company blackout rules, the non-executive director selects a settlement date that is either (a) after a period of one to</w:t>
      </w:r>
    </w:p>
    <w:p>
      <w:pPr>
        <w:pStyle w:val="Normal"/>
        <w:framePr w:w="13854" w:hAnchor="page" w:vAnchor="page" w:x="558" w:y="570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disclosure rules and Financial Accounting Standards Board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  <w:t>FASB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”) Accounting Standards Codification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  <w:t>ASC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”) Topic 718. The annual RSU grant vests after one year of</w:t>
      </w:r>
    </w:p>
    <w:p>
      <w:pPr>
        <w:pStyle w:val="Normal"/>
        <w:framePr w:w="14107" w:hAnchor="page" w:vAnchor="page" w:x="274" w:y="553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 RSU grants were valued using the closing price on the NYSE of the Company’s Ordinary Shares on March 8, 2022 of $7.88 per share, in accordance with the SEC proxy</w:t>
      </w:r>
    </w:p>
    <w:p>
      <w:pPr>
        <w:pStyle w:val="Normal"/>
        <w:framePr w:w="867" w:hAnchor="page" w:vAnchor="page" w:x="558" w:y="536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Director.</w:t>
      </w:r>
    </w:p>
    <w:p>
      <w:pPr>
        <w:pStyle w:val="Normal"/>
        <w:framePr w:w="13657" w:hAnchor="page" w:vAnchor="page" w:x="274" w:y="51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Includes the amount of fees paid for attendance at committee meetings and additional fees paid to the Chair of each Board committee and to the Lead Independent</w:t>
      </w:r>
    </w:p>
    <w:p>
      <w:pPr>
        <w:pStyle w:val="Normal"/>
        <w:framePr w:w="1810" w:hAnchor="page" w:vAnchor="page" w:x="316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Sophie Zurquiyah</w:t>
      </w:r>
    </w:p>
    <w:p>
      <w:pPr>
        <w:pStyle w:val="Normal"/>
        <w:framePr w:w="944" w:hAnchor="page" w:vAnchor="page" w:x="5233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10,000</w:t>
      </w:r>
    </w:p>
    <w:p>
      <w:pPr>
        <w:pStyle w:val="Normal"/>
        <w:framePr w:w="944" w:hAnchor="page" w:vAnchor="page" w:x="8277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175,000</w:t>
      </w:r>
    </w:p>
    <w:p>
      <w:pPr>
        <w:pStyle w:val="Normal"/>
        <w:framePr w:w="546" w:hAnchor="page" w:vAnchor="page" w:x="10131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493</w:t>
      </w:r>
    </w:p>
    <w:p>
      <w:pPr>
        <w:pStyle w:val="Normal"/>
        <w:framePr w:w="944" w:hAnchor="page" w:vAnchor="page" w:x="11307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285,493</w:t>
      </w:r>
    </w:p>
    <w:p>
      <w:pPr>
        <w:pStyle w:val="Normal"/>
        <w:framePr w:w="1627" w:hAnchor="page" w:vAnchor="page" w:x="316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Yearwood</w:t>
      </w:r>
    </w:p>
    <w:p>
      <w:pPr>
        <w:pStyle w:val="Normal"/>
        <w:framePr w:w="944" w:hAnchor="page" w:vAnchor="page" w:x="5233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20,000</w:t>
      </w:r>
    </w:p>
    <w:p>
      <w:pPr>
        <w:pStyle w:val="Normal"/>
        <w:framePr w:w="1104" w:hAnchor="page" w:vAnchor="page" w:x="8277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175,000  </w:t>
      </w:r>
    </w:p>
    <w:p>
      <w:pPr>
        <w:pStyle w:val="Normal"/>
        <w:framePr w:w="944" w:hAnchor="page" w:vAnchor="page" w:x="11307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295,000</w:t>
      </w:r>
    </w:p>
    <w:p>
      <w:pPr>
        <w:pStyle w:val="Normal"/>
        <w:framePr w:w="1559" w:hAnchor="page" w:vAnchor="page" w:x="316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Kay G. Priestly</w:t>
      </w:r>
    </w:p>
    <w:p>
      <w:pPr>
        <w:pStyle w:val="Normal"/>
        <w:framePr w:w="944" w:hAnchor="page" w:vAnchor="page" w:x="5233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30,000</w:t>
      </w:r>
    </w:p>
    <w:p>
      <w:pPr>
        <w:pStyle w:val="Normal"/>
        <w:framePr w:w="944" w:hAnchor="page" w:vAnchor="page" w:x="8277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175,000</w:t>
      </w:r>
    </w:p>
    <w:p>
      <w:pPr>
        <w:pStyle w:val="Normal"/>
        <w:framePr w:w="546" w:hAnchor="page" w:vAnchor="page" w:x="10131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433</w:t>
      </w:r>
    </w:p>
    <w:p>
      <w:pPr>
        <w:pStyle w:val="Normal"/>
        <w:framePr w:w="944" w:hAnchor="page" w:vAnchor="page" w:x="11307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305,433</w:t>
      </w:r>
    </w:p>
    <w:p>
      <w:pPr>
        <w:pStyle w:val="Normal"/>
        <w:framePr w:w="1809" w:hAnchor="page" w:vAnchor="page" w:x="316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Margareth Øvrum</w:t>
      </w:r>
    </w:p>
    <w:p>
      <w:pPr>
        <w:pStyle w:val="Normal"/>
        <w:framePr w:w="944" w:hAnchor="page" w:vAnchor="page" w:x="5233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10,000</w:t>
      </w:r>
    </w:p>
    <w:p>
      <w:pPr>
        <w:pStyle w:val="Normal"/>
        <w:framePr w:w="944" w:hAnchor="page" w:vAnchor="page" w:x="8277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175,000</w:t>
      </w:r>
    </w:p>
    <w:p>
      <w:pPr>
        <w:pStyle w:val="Normal"/>
        <w:framePr w:w="717" w:hAnchor="page" w:vAnchor="page" w:x="9989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6,034</w:t>
      </w:r>
    </w:p>
    <w:p>
      <w:pPr>
        <w:pStyle w:val="Normal"/>
        <w:framePr w:w="944" w:hAnchor="page" w:vAnchor="page" w:x="11307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291,035</w:t>
      </w:r>
    </w:p>
    <w:p>
      <w:pPr>
        <w:pStyle w:val="Normal"/>
        <w:framePr w:w="1422" w:hAnchor="page" w:vAnchor="page" w:x="316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O’Leary</w:t>
      </w:r>
    </w:p>
    <w:p>
      <w:pPr>
        <w:pStyle w:val="Normal"/>
        <w:framePr w:w="944" w:hAnchor="page" w:vAnchor="page" w:x="5233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25,000</w:t>
      </w:r>
    </w:p>
    <w:p>
      <w:pPr>
        <w:pStyle w:val="Normal"/>
        <w:framePr w:w="1104" w:hAnchor="page" w:vAnchor="page" w:x="8277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175,000  </w:t>
      </w:r>
    </w:p>
    <w:p>
      <w:pPr>
        <w:pStyle w:val="Normal"/>
        <w:framePr w:w="944" w:hAnchor="page" w:vAnchor="page" w:x="11307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300,000</w:t>
      </w:r>
    </w:p>
    <w:p>
      <w:pPr>
        <w:pStyle w:val="Normal"/>
        <w:framePr w:w="1456" w:hAnchor="page" w:vAnchor="page" w:x="316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Peter Mellbye</w:t>
      </w:r>
    </w:p>
    <w:p>
      <w:pPr>
        <w:pStyle w:val="Normal"/>
        <w:framePr w:w="944" w:hAnchor="page" w:vAnchor="page" w:x="5233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17,500</w:t>
      </w:r>
    </w:p>
    <w:p>
      <w:pPr>
        <w:pStyle w:val="Normal"/>
        <w:framePr w:w="944" w:hAnchor="page" w:vAnchor="page" w:x="8277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175,000</w:t>
      </w:r>
    </w:p>
    <w:p>
      <w:pPr>
        <w:pStyle w:val="Normal"/>
        <w:framePr w:w="546" w:hAnchor="page" w:vAnchor="page" w:x="10131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493</w:t>
      </w:r>
    </w:p>
    <w:p>
      <w:pPr>
        <w:pStyle w:val="Normal"/>
        <w:framePr w:w="944" w:hAnchor="page" w:vAnchor="page" w:x="11307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292,993</w:t>
      </w:r>
    </w:p>
    <w:p>
      <w:pPr>
        <w:pStyle w:val="Normal"/>
        <w:framePr w:w="1615" w:hAnchor="page" w:vAnchor="page" w:x="316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Claire S. Farley</w:t>
      </w:r>
    </w:p>
    <w:p>
      <w:pPr>
        <w:pStyle w:val="Normal"/>
        <w:framePr w:w="944" w:hAnchor="page" w:vAnchor="page" w:x="5233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60,000</w:t>
      </w:r>
    </w:p>
    <w:p>
      <w:pPr>
        <w:pStyle w:val="Normal"/>
        <w:framePr w:w="1104" w:hAnchor="page" w:vAnchor="page" w:x="8277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175,000  </w:t>
      </w:r>
    </w:p>
    <w:p>
      <w:pPr>
        <w:pStyle w:val="Normal"/>
        <w:framePr w:w="944" w:hAnchor="page" w:vAnchor="page" w:x="11307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335,000</w:t>
      </w:r>
    </w:p>
    <w:p>
      <w:pPr>
        <w:pStyle w:val="Normal"/>
        <w:framePr w:w="2561" w:hAnchor="page" w:vAnchor="page" w:x="316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Eleazar de Carvalho Filho</w:t>
      </w:r>
    </w:p>
    <w:p>
      <w:pPr>
        <w:pStyle w:val="Normal"/>
        <w:framePr w:w="944" w:hAnchor="page" w:vAnchor="page" w:x="5233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100,000</w:t>
      </w:r>
    </w:p>
    <w:p>
      <w:pPr>
        <w:pStyle w:val="Normal"/>
        <w:framePr w:w="830" w:hAnchor="page" w:vAnchor="page" w:x="6850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10,000</w:t>
      </w:r>
    </w:p>
    <w:p>
      <w:pPr>
        <w:pStyle w:val="Normal"/>
        <w:framePr w:w="1104" w:hAnchor="page" w:vAnchor="page" w:x="8277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175,000  </w:t>
      </w:r>
    </w:p>
    <w:p>
      <w:pPr>
        <w:pStyle w:val="Normal"/>
        <w:framePr w:w="944" w:hAnchor="page" w:vAnchor="page" w:x="11307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285,000</w:t>
      </w:r>
    </w:p>
    <w:p>
      <w:pPr>
        <w:pStyle w:val="Normal"/>
        <w:framePr w:w="762" w:hAnchor="page" w:vAnchor="page" w:x="316" w:y="23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</w:t>
      </w:r>
    </w:p>
    <w:p>
      <w:pPr>
        <w:pStyle w:val="Normal"/>
        <w:framePr w:w="1331" w:hAnchor="page" w:vAnchor="page" w:x="4911" w:y="23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Retainer ($)</w:t>
      </w:r>
    </w:p>
    <w:p>
      <w:pPr>
        <w:pStyle w:val="Normal"/>
        <w:framePr w:w="531" w:hAnchor="page" w:vAnchor="page" w:x="7084" w:y="22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1</w:t>
      </w:r>
    </w:p>
    <w:p>
      <w:pPr>
        <w:pStyle w:val="Normal"/>
        <w:framePr w:w="531" w:hAnchor="page" w:vAnchor="page" w:x="8606" w:y="22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2</w:t>
      </w:r>
    </w:p>
    <w:p>
      <w:pPr>
        <w:pStyle w:val="Normal"/>
        <w:framePr w:w="531" w:hAnchor="page" w:vAnchor="page" w:x="10128" w:y="22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3</w:t>
      </w:r>
    </w:p>
    <w:p>
      <w:pPr>
        <w:pStyle w:val="Normal"/>
        <w:framePr w:w="1001" w:hAnchor="page" w:vAnchor="page" w:x="11273" w:y="23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 ($)</w:t>
      </w:r>
    </w:p>
    <w:p>
      <w:pPr>
        <w:pStyle w:val="Normal"/>
        <w:framePr w:w="1456" w:hAnchor="page" w:vAnchor="page" w:x="4807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Annual Cash</w:t>
      </w:r>
    </w:p>
    <w:p>
      <w:pPr>
        <w:pStyle w:val="Normal"/>
        <w:framePr w:w="1729" w:hAnchor="page" w:vAnchor="page" w:x="6101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Additional Fees</w:t>
      </w:r>
    </w:p>
    <w:p>
      <w:pPr>
        <w:pStyle w:val="Normal"/>
        <w:framePr w:w="1559" w:hAnchor="page" w:vAnchor="page" w:x="7768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Stock Awards</w:t>
      </w:r>
    </w:p>
    <w:p>
      <w:pPr>
        <w:pStyle w:val="Normal"/>
        <w:framePr w:w="1627" w:hAnchor="page" w:vAnchor="page" w:x="9230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</w:t>
      </w:r>
    </w:p>
    <w:p>
      <w:pPr>
        <w:pStyle w:val="Normal"/>
        <w:framePr w:w="1069" w:hAnchor="page" w:vAnchor="page" w:x="9695" w:y="19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All Other</w:t>
      </w:r>
    </w:p>
    <w:p>
      <w:pPr>
        <w:pStyle w:val="Normal"/>
        <w:framePr w:w="3277" w:hAnchor="page" w:vAnchor="page" w:x="4612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Fees Earned or Paid in Cash ($)</w:t>
      </w:r>
    </w:p>
    <w:p>
      <w:pPr>
        <w:pStyle w:val="Normal"/>
        <w:framePr w:w="4085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2022 Members of the Board of Directors</w:t>
      </w:r>
    </w:p>
    <w:p>
      <w:pPr>
        <w:pStyle w:val="Normal"/>
        <w:framePr w:w="7696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Pferdehirt did not receive any additional compensation for his service as a director.</w:t>
      </w:r>
    </w:p>
    <w:p>
      <w:pPr>
        <w:pStyle w:val="Normal"/>
        <w:framePr w:w="13388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table details the total compensation for our non-executive directors for the year ended December 31, 2022. Our Chair and CEO, Mr.</w:t>
      </w:r>
    </w:p>
    <w:p>
      <w:pPr>
        <w:pStyle w:val="Normal"/>
        <w:framePr w:w="5986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Non-executive Director Compensation Table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7pt;margin-top:1pt;z-index:-1677264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12.7pt;margin-top:86.35pt;z-index:-16772644;width:206.85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17.5pt;margin-top:86.35pt;z-index:-16772640;width:154.2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369.7pt;margin-top:86.35pt;z-index:-16772636;width:78.1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45.8pt;margin-top:86.35pt;z-index:-16772632;width:78.1pt;height:4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1.9pt;margin-top:86.35pt;z-index:-16772628;width:77.4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12.7pt;margin-top:101.3pt;z-index:-16772624;width:206.8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217.5pt;margin-top:101.3pt;z-index:-16772620;width:78.1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293.6pt;margin-top:101.3pt;z-index:-16772616;width:78.1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369.7pt;margin-top:101.3pt;z-index:-16772612;width:78.1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21.9pt;margin-top:101.3pt;z-index:-16772608;width:77.4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1.9pt;margin-top:245.65pt;z-index:-16772604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45.8pt;margin-top:245.65pt;z-index:-1677260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369.7pt;margin-top:245.65pt;z-index:-1677259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293.6pt;margin-top:245.65pt;z-index:-1677259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217.5pt;margin-top:245.65pt;z-index:-1677258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12.7pt;margin-top:245.65pt;z-index:-16772584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1.9pt;margin-top:230.7pt;z-index:-16772580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45.8pt;margin-top:230.7pt;z-index:-1677257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369.7pt;margin-top:230.7pt;z-index:-1677257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293.6pt;margin-top:230.7pt;z-index:-1677256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217.5pt;margin-top:230.7pt;z-index:-1677256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12.7pt;margin-top:230.7pt;z-index:-16772560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21.9pt;margin-top:215.8pt;z-index:-16772556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45.8pt;margin-top:215.8pt;z-index:-1677255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369.7pt;margin-top:215.8pt;z-index:-1677254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293.6pt;margin-top:215.8pt;z-index:-1677254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217.5pt;margin-top:215.8pt;z-index:-1677254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12.7pt;margin-top:215.8pt;z-index:-16772536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1.9pt;margin-top:200.85pt;z-index:-16772532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445.8pt;margin-top:200.85pt;z-index:-1677252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69.7pt;margin-top:200.85pt;z-index:-1677252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293.6pt;margin-top:200.85pt;z-index:-1677252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217.5pt;margin-top:200.85pt;z-index:-1677251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12.7pt;margin-top:200.85pt;z-index:-16772512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21.9pt;margin-top:185.9pt;z-index:-16772508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45.8pt;margin-top:185.9pt;z-index:-1677250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369.7pt;margin-top:185.9pt;z-index:-1677250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93.6pt;margin-top:185.9pt;z-index:-1677249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217.5pt;margin-top:185.9pt;z-index:-1677249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12.7pt;margin-top:185.9pt;z-index:-16772488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21.9pt;margin-top:170.95pt;z-index:-16772484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445.8pt;margin-top:170.95pt;z-index:-1677248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369.7pt;margin-top:170.95pt;z-index:-1677247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293.6pt;margin-top:170.95pt;z-index:-1677247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217.5pt;margin-top:170.95pt;z-index:-1677246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12.7pt;margin-top:170.95pt;z-index:-16772464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1.9pt;margin-top:156.05pt;z-index:-16772460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45.8pt;margin-top:156.05pt;z-index:-1677245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369.7pt;margin-top:156.05pt;z-index:-1677245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293.6pt;margin-top:156.05pt;z-index:-1677244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217.5pt;margin-top:156.05pt;z-index:-1677244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12.7pt;margin-top:156.05pt;z-index:-16772440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1.9pt;margin-top:141.1pt;z-index:-16772436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45.8pt;margin-top:141.1pt;z-index:-16772432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369.7pt;margin-top:141.1pt;z-index:-1677242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293.6pt;margin-top:141.1pt;z-index:-1677242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217.5pt;margin-top:141.1pt;z-index:-1677242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12.7pt;margin-top:141.1pt;z-index:-16772416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1.9pt;margin-top:126.15pt;z-index:-16772412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369.7pt;margin-top:126.15pt;z-index:-1677240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293.6pt;margin-top:101.25pt;z-index:-1677240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293.6pt;margin-top:126.15pt;z-index:-1677240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217.5pt;margin-top:126.15pt;z-index:-1677239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12.7pt;margin-top:126.15pt;z-index:-16772392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1.9pt;margin-top:86.35pt;z-index:-16772388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45.8pt;margin-top:86.35pt;z-index:-16772384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45.8pt;margin-top:126.15pt;z-index:-16772380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369.7pt;margin-top:86.35pt;z-index:-16772376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217.5pt;margin-top:86.35pt;z-index:-16772372;width:15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217.5pt;margin-top:101.25pt;z-index:-16772368;width:15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12.7pt;margin-top:86.35pt;z-index:-16772364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12.7pt;margin-top:434.1pt;z-index:-1677236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</w:p>
    <w:p>
      <w:pPr>
        <w:pStyle w:val="Normal"/>
        <w:framePr w:w="1631" w:hAnchor="page" w:vAnchor="page" w:x="274" w:y="41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45  TechnipFMC</w:t>
      </w:r>
    </w:p>
    <w:p>
      <w:pPr>
        <w:pStyle w:val="Normal"/>
        <w:framePr w:w="8822" w:hAnchor="page" w:vAnchor="page" w:x="274" w:y="35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of our directors met their pro-rated share ownership requirements as of December 31, 2022.</w:t>
      </w:r>
    </w:p>
    <w:p>
      <w:pPr>
        <w:pStyle w:val="Normal"/>
        <w:framePr w:w="2344" w:hAnchor="page" w:vAnchor="page" w:x="388" w:y="29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Time for Achievement</w:t>
      </w:r>
    </w:p>
    <w:p>
      <w:pPr>
        <w:pStyle w:val="Normal"/>
        <w:framePr w:w="3323" w:hAnchor="page" w:vAnchor="page" w:x="3332" w:y="29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Five years from initial appointment</w:t>
      </w:r>
    </w:p>
    <w:p>
      <w:pPr>
        <w:pStyle w:val="Normal"/>
        <w:framePr w:w="1058" w:hAnchor="page" w:vAnchor="page" w:x="388" w:y="25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Interests</w:t>
      </w:r>
    </w:p>
    <w:p>
      <w:pPr>
        <w:pStyle w:val="Normal"/>
        <w:framePr w:w="1707" w:hAnchor="page" w:vAnchor="page" w:x="388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Covered Share </w:t>
      </w:r>
    </w:p>
    <w:p>
      <w:pPr>
        <w:pStyle w:val="Normal"/>
        <w:framePr w:w="7764" w:hAnchor="page" w:vAnchor="page" w:x="3332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Ordinary Shares and RSUs that the director owns and/or has a beneficial interest in</w:t>
      </w:r>
    </w:p>
    <w:p>
      <w:pPr>
        <w:pStyle w:val="Normal"/>
        <w:framePr w:w="1456" w:hAnchor="page" w:vAnchor="page" w:x="388" w:y="19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Requirement</w:t>
      </w:r>
    </w:p>
    <w:p>
      <w:pPr>
        <w:pStyle w:val="Normal"/>
        <w:framePr w:w="1319" w:hAnchor="page" w:vAnchor="page" w:x="388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Ownership </w:t>
      </w:r>
    </w:p>
    <w:p>
      <w:pPr>
        <w:pStyle w:val="Normal"/>
        <w:framePr w:w="2675" w:hAnchor="page" w:vAnchor="page" w:x="3332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5x the annual cash retainer</w:t>
      </w:r>
    </w:p>
    <w:p>
      <w:pPr>
        <w:pStyle w:val="Normal"/>
        <w:framePr w:w="2914" w:hAnchor="page" w:vAnchor="page" w:x="388" w:y="12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 ownership requirement.</w:t>
      </w:r>
    </w:p>
    <w:p>
      <w:pPr>
        <w:pStyle w:val="Normal"/>
        <w:framePr w:w="13555" w:hAnchor="page" w:vAnchor="page" w:x="388" w:y="10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further align the interests of non-executive directors with the interests of the Company’s shareholders, each non-executive director is subject to a</w:t>
      </w:r>
    </w:p>
    <w:p>
      <w:pPr>
        <w:pStyle w:val="Normal"/>
        <w:framePr w:w="5504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Director Share Ownership Requirements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7pt;margin-top:1pt;z-index:-1677235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12.7pt;margin-top:46.5pt;z-index:-16772352;width:586.6pt;height:33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2.7pt;margin-top:77.8pt;z-index:-16772348;width:148.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159.2pt;margin-top:77.8pt;z-index:-16772344;width:440.1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12.7pt;margin-top:109.8pt;z-index:-16772340;width:148.5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159.2pt;margin-top:109.8pt;z-index:-16772336;width:440.1pt;height:3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2.7pt;margin-top:141.8pt;z-index:-16772332;width:148.5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159.2pt;margin-top:141.8pt;z-index:-16772328;width:440.1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159.2pt;margin-top:141.8pt;z-index:-16772324;width:2.7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159.2pt;margin-top:141.8pt;z-index:-16772320;width:44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12.7pt;margin-top:141.8pt;z-index:-16772316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159.2pt;margin-top:109.8pt;z-index:-16772312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59.2pt;margin-top:77.8pt;z-index:-16772308;width:44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159.2pt;margin-top:109.8pt;z-index:-16772304;width:44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12.7pt;margin-top:109.8pt;z-index:-16772300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159.2pt;margin-top:77.8pt;z-index:-16772296;width:2.7pt;height:3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12.7pt;margin-top:77.8pt;z-index:-16772292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12.7pt;margin-top:221.45pt;z-index:-1677228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</w:p>
    <w:p>
      <w:pPr>
        <w:pStyle w:val="Normal"/>
        <w:framePr w:w="1631" w:hAnchor="page" w:vAnchor="page" w:x="274" w:y="107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46  TechnipFMC</w:t>
      </w:r>
    </w:p>
    <w:p>
      <w:pPr>
        <w:pStyle w:val="Normal"/>
        <w:framePr w:w="3335" w:hAnchor="page" w:vAnchor="page" w:x="2715" w:y="9785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9430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891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13662" w:hAnchor="page" w:vAnchor="page" w:x="274" w:y="81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consideration of any one year’s advisory vote on executive compensation by the time of the following year’s annual general meeting of shareholders.</w:t>
      </w:r>
    </w:p>
    <w:p>
      <w:pPr>
        <w:pStyle w:val="Normal"/>
        <w:framePr w:w="13286" w:hAnchor="page" w:vAnchor="page" w:x="274" w:y="79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manner and to complement one another, in many cases it may not be appropriate or feasible to change our executive compensation programs in</w:t>
      </w:r>
    </w:p>
    <w:p>
      <w:pPr>
        <w:pStyle w:val="Normal"/>
        <w:framePr w:w="14194" w:hAnchor="page" w:vAnchor="page" w:x="274" w:y="77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beginning of the compensation year, and because the different elements of our executive compensation programs are designed to operate in an integrated</w:t>
      </w:r>
    </w:p>
    <w:p>
      <w:pPr>
        <w:pStyle w:val="Normal"/>
        <w:framePr w:w="13798" w:hAnchor="page" w:vAnchor="page" w:x="274" w:y="75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compensation program. However, shareholders should note that because the advisory vote on executive compensation occurs well after the</w:t>
      </w:r>
    </w:p>
    <w:p>
      <w:pPr>
        <w:pStyle w:val="Normal"/>
        <w:framePr w:w="13422" w:hAnchor="page" w:vAnchor="page" w:x="274" w:y="73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feedback received directly from shareholders from our shareholder engagement program, in connection with the ongoing review of the Company’s</w:t>
      </w:r>
    </w:p>
    <w:p>
      <w:pPr>
        <w:pStyle w:val="Normal"/>
        <w:framePr w:w="13639" w:hAnchor="page" w:vAnchor="page" w:x="274" w:y="71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values shareholders’ feedback, and the Compensation and Talent Committee will review and consider the outcome of the vote, as well as</w:t>
      </w:r>
    </w:p>
    <w:p>
      <w:pPr>
        <w:pStyle w:val="Normal"/>
        <w:framePr w:w="9642" w:hAnchor="page" w:vAnchor="page" w:x="274" w:y="67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take any action (or refrain from taking any action) as a result of the outcome of the vote on this proposal.</w:t>
      </w:r>
    </w:p>
    <w:p>
      <w:pPr>
        <w:pStyle w:val="Normal"/>
        <w:framePr w:w="14220" w:hAnchor="page" w:vAnchor="page" w:x="274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binding upon the Board or the Compensation and Talent Committee, and neither the Board nor the Compensation and Talent Committee will be required to</w:t>
      </w:r>
    </w:p>
    <w:p>
      <w:pPr>
        <w:pStyle w:val="Normal"/>
        <w:framePr w:w="13988" w:hAnchor="page" w:vAnchor="page" w:x="274" w:y="63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This vote is advisory only, pursuant to Section 14(a) of the Exchange Act, and our NEOs’ 2022 compensation is not conditional on it. The vote will not be</w:t>
      </w:r>
    </w:p>
    <w:p>
      <w:pPr>
        <w:pStyle w:val="Normal"/>
        <w:framePr w:w="7875" w:hAnchor="page" w:vAnchor="page" w:x="274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Is this vote binding on the Board or the Compensation and Talent Committee? </w:t>
      </w:r>
    </w:p>
    <w:p>
      <w:pPr>
        <w:pStyle w:val="Normal"/>
        <w:framePr w:w="6569" w:hAnchor="page" w:vAnchor="page" w:x="274" w:y="58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decisions made by our Compensation and Talent Committee for 2022.</w:t>
      </w:r>
    </w:p>
    <w:p>
      <w:pPr>
        <w:pStyle w:val="Normal"/>
        <w:framePr w:w="13684" w:hAnchor="page" w:vAnchor="page" w:x="274" w:y="56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Executive Compensation Discussion and Analysis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section of this Proxy Statement describes in detail our executive compensation program and</w:t>
      </w:r>
    </w:p>
    <w:p>
      <w:pPr>
        <w:pStyle w:val="Normal"/>
        <w:framePr w:w="6145" w:hAnchor="page" w:vAnchor="page" w:x="274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Where can I find information about executive compensation?</w:t>
      </w:r>
    </w:p>
    <w:p>
      <w:pPr>
        <w:pStyle w:val="Normal"/>
        <w:framePr w:w="8936" w:hAnchor="page" w:vAnchor="page" w:x="274" w:y="50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Discussion and Analysis, compensation tables, and narrative discussion is hereby APPROVED.”</w:t>
      </w:r>
    </w:p>
    <w:p>
      <w:pPr>
        <w:pStyle w:val="Normal"/>
        <w:framePr w:w="13681" w:hAnchor="page" w:vAnchor="page" w:x="274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“RESOLVED, that the compensation paid to the Company’s NEOs, as disclosed pursuant to Item 402 of Regulation S-K, including the Compensation</w:t>
      </w:r>
    </w:p>
    <w:p>
      <w:pPr>
        <w:pStyle w:val="Normal"/>
        <w:framePr w:w="8219" w:hAnchor="page" w:vAnchor="page" w:x="274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approve the compensation of our NEOs by casting a vote “FOR” the following resolution:</w:t>
      </w:r>
    </w:p>
    <w:p>
      <w:pPr>
        <w:pStyle w:val="Normal"/>
        <w:framePr w:w="14037" w:hAnchor="page" w:vAnchor="page" w:x="274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carefully consider our shareholders’ feedback throughout the year in evaluating our executive compensation program. We are asking our shareholders to</w:t>
      </w:r>
    </w:p>
    <w:p>
      <w:pPr>
        <w:pStyle w:val="Normal"/>
        <w:framePr w:w="13479" w:hAnchor="page" w:vAnchor="page" w:x="274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value the diverse perspectives of our shareholders, which we receive through a number of channels, including the say-on-pay vote. We</w:t>
      </w:r>
    </w:p>
    <w:p>
      <w:pPr>
        <w:pStyle w:val="Normal"/>
        <w:framePr w:w="13924" w:hAnchor="page" w:vAnchor="page" w:x="274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include this advisory vote on an annual basis. While the say-on-pay vote is advisory and therefore not binding, our Board and Compensation and Talent</w:t>
      </w:r>
    </w:p>
    <w:p>
      <w:pPr>
        <w:pStyle w:val="Normal"/>
        <w:framePr w:w="13706" w:hAnchor="page" w:vAnchor="page" w:x="274" w:y="36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disclosed in this Proxy Statement, including the Compensation Discussion and Analysis, compensation tables, and narrative discussion. We currently</w:t>
      </w:r>
    </w:p>
    <w:p>
      <w:pPr>
        <w:pStyle w:val="Normal"/>
        <w:framePr w:w="13833" w:hAnchor="page" w:vAnchor="page" w:x="274" w:y="34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say-on-pay vote gives our shareholders the opportunity to vote on a non-binding, advisory resolution to approve the compensation of our NEOs as</w:t>
      </w:r>
    </w:p>
    <w:p>
      <w:pPr>
        <w:pStyle w:val="Normal"/>
        <w:framePr w:w="11688" w:hAnchor="page" w:vAnchor="page" w:x="274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achievement of the Company’s overall performance and business strategies to create and preserve value for our shareholders.</w:t>
      </w:r>
    </w:p>
    <w:p>
      <w:pPr>
        <w:pStyle w:val="Normal"/>
        <w:framePr w:w="13980" w:hAnchor="page" w:vAnchor="page" w:x="274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executive compensation program is reviewed by the Compensation and Talent Committee with the objective of developing a program that drives the</w:t>
      </w:r>
    </w:p>
    <w:p>
      <w:pPr>
        <w:pStyle w:val="Normal"/>
        <w:framePr w:w="13954" w:hAnchor="page" w:vAnchor="page" w:x="274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compensation is an important matter to the Company, the Board, the Compensation and Talent Committee, and the Company’s shareholders.</w:t>
      </w:r>
    </w:p>
    <w:p>
      <w:pPr>
        <w:pStyle w:val="Normal"/>
        <w:framePr w:w="2275" w:hAnchor="page" w:vAnchor="page" w:x="274" w:y="24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9848" w:hAnchor="page" w:vAnchor="page" w:x="274" w:y="1474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2022 Say-on-Pay for NEOs</w:t>
      </w:r>
    </w:p>
    <w:p>
      <w:pPr>
        <w:pStyle w:val="Normal"/>
        <w:framePr w:w="5298" w:hAnchor="page" w:vAnchor="page" w:x="274" w:y="691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2 —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7pt;margin-top:1pt;z-index:-1677228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2.7pt;margin-top:437.7pt;z-index:-16772280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130.05pt;margin-top:437.7pt;z-index:-16772276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130.05pt;margin-top:461.15pt;z-index:-16772272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2.7pt;margin-top:552.2pt;z-index:-167722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4.25pt;margin-top:442.95pt;z-index:-16772264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</w:p>
    <w:p>
      <w:pPr>
        <w:pStyle w:val="Normal"/>
        <w:framePr w:w="1631" w:hAnchor="page" w:vAnchor="page" w:x="274" w:y="73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47  TechnipFMC</w:t>
      </w:r>
    </w:p>
    <w:p>
      <w:pPr>
        <w:pStyle w:val="Normal"/>
        <w:framePr w:w="3335" w:hAnchor="page" w:vAnchor="page" w:x="2715" w:y="6372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6016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550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4530" w:hAnchor="page" w:vAnchor="page" w:x="274" w:y="49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non-executive director compensation programs.</w:t>
      </w:r>
    </w:p>
    <w:p>
      <w:pPr>
        <w:pStyle w:val="Normal"/>
        <w:framePr w:w="13786" w:hAnchor="page" w:vAnchor="page" w:x="274" w:y="47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Talent Committee will review and consider the outcome of the vote in connection with the ongoing review of the Company’s executive director and</w:t>
      </w:r>
    </w:p>
    <w:p>
      <w:pPr>
        <w:pStyle w:val="Normal"/>
        <w:framePr w:w="13924" w:hAnchor="page" w:vAnchor="page" w:x="274" w:y="45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resolution and vote are a means of providing shareholder feedback to the Board. The Board values shareholders’ feedback, and the Compensation</w:t>
      </w:r>
    </w:p>
    <w:p>
      <w:pPr>
        <w:pStyle w:val="Normal"/>
        <w:framePr w:w="10359" w:hAnchor="page" w:vAnchor="page" w:x="274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or promised to directors will not have to be repaid, reduced, or withheld in the event the resolution is not passed.</w:t>
      </w:r>
    </w:p>
    <w:p>
      <w:pPr>
        <w:pStyle w:val="Normal"/>
        <w:framePr w:w="14090" w:hAnchor="page" w:vAnchor="page" w:x="274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This vote is advisory only, pursuant to the Companies Act, and our directors’ entitlement to receive remuneration is not conditional on it. Payments made</w:t>
      </w:r>
    </w:p>
    <w:p>
      <w:pPr>
        <w:pStyle w:val="Normal"/>
        <w:framePr w:w="7818" w:hAnchor="page" w:vAnchor="page" w:x="274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Is this vote binding on the Board or the Compensation and Talent Committee?</w:t>
      </w:r>
    </w:p>
    <w:p>
      <w:pPr>
        <w:pStyle w:val="Normal"/>
        <w:framePr w:w="3141" w:hAnchor="page" w:vAnchor="page" w:x="274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Directors’ Remuneration Report.</w:t>
      </w:r>
    </w:p>
    <w:p>
      <w:pPr>
        <w:pStyle w:val="Normal"/>
        <w:framePr w:w="13627" w:hAnchor="page" w:vAnchor="page" w:x="274" w:y="31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Proposal 2 — 2022 Say-on-Pay for NEOs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above for the reasons why the Board is recommending that the shareholders vote “FOR” the 2022</w:t>
      </w:r>
    </w:p>
    <w:p>
      <w:pPr>
        <w:pStyle w:val="Normal"/>
        <w:framePr w:w="14071" w:hAnchor="page" w:vAnchor="page" w:x="274" w:y="29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Report of our U.K. Annual Report and Accounts, which reports our 2022 executive and non-executive directors’ compensation. Please see the discussion</w:t>
      </w:r>
    </w:p>
    <w:p>
      <w:pPr>
        <w:pStyle w:val="Normal"/>
        <w:framePr w:w="14174" w:hAnchor="page" w:vAnchor="page" w:x="274" w:y="27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on an annual basis. As such, we are asking our shareholders to approve, on a non-binding advisory basis, the 2022 Directors’ Remuneration</w:t>
      </w:r>
    </w:p>
    <w:p>
      <w:pPr>
        <w:pStyle w:val="Normal"/>
        <w:framePr w:w="13593" w:hAnchor="page" w:vAnchor="page" w:x="274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U.K. incorporated companies that are “quoted companies” under the Companies Act are required to submit their directors’ remuneration report to</w:t>
      </w:r>
    </w:p>
    <w:p>
      <w:pPr>
        <w:pStyle w:val="Normal"/>
        <w:framePr w:w="2275" w:hAnchor="page" w:vAnchor="page" w:x="274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7928" w:hAnchor="page" w:vAnchor="page" w:x="274" w:y="144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Remuneration Report</w:t>
      </w:r>
    </w:p>
    <w:p>
      <w:pPr>
        <w:pStyle w:val="Normal"/>
        <w:framePr w:w="10558" w:hAnchor="page" w:vAnchor="page" w:x="274" w:y="663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3 — 2022 Directors’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7pt;margin-top:1pt;z-index:-1677226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12.7pt;margin-top:267pt;z-index:-16772256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130.05pt;margin-top:267pt;z-index:-16772252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130.05pt;margin-top:290.45pt;z-index:-16772248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12.7pt;margin-top:381.5pt;z-index:-167722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4.25pt;margin-top:272.25pt;z-index:-16772240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</w:p>
    <w:p>
      <w:pPr>
        <w:pStyle w:val="Normal"/>
        <w:framePr w:w="1631" w:hAnchor="page" w:vAnchor="page" w:x="274" w:y="103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48  TechnipFMC</w:t>
      </w:r>
    </w:p>
    <w:p>
      <w:pPr>
        <w:pStyle w:val="Normal"/>
        <w:framePr w:w="10918" w:hAnchor="page" w:vAnchor="page" w:x="274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Since then, we have continued our transformation and taken meaningful actions that led to shareholder value creation.</w:t>
      </w:r>
    </w:p>
    <w:p>
      <w:pPr>
        <w:pStyle w:val="Normal"/>
        <w:framePr w:w="11327" w:hAnchor="page" w:vAnchor="page" w:x="274" w:y="27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technology provider to the traditional and new energy industries, delivering fully integrated projects, products, and services.</w:t>
      </w:r>
    </w:p>
    <w:p>
      <w:pPr>
        <w:pStyle w:val="Normal"/>
        <w:framePr w:w="13768" w:hAnchor="page" w:vAnchor="page" w:x="274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2021, the Board of Directors and executive officers led the successful Spin-off of Technip Energies and the emergence of TechnipFMC as a leading</w:t>
      </w:r>
    </w:p>
    <w:p>
      <w:pPr>
        <w:pStyle w:val="Normal"/>
        <w:framePr w:w="4653" w:hAnchor="page" w:vAnchor="page" w:x="274" w:y="2161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000053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000053"/>
          <w:w w:val="100"/>
          <w:sz w:val="30"/>
          <w:szCs w:val="30"/>
        </w:rPr>
        <w:t>Unlocking Shareholder Value</w:t>
      </w:r>
    </w:p>
    <w:p>
      <w:pPr>
        <w:pStyle w:val="Normal"/>
        <w:framePr w:w="8846" w:hAnchor="page" w:vAnchor="page" w:x="274" w:y="1217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Discussion and Analysis</w:t>
      </w:r>
    </w:p>
    <w:p>
      <w:pPr>
        <w:pStyle w:val="Normal"/>
        <w:framePr w:w="9056" w:hAnchor="page" w:vAnchor="page" w:x="274" w:y="43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Executive Compensation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7pt;margin-top:1pt;z-index:-1677223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12.7pt;margin-top:534.4pt;z-index:-167722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37.85pt;margin-top:174.8pt;z-index:-16772228;width:533.4pt;height:3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</w:p>
    <w:p>
      <w:pPr>
        <w:pStyle w:val="Normal"/>
        <w:framePr w:w="1631" w:hAnchor="page" w:vAnchor="page" w:x="274" w:y="1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49  TechnipFMC</w:t>
      </w:r>
    </w:p>
    <w:p>
      <w:pPr>
        <w:pStyle w:val="Normal"/>
        <w:framePr w:w="6705" w:hAnchor="page" w:vAnchor="page" w:x="274" w:y="10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our stock, our relative TSR and relative degree of alignment for 2022.</w:t>
      </w:r>
    </w:p>
    <w:p>
      <w:pPr>
        <w:pStyle w:val="Normal"/>
        <w:framePr w:w="14208" w:hAnchor="page" w:vAnchor="page" w:x="274" w:y="8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Driven by the value creation from these and other strategic actions, we significantly outperformed our peer group in 2022 as evidenced by the performance</w:t>
      </w:r>
    </w:p>
    <w:p>
      <w:pPr>
        <w:pStyle w:val="Normal"/>
        <w:framePr w:w="9961" w:hAnchor="page" w:vAnchor="page" w:x="274" w:y="432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We Significantly Outperformed our Peers in 2022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7pt;margin-top:1pt;z-index:-167722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12.7pt;margin-top:740.65pt;z-index:-167722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158.05pt;margin-top:73.1pt;z-index:-16772216;width:298.7pt;height:61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</w:p>
    <w:p>
      <w:pPr>
        <w:pStyle w:val="Normal"/>
        <w:framePr w:w="1631" w:hAnchor="page" w:vAnchor="page" w:x="274" w:y="89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50  TechnipFMC</w:t>
      </w:r>
    </w:p>
    <w:p>
      <w:pPr>
        <w:pStyle w:val="Normal"/>
        <w:framePr w:w="3893" w:hAnchor="page" w:vAnchor="page" w:x="274" w:y="83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performance-based awards in the future.</w:t>
      </w:r>
    </w:p>
    <w:p>
      <w:pPr>
        <w:pStyle w:val="Normal"/>
        <w:framePr w:w="12975" w:hAnchor="page" w:vAnchor="page" w:x="274" w:y="81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support this action, even with the rationale we provided. We accept this feedback and do not intend to remove performance conditions for our</w:t>
      </w:r>
    </w:p>
    <w:p>
      <w:pPr>
        <w:pStyle w:val="Normal"/>
        <w:framePr w:w="13716" w:hAnchor="page" w:vAnchor="page" w:x="274" w:y="79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it was no longer possible to measure 2019-2021 and 2020-2022 performance against the set goals. We heard from our shareholders that they did not</w:t>
      </w:r>
    </w:p>
    <w:p>
      <w:pPr>
        <w:pStyle w:val="Normal"/>
        <w:framePr w:w="14102" w:hAnchor="page" w:vAnchor="page" w:x="274" w:y="77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compelling and distinct investment profile. Following the Spin-off, the performance conditions were removed to pay out at target on the vesting date, since</w:t>
      </w:r>
    </w:p>
    <w:p>
      <w:pPr>
        <w:pStyle w:val="Normal"/>
        <w:framePr w:w="13465" w:hAnchor="page" w:vAnchor="page" w:x="274" w:y="75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Spin-off in 2021 resulted in the emergence of TechnipFMC as a leading technology provider to the traditional and new energy industries with a</w:t>
      </w:r>
    </w:p>
    <w:p>
      <w:pPr>
        <w:pStyle w:val="Normal"/>
        <w:framePr w:w="13818" w:hAnchor="page" w:vAnchor="page" w:x="274" w:y="73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Additionally, shareholders indicated concerns on the removal of performance conditions in outstanding 2019 and 2020 performance share unit awards.</w:t>
      </w:r>
    </w:p>
    <w:p>
      <w:pPr>
        <w:pStyle w:val="Normal"/>
        <w:framePr w:w="7890" w:hAnchor="page" w:vAnchor="page" w:x="274" w:y="69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favorably acknowledged these changes in our 2022-2023 engagement.</w:t>
      </w:r>
    </w:p>
    <w:p>
      <w:pPr>
        <w:pStyle w:val="Normal"/>
        <w:framePr w:w="13533" w:hAnchor="page" w:vAnchor="page" w:x="274" w:y="67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plan; and (2) increased rigor of the relative TSR payout scale in our LTI plan. These changes were made in our plan for the 2022 plan year, and our</w:t>
      </w:r>
    </w:p>
    <w:p>
      <w:pPr>
        <w:pStyle w:val="Normal"/>
        <w:framePr w:w="13911" w:hAnchor="page" w:vAnchor="page" w:x="274" w:y="65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practices with their interests. These changes included: (1) the reintroduction of return on invested capital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ROIC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as a performance measure in our LTI</w:t>
      </w:r>
    </w:p>
    <w:p>
      <w:pPr>
        <w:pStyle w:val="Normal"/>
        <w:framePr w:w="13787" w:hAnchor="page" w:vAnchor="page" w:x="274" w:y="63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During 2021-2022 engagement, our shareholders recommended changes to our long-term incentive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LTI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plan that further aligned our compensation</w:t>
      </w:r>
    </w:p>
    <w:p>
      <w:pPr>
        <w:pStyle w:val="Normal"/>
        <w:framePr w:w="4825" w:hAnchor="page" w:vAnchor="page" w:x="274" w:y="602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We Heard From Shareholders</w:t>
      </w:r>
    </w:p>
    <w:p>
      <w:pPr>
        <w:pStyle w:val="Normal"/>
        <w:framePr w:w="7582" w:hAnchor="page" w:vAnchor="page" w:x="274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Chair of Compensation and Talent Committee as requested by shareholders.</w:t>
      </w:r>
    </w:p>
    <w:p>
      <w:pPr>
        <w:pStyle w:val="Normal"/>
        <w:framePr w:w="14023" w:hAnchor="page" w:vAnchor="page" w:x="274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achievements in addressing environmental and social issues/topics. In these sessions, we offered the participation of our Lead Independent Director</w:t>
      </w:r>
    </w:p>
    <w:p>
      <w:pPr>
        <w:pStyle w:val="Normal"/>
        <w:framePr w:w="13976" w:hAnchor="page" w:vAnchor="page" w:x="274" w:y="52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program. We heard directly from them on various elements of our corporate governance, including executive compensation and our goals</w:t>
      </w:r>
    </w:p>
    <w:p>
      <w:pPr>
        <w:pStyle w:val="Normal"/>
        <w:framePr w:w="13946" w:hAnchor="page" w:vAnchor="page" w:x="274" w:y="50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sessions as part of our regular annual practice, but also to get feedback and address concerns following the low Remuneration Report vote for our 2021</w:t>
      </w:r>
    </w:p>
    <w:p>
      <w:pPr>
        <w:pStyle w:val="Normal"/>
        <w:framePr w:w="13593" w:hAnchor="page" w:vAnchor="page" w:x="274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shareholder engagement sessions.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 addition to direct engagement with portfolio management teams, we held shareholder engagement</w:t>
      </w:r>
    </w:p>
    <w:p>
      <w:pPr>
        <w:pStyle w:val="Normal"/>
        <w:framePr w:w="8549" w:hAnchor="page" w:vAnchor="page" w:x="274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study and allowed for a more robust discussion of several topics raised by our shareholders.</w:t>
      </w:r>
    </w:p>
    <w:p>
      <w:pPr>
        <w:pStyle w:val="Normal"/>
        <w:framePr w:w="13969" w:hAnchor="page" w:vAnchor="page" w:x="274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traveled to meet in person with institutional shareholders representing 35% of our Ordinary Shares outstanding. These meetings followed our perception</w:t>
      </w:r>
    </w:p>
    <w:p>
      <w:pPr>
        <w:pStyle w:val="Normal"/>
        <w:framePr w:w="13957" w:hAnchor="page" w:vAnchor="page" w:x="274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Held face-to-face meetings with shareholders.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During December 2022, our Chair and CEO and SVP, Investor Relations and Corporate Development</w:t>
      </w:r>
    </w:p>
    <w:p>
      <w:pPr>
        <w:pStyle w:val="Normal"/>
        <w:framePr w:w="8903" w:hAnchor="page" w:vAnchor="page" w:x="274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and corporate governance topics, including our executive compensation programs.</w:t>
      </w:r>
    </w:p>
    <w:p>
      <w:pPr>
        <w:pStyle w:val="Normal"/>
        <w:framePr w:w="14185" w:hAnchor="page" w:vAnchor="page" w:x="274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out a perception study with shareholders to gain anonymous insight and feedback on topics such as our business strategy, capital allocation, management</w:t>
      </w:r>
    </w:p>
    <w:p>
      <w:pPr>
        <w:pStyle w:val="Normal"/>
        <w:framePr w:w="14092" w:hAnchor="page" w:vAnchor="page" w:x="274" w:y="32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Undertook a shareholder perception study.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During August and September 2022, we engaged a highly regarded strategic communications firm to carry</w:t>
      </w:r>
    </w:p>
    <w:p>
      <w:pPr>
        <w:pStyle w:val="Normal"/>
        <w:framePr w:w="5897" w:hAnchor="page" w:vAnchor="page" w:x="274" w:y="28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shareholder engagement plan was actioned in three ways:</w:t>
      </w:r>
    </w:p>
    <w:p>
      <w:pPr>
        <w:pStyle w:val="Normal"/>
        <w:framePr w:w="5100" w:hAnchor="page" w:vAnchor="page" w:x="274" w:y="24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perspective and took actions based on their feedback.</w:t>
      </w:r>
    </w:p>
    <w:p>
      <w:pPr>
        <w:pStyle w:val="Normal"/>
        <w:framePr w:w="13450" w:hAnchor="page" w:vAnchor="page" w:x="274" w:y="22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value feedback from our shareholders and undertook extensive efforts to engage with shareholders in 2022 and early 2023 to understand their</w:t>
      </w:r>
    </w:p>
    <w:p>
      <w:pPr>
        <w:pStyle w:val="Normal"/>
        <w:framePr w:w="4358" w:hAnchor="page" w:vAnchor="page" w:x="274" w:y="193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How We Engaged Shareholders</w:t>
      </w:r>
    </w:p>
    <w:p>
      <w:pPr>
        <w:pStyle w:val="Normal"/>
        <w:framePr w:w="11657" w:hAnchor="page" w:vAnchor="page" w:x="274" w:y="15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2022 Annual Meeting, we received approximately 56% shareholder support for our 2021 executive compensation program.</w:t>
      </w:r>
    </w:p>
    <w:p>
      <w:pPr>
        <w:pStyle w:val="Normal"/>
        <w:framePr w:w="14227" w:hAnchor="page" w:vAnchor="page" w:x="274" w:y="13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have historically received shareholder support for our executive compensation programs with say-on-pay support in 2020 and 2021 averaging 85%. At</w:t>
      </w:r>
    </w:p>
    <w:p>
      <w:pPr>
        <w:pStyle w:val="Normal"/>
        <w:framePr w:w="2340" w:hAnchor="page" w:vAnchor="page" w:x="274" w:y="88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 xml:space="preserve">Pay Vote </w:t>
      </w:r>
    </w:p>
    <w:p>
      <w:pPr>
        <w:pStyle w:val="Normal"/>
        <w:framePr w:w="10523" w:hAnchor="page" w:vAnchor="page" w:x="274" w:y="432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Shareholder Engagement and Response to Say-on-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7pt;margin-top:1pt;z-index:-1677221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12.7pt;margin-top:461.15pt;z-index:-1677220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</w:p>
    <w:p>
      <w:pPr>
        <w:pStyle w:val="Normal"/>
        <w:framePr w:w="1631" w:hAnchor="page" w:vAnchor="page" w:x="274" w:y="136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51  TechnipFMC</w:t>
      </w:r>
    </w:p>
    <w:p>
      <w:pPr>
        <w:pStyle w:val="Normal"/>
        <w:framePr w:w="9881" w:hAnchor="page" w:vAnchor="page" w:x="274" w:y="1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2022 Say-on-Pay for NEOs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on page 46 of this Proxy Statement for more information on this advisory vote.</w:t>
      </w:r>
    </w:p>
    <w:p>
      <w:pPr>
        <w:pStyle w:val="Normal"/>
        <w:framePr w:w="13606" w:hAnchor="page" w:vAnchor="page" w:x="274" w:y="1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have the opportunity to vote on our NEO compensation at the upcoming Annual Meeting.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Proposal 2 –</w:t>
      </w:r>
    </w:p>
    <w:p>
      <w:pPr>
        <w:pStyle w:val="Normal"/>
        <w:framePr w:w="12523" w:hAnchor="page" w:vAnchor="page" w:x="274" w:y="1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 engagement and the outcome of our annual say-on-pay vote will continue to inform our future compensation decisions. Our</w:t>
      </w:r>
    </w:p>
    <w:p>
      <w:pPr>
        <w:pStyle w:val="Normal"/>
        <w:framePr w:w="7429" w:hAnchor="page" w:vAnchor="page" w:x="3120" w:y="17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• EVP, People and Culture • Other members of senior leadership, as applicable.</w:t>
      </w:r>
    </w:p>
    <w:p>
      <w:pPr>
        <w:pStyle w:val="Normal"/>
        <w:framePr w:w="10310" w:hAnchor="page" w:vAnchor="page" w:x="1909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Chair and CEO • SVP, Investor Relations and Corporate Development • EVP, Chief Legal Officer and Secretary </w:t>
      </w:r>
    </w:p>
    <w:p>
      <w:pPr>
        <w:pStyle w:val="Normal"/>
        <w:framePr w:w="3912" w:hAnchor="page" w:vAnchor="page" w:x="4457" w:y="1115"/>
        <w:widowControl w:val="off"/>
        <w:autoSpaceDE w:val="off"/>
        <w:autoSpaceDN w:val="off"/>
        <w:spacing w:before="0" w:after="0" w:line="23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3"/>
          <w:szCs w:val="23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3"/>
          <w:szCs w:val="23"/>
        </w:rPr>
        <w:t>Shareholder engagement team</w:t>
      </w:r>
    </w:p>
    <w:p>
      <w:pPr>
        <w:pStyle w:val="Normal"/>
        <w:framePr w:w="11681" w:hAnchor="page" w:vAnchor="page" w:x="274" w:y="7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Outlined below is a summary of our shareholder engagement, shareholder feedback, and the actions we took to address them:</w:t>
      </w:r>
    </w:p>
    <w:p>
      <w:pPr>
        <w:pStyle w:val="Normal"/>
        <w:framePr w:w="6211" w:hAnchor="page" w:vAnchor="page" w:x="274" w:y="43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We Did Based on Shareholder Feedback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7pt;margin-top:1pt;z-index:-167722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12.7pt;margin-top:698.7pt;z-index:-1677220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30.05pt;margin-top:108.7pt;z-index:-16772196;width:554.75pt;height:509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</w:p>
    <w:p>
      <w:pPr>
        <w:pStyle w:val="Normal"/>
        <w:framePr w:w="1631" w:hAnchor="page" w:vAnchor="page" w:x="274" w:y="94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52  TechnipFMC</w:t>
      </w:r>
    </w:p>
    <w:p>
      <w:pPr>
        <w:pStyle w:val="Normal"/>
        <w:framePr w:w="6739" w:hAnchor="page" w:vAnchor="page" w:x="274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components of our executive compensation are summarized below.</w:t>
      </w:r>
    </w:p>
    <w:p>
      <w:pPr>
        <w:pStyle w:val="Normal"/>
        <w:framePr w:w="1536" w:hAnchor="page" w:vAnchor="page" w:x="274" w:y="12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compensation.</w:t>
      </w:r>
    </w:p>
    <w:p>
      <w:pPr>
        <w:pStyle w:val="Normal"/>
        <w:framePr w:w="13350" w:hAnchor="page" w:vAnchor="page" w:x="274" w:y="10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strive to exceed our key financial and business objectives and we link these to the long and short-term incentive components of our executive</w:t>
      </w:r>
    </w:p>
    <w:p>
      <w:pPr>
        <w:pStyle w:val="Normal"/>
        <w:framePr w:w="8303" w:hAnchor="page" w:vAnchor="page" w:x="274" w:y="73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  <w:t>Performance, Business Strategies and Shareholder Value Creation</w:t>
      </w:r>
    </w:p>
    <w:p>
      <w:pPr>
        <w:pStyle w:val="Normal"/>
        <w:framePr w:w="10824" w:hAnchor="page" w:vAnchor="page" w:x="274" w:y="43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  <w:t>Our Executive Compensation Links Pay to the Advancement of TechnipFMC’s Financial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7pt;margin-top:1pt;z-index:-167721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2.7pt;margin-top:488.2pt;z-index:-1677218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13.7pt;margin-top:100.15pt;z-index:-16772184;width:590.3pt;height:341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</w:p>
    <w:p>
      <w:pPr>
        <w:pStyle w:val="Normal"/>
        <w:framePr w:w="1631" w:hAnchor="page" w:vAnchor="page" w:x="274" w:y="51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53  TechnipFMC</w:t>
      </w:r>
    </w:p>
    <w:p>
      <w:pPr>
        <w:pStyle w:val="Normal"/>
        <w:framePr w:w="1060" w:hAnchor="page" w:vAnchor="page" w:x="615" w:y="40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Statement.</w:t>
      </w:r>
    </w:p>
    <w:p>
      <w:pPr>
        <w:pStyle w:val="Normal"/>
        <w:framePr w:w="13366" w:hAnchor="page" w:vAnchor="page" w:x="615" w:y="38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and free cash flow to their respective most directly comparable GAAP measures, please refer to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5"/>
          <w:szCs w:val="15"/>
        </w:rPr>
        <w:t>Appendix A – Reconciliation of Non-GAAP Measures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” in this Proxy</w:t>
      </w:r>
    </w:p>
    <w:p>
      <w:pPr>
        <w:pStyle w:val="Normal"/>
        <w:framePr w:w="13738" w:hAnchor="page" w:vAnchor="page" w:x="615" w:y="36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statements. Free cash flow is defined as cash provided by operating activities less capital expenditures. For reconciliation of adjusted EBITDA, adjusted EBITDA margin,</w:t>
      </w:r>
    </w:p>
    <w:p>
      <w:pPr>
        <w:pStyle w:val="Normal"/>
        <w:framePr w:w="402" w:hAnchor="page" w:vAnchor="page" w:x="274" w:y="35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</w:t>
      </w:r>
    </w:p>
    <w:p>
      <w:pPr>
        <w:pStyle w:val="Normal"/>
        <w:framePr w:w="13664" w:hAnchor="page" w:vAnchor="page" w:x="615" w:y="35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Adjusted EBITDA excludes non-recurring charges and credits, foreign exchange impact, as well as other items identified in TechnipFMC’s quarterly and annual financial</w:t>
      </w:r>
    </w:p>
    <w:p>
      <w:pPr>
        <w:pStyle w:val="Normal"/>
        <w:framePr w:w="4667" w:hAnchor="page" w:vAnchor="page" w:x="274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prepared in accordance with GAAP.</w:t>
      </w:r>
    </w:p>
    <w:p>
      <w:pPr>
        <w:pStyle w:val="Normal"/>
        <w:framePr w:w="13400" w:hAnchor="page" w:vAnchor="page" w:x="274" w:y="29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foregoing non-GAAP financial measures should be considered in addition to, not as a substitute for or superior to, other measures of financial</w:t>
      </w:r>
    </w:p>
    <w:p>
      <w:pPr>
        <w:pStyle w:val="Normal"/>
        <w:framePr w:w="13958" w:hAnchor="page" w:vAnchor="page" w:x="274" w:y="26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free cash flow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enable investors and management to more effectively evaluate our operations and consolidated results of operations period-over-period.</w:t>
      </w:r>
    </w:p>
    <w:p>
      <w:pPr>
        <w:pStyle w:val="Normal"/>
        <w:framePr w:w="14147" w:hAnchor="page" w:vAnchor="page" w:x="274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Adjusted EBITDA, adjusted EBITDA margin and free cash flow are non-GAAP measures. We believe that adjusted EBITDA, adjusted EBITDA margin and</w:t>
      </w:r>
    </w:p>
    <w:p>
      <w:pPr>
        <w:pStyle w:val="Normal"/>
        <w:framePr w:w="11099" w:hAnchor="page" w:vAnchor="page" w:x="274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investments we may pursue to ensure TechnipFMC remains a market leader today and in the energy future of tomorrow.</w:t>
      </w:r>
    </w:p>
    <w:p>
      <w:pPr>
        <w:pStyle w:val="Normal"/>
        <w:framePr w:w="14197" w:hAnchor="page" w:vAnchor="page" w:x="274" w:y="19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generation and an improved capital structure will provide us with the flexibility needed for both sustainable shareholder distributions as well as the strategic</w:t>
      </w:r>
    </w:p>
    <w:p>
      <w:pPr>
        <w:pStyle w:val="Normal"/>
        <w:framePr w:w="14155" w:hAnchor="page" w:vAnchor="page" w:x="274" w:y="16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continued focus on cash generation resulted in resulted in $352 million of operating cash flow and $194 million of free cash flow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 2022. Strong cash</w:t>
      </w:r>
    </w:p>
    <w:p>
      <w:pPr>
        <w:pStyle w:val="Normal"/>
        <w:framePr w:w="9668" w:hAnchor="page" w:vAnchor="page" w:x="274" w:y="13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Adjusted EBITDA margin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was 10.0%, a nearly 120-basis point improvement compared to the prior year.</w:t>
      </w:r>
    </w:p>
    <w:p>
      <w:pPr>
        <w:pStyle w:val="Normal"/>
        <w:framePr w:w="14040" w:hAnchor="page" w:vAnchor="page" w:x="274" w:y="11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$29.8 million. Adjusted EBITDA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, which excludes foreign exchange gains and losses, was $670 million, an increase of 18.7% compared to the prior year.</w:t>
      </w:r>
    </w:p>
    <w:p>
      <w:pPr>
        <w:pStyle w:val="Normal"/>
        <w:framePr w:w="13992" w:hAnchor="page" w:vAnchor="page" w:x="274" w:y="9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margin of 1.4% for the prior year. These results included after-tax charges and credits totaling $49.3 million and a loss on early extinguishment of debt of</w:t>
      </w:r>
    </w:p>
    <w:p>
      <w:pPr>
        <w:pStyle w:val="Normal"/>
        <w:framePr w:w="13581" w:hAnchor="page" w:vAnchor="page" w:x="274" w:y="7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Loss from continuing operations attributable to TechnipFMC plc was $61.9 million with a margin of 0.9%, compared to income of $87.8 million with a</w:t>
      </w:r>
    </w:p>
    <w:p>
      <w:pPr>
        <w:pStyle w:val="Normal"/>
        <w:framePr w:w="8268" w:hAnchor="page" w:vAnchor="page" w:x="274" w:y="43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</w:pPr>
      <w:r>
        <w:rPr>
          <w:rFonts w:ascii="TYIFDT+ArialMT" w:hAnsi="TYIFDT+ArialMT" w:fareast="TYIFDT+ArialMT" w:cs="TYIFDT+ArialMT"/>
          <w:color w:val="481e6e"/>
          <w:w w:val="100"/>
          <w:sz w:val="25"/>
          <w:szCs w:val="25"/>
        </w:rPr>
        <w:t>Results of 2022 Financial Results Tied to Executive Compensation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7pt;margin-top:1pt;z-index:-1677218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12.7pt;margin-top:275.5pt;z-index:-167721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</w:p>
    <w:p>
      <w:pPr>
        <w:pStyle w:val="Normal"/>
        <w:framePr w:w="1631" w:hAnchor="page" w:vAnchor="page" w:x="274" w:y="105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54  TechnipFMC</w:t>
      </w:r>
    </w:p>
    <w:p>
      <w:pPr>
        <w:pStyle w:val="Normal"/>
        <w:framePr w:w="13457" w:hAnchor="page" w:vAnchor="page" w:x="544" w:y="97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Providing market competitive levels of compensation to help us retain and attract exceptionally talented individuals who can deliver on our vision</w:t>
      </w:r>
    </w:p>
    <w:p>
      <w:pPr>
        <w:pStyle w:val="Normal"/>
        <w:framePr w:w="8686" w:hAnchor="page" w:vAnchor="page" w:x="715" w:y="93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sustainable shareholder value and by ensuring a majority of executive compensation is at-risk</w:t>
      </w:r>
    </w:p>
    <w:p>
      <w:pPr>
        <w:pStyle w:val="Normal"/>
        <w:framePr w:w="13646" w:hAnchor="page" w:vAnchor="page" w:x="544" w:y="91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Aligning the interests of our executive officers with the interests of our shareholders by focusing our executive compensation program on drivers of</w:t>
      </w:r>
    </w:p>
    <w:p>
      <w:pPr>
        <w:pStyle w:val="Normal"/>
        <w:framePr w:w="10014" w:hAnchor="page" w:vAnchor="page" w:x="544" w:y="87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Motivating our executive officers to achieve and exceed our short-term and long-term goals and objectives</w:t>
      </w:r>
    </w:p>
    <w:p>
      <w:pPr>
        <w:pStyle w:val="Normal"/>
        <w:framePr w:w="4212" w:hAnchor="page" w:vAnchor="page" w:x="274" w:y="83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is designed to help us achieve our vision by:</w:t>
      </w:r>
    </w:p>
    <w:p>
      <w:pPr>
        <w:pStyle w:val="Normal"/>
        <w:framePr w:w="14208" w:hAnchor="page" w:vAnchor="page" w:x="274" w:y="81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by one single purpose: to bring together the scope, knowledge, and determination to transform our clients’ project economics. Our executive compensation</w:t>
      </w:r>
    </w:p>
    <w:p>
      <w:pPr>
        <w:pStyle w:val="Normal"/>
        <w:framePr w:w="14226" w:hAnchor="page" w:vAnchor="page" w:x="274" w:y="79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vision to enhance the performance of the world’s energy industry is supported by the relentless drive of every individual at TechnipFMC. We are united</w:t>
      </w:r>
    </w:p>
    <w:p>
      <w:pPr>
        <w:pStyle w:val="Normal"/>
        <w:framePr w:w="8163" w:hAnchor="page" w:vAnchor="page" w:x="274" w:y="75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and business strategies to create and preserve value for our shareholders.</w:t>
      </w:r>
    </w:p>
    <w:p>
      <w:pPr>
        <w:pStyle w:val="Normal"/>
        <w:framePr w:w="14184" w:hAnchor="page" w:vAnchor="page" w:x="274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executive compensation programs are designed to directly link our executives’ pay to their performance and the achievement of TechnipFMC’s overall</w:t>
      </w:r>
    </w:p>
    <w:p>
      <w:pPr>
        <w:pStyle w:val="Normal"/>
        <w:framePr w:w="8403" w:hAnchor="page" w:vAnchor="page" w:x="274" w:y="6932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Our Executive Compensation Philosophy</w:t>
      </w:r>
    </w:p>
    <w:p>
      <w:pPr>
        <w:pStyle w:val="Normal"/>
        <w:framePr w:w="1878" w:hAnchor="page" w:vAnchor="page" w:x="463" w:y="58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President, Subsea</w:t>
      </w:r>
    </w:p>
    <w:p>
      <w:pPr>
        <w:pStyle w:val="Normal"/>
        <w:framePr w:w="2333" w:hAnchor="page" w:vAnchor="page" w:x="463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Position Held in 2022:</w:t>
      </w:r>
    </w:p>
    <w:p>
      <w:pPr>
        <w:pStyle w:val="Normal"/>
        <w:framePr w:w="944" w:hAnchor="page" w:vAnchor="page" w:x="463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50</w:t>
      </w:r>
    </w:p>
    <w:p>
      <w:pPr>
        <w:pStyle w:val="Normal"/>
        <w:framePr w:w="2505" w:hAnchor="page" w:vAnchor="page" w:x="463" w:y="5125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Jonathan Landes</w:t>
      </w:r>
    </w:p>
    <w:p>
      <w:pPr>
        <w:pStyle w:val="Normal"/>
        <w:framePr w:w="2458" w:hAnchor="page" w:vAnchor="page" w:x="463" w:y="41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Chief Technology Officer</w:t>
      </w:r>
    </w:p>
    <w:p>
      <w:pPr>
        <w:pStyle w:val="Normal"/>
        <w:framePr w:w="2139" w:hAnchor="page" w:vAnchor="page" w:x="6338" w:y="41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Officer and Secretary</w:t>
      </w:r>
    </w:p>
    <w:p>
      <w:pPr>
        <w:pStyle w:val="Normal"/>
        <w:framePr w:w="2868" w:hAnchor="page" w:vAnchor="page" w:x="463" w:y="39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Vice President and</w:t>
      </w:r>
    </w:p>
    <w:p>
      <w:pPr>
        <w:pStyle w:val="Normal"/>
        <w:framePr w:w="3620" w:hAnchor="page" w:vAnchor="page" w:x="6338" w:y="39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Vice President, Chief Legal</w:t>
      </w:r>
    </w:p>
    <w:p>
      <w:pPr>
        <w:pStyle w:val="Normal"/>
        <w:framePr w:w="2333" w:hAnchor="page" w:vAnchor="page" w:x="463" w:y="37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Position Held in 2022:</w:t>
      </w:r>
    </w:p>
    <w:p>
      <w:pPr>
        <w:pStyle w:val="Normal"/>
        <w:framePr w:w="2333" w:hAnchor="page" w:vAnchor="page" w:x="6338" w:y="37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Position Held in 2022:</w:t>
      </w:r>
    </w:p>
    <w:p>
      <w:pPr>
        <w:pStyle w:val="Normal"/>
        <w:framePr w:w="944" w:hAnchor="page" w:vAnchor="page" w:x="463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56</w:t>
      </w:r>
    </w:p>
    <w:p>
      <w:pPr>
        <w:pStyle w:val="Normal"/>
        <w:framePr w:w="944" w:hAnchor="page" w:vAnchor="page" w:x="6338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57</w:t>
      </w:r>
    </w:p>
    <w:p>
      <w:pPr>
        <w:pStyle w:val="Normal"/>
        <w:framePr w:w="2143" w:hAnchor="page" w:vAnchor="page" w:x="463" w:y="3304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Justin Rounce</w:t>
      </w:r>
    </w:p>
    <w:p>
      <w:pPr>
        <w:pStyle w:val="Normal"/>
        <w:framePr w:w="2053" w:hAnchor="page" w:vAnchor="page" w:x="6338" w:y="3304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Victoria Lazar</w:t>
      </w:r>
    </w:p>
    <w:p>
      <w:pPr>
        <w:pStyle w:val="Normal"/>
        <w:framePr w:w="2219" w:hAnchor="page" w:vAnchor="page" w:x="6338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Chief Financial Officer</w:t>
      </w:r>
    </w:p>
    <w:p>
      <w:pPr>
        <w:pStyle w:val="Normal"/>
        <w:framePr w:w="3232" w:hAnchor="page" w:vAnchor="page" w:x="463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Chair and Chief Executive Officer</w:t>
      </w:r>
    </w:p>
    <w:p>
      <w:pPr>
        <w:pStyle w:val="Normal"/>
        <w:framePr w:w="2868" w:hAnchor="page" w:vAnchor="page" w:x="6338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Vice President and</w:t>
      </w:r>
    </w:p>
    <w:p>
      <w:pPr>
        <w:pStyle w:val="Normal"/>
        <w:framePr w:w="2333" w:hAnchor="page" w:vAnchor="page" w:x="463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Position Held in 2022:</w:t>
      </w:r>
    </w:p>
    <w:p>
      <w:pPr>
        <w:pStyle w:val="Normal"/>
        <w:framePr w:w="2333" w:hAnchor="page" w:vAnchor="page" w:x="6338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Position Held in 2022:</w:t>
      </w:r>
    </w:p>
    <w:p>
      <w:pPr>
        <w:pStyle w:val="Normal"/>
        <w:framePr w:w="944" w:hAnchor="page" w:vAnchor="page" w:x="463" w:y="17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Age: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59</w:t>
      </w:r>
    </w:p>
    <w:p>
      <w:pPr>
        <w:pStyle w:val="Normal"/>
        <w:framePr w:w="944" w:hAnchor="page" w:vAnchor="page" w:x="6338" w:y="17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 xml:space="preserve">Age: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53</w:t>
      </w:r>
    </w:p>
    <w:p>
      <w:pPr>
        <w:pStyle w:val="Normal"/>
        <w:framePr w:w="3002" w:hAnchor="page" w:vAnchor="page" w:x="463" w:y="148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Douglas J. Pferdehirt</w:t>
      </w:r>
    </w:p>
    <w:p>
      <w:pPr>
        <w:pStyle w:val="Normal"/>
        <w:framePr w:w="1405" w:hAnchor="page" w:vAnchor="page" w:x="6338" w:y="148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Alf Melin</w:t>
      </w:r>
    </w:p>
    <w:p>
      <w:pPr>
        <w:pStyle w:val="Normal"/>
        <w:framePr w:w="5504" w:hAnchor="page" w:vAnchor="page" w:x="274" w:y="645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Named Executive Officers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7pt;margin-top:1pt;z-index:-1677217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12.7pt;margin-top:62.9pt;z-index:-16772168;width:177.6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188.35pt;margin-top:62.9pt;z-index:-16772164;width:119.3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05.7pt;margin-top:62.9pt;z-index:-16772160;width:176.9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80.65pt;margin-top:62.9pt;z-index:-16772156;width:118.6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12.7pt;margin-top:153.2pt;z-index:-16772152;width:177.65pt;height:9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188.35pt;margin-top:153.2pt;z-index:-16772148;width:119.35pt;height:9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305.7pt;margin-top:153.2pt;z-index:-16772144;width:176.95pt;height:9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80.65pt;margin-top:153.2pt;z-index:-16772140;width:118.65pt;height:9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2.7pt;margin-top:244.25pt;z-index:-16772136;width:177.6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88.35pt;margin-top:244.25pt;z-index:-16772132;width:119.3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305.7pt;margin-top:244.25pt;z-index:-16772128;width:176.9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80.65pt;margin-top:244.25pt;z-index:-16772124;width:118.65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305.7pt;margin-top:244.25pt;z-index:-16772120;width:2.7pt;height:9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80.65pt;margin-top:244.25pt;z-index:-16772116;width:118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305.7pt;margin-top:244.25pt;z-index:-16772112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88.35pt;margin-top:244.25pt;z-index:-16772108;width:12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05.7pt;margin-top:153.2pt;z-index:-16772104;width:2.7pt;height:9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12.7pt;margin-top:244.25pt;z-index:-16772100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80.65pt;margin-top:153.2pt;z-index:-16772096;width:118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05.7pt;margin-top:153.2pt;z-index:-16772092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188.35pt;margin-top:153.2pt;z-index:-16772088;width:12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05.7pt;margin-top:62.9pt;z-index:-16772084;width:2.7pt;height:9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12.7pt;margin-top:153.2pt;z-index:-16772080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222.1pt;margin-top:73.1pt;z-index:-16772076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13.65pt;margin-top:73.1pt;z-index:-16772072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224.9pt;margin-top:164.15pt;z-index:-16772068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13.65pt;margin-top:164.15pt;z-index:-16772064;width:72.55pt;height:6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222.1pt;margin-top:255.2pt;z-index:-16772060;width:72.55pt;height:6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</w:p>
    <w:p>
      <w:pPr>
        <w:pStyle w:val="Normal"/>
        <w:framePr w:w="1631" w:hAnchor="page" w:vAnchor="page" w:x="274" w:y="87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55  TechnipFMC</w:t>
      </w:r>
    </w:p>
    <w:p>
      <w:pPr>
        <w:pStyle w:val="Normal"/>
        <w:framePr w:w="8450" w:hAnchor="page" w:vAnchor="page" w:x="274" w:y="814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 RSUs are included in at-risk pay because their delivered value is based on share price at vesting.</w:t>
      </w:r>
    </w:p>
    <w:p>
      <w:pPr>
        <w:pStyle w:val="Normal"/>
        <w:framePr w:w="13057" w:hAnchor="page" w:vAnchor="page" w:x="274" w:y="13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through short-term and long-term compensation and link the interests of our NEOs with shareholders through significant at-risk-compensation.</w:t>
      </w:r>
    </w:p>
    <w:p>
      <w:pPr>
        <w:pStyle w:val="Normal"/>
        <w:framePr w:w="13673" w:hAnchor="page" w:vAnchor="page" w:x="274" w:y="11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executive compensation incentive mix is intended to create a balance between achieving both short-term and long-term interests of the business</w:t>
      </w:r>
    </w:p>
    <w:p>
      <w:pPr>
        <w:pStyle w:val="Normal"/>
        <w:framePr w:w="7584" w:hAnchor="page" w:vAnchor="page" w:x="274" w:y="815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Our 2022 Pay Programs Emphasize Pay-for-Performance</w:t>
      </w:r>
    </w:p>
    <w:p>
      <w:pPr>
        <w:pStyle w:val="Normal"/>
        <w:framePr w:w="3213" w:hAnchor="page" w:vAnchor="page" w:x="274" w:y="4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7pt;margin-top:1pt;z-index:-16772056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12.7pt;margin-top:451.9pt;z-index:-167720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5.65pt;margin-top:84.5pt;z-index:-16772048;width:497.85pt;height:31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</w:p>
    <w:p>
      <w:pPr>
        <w:pStyle w:val="Normal"/>
        <w:framePr w:w="1631" w:hAnchor="page" w:vAnchor="page" w:x="274" w:y="1130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56  TechnipFMC</w:t>
      </w:r>
    </w:p>
    <w:p>
      <w:pPr>
        <w:pStyle w:val="Normal"/>
        <w:framePr w:w="11646" w:hAnchor="page" w:vAnchor="page" w:x="1028" w:y="107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are capped at target, even if our TSR performance relative to our Relative TSR Peer Group (as defined below) is above target.</w:t>
      </w:r>
    </w:p>
    <w:p>
      <w:pPr>
        <w:pStyle w:val="Normal"/>
        <w:framePr w:w="12990" w:hAnchor="page" w:vAnchor="page" w:x="1028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performance, and there is a cap on payout at maximum performance. In addition, in the case of negative absolute TSR performance, payouts</w:t>
      </w:r>
    </w:p>
    <w:p>
      <w:pPr>
        <w:pStyle w:val="Normal"/>
        <w:framePr w:w="12112" w:hAnchor="page" w:vAnchor="page" w:x="1028" w:y="103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dividend distributions — relative to an external peer group. There is no payout if Company performance is below a minimum level of</w:t>
      </w:r>
    </w:p>
    <w:p>
      <w:pPr>
        <w:pStyle w:val="Normal"/>
        <w:framePr w:w="13228" w:hAnchor="page" w:vAnchor="page" w:x="857" w:y="101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relative TSR performance measure comprises 50% of the PSU award and is based on equity returns – both share price performance and</w:t>
      </w:r>
    </w:p>
    <w:p>
      <w:pPr>
        <w:pStyle w:val="Normal"/>
        <w:framePr w:w="5965" w:hAnchor="page" w:vAnchor="page" w:x="715" w:y="97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measured over the three-year (2022-2024) performance period.</w:t>
      </w:r>
    </w:p>
    <w:p>
      <w:pPr>
        <w:pStyle w:val="Normal"/>
        <w:framePr w:w="13331" w:hAnchor="page" w:vAnchor="page" w:x="544" w:y="95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PSUs comprise the majority of the 2022 long-term equity incentive grant (70%) with payout contingent on relative TSR performance and ROIC,</w:t>
      </w:r>
    </w:p>
    <w:p>
      <w:pPr>
        <w:pStyle w:val="Normal"/>
        <w:framePr w:w="12455" w:hAnchor="page" w:vAnchor="page" w:x="857" w:y="91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Payout for the individual performance indicators is based on rigorous, individual goal setting and year-end evaluation of performance.</w:t>
      </w:r>
    </w:p>
    <w:p>
      <w:pPr>
        <w:pStyle w:val="Normal"/>
        <w:framePr w:w="7729" w:hAnchor="page" w:vAnchor="page" w:x="1028" w:y="87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reaffirm our commitments to respecting human rights and to corporate governance.</w:t>
      </w:r>
    </w:p>
    <w:p>
      <w:pPr>
        <w:pStyle w:val="Normal"/>
        <w:framePr w:w="12876" w:hAnchor="page" w:vAnchor="page" w:x="1028" w:y="85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live and operate, to improve and respect diversity, equity, and inclusion in our Company, to reinforce our health and safety culture, and to</w:t>
      </w:r>
    </w:p>
    <w:p>
      <w:pPr>
        <w:pStyle w:val="Normal"/>
        <w:framePr w:w="13525" w:hAnchor="page" w:vAnchor="page" w:x="857" w:y="83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ESG Scorecard includes specific, measurable, and challenging goals to reduce our environmental impact, to support the communities where</w:t>
      </w:r>
    </w:p>
    <w:p>
      <w:pPr>
        <w:pStyle w:val="Normal"/>
        <w:framePr w:w="12500" w:hAnchor="page" w:vAnchor="page" w:x="1028" w:y="79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payout at maximum performance. Performance targets and goals are predetermined, communicated in advance, and disclosed publicly.</w:t>
      </w:r>
    </w:p>
    <w:p>
      <w:pPr>
        <w:pStyle w:val="Normal"/>
        <w:framePr w:w="12796" w:hAnchor="page" w:vAnchor="page" w:x="1028" w:y="77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due to our emphasis on paying for performance. Payouts increase with increasing levels of performance and there is a cap on</w:t>
      </w:r>
    </w:p>
    <w:p>
      <w:pPr>
        <w:pStyle w:val="Normal"/>
        <w:framePr w:w="13513" w:hAnchor="page" w:vAnchor="page" w:x="857" w:y="75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Payouts for the financial portion are based on quantifiable performance. There is no payout if Company performance is below a minimum level of</w:t>
      </w:r>
    </w:p>
    <w:p>
      <w:pPr>
        <w:pStyle w:val="Normal"/>
        <w:framePr w:w="8845" w:hAnchor="page" w:vAnchor="page" w:x="715" w:y="71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Scorecard measures (25%) and individual performance in areas of strategic significance (25%).</w:t>
      </w:r>
    </w:p>
    <w:p>
      <w:pPr>
        <w:pStyle w:val="Normal"/>
        <w:framePr w:w="13906" w:hAnchor="page" w:vAnchor="page" w:x="544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2022 Annual cash incentive was based on Adjusted EBITDA as a Percentage of Revenue (25%), Free Cash Flow from Operations (25%), ESG</w:t>
      </w:r>
    </w:p>
    <w:p>
      <w:pPr>
        <w:pStyle w:val="Normal"/>
        <w:framePr w:w="13307" w:hAnchor="page" w:vAnchor="page" w:x="715" w:y="65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considers market median data, as well as other factors including the experience, tenure, role criticality, and performance of the incumbent NEOs.</w:t>
      </w:r>
    </w:p>
    <w:p>
      <w:pPr>
        <w:pStyle w:val="Normal"/>
        <w:framePr w:w="13684" w:hAnchor="page" w:vAnchor="page" w:x="544" w:y="63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Total target compensation is benchmarked relative to relevant peer groups by our independent compensation consultant, FW Cook. Our consultant</w:t>
      </w:r>
    </w:p>
    <w:p>
      <w:pPr>
        <w:pStyle w:val="Normal"/>
        <w:framePr w:w="10003" w:hAnchor="page" w:vAnchor="page" w:x="544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Total target compensation is made up of salary, an annual cash incentive, and long-term equity incentives.</w:t>
      </w:r>
    </w:p>
    <w:p>
      <w:pPr>
        <w:pStyle w:val="Normal"/>
        <w:framePr w:w="1160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measures.</w:t>
      </w:r>
    </w:p>
    <w:p>
      <w:pPr>
        <w:pStyle w:val="Normal"/>
        <w:framePr w:w="13571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intended by our pay-for-performance program, our 2022 executive compensation is directly tied to key financial, operational, ESG, and individual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7pt;margin-top:1pt;z-index:-1677204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12.7pt;margin-top:581.35pt;z-index:-1677204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5.65pt;margin-top:62.45pt;z-index:-16772036;width:497.85pt;height:2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</w:p>
    <w:p>
      <w:pPr>
        <w:pStyle w:val="Normal"/>
        <w:framePr w:w="1631" w:hAnchor="page" w:vAnchor="page" w:x="274" w:y="67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57  TechnipFMC</w:t>
      </w:r>
    </w:p>
    <w:p>
      <w:pPr>
        <w:pStyle w:val="Normal"/>
        <w:framePr w:w="11839" w:hAnchor="page" w:vAnchor="page" w:x="274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Annual Report and Accounts, which reports our results using international financial reporting standards (as adopted by the U.K.).</w:t>
      </w:r>
    </w:p>
    <w:p>
      <w:pPr>
        <w:pStyle w:val="Normal"/>
        <w:framePr w:w="14173" w:hAnchor="page" w:vAnchor="page" w:x="274" w:y="59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detailed information regarding our 2022 results, please see our Annual Report on Form 10-K, which reports our results using U.S. GAAP, and our U.K.</w:t>
      </w:r>
    </w:p>
    <w:p>
      <w:pPr>
        <w:pStyle w:val="Normal"/>
        <w:framePr w:w="13081" w:hAnchor="page" w:vAnchor="page" w:x="544" w:y="55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payout for the individual annual performance indicators (which makes up 25% of the annual incentive plan) ranged from 120% to 174%.</w:t>
      </w:r>
    </w:p>
    <w:p>
      <w:pPr>
        <w:pStyle w:val="Normal"/>
        <w:framePr w:w="7935" w:hAnchor="page" w:vAnchor="page" w:x="857" w:y="51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2022 performance towards our 2021-2023 ESG objectives was confirmed at 120%.</w:t>
      </w:r>
    </w:p>
    <w:p>
      <w:pPr>
        <w:pStyle w:val="Normal"/>
        <w:framePr w:w="7968" w:hAnchor="page" w:vAnchor="page" w:x="857" w:y="47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on Free Cash Flow Conversion measures was calculated to be 111%.</w:t>
      </w:r>
    </w:p>
    <w:p>
      <w:pPr>
        <w:pStyle w:val="Normal"/>
        <w:framePr w:w="8618" w:hAnchor="page" w:vAnchor="page" w:x="857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for Adjusted EBITDA as a Percentage of Revenue was calculated to be 94%.</w:t>
      </w:r>
    </w:p>
    <w:p>
      <w:pPr>
        <w:pStyle w:val="Normal"/>
        <w:framePr w:w="13742" w:hAnchor="page" w:vAnchor="page" w:x="544" w:y="39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total payout for the business performance indicators (which make up 75% of the annual cash incentive plan) was 108% based on the following:</w:t>
      </w:r>
    </w:p>
    <w:p>
      <w:pPr>
        <w:pStyle w:val="Normal"/>
        <w:framePr w:w="11241" w:hAnchor="page" w:vAnchor="page" w:x="274" w:y="35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other NEOs achieved a payout ranging from 111% to 125% of target for the annual cash incentive, based on the following:</w:t>
      </w:r>
    </w:p>
    <w:p>
      <w:pPr>
        <w:pStyle w:val="Normal"/>
        <w:framePr w:w="13843" w:hAnchor="page" w:vAnchor="page" w:x="274" w:y="33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annual cash incentive comprises 13% and 22% of 2022 total target at-risk compensation for our CEO and other NEOs, respectively. Our CEO and</w:t>
      </w:r>
    </w:p>
    <w:p>
      <w:pPr>
        <w:pStyle w:val="Normal"/>
        <w:framePr w:w="7638" w:hAnchor="page" w:vAnchor="page" w:x="274" w:y="304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2022 Financial Results Tied to our Annual Cash Incentive</w:t>
      </w:r>
    </w:p>
    <w:p>
      <w:pPr>
        <w:pStyle w:val="Normal"/>
        <w:framePr w:w="910" w:hAnchor="page" w:vAnchor="page" w:x="715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vesting.</w:t>
      </w:r>
    </w:p>
    <w:p>
      <w:pPr>
        <w:pStyle w:val="Normal"/>
        <w:framePr w:w="13251" w:hAnchor="page" w:vAnchor="page" w:x="54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long-term equity incentive awards vest at the end of three years and 50% of after-tax RSUs must be retained for at least one year following</w:t>
      </w:r>
    </w:p>
    <w:p>
      <w:pPr>
        <w:pStyle w:val="Normal"/>
        <w:framePr w:w="3381" w:hAnchor="page" w:vAnchor="page" w:x="715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based on share price performance.</w:t>
      </w:r>
    </w:p>
    <w:p>
      <w:pPr>
        <w:pStyle w:val="Normal"/>
        <w:framePr w:w="13467" w:hAnchor="page" w:vAnchor="page" w:x="544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remainder (30%) of the 2022 long-term equity incentive grant is delivered in the form of RSUs. The delivered value of RSUs to NEOs is also</w:t>
      </w:r>
    </w:p>
    <w:p>
      <w:pPr>
        <w:pStyle w:val="Normal"/>
        <w:framePr w:w="9597" w:hAnchor="page" w:vAnchor="page" w:x="857" w:y="14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targets and goals are predetermined, communicated in advance, and disclosed publicly.</w:t>
      </w:r>
    </w:p>
    <w:p>
      <w:pPr>
        <w:pStyle w:val="Normal"/>
        <w:framePr w:w="921" w:hAnchor="page" w:vAnchor="page" w:x="1028" w:y="10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income.</w:t>
      </w:r>
    </w:p>
    <w:p>
      <w:pPr>
        <w:pStyle w:val="Normal"/>
        <w:framePr w:w="13009" w:hAnchor="page" w:vAnchor="page" w:x="1028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average invested capital, and will assess our profitability and how effectively the Company uses capital over the three-year period to generate</w:t>
      </w:r>
    </w:p>
    <w:p>
      <w:pPr>
        <w:pStyle w:val="Normal"/>
        <w:framePr w:w="13183" w:hAnchor="page" w:vAnchor="page" w:x="857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b1ec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ROIC comprises 50% of the PSU award and is calculated based on a three-year average net operating profit after tax divided by a three-year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7pt;margin-top:1pt;z-index:-1677203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12.7pt;margin-top:352.35pt;z-index:-1677202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</w:p>
    <w:p>
      <w:pPr>
        <w:pStyle w:val="Normal"/>
        <w:framePr w:w="1631" w:hAnchor="page" w:vAnchor="page" w:x="274" w:y="925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58  TechnipFMC</w:t>
      </w:r>
    </w:p>
    <w:p>
      <w:pPr>
        <w:pStyle w:val="Normal"/>
        <w:framePr w:w="2823" w:hAnchor="page" w:vAnchor="page" w:x="596" w:y="84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but absolute TSR is negative</w:t>
      </w:r>
    </w:p>
    <w:p>
      <w:pPr>
        <w:pStyle w:val="Normal"/>
        <w:framePr w:w="6486" w:hAnchor="page" w:vAnchor="page" w:x="388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Cap PSU payout at target when relative TSR exceeds peers’ TSR,</w:t>
      </w:r>
    </w:p>
    <w:p>
      <w:pPr>
        <w:pStyle w:val="Normal"/>
        <w:framePr w:w="830" w:hAnchor="page" w:vAnchor="page" w:x="596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groups</w:t>
      </w:r>
    </w:p>
    <w:p>
      <w:pPr>
        <w:pStyle w:val="Normal"/>
        <w:framePr w:w="6578" w:hAnchor="page" w:vAnchor="page" w:x="388" w:y="76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Benchmark compensation against relevant global and industry peer</w:t>
      </w:r>
    </w:p>
    <w:p>
      <w:pPr>
        <w:pStyle w:val="Normal"/>
        <w:framePr w:w="4825" w:hAnchor="page" w:vAnchor="page" w:x="6476" w:y="74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hedging and pledging of Company securities</w:t>
      </w:r>
    </w:p>
    <w:p>
      <w:pPr>
        <w:pStyle w:val="Normal"/>
        <w:framePr w:w="5805" w:hAnchor="page" w:vAnchor="page" w:x="388" w:y="72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Engage an independent, external compensation consultant</w:t>
      </w:r>
    </w:p>
    <w:p>
      <w:pPr>
        <w:pStyle w:val="Normal"/>
        <w:framePr w:w="5394" w:hAnchor="page" w:vAnchor="page" w:x="6476" w:y="70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discounting, reloading, or repricing of stock options</w:t>
      </w:r>
    </w:p>
    <w:p>
      <w:pPr>
        <w:pStyle w:val="Normal"/>
        <w:framePr w:w="1399" w:hAnchor="page" w:vAnchor="page" w:x="596" w:y="68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requirements</w:t>
      </w:r>
    </w:p>
    <w:p>
      <w:pPr>
        <w:pStyle w:val="Normal"/>
        <w:framePr w:w="5428" w:hAnchor="page" w:vAnchor="page" w:x="388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Require robust executive and director share ownership</w:t>
      </w:r>
    </w:p>
    <w:p>
      <w:pPr>
        <w:pStyle w:val="Normal"/>
        <w:framePr w:w="5576" w:hAnchor="page" w:vAnchor="page" w:x="6476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excessive perquisites, benefits, or pension payments</w:t>
      </w:r>
    </w:p>
    <w:p>
      <w:pPr>
        <w:pStyle w:val="Normal"/>
        <w:framePr w:w="6213" w:hAnchor="page" w:vAnchor="page" w:x="388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Maintain a clawback policy in the event of malfeasance or fraud</w:t>
      </w:r>
    </w:p>
    <w:p>
      <w:pPr>
        <w:pStyle w:val="Normal"/>
        <w:framePr w:w="4631" w:hAnchor="page" w:vAnchor="page" w:x="6476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tax gross-ups on any severance payments</w:t>
      </w:r>
    </w:p>
    <w:p>
      <w:pPr>
        <w:pStyle w:val="Normal"/>
        <w:framePr w:w="1946" w:hAnchor="page" w:vAnchor="page" w:x="596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term compensation</w:t>
      </w:r>
    </w:p>
    <w:p>
      <w:pPr>
        <w:pStyle w:val="Normal"/>
        <w:framePr w:w="2650" w:hAnchor="page" w:vAnchor="page" w:x="6476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uncapped incentives</w:t>
      </w:r>
    </w:p>
    <w:p>
      <w:pPr>
        <w:pStyle w:val="Normal"/>
        <w:framePr w:w="6600" w:hAnchor="page" w:vAnchor="page" w:x="388" w:y="57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Majority of NEO compensation is performance-based, “at-risk” long-</w:t>
      </w:r>
    </w:p>
    <w:p>
      <w:pPr>
        <w:pStyle w:val="Normal"/>
        <w:framePr w:w="2650" w:hAnchor="page" w:vAnchor="page" w:x="6476" w:y="55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guaranteed bonuses</w:t>
      </w:r>
    </w:p>
    <w:p>
      <w:pPr>
        <w:pStyle w:val="Normal"/>
        <w:framePr w:w="3301" w:hAnchor="page" w:vAnchor="page" w:x="596" w:y="53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strategy and shareholder interests</w:t>
      </w:r>
    </w:p>
    <w:p>
      <w:pPr>
        <w:pStyle w:val="Normal"/>
        <w:framePr w:w="6293" w:hAnchor="page" w:vAnchor="page" w:x="388" w:y="51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Pay for performance by aligning performance measures with our</w:t>
      </w:r>
    </w:p>
    <w:p>
      <w:pPr>
        <w:pStyle w:val="Normal"/>
        <w:framePr w:w="4995" w:hAnchor="page" w:vAnchor="page" w:x="6476" w:y="51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single-trigger vesting upon a change-in-control</w:t>
      </w:r>
    </w:p>
    <w:p>
      <w:pPr>
        <w:pStyle w:val="Normal"/>
        <w:framePr w:w="1467" w:hAnchor="page" w:vAnchor="page" w:x="388" w:y="46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What We Do:</w:t>
      </w:r>
    </w:p>
    <w:p>
      <w:pPr>
        <w:pStyle w:val="Normal"/>
        <w:framePr w:w="2047" w:hAnchor="page" w:vAnchor="page" w:x="6476" w:y="46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What We Don’t Do:</w:t>
      </w:r>
    </w:p>
    <w:p>
      <w:pPr>
        <w:pStyle w:val="Normal"/>
        <w:framePr w:w="4792" w:hAnchor="page" w:vAnchor="page" w:x="544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Encourage prudent risk-taking by our executives</w:t>
      </w:r>
    </w:p>
    <w:p>
      <w:pPr>
        <w:pStyle w:val="Normal"/>
        <w:framePr w:w="6363" w:hAnchor="page" w:vAnchor="page" w:x="544" w:y="37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Maintain flexibility to better respond to the cyclical energy industry</w:t>
      </w:r>
    </w:p>
    <w:p>
      <w:pPr>
        <w:pStyle w:val="Normal"/>
        <w:framePr w:w="8082" w:hAnchor="page" w:vAnchor="page" w:x="544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Align executive officers’ interests with our long-term financial and strategic objectives</w:t>
      </w:r>
    </w:p>
    <w:p>
      <w:pPr>
        <w:pStyle w:val="Normal"/>
        <w:framePr w:w="8914" w:hAnchor="page" w:vAnchor="page" w:x="544" w:y="29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Link the interests of our executive officers with the interests of the Company and shareholders</w:t>
      </w:r>
    </w:p>
    <w:p>
      <w:pPr>
        <w:pStyle w:val="Normal"/>
        <w:framePr w:w="4428" w:hAnchor="page" w:vAnchor="page" w:x="544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Support our pay-for-performance philosophy</w:t>
      </w:r>
    </w:p>
    <w:p>
      <w:pPr>
        <w:pStyle w:val="Normal"/>
        <w:framePr w:w="7878" w:hAnchor="page" w:vAnchor="page" w:x="544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Attract talented individuals by providing market competitive levels of compensation</w:t>
      </w:r>
    </w:p>
    <w:p>
      <w:pPr>
        <w:pStyle w:val="Normal"/>
        <w:framePr w:w="7320" w:hAnchor="page" w:vAnchor="page" w:x="274" w:y="17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principles of our executive compensation program, which include the following:</w:t>
      </w:r>
    </w:p>
    <w:p>
      <w:pPr>
        <w:pStyle w:val="Normal"/>
        <w:framePr w:w="13412" w:hAnchor="page" w:vAnchor="page" w:x="274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compensation practices are designed to align with shareholder interests and incorporate strong governance practices that support the guiding</w:t>
      </w:r>
    </w:p>
    <w:p>
      <w:pPr>
        <w:pStyle w:val="Normal"/>
        <w:framePr w:w="3046" w:hAnchor="page" w:vAnchor="page" w:x="274" w:y="1129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Shareholders</w:t>
      </w:r>
    </w:p>
    <w:p>
      <w:pPr>
        <w:pStyle w:val="Normal"/>
        <w:framePr w:w="12227" w:hAnchor="page" w:vAnchor="page" w:x="274" w:y="67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Good Governance and Compensation Practices Aligned with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7pt;margin-top:1pt;z-index:-16772024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2.7pt;margin-top:226.45pt;z-index:-16772020;width:282.95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17.1pt;margin-top:226.45pt;z-index:-16772016;width:282.2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12.7pt;margin-top:247.8pt;z-index:-16772012;width:282.95pt;height:192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17.1pt;margin-top:247.8pt;z-index:-16772008;width:282.2pt;height:192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12.7pt;margin-top:478.95pt;z-index:-167720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</w:p>
    <w:p>
      <w:pPr>
        <w:pStyle w:val="Normal"/>
        <w:framePr w:w="1631" w:hAnchor="page" w:vAnchor="page" w:x="274" w:y="110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59  TechnipFMC</w:t>
      </w:r>
    </w:p>
    <w:p>
      <w:pPr>
        <w:pStyle w:val="Normal"/>
        <w:framePr w:w="10125" w:hAnchor="page" w:vAnchor="page" w:x="601" w:y="104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5. Any stock of TechnipFMC owned by FW Cook (or the compensation advisor’s immediate family members);</w:t>
      </w:r>
    </w:p>
    <w:p>
      <w:pPr>
        <w:pStyle w:val="Normal"/>
        <w:framePr w:w="4564" w:hAnchor="page" w:vAnchor="page" w:x="814" w:y="100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Talent Committee, or our executive officers;</w:t>
      </w:r>
    </w:p>
    <w:p>
      <w:pPr>
        <w:pStyle w:val="Normal"/>
        <w:framePr w:w="13689" w:hAnchor="page" w:vAnchor="page" w:x="601" w:y="98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4. Any business or personal relationship of FW Cook (or the spouse of the compensation advisor) with the members of our Board, the Compensation</w:t>
      </w:r>
    </w:p>
    <w:p>
      <w:pPr>
        <w:pStyle w:val="Normal"/>
        <w:framePr w:w="8100" w:hAnchor="page" w:vAnchor="page" w:x="601" w:y="94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3. FW Cook’s policies and procedures that are designed to prevent conflicts of interest;</w:t>
      </w:r>
    </w:p>
    <w:p>
      <w:pPr>
        <w:pStyle w:val="Normal"/>
        <w:framePr w:w="7974" w:hAnchor="page" w:vAnchor="page" w:x="601" w:y="90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2. The amount of fees paid to FW Cook, as a percentage of FW Cook’s total revenue;</w:t>
      </w:r>
    </w:p>
    <w:p>
      <w:pPr>
        <w:pStyle w:val="Normal"/>
        <w:framePr w:w="5947" w:hAnchor="page" w:vAnchor="page" w:x="601" w:y="86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1. The provision of other services to TechnipFMC by FW Cook;</w:t>
      </w:r>
    </w:p>
    <w:p>
      <w:pPr>
        <w:pStyle w:val="Normal"/>
        <w:framePr w:w="8982" w:hAnchor="page" w:vAnchor="page" w:x="274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Committee assesses FW Cook’s independence and objectivity by considering seven factors:</w:t>
      </w:r>
    </w:p>
    <w:p>
      <w:pPr>
        <w:pStyle w:val="Normal"/>
        <w:framePr w:w="10075" w:hAnchor="page" w:vAnchor="page" w:x="274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Peer Group used to establish the market value of executive jobs and inform pay practices.</w:t>
      </w:r>
    </w:p>
    <w:p>
      <w:pPr>
        <w:pStyle w:val="Normal"/>
        <w:framePr w:w="14083" w:hAnchor="page" w:vAnchor="page" w:x="274" w:y="76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2022 director and executive compensation matters, updates on executive compensation trends and applicable legislative and governance activity, and on</w:t>
      </w:r>
    </w:p>
    <w:p>
      <w:pPr>
        <w:pStyle w:val="Normal"/>
        <w:framePr w:w="14185" w:hAnchor="page" w:vAnchor="page" w:x="274" w:y="74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and Talent Committee on the prevalence and design of executive compensation programs. In addition, FW Cook advised the Committee on</w:t>
      </w:r>
    </w:p>
    <w:p>
      <w:pPr>
        <w:pStyle w:val="Normal"/>
        <w:framePr w:w="12990" w:hAnchor="page" w:vAnchor="page" w:x="274" w:y="72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March 2021, the Committee selected FW Cook as its independent compensation consultant. During 2022, FW Cook provided advice to the</w:t>
      </w:r>
    </w:p>
    <w:p>
      <w:pPr>
        <w:pStyle w:val="Normal"/>
        <w:framePr w:w="727" w:hAnchor="page" w:vAnchor="page" w:x="274" w:y="68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Act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</w:t>
      </w:r>
    </w:p>
    <w:p>
      <w:pPr>
        <w:pStyle w:val="Normal"/>
        <w:framePr w:w="13663" w:hAnchor="page" w:vAnchor="page" w:x="274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consistent with NYSE rules, SEC rules, and requirements under the Dodd-Frank Wall Street Reform and Consumer Protection Act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Dodd-Frank</w:t>
      </w:r>
    </w:p>
    <w:p>
      <w:pPr>
        <w:pStyle w:val="Normal"/>
        <w:framePr w:w="13600" w:hAnchor="page" w:vAnchor="page" w:x="274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consultant’s fees and its terms. The Compensation and Talent Committee considers appropriate standards in selecting its compensation consultants</w:t>
      </w:r>
    </w:p>
    <w:p>
      <w:pPr>
        <w:pStyle w:val="Normal"/>
        <w:framePr w:w="13499" w:hAnchor="page" w:vAnchor="page" w:x="274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other advisors engaged to assist in the evaluation of compensation of directors or executive officers, including the sole authority to approve the</w:t>
      </w:r>
    </w:p>
    <w:p>
      <w:pPr>
        <w:pStyle w:val="Normal"/>
        <w:framePr w:w="14186" w:hAnchor="page" w:vAnchor="page" w:x="274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its charter, the Compensation and Talent Committee has the sole authority to retain and terminate any compensation consultant, outside counsel, or</w:t>
      </w:r>
    </w:p>
    <w:p>
      <w:pPr>
        <w:pStyle w:val="Normal"/>
        <w:framePr w:w="9916" w:hAnchor="page" w:vAnchor="page" w:x="274" w:y="580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Role of the Compensation and Talent Committee’s Independent Consultant</w:t>
      </w:r>
    </w:p>
    <w:p>
      <w:pPr>
        <w:pStyle w:val="Normal"/>
        <w:framePr w:w="7351" w:hAnchor="page" w:vAnchor="page" w:x="274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on our website at </w:t>
      </w:r>
      <w:r>
        <w:rPr>
          <w:rFonts w:ascii="NMMUPN+Arial-BoldItalicMT" w:hAnsi="NMMUPN+Arial-BoldItalicMT" w:fareast="NMMUPN+Arial-BoldItalicMT" w:cs="NMMUPN+Arial-BoldItalicMT"/>
          <w:color w:val="481f6e"/>
          <w:w w:val="100"/>
          <w:sz w:val="17"/>
          <w:szCs w:val="17"/>
        </w:rPr>
        <w:t xml:space="preserve">www.technipfmc.com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heading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About us &gt; ESG.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</w:t>
      </w:r>
    </w:p>
    <w:p>
      <w:pPr>
        <w:pStyle w:val="Normal"/>
        <w:framePr w:w="14082" w:hAnchor="page" w:vAnchor="page" w:x="274" w:y="52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Committees of the Board of Directors–Compensation and Talent Committee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,” and the charter of the Compensation and Talent Committee may be viewed</w:t>
      </w:r>
    </w:p>
    <w:p>
      <w:pPr>
        <w:pStyle w:val="Normal"/>
        <w:framePr w:w="13730" w:hAnchor="page" w:vAnchor="page" w:x="274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Additional information on the roles and responsibilities of the Compensation and Talent Committee is provided in the section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Corporate Governance–</w:t>
      </w:r>
    </w:p>
    <w:p>
      <w:pPr>
        <w:pStyle w:val="Normal"/>
        <w:framePr w:w="9801" w:hAnchor="page" w:vAnchor="page" w:x="274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excessive risk-taking and evaluates compensation policies and practices that could mitigate any such risk.</w:t>
      </w:r>
    </w:p>
    <w:p>
      <w:pPr>
        <w:pStyle w:val="Normal"/>
        <w:framePr w:w="13498" w:hAnchor="page" w:vAnchor="page" w:x="274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 also reviews the Company’s incentive compensation arrangements to ensure that they do not incentivize</w:t>
      </w:r>
    </w:p>
    <w:p>
      <w:pPr>
        <w:pStyle w:val="Normal"/>
        <w:framePr w:w="1638" w:hAnchor="page" w:vAnchor="page" w:x="715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diversity efforts.</w:t>
      </w:r>
    </w:p>
    <w:p>
      <w:pPr>
        <w:pStyle w:val="Normal"/>
        <w:framePr w:w="13385" w:hAnchor="page" w:vAnchor="page" w:x="544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Company’s global strategy and initiatives related to executive succession planning for designated senior leadership roles and inclusion and</w:t>
      </w:r>
    </w:p>
    <w:p>
      <w:pPr>
        <w:pStyle w:val="Normal"/>
        <w:framePr w:w="1844" w:hAnchor="page" w:vAnchor="page" w:x="715" w:y="34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shareholders; and</w:t>
      </w:r>
    </w:p>
    <w:p>
      <w:pPr>
        <w:pStyle w:val="Normal"/>
        <w:framePr w:w="12420" w:hAnchor="page" w:vAnchor="page" w:x="715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derivatives to be allocated to all other employees at the discretion of the CEO, consistent with equity plans approved by the Company’s</w:t>
      </w:r>
    </w:p>
    <w:p>
      <w:pPr>
        <w:pStyle w:val="Normal"/>
        <w:framePr w:w="13483" w:hAnchor="page" w:vAnchor="page" w:x="544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awards of equity securities or equity derivatives to executive officers of the Company, as well as the total number of equity securities or equity</w:t>
      </w:r>
    </w:p>
    <w:p>
      <w:pPr>
        <w:pStyle w:val="Normal"/>
        <w:framePr w:w="1183" w:hAnchor="page" w:vAnchor="page" w:x="715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applicable;</w:t>
      </w:r>
    </w:p>
    <w:p>
      <w:pPr>
        <w:pStyle w:val="Normal"/>
        <w:framePr w:w="13400" w:hAnchor="page" w:vAnchor="page" w:x="544" w:y="24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agreements, plans, policies, and programs of the Company to compensate its independent directors, Chair and CEO, and other officers, as</w:t>
      </w:r>
    </w:p>
    <w:p>
      <w:pPr>
        <w:pStyle w:val="Normal"/>
        <w:framePr w:w="4246" w:hAnchor="page" w:vAnchor="page" w:x="274" w:y="20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things, reviewing, evaluating, and approving:</w:t>
      </w:r>
    </w:p>
    <w:p>
      <w:pPr>
        <w:pStyle w:val="Normal"/>
        <w:framePr w:w="14033" w:hAnchor="page" w:vAnchor="page" w:x="274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determines the compensation for our executive officers on behalf of the Board. The Compensation and Talent Committee is responsible for, among other</w:t>
      </w:r>
    </w:p>
    <w:p>
      <w:pPr>
        <w:pStyle w:val="Normal"/>
        <w:framePr w:w="13434" w:hAnchor="page" w:vAnchor="page" w:x="274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Compensation and Talent Committee, comprising of independent non-executive directors, oversees our executive compensation program and</w:t>
      </w:r>
    </w:p>
    <w:p>
      <w:pPr>
        <w:pStyle w:val="Normal"/>
        <w:framePr w:w="6542" w:hAnchor="page" w:vAnchor="page" w:x="274" w:y="1327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Role of the Compensation and Talent Committee</w:t>
      </w:r>
    </w:p>
    <w:p>
      <w:pPr>
        <w:pStyle w:val="Normal"/>
        <w:framePr w:w="5773" w:hAnchor="page" w:vAnchor="page" w:x="274" w:y="67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Compensation Governance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7pt;margin-top:1pt;z-index:-167720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12.7pt;margin-top:569.95pt;z-index:-1677199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</w:p>
    <w:p>
      <w:pPr>
        <w:pStyle w:val="Normal"/>
        <w:framePr w:w="1631" w:hAnchor="page" w:vAnchor="page" w:x="274" w:y="99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60  TechnipFMC</w:t>
      </w:r>
    </w:p>
    <w:p>
      <w:pPr>
        <w:pStyle w:val="Normal"/>
        <w:framePr w:w="648" w:hAnchor="page" w:vAnchor="page" w:x="8448" w:y="91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roles</w:t>
      </w:r>
    </w:p>
    <w:p>
      <w:pPr>
        <w:pStyle w:val="Normal"/>
        <w:framePr w:w="3961" w:hAnchor="page" w:vAnchor="page" w:x="8448" w:y="89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succession planning for senior leadership</w:t>
      </w:r>
    </w:p>
    <w:p>
      <w:pPr>
        <w:pStyle w:val="Normal"/>
        <w:framePr w:w="4255" w:hAnchor="page" w:vAnchor="page" w:x="8239" w:y="87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Review the Company’s strategy related to</w:t>
      </w:r>
    </w:p>
    <w:p>
      <w:pPr>
        <w:pStyle w:val="Normal"/>
        <w:framePr w:w="2071" w:hAnchor="page" w:vAnchor="page" w:x="8448" w:y="83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upcoming fiscal year</w:t>
      </w:r>
    </w:p>
    <w:p>
      <w:pPr>
        <w:pStyle w:val="Normal"/>
        <w:framePr w:w="4189" w:hAnchor="page" w:vAnchor="page" w:x="8448" w:y="81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annual and long-term incentive plans for the</w:t>
      </w:r>
    </w:p>
    <w:p>
      <w:pPr>
        <w:pStyle w:val="Normal"/>
        <w:framePr w:w="2117" w:hAnchor="page" w:vAnchor="page" w:x="596" w:y="79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Report and Accounts</w:t>
      </w:r>
    </w:p>
    <w:p>
      <w:pPr>
        <w:pStyle w:val="Normal"/>
        <w:framePr w:w="4471" w:hAnchor="page" w:vAnchor="page" w:x="8239" w:y="79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Provide feedback on potential framework for</w:t>
      </w:r>
    </w:p>
    <w:p>
      <w:pPr>
        <w:pStyle w:val="Normal"/>
        <w:framePr w:w="4200" w:hAnchor="page" w:vAnchor="page" w:x="596" w:y="77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Company Proxy Statement and U.K. Annual</w:t>
      </w:r>
    </w:p>
    <w:p>
      <w:pPr>
        <w:pStyle w:val="Normal"/>
        <w:framePr w:w="4529" w:hAnchor="page" w:vAnchor="page" w:x="388" w:y="75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Approve annual compensation disclosures in</w:t>
      </w:r>
    </w:p>
    <w:p>
      <w:pPr>
        <w:pStyle w:val="Normal"/>
        <w:framePr w:w="2641" w:hAnchor="page" w:vAnchor="page" w:x="8448" w:y="75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Compensation Peer Group</w:t>
      </w:r>
    </w:p>
    <w:p>
      <w:pPr>
        <w:pStyle w:val="Normal"/>
        <w:framePr w:w="4064" w:hAnchor="page" w:vAnchor="page" w:x="8448" w:y="73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executive leadership compensation versus</w:t>
      </w:r>
    </w:p>
    <w:p>
      <w:pPr>
        <w:pStyle w:val="Normal"/>
        <w:framePr w:w="3221" w:hAnchor="page" w:vAnchor="page" w:x="596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strategy, structure, and programs</w:t>
      </w:r>
    </w:p>
    <w:p>
      <w:pPr>
        <w:pStyle w:val="Normal"/>
        <w:framePr w:w="773" w:hAnchor="page" w:vAnchor="page" w:x="4593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Group</w:t>
      </w:r>
    </w:p>
    <w:p>
      <w:pPr>
        <w:pStyle w:val="Normal"/>
        <w:framePr w:w="4437" w:hAnchor="page" w:vAnchor="page" w:x="8239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Review of peer compensation practices and</w:t>
      </w:r>
    </w:p>
    <w:p>
      <w:pPr>
        <w:pStyle w:val="Normal"/>
        <w:framePr w:w="4528" w:hAnchor="page" w:vAnchor="page" w:x="388" w:y="69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Review and discuss executive compensation</w:t>
      </w:r>
    </w:p>
    <w:p>
      <w:pPr>
        <w:pStyle w:val="Normal"/>
        <w:framePr w:w="4175" w:hAnchor="page" w:vAnchor="page" w:x="4385" w:y="69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Determination of the Compensation Peer</w:t>
      </w:r>
    </w:p>
    <w:p>
      <w:pPr>
        <w:pStyle w:val="Normal"/>
        <w:framePr w:w="1992" w:hAnchor="page" w:vAnchor="page" w:x="8448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shareholder dilution</w:t>
      </w:r>
    </w:p>
    <w:p>
      <w:pPr>
        <w:pStyle w:val="Normal"/>
        <w:framePr w:w="2880" w:hAnchor="page" w:vAnchor="page" w:x="596" w:y="65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and long-term incentive plans</w:t>
      </w:r>
    </w:p>
    <w:p>
      <w:pPr>
        <w:pStyle w:val="Normal"/>
        <w:framePr w:w="3358" w:hAnchor="page" w:vAnchor="page" w:x="4593" w:y="65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review annual meeting vote results</w:t>
      </w:r>
    </w:p>
    <w:p>
      <w:pPr>
        <w:pStyle w:val="Normal"/>
        <w:framePr w:w="3962" w:hAnchor="page" w:vAnchor="page" w:x="8448" w:y="65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budget for non-executives, and impact on</w:t>
      </w:r>
    </w:p>
    <w:p>
      <w:pPr>
        <w:pStyle w:val="Normal"/>
        <w:framePr w:w="4200" w:hAnchor="page" w:vAnchor="page" w:x="596" w:y="63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for prior year in relation to annual short-term</w:t>
      </w:r>
    </w:p>
    <w:p>
      <w:pPr>
        <w:pStyle w:val="Normal"/>
        <w:framePr w:w="3825" w:hAnchor="page" w:vAnchor="page" w:x="4593" w:y="63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shareholder engagement outcomes and</w:t>
      </w:r>
    </w:p>
    <w:p>
      <w:pPr>
        <w:pStyle w:val="Normal"/>
        <w:framePr w:w="4085" w:hAnchor="page" w:vAnchor="page" w:x="8239" w:y="63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Approve equity programs, annual equity</w:t>
      </w:r>
    </w:p>
    <w:p>
      <w:pPr>
        <w:pStyle w:val="Normal"/>
        <w:framePr w:w="4688" w:hAnchor="page" w:vAnchor="page" w:x="388" w:y="61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Approve Company performance achievements</w:t>
      </w:r>
    </w:p>
    <w:p>
      <w:pPr>
        <w:pStyle w:val="Normal"/>
        <w:framePr w:w="3503" w:hAnchor="page" w:vAnchor="page" w:x="4385" w:y="61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Discuss proxy advisory feedback,</w:t>
      </w:r>
    </w:p>
    <w:p>
      <w:pPr>
        <w:pStyle w:val="Normal"/>
        <w:framePr w:w="3381" w:hAnchor="page" w:vAnchor="page" w:x="8448" w:y="59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hedging, pledging) and compliance</w:t>
      </w:r>
    </w:p>
    <w:p>
      <w:pPr>
        <w:pStyle w:val="Normal"/>
        <w:framePr w:w="3118" w:hAnchor="page" w:vAnchor="page" w:x="596" w:y="57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awards for directors and officers</w:t>
      </w:r>
    </w:p>
    <w:p>
      <w:pPr>
        <w:pStyle w:val="Normal"/>
        <w:framePr w:w="2618" w:hAnchor="page" w:vAnchor="page" w:x="4593" w:y="57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guidelines and compliance</w:t>
      </w:r>
    </w:p>
    <w:p>
      <w:pPr>
        <w:pStyle w:val="Normal"/>
        <w:framePr w:w="3608" w:hAnchor="page" w:vAnchor="page" w:x="8448" w:y="57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claw-back, insider trading policy, anti-</w:t>
      </w:r>
    </w:p>
    <w:p>
      <w:pPr>
        <w:pStyle w:val="Normal"/>
        <w:framePr w:w="4472" w:hAnchor="page" w:vAnchor="page" w:x="388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Approve compensation decisions and equity</w:t>
      </w:r>
    </w:p>
    <w:p>
      <w:pPr>
        <w:pStyle w:val="Normal"/>
        <w:framePr w:w="4232" w:hAnchor="page" w:vAnchor="page" w:x="4385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Review executive officer share ownership</w:t>
      </w:r>
    </w:p>
    <w:p>
      <w:pPr>
        <w:pStyle w:val="Normal"/>
        <w:framePr w:w="4255" w:hAnchor="page" w:vAnchor="page" w:x="8239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3"/>
          <w:w w:val="100"/>
          <w:sz w:val="17"/>
          <w:szCs w:val="17"/>
        </w:rPr>
        <w:t>Review internal governance policies (e.g.,</w:t>
      </w:r>
    </w:p>
    <w:p>
      <w:pPr>
        <w:pStyle w:val="Normal"/>
        <w:framePr w:w="4803" w:hAnchor="page" w:vAnchor="page" w:x="274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activities of the committee in 2022 were as follows:</w:t>
      </w:r>
    </w:p>
    <w:p>
      <w:pPr>
        <w:pStyle w:val="Normal"/>
        <w:framePr w:w="14060" w:hAnchor="page" w:vAnchor="page" w:x="274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year the Compensation and Talent Committee approves an annual calendar which sets out the key activities in accordance with its charter. The key</w:t>
      </w:r>
    </w:p>
    <w:p>
      <w:pPr>
        <w:pStyle w:val="Normal"/>
        <w:framePr w:w="2882" w:hAnchor="page" w:vAnchor="page" w:x="274" w:y="346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The Annual Process</w:t>
      </w:r>
    </w:p>
    <w:p>
      <w:pPr>
        <w:pStyle w:val="Normal"/>
        <w:framePr w:w="6978" w:hAnchor="page" w:vAnchor="page" w:x="274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annually reviews and considers the independence of FW Cook.</w:t>
      </w:r>
    </w:p>
    <w:p>
      <w:pPr>
        <w:pStyle w:val="Normal"/>
        <w:framePr w:w="13559" w:hAnchor="page" w:vAnchor="page" w:x="274" w:y="28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executive and director compensation matters. In accordance with its annual practice and pursuant to the SEC rules and NYSE listing standards, the</w:t>
      </w:r>
    </w:p>
    <w:p>
      <w:pPr>
        <w:pStyle w:val="Normal"/>
        <w:framePr w:w="14013" w:hAnchor="page" w:vAnchor="page" w:x="274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services to TechnipFMC or its management other than the services provided to the Committee in its capacity as the Committee’s independent advisor on</w:t>
      </w:r>
    </w:p>
    <w:p>
      <w:pPr>
        <w:pStyle w:val="Normal"/>
        <w:framePr w:w="14128" w:hAnchor="page" w:vAnchor="page" w:x="274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FW Cook was paid approximately $226,412 in time and expense fees related to executive compensation services provided in 2022. FW Cook provides no</w:t>
      </w:r>
    </w:p>
    <w:p>
      <w:pPr>
        <w:pStyle w:val="Normal"/>
        <w:framePr w:w="13316" w:hAnchor="page" w:vAnchor="page" w:x="27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could give rise to a potential conflict of interest and determined that FW Cook’s work performed during 2022 did not raise any conflicts of interest.</w:t>
      </w:r>
    </w:p>
    <w:p>
      <w:pPr>
        <w:pStyle w:val="Normal"/>
        <w:framePr w:w="14185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Organization Development Committee has considered and assessed all relevant factors, including those required by the SEC, that</w:t>
      </w:r>
    </w:p>
    <w:p>
      <w:pPr>
        <w:pStyle w:val="Normal"/>
        <w:framePr w:w="2834" w:hAnchor="page" w:vAnchor="page" w:x="814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TechnipFMC’s management.</w:t>
      </w:r>
    </w:p>
    <w:p>
      <w:pPr>
        <w:pStyle w:val="Normal"/>
        <w:framePr w:w="13313" w:hAnchor="page" w:vAnchor="page" w:x="601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7. Other factors deemed relevant to the independence of FW Cook from TechnipFMC any Committee member of TechnipFMC or any member of</w:t>
      </w:r>
    </w:p>
    <w:p>
      <w:pPr>
        <w:pStyle w:val="Normal"/>
        <w:framePr w:w="11494" w:hAnchor="page" w:vAnchor="page" w:x="81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employee of FW Cook) with any individual who served as an executive officer of TechnipFMC since December 31, 2021; and</w:t>
      </w:r>
    </w:p>
    <w:p>
      <w:pPr>
        <w:pStyle w:val="Normal"/>
        <w:framePr w:w="13007" w:hAnchor="page" w:vAnchor="page" w:x="601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6. Any business or personal relationship of the compensation advisor (or the spouse of the compensation advisor) or FW Cook (including any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7pt;margin-top:1pt;z-index:-167719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2.7pt;margin-top:215.8pt;z-index:-16771988;width:201.15pt;height:5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211.85pt;margin-top:215.8pt;z-index:-16771984;width:194.75pt;height:5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04.55pt;margin-top:215.8pt;z-index:-16771980;width:194.75pt;height:5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12.7pt;margin-top:270.55pt;z-index:-16771976;width:201.15pt;height:20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211.85pt;margin-top:270.55pt;z-index:-16771972;width:194.75pt;height:20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04.55pt;margin-top:270.55pt;z-index:-16771968;width:194.75pt;height:20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04.55pt;margin-top:270.55pt;z-index:-16771964;width:2.7pt;height:20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211.85pt;margin-top:270.55pt;z-index:-16771960;width:2.7pt;height:20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04.55pt;margin-top:215.8pt;z-index:-16771956;width:19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04.55pt;margin-top:270.55pt;z-index:-16771952;width:19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211.85pt;margin-top:215.8pt;z-index:-16771948;width:19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211.85pt;margin-top:270.55pt;z-index:-16771944;width:19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404.55pt;margin-top:215.8pt;z-index:-16771940;width:2.7pt;height:5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12.7pt;margin-top:215.8pt;z-index:-16771936;width:201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12.7pt;margin-top:270.55pt;z-index:-16771932;width:201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211.85pt;margin-top:215.8pt;z-index:-16771928;width:2.7pt;height:5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12.7pt;margin-top:512.35pt;z-index:-167719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21.5pt;margin-top:224.6pt;z-index:-16771920;width:99.55pt;height:39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219.25pt;margin-top:223.2pt;z-index:-16771916;width:156.45pt;height:4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11.95pt;margin-top:226.75pt;z-index:-16771912;width:99.55pt;height:3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</w:p>
    <w:p>
      <w:pPr>
        <w:pStyle w:val="Normal"/>
        <w:framePr w:w="1631" w:hAnchor="page" w:vAnchor="page" w:x="274" w:y="1217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61  TechnipFMC</w:t>
      </w:r>
    </w:p>
    <w:p>
      <w:pPr>
        <w:pStyle w:val="Normal"/>
        <w:framePr w:w="5896" w:hAnchor="page" w:vAnchor="page" w:x="274" w:y="1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the shareholder-approved Directors’ Remuneration Policy.</w:t>
      </w:r>
    </w:p>
    <w:p>
      <w:pPr>
        <w:pStyle w:val="Normal"/>
        <w:framePr w:w="14170" w:hAnchor="page" w:vAnchor="page" w:x="274" w:y="113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experience, tenure, role criticality, and performance of the incumbent NEOs. In addition, any changes to the CEO’s target compensation are in accordance</w:t>
      </w:r>
    </w:p>
    <w:p>
      <w:pPr>
        <w:pStyle w:val="Normal"/>
        <w:framePr w:w="13422" w:hAnchor="page" w:vAnchor="page" w:x="274" w:y="111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setting target compensation, the Compensation and Talent Committee also considers market median data, as well as other factors including the</w:t>
      </w:r>
    </w:p>
    <w:p>
      <w:pPr>
        <w:pStyle w:val="Normal"/>
        <w:framePr w:w="7331" w:hAnchor="page" w:vAnchor="page" w:x="274" w:y="107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also considers internal relativities between the CEO and the NEOs.</w:t>
      </w:r>
    </w:p>
    <w:p>
      <w:pPr>
        <w:pStyle w:val="Normal"/>
        <w:framePr w:w="14091" w:hAnchor="page" w:vAnchor="page" w:x="274" w:y="105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 NEO’s compensation to data for relevant roles within the Compensation Peer Group. To provide additional perspectives, the Compensation and Talent</w:t>
      </w:r>
    </w:p>
    <w:p>
      <w:pPr>
        <w:pStyle w:val="Normal"/>
        <w:framePr w:w="13969" w:hAnchor="page" w:vAnchor="page" w:x="274" w:y="103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determining the target compensation package for each NEO, the Compensation and Talent Committee compares each element and combined total of</w:t>
      </w:r>
    </w:p>
    <w:p>
      <w:pPr>
        <w:pStyle w:val="Normal"/>
        <w:framePr w:w="4074" w:hAnchor="page" w:vAnchor="page" w:x="274" w:y="101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Setting Target Executive Compensation</w:t>
      </w:r>
    </w:p>
    <w:p>
      <w:pPr>
        <w:pStyle w:val="Normal"/>
        <w:framePr w:w="2117" w:hAnchor="page" w:vAnchor="page" w:x="388" w:y="96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Halliburton Company</w:t>
      </w:r>
    </w:p>
    <w:p>
      <w:pPr>
        <w:pStyle w:val="Normal"/>
        <w:framePr w:w="2834" w:hAnchor="page" w:vAnchor="page" w:x="6248" w:y="96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Weatherford International plc</w:t>
      </w:r>
    </w:p>
    <w:p>
      <w:pPr>
        <w:pStyle w:val="Normal"/>
        <w:framePr w:w="1798" w:hAnchor="page" w:vAnchor="page" w:x="388" w:y="92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Fluor Corporation</w:t>
      </w:r>
    </w:p>
    <w:p>
      <w:pPr>
        <w:pStyle w:val="Normal"/>
        <w:framePr w:w="1900" w:hAnchor="page" w:vAnchor="page" w:x="6248" w:y="92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Valmont Industries</w:t>
      </w:r>
    </w:p>
    <w:p>
      <w:pPr>
        <w:pStyle w:val="Normal"/>
        <w:framePr w:w="1878" w:hAnchor="page" w:vAnchor="page" w:x="388" w:y="88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Dover Corporation</w:t>
      </w:r>
    </w:p>
    <w:p>
      <w:pPr>
        <w:pStyle w:val="Normal"/>
        <w:framePr w:w="1684" w:hAnchor="page" w:vAnchor="page" w:x="6248" w:y="88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Transocean Ltd.</w:t>
      </w:r>
    </w:p>
    <w:p>
      <w:pPr>
        <w:pStyle w:val="Normal"/>
        <w:framePr w:w="2629" w:hAnchor="page" w:vAnchor="page" w:x="388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Devon Energy Corporation</w:t>
      </w:r>
    </w:p>
    <w:p>
      <w:pPr>
        <w:pStyle w:val="Normal"/>
        <w:framePr w:w="591" w:hAnchor="page" w:vAnchor="page" w:x="6248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SLB</w:t>
      </w:r>
    </w:p>
    <w:p>
      <w:pPr>
        <w:pStyle w:val="Normal"/>
        <w:framePr w:w="2094" w:hAnchor="page" w:vAnchor="page" w:x="388" w:y="80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Chart Industries, Inc.</w:t>
      </w:r>
    </w:p>
    <w:p>
      <w:pPr>
        <w:pStyle w:val="Normal"/>
        <w:framePr w:w="2162" w:hAnchor="page" w:vAnchor="page" w:x="6248" w:y="80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Quanta Services, Inc.</w:t>
      </w:r>
    </w:p>
    <w:p>
      <w:pPr>
        <w:pStyle w:val="Normal"/>
        <w:framePr w:w="1832" w:hAnchor="page" w:vAnchor="page" w:x="388" w:y="76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ChampionX Corp.</w:t>
      </w:r>
    </w:p>
    <w:p>
      <w:pPr>
        <w:pStyle w:val="Normal"/>
        <w:framePr w:w="2561" w:hAnchor="page" w:vAnchor="page" w:x="6248" w:y="76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Oceaneering International</w:t>
      </w:r>
    </w:p>
    <w:p>
      <w:pPr>
        <w:pStyle w:val="Normal"/>
        <w:framePr w:w="1502" w:hAnchor="page" w:vAnchor="page" w:x="388" w:y="72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Baker Hughes</w:t>
      </w:r>
    </w:p>
    <w:p>
      <w:pPr>
        <w:pStyle w:val="Normal"/>
        <w:framePr w:w="2652" w:hAnchor="page" w:vAnchor="page" w:x="6248" w:y="72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National Oilwell Varco, Inc.</w:t>
      </w:r>
    </w:p>
    <w:p>
      <w:pPr>
        <w:pStyle w:val="Normal"/>
        <w:framePr w:w="1741" w:hAnchor="page" w:vAnchor="page" w:x="388" w:y="68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APA Corporation</w:t>
      </w:r>
    </w:p>
    <w:p>
      <w:pPr>
        <w:pStyle w:val="Normal"/>
        <w:framePr w:w="1069" w:hAnchor="page" w:vAnchor="page" w:x="6248" w:y="68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KBR, Inc.</w:t>
      </w:r>
    </w:p>
    <w:p>
      <w:pPr>
        <w:pStyle w:val="Normal"/>
        <w:framePr w:w="955" w:hAnchor="page" w:vAnchor="page" w:x="388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AECOM</w:t>
      </w:r>
    </w:p>
    <w:p>
      <w:pPr>
        <w:pStyle w:val="Normal"/>
        <w:framePr w:w="3016" w:hAnchor="page" w:vAnchor="page" w:x="6248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Jacobs Engineering Group Inc.</w:t>
      </w:r>
    </w:p>
    <w:p>
      <w:pPr>
        <w:pStyle w:val="Normal"/>
        <w:framePr w:w="4108" w:hAnchor="page" w:vAnchor="page" w:x="388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 Peer Group Constituents</w:t>
      </w:r>
    </w:p>
    <w:p>
      <w:pPr>
        <w:pStyle w:val="Normal"/>
        <w:framePr w:w="4167" w:hAnchor="page" w:vAnchor="page" w:x="274" w:y="55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decisions for 2022 and 2023.</w:t>
      </w:r>
    </w:p>
    <w:p>
      <w:pPr>
        <w:pStyle w:val="Normal"/>
        <w:framePr w:w="13548" w:hAnchor="page" w:vAnchor="page" w:x="274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Following this evaluation, the Committee determined that the following companies continue to constitute the peer group for benchmarking executive</w:t>
      </w:r>
    </w:p>
    <w:p>
      <w:pPr>
        <w:pStyle w:val="Normal"/>
        <w:framePr w:w="2902" w:hAnchor="page" w:vAnchor="page" w:x="715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business-to-business focused</w:t>
      </w:r>
    </w:p>
    <w:p>
      <w:pPr>
        <w:pStyle w:val="Normal"/>
        <w:framePr w:w="13239" w:hAnchor="page" w:vAnchor="page" w:x="544" w:y="47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Comparable Qualitative Characteristics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 Prioritized companies that are logistically and technically complex, mature stage businesses, and</w:t>
      </w:r>
    </w:p>
    <w:p>
      <w:pPr>
        <w:pStyle w:val="Normal"/>
        <w:framePr w:w="10723" w:hAnchor="page" w:vAnchor="page" w:x="544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Comparable Business Characteristics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 Similar margin profile, sales per full-time employee, and asset intensity</w:t>
      </w:r>
    </w:p>
    <w:p>
      <w:pPr>
        <w:pStyle w:val="Normal"/>
        <w:framePr w:w="7616" w:hAnchor="page" w:vAnchor="page" w:x="715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total employees between 1/3 to 3x TechnipFMC’s projected number of employees</w:t>
      </w:r>
    </w:p>
    <w:p>
      <w:pPr>
        <w:pStyle w:val="Normal"/>
        <w:framePr w:w="13661" w:hAnchor="page" w:vAnchor="page" w:x="544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Comparable Quantitative Characteristics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 Projected EBITDA margins less than 25%, non-U.S. revenue greater than 33% of total revenue, and</w:t>
      </w:r>
    </w:p>
    <w:p>
      <w:pPr>
        <w:pStyle w:val="Normal"/>
        <w:framePr w:w="11806" w:hAnchor="page" w:vAnchor="page" w:x="544" w:y="33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Relevant Size Range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 Revenue between 1/3 to 3x TechnipFMC’s projected 2022 revenue, market capitalization, and assets</w:t>
      </w:r>
    </w:p>
    <w:p>
      <w:pPr>
        <w:pStyle w:val="Normal"/>
        <w:framePr w:w="1195" w:hAnchor="page" w:vAnchor="page" w:x="715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exchanges</w:t>
      </w:r>
    </w:p>
    <w:p>
      <w:pPr>
        <w:pStyle w:val="Normal"/>
        <w:framePr w:w="13319" w:hAnchor="page" w:vAnchor="page" w:x="544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Applicable Industry Focus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 Prioritize public companies with energy or engineering and construction elements that trade on major U.S. stock</w:t>
      </w:r>
    </w:p>
    <w:p>
      <w:pPr>
        <w:pStyle w:val="Normal"/>
        <w:framePr w:w="1605" w:hAnchor="page" w:vAnchor="page" w:x="274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which included:</w:t>
      </w:r>
    </w:p>
    <w:p>
      <w:pPr>
        <w:pStyle w:val="Normal"/>
        <w:framePr w:w="13957" w:hAnchor="page" w:vAnchor="page" w:x="274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looking for potential peer companies, the Compensation and Talent Committee evaluated companies with reasonably similar business characteristics,</w:t>
      </w:r>
    </w:p>
    <w:p>
      <w:pPr>
        <w:pStyle w:val="Normal"/>
        <w:framePr w:w="2389" w:hAnchor="page" w:vAnchor="page" w:x="274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specific market surveys.</w:t>
      </w:r>
    </w:p>
    <w:p>
      <w:pPr>
        <w:pStyle w:val="Normal"/>
        <w:framePr w:w="13934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levels, the Compensation and Talent Committee reviews data from peer group proxy statements as well as general industry and industry-</w:t>
      </w:r>
    </w:p>
    <w:p>
      <w:pPr>
        <w:pStyle w:val="Normal"/>
        <w:framePr w:w="14056" w:hAnchor="page" w:vAnchor="page" w:x="274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compete with energy industry companies, as well as with other industries and professions, for executive-level talent. In making decisions about target</w:t>
      </w:r>
    </w:p>
    <w:p>
      <w:pPr>
        <w:pStyle w:val="Normal"/>
        <w:framePr w:w="2799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Compensation Peer Group</w:t>
      </w:r>
    </w:p>
    <w:p>
      <w:pPr>
        <w:pStyle w:val="Normal"/>
        <w:framePr w:w="3514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Compensation Decisions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7pt;margin-top:1pt;z-index:-1677190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12.7pt;margin-top:295.45pt;z-index:-16771904;width:586.6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12.7pt;margin-top:316.8pt;z-index:-16771900;width:294.3pt;height:18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305pt;margin-top:316.8pt;z-index:-16771896;width:294.3pt;height:18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05pt;margin-top:316.8pt;z-index:-16771892;width:2.7pt;height:18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12.7pt;margin-top:624.75pt;z-index:-1677188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</w:p>
    <w:p>
      <w:pPr>
        <w:pStyle w:val="Normal"/>
        <w:framePr w:w="1631" w:hAnchor="page" w:vAnchor="page" w:x="274" w:y="92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62  TechnipFMC</w:t>
      </w:r>
    </w:p>
    <w:p>
      <w:pPr>
        <w:pStyle w:val="Normal"/>
        <w:framePr w:w="8743" w:hAnchor="page" w:vAnchor="page" w:x="274" w:y="86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table below summarizes these elements, along with their purpose and key characteristics.</w:t>
      </w:r>
    </w:p>
    <w:p>
      <w:pPr>
        <w:pStyle w:val="Normal"/>
        <w:framePr w:w="7673" w:hAnchor="page" w:vAnchor="page" w:x="274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those of shareholders and encourage retention of high-performing executives.</w:t>
      </w:r>
    </w:p>
    <w:p>
      <w:pPr>
        <w:pStyle w:val="Normal"/>
        <w:framePr w:w="13820" w:hAnchor="page" w:vAnchor="page" w:x="274" w:y="80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advancement of TechnipFMC annual and long-term performance and business strategies. In addition, the programs also align the executives’ interests</w:t>
      </w:r>
    </w:p>
    <w:p>
      <w:pPr>
        <w:pStyle w:val="Normal"/>
        <w:framePr w:w="13501" w:hAnchor="page" w:vAnchor="page" w:x="274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executive compensation program is comprised of short-term and long-term components that link executives’ pay to their performance and their</w:t>
      </w:r>
    </w:p>
    <w:p>
      <w:pPr>
        <w:pStyle w:val="Normal"/>
        <w:framePr w:w="8818" w:hAnchor="page" w:vAnchor="page" w:x="274" w:y="7444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Elements of 2022 Executive Compensation</w:t>
      </w:r>
    </w:p>
    <w:p>
      <w:pPr>
        <w:pStyle w:val="Normal"/>
        <w:framePr w:w="3608" w:hAnchor="page" w:vAnchor="page" w:x="274" w:y="70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incentivizing inappropriate risk taking.</w:t>
      </w:r>
    </w:p>
    <w:p>
      <w:pPr>
        <w:pStyle w:val="Normal"/>
        <w:framePr w:w="13229" w:hAnchor="page" w:vAnchor="page" w:x="274" w:y="68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These inputs inform discussions regarding both the targets and the ranges around the targets to ensure the goals are sufficiently difficult without</w:t>
      </w:r>
    </w:p>
    <w:p>
      <w:pPr>
        <w:pStyle w:val="Normal"/>
        <w:framePr w:w="2890" w:hAnchor="page" w:vAnchor="page" w:x="544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prior-year performance</w:t>
      </w:r>
    </w:p>
    <w:p>
      <w:pPr>
        <w:pStyle w:val="Normal"/>
        <w:framePr w:w="4052" w:hAnchor="page" w:vAnchor="page" w:x="544" w:y="60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Anticipated changes in customer activity</w:t>
      </w:r>
    </w:p>
    <w:p>
      <w:pPr>
        <w:pStyle w:val="Normal"/>
        <w:framePr w:w="3118" w:hAnchor="page" w:vAnchor="page" w:x="544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competitors’ performance</w:t>
      </w:r>
    </w:p>
    <w:p>
      <w:pPr>
        <w:pStyle w:val="Normal"/>
        <w:framePr w:w="3038" w:hAnchor="page" w:vAnchor="page" w:x="544" w:y="52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Volatility in commodity prices</w:t>
      </w:r>
    </w:p>
    <w:p>
      <w:pPr>
        <w:pStyle w:val="Normal"/>
        <w:framePr w:w="5748" w:hAnchor="page" w:vAnchor="page" w:x="544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Underlying market conditions for our products and services</w:t>
      </w:r>
    </w:p>
    <w:p>
      <w:pPr>
        <w:pStyle w:val="Normal"/>
        <w:framePr w:w="6534" w:hAnchor="page" w:vAnchor="page" w:x="544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overall business climate and the cyclical nature of our business</w:t>
      </w:r>
    </w:p>
    <w:p>
      <w:pPr>
        <w:pStyle w:val="Normal"/>
        <w:framePr w:w="5270" w:hAnchor="page" w:vAnchor="page" w:x="274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projections, which are impacted by the following factors:</w:t>
      </w:r>
    </w:p>
    <w:p>
      <w:pPr>
        <w:pStyle w:val="Normal"/>
        <w:framePr w:w="13237" w:hAnchor="page" w:vAnchor="page" w:x="274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setting performance goals, the Compensation and Talent Committee considers the Company’s annual financial plans, strategic initiatives, and</w:t>
      </w:r>
    </w:p>
    <w:p>
      <w:pPr>
        <w:pStyle w:val="Normal"/>
        <w:framePr w:w="4780" w:hAnchor="page" w:vAnchor="page" w:x="274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Establishing Performance Measures and Goals</w:t>
      </w:r>
    </w:p>
    <w:p>
      <w:pPr>
        <w:pStyle w:val="Normal"/>
        <w:framePr w:w="5112" w:hAnchor="page" w:vAnchor="page" w:x="274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option and stock gains, and total wealth accumulation.</w:t>
      </w:r>
    </w:p>
    <w:p>
      <w:pPr>
        <w:pStyle w:val="Normal"/>
        <w:framePr w:w="14219" w:hAnchor="page" w:vAnchor="page" w:x="274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benefits, perquisites, and any other item, as well as projected values of equity awards under various performance and termination scenarios, realized stock</w:t>
      </w:r>
    </w:p>
    <w:p>
      <w:pPr>
        <w:pStyle w:val="Normal"/>
        <w:framePr w:w="13752" w:hAnchor="page" w:vAnchor="page" w:x="274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transaction, etc.). The compensatory amounts include cash compensation, accumulated deferred compensation balances, outstanding equity awards,</w:t>
      </w:r>
    </w:p>
    <w:p>
      <w:pPr>
        <w:pStyle w:val="Normal"/>
        <w:framePr w:w="13863" w:hAnchor="page" w:vAnchor="page" w:x="274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NEO. Tally sheets list each component of an executive’s compensation throughout a range of alternative scenarios (e.g., termination, change-in-control</w:t>
      </w:r>
    </w:p>
    <w:p>
      <w:pPr>
        <w:pStyle w:val="Normal"/>
        <w:framePr w:w="13719" w:hAnchor="page" w:vAnchor="page" w:x="274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 uses tally sheets to ensure they receive the information necessary to evaluate the total compensation of an</w:t>
      </w:r>
    </w:p>
    <w:p>
      <w:pPr>
        <w:pStyle w:val="Normal"/>
        <w:framePr w:w="3562" w:hAnchor="page" w:vAnchor="page" w:x="274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Use of Compensation Tally Sheets</w:t>
      </w:r>
    </w:p>
    <w:p>
      <w:pPr>
        <w:pStyle w:val="Normal"/>
        <w:framePr w:w="6409" w:hAnchor="page" w:vAnchor="page" w:x="715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with input from its independent compensation consultant.</w:t>
      </w:r>
    </w:p>
    <w:p>
      <w:pPr>
        <w:pStyle w:val="Normal"/>
        <w:framePr w:w="13536" w:hAnchor="page" w:vAnchor="page" w:x="54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CEO recommends changes to compensation for the other NEOs without them present, which are approved by the Compensation and Talent</w:t>
      </w:r>
    </w:p>
    <w:p>
      <w:pPr>
        <w:pStyle w:val="Normal"/>
        <w:framePr w:w="6068" w:hAnchor="page" w:vAnchor="page" w:x="715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Chair and CEO, who is not present during these discussions.</w:t>
      </w:r>
    </w:p>
    <w:p>
      <w:pPr>
        <w:pStyle w:val="Normal"/>
        <w:framePr w:w="13617" w:hAnchor="page" w:vAnchor="page" w:x="54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Committee, in partnership with its independent advisor, determines and approves any changes to compensation for</w:t>
      </w:r>
    </w:p>
    <w:p>
      <w:pPr>
        <w:pStyle w:val="Normal"/>
        <w:framePr w:w="8140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executive participates in any discussion that relates to his or her own compensation.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7pt;margin-top:1pt;z-index:-1677188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12.7pt;margin-top:480.35pt;z-index:-1677188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</w:p>
    <w:p>
      <w:pPr>
        <w:pStyle w:val="Normal"/>
        <w:framePr w:w="1631" w:hAnchor="page" w:vAnchor="page" w:x="274" w:y="1132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63  TechnipFMC</w:t>
      </w:r>
    </w:p>
    <w:p>
      <w:pPr>
        <w:pStyle w:val="Normal"/>
        <w:framePr w:w="1331" w:hAnchor="page" w:vAnchor="page" w:x="5290" w:y="105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based NEO)</w:t>
      </w:r>
    </w:p>
    <w:p>
      <w:pPr>
        <w:pStyle w:val="Normal"/>
        <w:framePr w:w="8320" w:hAnchor="page" w:vAnchor="page" w:x="5082" w:y="103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Limited participation in other programs dependent on geography and tenure (non-U.S.-</w:t>
      </w:r>
    </w:p>
    <w:p>
      <w:pPr>
        <w:pStyle w:val="Normal"/>
        <w:framePr w:w="7376" w:hAnchor="page" w:vAnchor="page" w:x="5290" w:y="99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club memberships, executive physicals, and security services where necessary</w:t>
      </w:r>
    </w:p>
    <w:p>
      <w:pPr>
        <w:pStyle w:val="Normal"/>
        <w:framePr w:w="8149" w:hAnchor="page" w:vAnchor="page" w:x="5082" w:y="97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Limited perquisites including financial planning, tax assistance, use of company cars,</w:t>
      </w:r>
    </w:p>
    <w:p>
      <w:pPr>
        <w:pStyle w:val="Normal"/>
        <w:framePr w:w="1195" w:hAnchor="page" w:vAnchor="page" w:x="5290" w:y="93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employees</w:t>
      </w:r>
    </w:p>
    <w:p>
      <w:pPr>
        <w:pStyle w:val="Normal"/>
        <w:framePr w:w="1217" w:hAnchor="page" w:vAnchor="page" w:x="388" w:y="91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Perquisites</w:t>
      </w:r>
    </w:p>
    <w:p>
      <w:pPr>
        <w:pStyle w:val="Normal"/>
        <w:framePr w:w="7969" w:hAnchor="page" w:vAnchor="page" w:x="5290" w:y="91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defined contribution plans for eligible U.S. NEOs, similar to plans offered to other U.S.</w:t>
      </w:r>
    </w:p>
    <w:p>
      <w:pPr>
        <w:pStyle w:val="Normal"/>
        <w:framePr w:w="1400" w:hAnchor="page" w:vAnchor="page" w:x="388" w:y="89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Benefits, and</w:t>
      </w:r>
    </w:p>
    <w:p>
      <w:pPr>
        <w:pStyle w:val="Normal"/>
        <w:framePr w:w="978" w:hAnchor="page" w:vAnchor="page" w:x="2166" w:y="89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package</w:t>
      </w:r>
    </w:p>
    <w:p>
      <w:pPr>
        <w:pStyle w:val="Normal"/>
        <w:framePr w:w="7660" w:hAnchor="page" w:vAnchor="page" w:x="5082" w:y="89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Retirement savings offered through participation in our 401(k) and non-qualified</w:t>
      </w:r>
    </w:p>
    <w:p>
      <w:pPr>
        <w:pStyle w:val="Normal"/>
        <w:framePr w:w="1206" w:hAnchor="page" w:vAnchor="page" w:x="388" w:y="87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Retirement</w:t>
      </w:r>
    </w:p>
    <w:p>
      <w:pPr>
        <w:pStyle w:val="Normal"/>
        <w:framePr w:w="3016" w:hAnchor="page" w:vAnchor="page" w:x="2166" w:y="87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competitive total compensation</w:t>
      </w:r>
    </w:p>
    <w:p>
      <w:pPr>
        <w:pStyle w:val="Normal"/>
        <w:framePr w:w="1001" w:hAnchor="page" w:vAnchor="page" w:x="388" w:y="85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Benefits,</w:t>
      </w:r>
    </w:p>
    <w:p>
      <w:pPr>
        <w:pStyle w:val="Normal"/>
        <w:framePr w:w="2481" w:hAnchor="page" w:vAnchor="page" w:x="2166" w:y="85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role and ensure a market</w:t>
      </w:r>
    </w:p>
    <w:p>
      <w:pPr>
        <w:pStyle w:val="Normal"/>
        <w:framePr w:w="3517" w:hAnchor="page" w:vAnchor="page" w:x="5290" w:y="85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 in the respective countries</w:t>
      </w:r>
    </w:p>
    <w:p>
      <w:pPr>
        <w:pStyle w:val="Normal"/>
        <w:framePr w:w="1957" w:hAnchor="page" w:vAnchor="page" w:x="388" w:y="83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Health and Welfare</w:t>
      </w:r>
    </w:p>
    <w:p>
      <w:pPr>
        <w:pStyle w:val="Normal"/>
        <w:framePr w:w="3369" w:hAnchor="page" w:vAnchor="page" w:x="2166" w:y="83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facilitate the performance of the</w:t>
      </w:r>
    </w:p>
    <w:p>
      <w:pPr>
        <w:pStyle w:val="Normal"/>
        <w:framePr w:w="8013" w:hAnchor="page" w:vAnchor="page" w:x="5082" w:y="83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Health and welfare benefits, the same as benefits offered to other employees of the</w:t>
      </w:r>
    </w:p>
    <w:p>
      <w:pPr>
        <w:pStyle w:val="Normal"/>
        <w:framePr w:w="2299" w:hAnchor="page" w:vAnchor="page" w:x="2166" w:y="79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program</w:t>
      </w:r>
    </w:p>
    <w:p>
      <w:pPr>
        <w:pStyle w:val="Normal"/>
        <w:framePr w:w="2242" w:hAnchor="page" w:vAnchor="page" w:x="2166" w:y="77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retention impact of our</w:t>
      </w:r>
    </w:p>
    <w:p>
      <w:pPr>
        <w:pStyle w:val="Normal"/>
        <w:framePr w:w="3162" w:hAnchor="page" w:vAnchor="page" w:x="5082" w:y="77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Three-year cliff vesting period</w:t>
      </w:r>
    </w:p>
    <w:p>
      <w:pPr>
        <w:pStyle w:val="Normal"/>
        <w:framePr w:w="3153" w:hAnchor="page" w:vAnchor="page" w:x="2166" w:y="75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 price, while reinforcing the</w:t>
      </w:r>
    </w:p>
    <w:p>
      <w:pPr>
        <w:pStyle w:val="Normal"/>
        <w:framePr w:w="3164" w:hAnchor="page" w:vAnchor="page" w:x="2166" w:y="73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by incentivizing them to increase</w:t>
      </w:r>
    </w:p>
    <w:p>
      <w:pPr>
        <w:pStyle w:val="Normal"/>
        <w:framePr w:w="7511" w:hAnchor="page" w:vAnchor="page" w:x="5082" w:y="73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50% of after-tax RSUs must be retained for at least one year following vesting</w:t>
      </w:r>
    </w:p>
    <w:p>
      <w:pPr>
        <w:pStyle w:val="Normal"/>
        <w:framePr w:w="1547" w:hAnchor="page" w:vAnchor="page" w:x="388" w:y="71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Units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RSUs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</w:t>
      </w:r>
    </w:p>
    <w:p>
      <w:pPr>
        <w:pStyle w:val="Normal"/>
        <w:framePr w:w="3142" w:hAnchor="page" w:vAnchor="page" w:x="2166" w:y="71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interests of our shareholders</w:t>
      </w:r>
    </w:p>
    <w:p>
      <w:pPr>
        <w:pStyle w:val="Normal"/>
        <w:framePr w:w="1695" w:hAnchor="page" w:vAnchor="page" w:x="388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Restricted Stock</w:t>
      </w:r>
    </w:p>
    <w:p>
      <w:pPr>
        <w:pStyle w:val="Normal"/>
        <w:framePr w:w="3255" w:hAnchor="page" w:vAnchor="page" w:x="2166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Further align NEOs’ interests with</w:t>
      </w:r>
    </w:p>
    <w:p>
      <w:pPr>
        <w:pStyle w:val="Normal"/>
        <w:framePr w:w="6555" w:hAnchor="page" w:vAnchor="page" w:x="5082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Realized value based in part on post-grant share price appreciation</w:t>
      </w:r>
    </w:p>
    <w:p>
      <w:pPr>
        <w:pStyle w:val="Normal"/>
        <w:framePr w:w="5109" w:hAnchor="page" w:vAnchor="page" w:x="5082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Actual payout can range from 0% to 200% of target</w:t>
      </w:r>
    </w:p>
    <w:p>
      <w:pPr>
        <w:pStyle w:val="Normal"/>
        <w:framePr w:w="1320" w:hAnchor="page" w:vAnchor="page" w:x="5290" w:y="60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appreciation</w:t>
      </w:r>
    </w:p>
    <w:p>
      <w:pPr>
        <w:pStyle w:val="Normal"/>
        <w:framePr w:w="2265" w:hAnchor="page" w:vAnchor="page" w:x="2166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shareholders’ interests</w:t>
      </w:r>
    </w:p>
    <w:p>
      <w:pPr>
        <w:pStyle w:val="Normal"/>
        <w:framePr w:w="7933" w:hAnchor="page" w:vAnchor="page" w:x="5082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Realized value based on payout based on performance and post-grant share price</w:t>
      </w:r>
    </w:p>
    <w:p>
      <w:pPr>
        <w:pStyle w:val="Normal"/>
        <w:framePr w:w="3119" w:hAnchor="page" w:vAnchor="page" w:x="2166" w:y="56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align interests of NEOs with</w:t>
      </w:r>
    </w:p>
    <w:p>
      <w:pPr>
        <w:pStyle w:val="Normal"/>
        <w:framePr w:w="1536" w:hAnchor="page" w:vAnchor="page" w:x="388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Units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PSUs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</w:t>
      </w:r>
    </w:p>
    <w:p>
      <w:pPr>
        <w:pStyle w:val="Normal"/>
        <w:framePr w:w="3175" w:hAnchor="page" w:vAnchor="page" w:x="2166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achievement of long-term results</w:t>
      </w:r>
    </w:p>
    <w:p>
      <w:pPr>
        <w:pStyle w:val="Normal"/>
        <w:framePr w:w="3871" w:hAnchor="page" w:vAnchor="page" w:x="5290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the 2022 to 2024 performance period</w:t>
      </w:r>
    </w:p>
    <w:p>
      <w:pPr>
        <w:pStyle w:val="Normal"/>
        <w:framePr w:w="1980" w:hAnchor="page" w:vAnchor="page" w:x="388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Share</w:t>
      </w:r>
    </w:p>
    <w:p>
      <w:pPr>
        <w:pStyle w:val="Normal"/>
        <w:framePr w:w="2367" w:hAnchor="page" w:vAnchor="page" w:x="2166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drive and reward the</w:t>
      </w:r>
    </w:p>
    <w:p>
      <w:pPr>
        <w:pStyle w:val="Normal"/>
        <w:framePr w:w="8296" w:hAnchor="page" w:vAnchor="page" w:x="5082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Payout linked to the achievement of TechnipFMC relative TSR (50%) and ROIC (50%)</w:t>
      </w:r>
    </w:p>
    <w:p>
      <w:pPr>
        <w:pStyle w:val="Normal"/>
        <w:framePr w:w="5109" w:hAnchor="page" w:vAnchor="page" w:x="5082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Actual payout can range from 0% to 200% of target</w:t>
      </w:r>
    </w:p>
    <w:p>
      <w:pPr>
        <w:pStyle w:val="Normal"/>
        <w:framePr w:w="4883" w:hAnchor="page" w:vAnchor="page" w:x="5290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(25%), and individual performance measures (25%)</w:t>
      </w:r>
    </w:p>
    <w:p>
      <w:pPr>
        <w:pStyle w:val="Normal"/>
        <w:framePr w:w="7808" w:hAnchor="page" w:vAnchor="page" w:x="5290" w:y="42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Revenue (25%), Free Cash Flow from Operations (25%), ESG Scorecard measures</w:t>
      </w:r>
    </w:p>
    <w:p>
      <w:pPr>
        <w:pStyle w:val="Normal"/>
        <w:framePr w:w="7603" w:hAnchor="page" w:vAnchor="page" w:x="5082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2022 business performance targets were Adjusted EBITDA as a Percentage of</w:t>
      </w:r>
    </w:p>
    <w:p>
      <w:pPr>
        <w:pStyle w:val="Normal"/>
        <w:framePr w:w="2640" w:hAnchor="page" w:vAnchor="page" w:x="5290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targets (25%)</w:t>
      </w:r>
    </w:p>
    <w:p>
      <w:pPr>
        <w:pStyle w:val="Normal"/>
        <w:framePr w:w="7888" w:hAnchor="page" w:vAnchor="page" w:x="5082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Paid based on achievement of business performance targets (75%) and individual</w:t>
      </w:r>
    </w:p>
    <w:p>
      <w:pPr>
        <w:pStyle w:val="Normal"/>
        <w:framePr w:w="2276" w:hAnchor="page" w:vAnchor="page" w:x="2166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individual contributions</w:t>
      </w:r>
    </w:p>
    <w:p>
      <w:pPr>
        <w:pStyle w:val="Normal"/>
        <w:framePr w:w="2857" w:hAnchor="page" w:vAnchor="page" w:x="2166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 strategic goals and</w:t>
      </w:r>
    </w:p>
    <w:p>
      <w:pPr>
        <w:pStyle w:val="Normal"/>
        <w:framePr w:w="6270" w:hAnchor="page" w:vAnchor="page" w:x="5082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Target value based on role, set with reference to market median</w:t>
      </w:r>
    </w:p>
    <w:p>
      <w:pPr>
        <w:pStyle w:val="Normal"/>
        <w:framePr w:w="1024" w:hAnchor="page" w:vAnchor="page" w:x="388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Incentive</w:t>
      </w:r>
    </w:p>
    <w:p>
      <w:pPr>
        <w:pStyle w:val="Normal"/>
        <w:framePr w:w="2583" w:hAnchor="page" w:vAnchor="page" w:x="2166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achievement of short-term</w:t>
      </w:r>
    </w:p>
    <w:p>
      <w:pPr>
        <w:pStyle w:val="Normal"/>
        <w:framePr w:w="1377" w:hAnchor="page" w:vAnchor="page" w:x="388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Annual Cash</w:t>
      </w:r>
    </w:p>
    <w:p>
      <w:pPr>
        <w:pStyle w:val="Normal"/>
        <w:framePr w:w="2367" w:hAnchor="page" w:vAnchor="page" w:x="2166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drive and reward the</w:t>
      </w:r>
    </w:p>
    <w:p>
      <w:pPr>
        <w:pStyle w:val="Normal"/>
        <w:framePr w:w="2866" w:hAnchor="page" w:vAnchor="page" w:x="5082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At-risk cash compensation</w:t>
      </w:r>
    </w:p>
    <w:p>
      <w:pPr>
        <w:pStyle w:val="Normal"/>
        <w:framePr w:w="4166" w:hAnchor="page" w:vAnchor="page" w:x="5290" w:y="22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responsibility, experience, and performance</w:t>
      </w:r>
    </w:p>
    <w:p>
      <w:pPr>
        <w:pStyle w:val="Normal"/>
        <w:framePr w:w="7318" w:hAnchor="page" w:vAnchor="page" w:x="5082" w:y="20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Set with reference to market median of compensation peer group, based on</w:t>
      </w:r>
    </w:p>
    <w:p>
      <w:pPr>
        <w:pStyle w:val="Normal"/>
        <w:framePr w:w="4733" w:hAnchor="page" w:vAnchor="page" w:x="5082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Reflects major responsibilities of an NEO’s role</w:t>
      </w:r>
    </w:p>
    <w:p>
      <w:pPr>
        <w:pStyle w:val="Normal"/>
        <w:framePr w:w="2515" w:hAnchor="page" w:vAnchor="page" w:x="2166" w:y="14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for the role</w:t>
      </w:r>
    </w:p>
    <w:p>
      <w:pPr>
        <w:pStyle w:val="Normal"/>
        <w:framePr w:w="1308" w:hAnchor="page" w:vAnchor="page" w:x="388" w:y="12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Base Salary</w:t>
      </w:r>
    </w:p>
    <w:p>
      <w:pPr>
        <w:pStyle w:val="Normal"/>
        <w:framePr w:w="2948" w:hAnchor="page" w:vAnchor="page" w:x="2166" w:y="12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provide market competitive</w:t>
      </w:r>
    </w:p>
    <w:p>
      <w:pPr>
        <w:pStyle w:val="Normal"/>
        <w:framePr w:w="2786" w:hAnchor="page" w:vAnchor="page" w:x="5082" w:y="12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81f6e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Fixed cash compensation</w:t>
      </w:r>
    </w:p>
    <w:p>
      <w:pPr>
        <w:pStyle w:val="Normal"/>
        <w:framePr w:w="1001" w:hAnchor="page" w:vAnchor="page" w:x="388" w:y="7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Element</w:t>
      </w:r>
    </w:p>
    <w:p>
      <w:pPr>
        <w:pStyle w:val="Normal"/>
        <w:framePr w:w="1024" w:hAnchor="page" w:vAnchor="page" w:x="2166" w:y="7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Purpose</w:t>
      </w:r>
    </w:p>
    <w:p>
      <w:pPr>
        <w:pStyle w:val="Normal"/>
        <w:framePr w:w="2117" w:hAnchor="page" w:vAnchor="page" w:x="5082" w:y="7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Key Characteristics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7pt;margin-top:1pt;z-index:-1677187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12.7pt;margin-top:52.9pt;z-index:-16771872;width:90.2pt;height:73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00.9pt;margin-top:52.9pt;z-index:-16771868;width:147.8pt;height:73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246.7pt;margin-top:52.9pt;z-index:-16771864;width:352.65pt;height:73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12.7pt;margin-top:124.75pt;z-index:-16771860;width:90.2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100.9pt;margin-top:124.75pt;z-index:-16771856;width:147.8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246.7pt;margin-top:124.75pt;z-index:-16771852;width:352.65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12.7pt;margin-top:256.35pt;z-index:-16771848;width:90.2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100.9pt;margin-top:256.35pt;z-index:-16771844;width:147.8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246.7pt;margin-top:256.35pt;z-index:-16771840;width:352.65pt;height:8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12.7pt;margin-top:338.1pt;z-index:-16771836;width:90.2pt;height:73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100.9pt;margin-top:338.1pt;z-index:-16771832;width:147.8pt;height:73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246.7pt;margin-top:338.1pt;z-index:-16771828;width:352.65pt;height:73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12.7pt;margin-top:409.95pt;z-index:-16771824;width:90.2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00.9pt;margin-top:409.95pt;z-index:-16771820;width:147.8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246.7pt;margin-top:409.95pt;z-index:-16771816;width:352.65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12.7pt;margin-top:31.6pt;z-index:-16771812;width:90.2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100.9pt;margin-top:31.6pt;z-index:-16771808;width:147.8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246.7pt;margin-top:31.6pt;z-index:-16771804;width:352.65pt;height:2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246.7pt;margin-top:409.95pt;z-index:-16771800;width:2.7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100.9pt;margin-top:409.95pt;z-index:-16771796;width:2.7pt;height:13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246.7pt;margin-top:409.95pt;z-index:-16771792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100.9pt;margin-top:409.95pt;z-index:-1677178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246.7pt;margin-top:338.1pt;z-index:-16771784;width:2.7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12.7pt;margin-top:409.95pt;z-index:-16771780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100.9pt;margin-top:338.1pt;z-index:-16771776;width:2.7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246.7pt;margin-top:338.1pt;z-index:-16771772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100.9pt;margin-top:338.1pt;z-index:-1677176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46.7pt;margin-top:256.3pt;z-index:-16771764;width:2.7pt;height:8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12.7pt;margin-top:338.1pt;z-index:-16771760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100.9pt;margin-top:256.3pt;z-index:-16771756;width:2.7pt;height:8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246.7pt;margin-top:256.3pt;z-index:-16771752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100.9pt;margin-top:256.3pt;z-index:-1677174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46.7pt;margin-top:124.75pt;z-index:-16771744;width:2.7pt;height:13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12.7pt;margin-top:256.3pt;z-index:-16771740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100.9pt;margin-top:124.75pt;z-index:-16771736;width:2.7pt;height:13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246.7pt;margin-top:124.75pt;z-index:-16771732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100.9pt;margin-top:124.75pt;z-index:-1677172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246.7pt;margin-top:52.9pt;z-index:-16771724;width:2.7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12.7pt;margin-top:124.75pt;z-index:-16771720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100.9pt;margin-top:52.9pt;z-index:-16771716;width:2.7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246.7pt;margin-top:52.9pt;z-index:-16771712;width:352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100.9pt;margin-top:52.9pt;z-index:-1677170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246.7pt;margin-top:31.6pt;z-index:-16771704;width:2.7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12.7pt;margin-top:52.9pt;z-index:-16771700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100.9pt;margin-top:31.6pt;z-index:-16771696;width:2.7pt;height:2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12.7pt;margin-top:582.05pt;z-index:-1677169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</w:p>
    <w:p>
      <w:pPr>
        <w:pStyle w:val="Normal"/>
        <w:framePr w:w="1631" w:hAnchor="page" w:vAnchor="page" w:x="274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64  TechnipFMC</w:t>
      </w:r>
    </w:p>
    <w:p>
      <w:pPr>
        <w:pStyle w:val="Normal"/>
        <w:framePr w:w="11283" w:hAnchor="page" w:vAnchor="page" w:x="274" w:y="56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Mr. Landes received a base pay adjustment to ensure a competitive market position commensurate with performance and time in role.</w:t>
      </w:r>
    </w:p>
    <w:p>
      <w:pPr>
        <w:pStyle w:val="Normal"/>
        <w:framePr w:w="1456" w:hAnchor="page" w:vAnchor="page" w:x="359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Victoria Lazar</w:t>
      </w:r>
    </w:p>
    <w:p>
      <w:pPr>
        <w:pStyle w:val="Normal"/>
        <w:framePr w:w="1058" w:hAnchor="page" w:vAnchor="page" w:x="5337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$500,000</w:t>
      </w:r>
    </w:p>
    <w:p>
      <w:pPr>
        <w:pStyle w:val="Normal"/>
        <w:framePr w:w="1058" w:hAnchor="page" w:vAnchor="page" w:x="8253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$500,000</w:t>
      </w:r>
    </w:p>
    <w:p>
      <w:pPr>
        <w:pStyle w:val="Normal"/>
        <w:framePr w:w="671" w:hAnchor="page" w:vAnchor="page" w:x="11492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0.0%</w:t>
      </w:r>
    </w:p>
    <w:p>
      <w:pPr>
        <w:pStyle w:val="Normal"/>
        <w:framePr w:w="1853" w:hAnchor="page" w:vAnchor="page" w:x="359" w:y="47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Jonathan Landes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1058" w:hAnchor="page" w:vAnchor="page" w:x="5337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$475,000</w:t>
      </w:r>
    </w:p>
    <w:p>
      <w:pPr>
        <w:pStyle w:val="Normal"/>
        <w:framePr w:w="1058" w:hAnchor="page" w:vAnchor="page" w:x="8253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$525,000</w:t>
      </w:r>
    </w:p>
    <w:p>
      <w:pPr>
        <w:pStyle w:val="Normal"/>
        <w:framePr w:w="785" w:hAnchor="page" w:vAnchor="page" w:x="11397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10.5%</w:t>
      </w:r>
    </w:p>
    <w:p>
      <w:pPr>
        <w:pStyle w:val="Normal"/>
        <w:framePr w:w="1502" w:hAnchor="page" w:vAnchor="page" w:x="359" w:y="44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Justin Rounce</w:t>
      </w:r>
    </w:p>
    <w:p>
      <w:pPr>
        <w:pStyle w:val="Normal"/>
        <w:framePr w:w="1058" w:hAnchor="page" w:vAnchor="page" w:x="5337" w:y="44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$600,000</w:t>
      </w:r>
    </w:p>
    <w:p>
      <w:pPr>
        <w:pStyle w:val="Normal"/>
        <w:framePr w:w="1058" w:hAnchor="page" w:vAnchor="page" w:x="8253" w:y="44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$600,000</w:t>
      </w:r>
    </w:p>
    <w:p>
      <w:pPr>
        <w:pStyle w:val="Normal"/>
        <w:framePr w:w="671" w:hAnchor="page" w:vAnchor="page" w:x="11492" w:y="44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0.0%</w:t>
      </w:r>
    </w:p>
    <w:p>
      <w:pPr>
        <w:pStyle w:val="Normal"/>
        <w:framePr w:w="989" w:hAnchor="page" w:vAnchor="page" w:x="359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Alf Melin</w:t>
      </w:r>
    </w:p>
    <w:p>
      <w:pPr>
        <w:pStyle w:val="Normal"/>
        <w:framePr w:w="1058" w:hAnchor="page" w:vAnchor="page" w:x="5337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$650,000</w:t>
      </w:r>
    </w:p>
    <w:p>
      <w:pPr>
        <w:pStyle w:val="Normal"/>
        <w:framePr w:w="1058" w:hAnchor="page" w:vAnchor="page" w:x="8253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$650,000</w:t>
      </w:r>
    </w:p>
    <w:p>
      <w:pPr>
        <w:pStyle w:val="Normal"/>
        <w:framePr w:w="671" w:hAnchor="page" w:vAnchor="page" w:x="11492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0.0%</w:t>
      </w:r>
    </w:p>
    <w:p>
      <w:pPr>
        <w:pStyle w:val="Normal"/>
        <w:framePr w:w="2117" w:hAnchor="page" w:vAnchor="page" w:x="359" w:y="37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Douglas J. Pferdehirt</w:t>
      </w:r>
    </w:p>
    <w:p>
      <w:pPr>
        <w:pStyle w:val="Normal"/>
        <w:framePr w:w="1229" w:hAnchor="page" w:vAnchor="page" w:x="5195" w:y="37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$1,236,000</w:t>
      </w:r>
    </w:p>
    <w:p>
      <w:pPr>
        <w:pStyle w:val="Normal"/>
        <w:framePr w:w="1229" w:hAnchor="page" w:vAnchor="page" w:x="8111" w:y="37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$1,236,000</w:t>
      </w:r>
    </w:p>
    <w:p>
      <w:pPr>
        <w:pStyle w:val="Normal"/>
        <w:framePr w:w="671" w:hAnchor="page" w:vAnchor="page" w:x="11492" w:y="37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0.0%</w:t>
      </w:r>
    </w:p>
    <w:p>
      <w:pPr>
        <w:pStyle w:val="Normal"/>
        <w:framePr w:w="2617" w:hAnchor="page" w:vAnchor="page" w:x="359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Named Executive Officer</w:t>
      </w:r>
    </w:p>
    <w:p>
      <w:pPr>
        <w:pStyle w:val="Normal"/>
        <w:framePr w:w="2049" w:hAnchor="page" w:vAnchor="page" w:x="4512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December 31, 2021</w:t>
      </w:r>
    </w:p>
    <w:p>
      <w:pPr>
        <w:pStyle w:val="Normal"/>
        <w:framePr w:w="2049" w:hAnchor="page" w:vAnchor="page" w:x="7428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December 31, 2022</w:t>
      </w:r>
    </w:p>
    <w:p>
      <w:pPr>
        <w:pStyle w:val="Normal"/>
        <w:framePr w:w="1194" w:hAnchor="page" w:vAnchor="page" w:x="11056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% Change</w:t>
      </w:r>
    </w:p>
    <w:p>
      <w:pPr>
        <w:pStyle w:val="Normal"/>
        <w:framePr w:w="9787" w:hAnchor="page" w:vAnchor="page" w:x="274" w:y="28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table below provides the annualized base salaries for each NEO with the effective dates noted below:</w:t>
      </w:r>
    </w:p>
    <w:p>
      <w:pPr>
        <w:pStyle w:val="Normal"/>
        <w:framePr w:w="6284" w:hAnchor="page" w:vAnchor="page" w:x="274" w:y="24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or decisions relating to their own or the other NEOs’ compensation.</w:t>
      </w:r>
    </w:p>
    <w:p>
      <w:pPr>
        <w:pStyle w:val="Normal"/>
        <w:framePr w:w="13985" w:hAnchor="page" w:vAnchor="page" w:x="274" w:y="22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Committee's compensation consultant, and the Compensation and Talent Committee approves the changes. The NEOs do not participate in discussions</w:t>
      </w:r>
    </w:p>
    <w:p>
      <w:pPr>
        <w:pStyle w:val="Normal"/>
        <w:framePr w:w="14003" w:hAnchor="page" w:vAnchor="page" w:x="274" w:y="20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other NEOs, the Chair and CEO recommends changes to the Compensation and Talent Committee with the support of the Compensation and Talent</w:t>
      </w:r>
    </w:p>
    <w:p>
      <w:pPr>
        <w:pStyle w:val="Normal"/>
        <w:framePr w:w="14065" w:hAnchor="page" w:vAnchor="page" w:x="274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determines and approves any changes, with input from the Compensation and Talent Committee's independent compensation consultant. For</w:t>
      </w:r>
    </w:p>
    <w:p>
      <w:pPr>
        <w:pStyle w:val="Normal"/>
        <w:framePr w:w="13525" w:hAnchor="page" w:vAnchor="page" w:x="274" w:y="16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 reviews base salary for NEOs on an annual basis. For the Chair and CEO, the Compensation and Talent</w:t>
      </w:r>
    </w:p>
    <w:p>
      <w:pPr>
        <w:pStyle w:val="Normal"/>
        <w:framePr w:w="11214" w:hAnchor="page" w:vAnchor="page" w:x="274" w:y="12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experience, and contributions to the business, while staying within an appropriate range of the market median for the role.</w:t>
      </w:r>
    </w:p>
    <w:p>
      <w:pPr>
        <w:pStyle w:val="Normal"/>
        <w:framePr w:w="14052" w:hAnchor="page" w:vAnchor="page" w:x="274" w:y="10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referencing market median total target compensation. When setting an individual NEO’s base salary, we consider factors such as individual performance,</w:t>
      </w:r>
    </w:p>
    <w:p>
      <w:pPr>
        <w:pStyle w:val="Normal"/>
        <w:framePr w:w="13224" w:hAnchor="page" w:vAnchor="page" w:x="274" w:y="8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provide our NEOs with a market competitive base salary to compensate them for services performed during the year. We set base salary by</w:t>
      </w:r>
    </w:p>
    <w:p>
      <w:pPr>
        <w:pStyle w:val="Normal"/>
        <w:framePr w:w="1813" w:hAnchor="page" w:vAnchor="page" w:x="274" w:y="60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Base Salary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7pt;margin-top:1pt;z-index:-1677168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12.7pt;margin-top:162.45pt;z-index:-16771684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159.2pt;margin-top:162.45pt;z-index:-1677168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305pt;margin-top:162.45pt;z-index:-1677167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50.8pt;margin-top:162.45pt;z-index:-1677167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12.7pt;margin-top:180.2pt;z-index:-16771668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159.2pt;margin-top:180.2pt;z-index:-1677166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05pt;margin-top:180.2pt;z-index:-1677166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50.8pt;margin-top:180.2pt;z-index:-1677165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12.7pt;margin-top:198pt;z-index:-16771652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159.2pt;margin-top:198pt;z-index:-16771648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05pt;margin-top:198pt;z-index:-1677164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50.8pt;margin-top:198pt;z-index:-1677164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12.7pt;margin-top:215.8pt;z-index:-16771636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159.2pt;margin-top:215.8pt;z-index:-1677163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305pt;margin-top:215.8pt;z-index:-16771628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50.8pt;margin-top:215.8pt;z-index:-1677162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12.7pt;margin-top:233.55pt;z-index:-16771620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159.2pt;margin-top:233.55pt;z-index:-1677161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305pt;margin-top:233.55pt;z-index:-1677161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50.8pt;margin-top:233.55pt;z-index:-16771608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12.7pt;margin-top:251.35pt;z-index:-16771604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159.2pt;margin-top:251.35pt;z-index:-1677160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305pt;margin-top:251.35pt;z-index:-1677159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50.8pt;margin-top:251.35pt;z-index:-1677159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50.8pt;margin-top:269.1pt;z-index:-1677158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96.6pt;margin-top:251.35pt;z-index:-1677158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05pt;margin-top:269.1pt;z-index:-1677158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50.8pt;margin-top:251.35pt;z-index:-1677157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159.2pt;margin-top:269.1pt;z-index:-1677157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05pt;margin-top:251.35pt;z-index:-1677156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12.7pt;margin-top:269.1pt;z-index:-16771564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12.7pt;margin-top:251.35pt;z-index:-1677156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159.2pt;margin-top:251.35pt;z-index:-1677155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450.8pt;margin-top:251.35pt;z-index:-1677155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96.6pt;margin-top:233.55pt;z-index:-1677154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305pt;margin-top:251.35pt;z-index:-1677154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450.8pt;margin-top:233.55pt;z-index:-1677154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159.2pt;margin-top:251.35pt;z-index:-1677153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05pt;margin-top:233.55pt;z-index:-1677153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12.7pt;margin-top:251.35pt;z-index:-16771528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12.7pt;margin-top:233.55pt;z-index:-1677152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159.2pt;margin-top:233.55pt;z-index:-1677152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450.8pt;margin-top:233.55pt;z-index:-1677151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96.6pt;margin-top:215.8pt;z-index:-1677151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05pt;margin-top:233.55pt;z-index:-1677150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0.8pt;margin-top:215.8pt;z-index:-1677150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159.2pt;margin-top:233.55pt;z-index:-1677150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305pt;margin-top:215.8pt;z-index:-1677149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12.7pt;margin-top:233.55pt;z-index:-16771492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12.7pt;margin-top:215.8pt;z-index:-1677148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159.2pt;margin-top:215.8pt;z-index:-1677148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50.8pt;margin-top:215.8pt;z-index:-1677148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96.6pt;margin-top:198pt;z-index:-1677147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305pt;margin-top:215.8pt;z-index:-1677147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50.8pt;margin-top:198pt;z-index:-1677146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59.2pt;margin-top:215.8pt;z-index:-1677146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305pt;margin-top:198pt;z-index:-1677146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12.7pt;margin-top:215.8pt;z-index:-16771456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12.7pt;margin-top:198pt;z-index:-1677145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159.2pt;margin-top:198pt;z-index:-1677144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50.8pt;margin-top:198pt;z-index:-1677144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96.6pt;margin-top:180.25pt;z-index:-1677144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05pt;margin-top:198pt;z-index:-1677143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50.8pt;margin-top:180.25pt;z-index:-1677143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159.2pt;margin-top:198pt;z-index:-1677142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05pt;margin-top:180.25pt;z-index:-1677142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12.7pt;margin-top:198pt;z-index:-16771420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12.7pt;margin-top:180.25pt;z-index:-1677141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159.2pt;margin-top:180.25pt;z-index:-1677141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0.8pt;margin-top:162.45pt;z-index:-1677140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50.8pt;margin-top:180.2pt;z-index:-1677140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96.6pt;margin-top:162.45pt;z-index:-1677140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05pt;margin-top:162.45pt;z-index:-1677139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05pt;margin-top:180.2pt;z-index:-1677139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50.8pt;margin-top:162.45pt;z-index:-1677138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159.2pt;margin-top:162.45pt;z-index:-1677138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159.2pt;margin-top:180.2pt;z-index:-1677138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305pt;margin-top:162.45pt;z-index:-1677137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12.7pt;margin-top:162.45pt;z-index:-16771372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12.7pt;margin-top:180.2pt;z-index:-16771368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12.7pt;margin-top:162.45pt;z-index:-1677136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159.2pt;margin-top:162.45pt;z-index:-1677136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12.7pt;margin-top:326.75pt;z-index:-1677135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</w:p>
    <w:p>
      <w:pPr>
        <w:pStyle w:val="Normal"/>
        <w:framePr w:w="1631" w:hAnchor="page" w:vAnchor="page" w:x="274" w:y="101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65  TechnipFMC</w:t>
      </w:r>
    </w:p>
    <w:p>
      <w:pPr>
        <w:pStyle w:val="Normal"/>
        <w:framePr w:w="9085" w:hAnchor="page" w:vAnchor="page" w:x="274" w:y="94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set to ensure that achievement will require the same or improved execution to achieve the targets.</w:t>
      </w:r>
    </w:p>
    <w:p>
      <w:pPr>
        <w:pStyle w:val="Normal"/>
        <w:framePr w:w="13535" w:hAnchor="page" w:vAnchor="page" w:x="274" w:y="92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caused by the life cycle progression of a few very large projects, our targets can vary in absolute terms when compared to prior year targets but are</w:t>
      </w:r>
    </w:p>
    <w:p>
      <w:pPr>
        <w:pStyle w:val="Normal"/>
        <w:framePr w:w="13354" w:hAnchor="page" w:vAnchor="page" w:x="274" w:y="90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superior execution based on our long-range plans. Given the cyclical nature of our industry sector, as well as the variability in some of our metrics</w:t>
      </w:r>
    </w:p>
    <w:p>
      <w:pPr>
        <w:pStyle w:val="Normal"/>
        <w:framePr w:w="13548" w:hAnchor="page" w:vAnchor="page" w:x="274" w:y="88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targets related to our annual cash incentive are set at “stretch” targets that are considered difficult and challenging but achievable with</w:t>
      </w:r>
    </w:p>
    <w:p>
      <w:pPr>
        <w:pStyle w:val="Normal"/>
        <w:framePr w:w="3311" w:hAnchor="page" w:vAnchor="page" w:x="274" w:y="86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Target Setting for BPI Measures</w:t>
      </w:r>
    </w:p>
    <w:p>
      <w:pPr>
        <w:pStyle w:val="Normal"/>
        <w:framePr w:w="2310" w:hAnchor="page" w:vAnchor="page" w:x="274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level, the payout is 0%.</w:t>
      </w:r>
    </w:p>
    <w:p>
      <w:pPr>
        <w:pStyle w:val="Normal"/>
        <w:framePr w:w="14059" w:hAnchor="page" w:vAnchor="page" w:x="274" w:y="80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other components and has a maximum possible payout of 200% of target. Furthermore, if performance with respect to any BPI fails to meet the threshold</w:t>
      </w:r>
    </w:p>
    <w:p>
      <w:pPr>
        <w:pStyle w:val="Normal"/>
        <w:framePr w:w="13787" w:hAnchor="page" w:vAnchor="page" w:x="274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BPI components are intended to drive the achievement of key financial and ESG objectives. Each component is assessed independently from the</w:t>
      </w:r>
    </w:p>
    <w:p>
      <w:pPr>
        <w:pStyle w:val="Normal"/>
        <w:framePr w:w="4882" w:hAnchor="page" w:vAnchor="page" w:x="274" w:y="76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BPI Component – 75% of Annual Cash Incentive</w:t>
      </w:r>
    </w:p>
    <w:p>
      <w:pPr>
        <w:pStyle w:val="Normal"/>
        <w:framePr w:w="3881" w:hAnchor="page" w:vAnchor="page" w:x="7810" w:y="72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directors’ annual performance objectives</w:t>
      </w:r>
    </w:p>
    <w:p>
      <w:pPr>
        <w:pStyle w:val="Normal"/>
        <w:framePr w:w="4052" w:hAnchor="page" w:vAnchor="page" w:x="1302" w:y="71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based on business performance indicators</w:t>
      </w:r>
    </w:p>
    <w:p>
      <w:pPr>
        <w:pStyle w:val="Normal"/>
        <w:framePr w:w="4405" w:hAnchor="page" w:vAnchor="page" w:x="7591" w:y="70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on qualitative factors reflected in the executive</w:t>
      </w:r>
    </w:p>
    <w:p>
      <w:pPr>
        <w:pStyle w:val="Normal"/>
        <w:framePr w:w="798" w:hAnchor="page" w:vAnchor="page" w:x="5994" w:y="6842"/>
        <w:widowControl w:val="off"/>
        <w:autoSpaceDE w:val="off"/>
        <w:autoSpaceDN w:val="off"/>
        <w:spacing w:before="0" w:after="0" w:line="474" w:lineRule="exact"/>
        <w:ind w:left="0" w:right="0" w:first-line="0"/>
        <w:jc w:val="left"/>
        <w:rPr>
          <w:rFonts w:ascii="TYIFDT+ArialMT" w:hAnsi="TYIFDT+ArialMT" w:fareast="TYIFDT+ArialMT" w:cs="TYIFDT+ArialMT"/>
          <w:color w:val="5f636a"/>
          <w:w w:val="100"/>
          <w:sz w:val="46"/>
          <w:szCs w:val="46"/>
        </w:rPr>
      </w:pPr>
      <w:r>
        <w:rPr>
          <w:rFonts w:ascii="TYIFDT+ArialMT" w:hAnsi="TYIFDT+ArialMT" w:fareast="TYIFDT+ArialMT" w:cs="TYIFDT+ArialMT"/>
          <w:color w:val="5f636a"/>
          <w:w w:val="100"/>
          <w:sz w:val="46"/>
          <w:szCs w:val="46"/>
        </w:rPr>
        <w:t>+</w:t>
      </w:r>
    </w:p>
    <w:p>
      <w:pPr>
        <w:pStyle w:val="Normal"/>
        <w:framePr w:w="4348" w:hAnchor="page" w:vAnchor="page" w:x="1179" w:y="69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Assessment of overall Company performance</w:t>
      </w:r>
    </w:p>
    <w:p>
      <w:pPr>
        <w:pStyle w:val="Normal"/>
        <w:framePr w:w="4280" w:hAnchor="page" w:vAnchor="page" w:x="7644" w:y="68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Assessment of individual performance based</w:t>
      </w:r>
    </w:p>
    <w:p>
      <w:pPr>
        <w:pStyle w:val="Normal"/>
        <w:framePr w:w="1012" w:hAnchor="page" w:vAnchor="page" w:x="2569" w:y="67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75% BPI</w:t>
      </w:r>
    </w:p>
    <w:p>
      <w:pPr>
        <w:pStyle w:val="Normal"/>
        <w:framePr w:w="1012" w:hAnchor="page" w:vAnchor="page" w:x="9005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25% API</w:t>
      </w:r>
    </w:p>
    <w:p>
      <w:pPr>
        <w:pStyle w:val="Normal"/>
        <w:framePr w:w="932" w:hAnchor="page" w:vAnchor="page" w:x="274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API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”). </w:t>
      </w:r>
    </w:p>
    <w:p>
      <w:pPr>
        <w:pStyle w:val="Normal"/>
        <w:framePr w:w="13742" w:hAnchor="page" w:vAnchor="page" w:x="274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75% of the annual cash incentive is based on business performance indicators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BPI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”), and 25% is based on individual annual performance indicators</w:t>
      </w:r>
    </w:p>
    <w:p>
      <w:pPr>
        <w:pStyle w:val="Normal"/>
        <w:framePr w:w="4746" w:hAnchor="page" w:vAnchor="page" w:x="274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Annual Cash Incentive Performance Indicators</w:t>
      </w:r>
    </w:p>
    <w:p>
      <w:pPr>
        <w:pStyle w:val="Normal"/>
        <w:framePr w:w="1456" w:hAnchor="page" w:vAnchor="page" w:x="359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Victoria Lazar</w:t>
      </w:r>
    </w:p>
    <w:p>
      <w:pPr>
        <w:pStyle w:val="Normal"/>
        <w:framePr w:w="728" w:hAnchor="page" w:vAnchor="page" w:x="5612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728" w:hAnchor="page" w:vAnchor="page" w:x="8528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500" w:hAnchor="page" w:vAnchor="page" w:x="11634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0%</w:t>
      </w:r>
    </w:p>
    <w:p>
      <w:pPr>
        <w:pStyle w:val="Normal"/>
        <w:framePr w:w="1776" w:hAnchor="page" w:vAnchor="page" w:x="359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Jonathan Landes</w:t>
      </w:r>
    </w:p>
    <w:p>
      <w:pPr>
        <w:pStyle w:val="Normal"/>
        <w:framePr w:w="728" w:hAnchor="page" w:vAnchor="page" w:x="5612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728" w:hAnchor="page" w:vAnchor="page" w:x="8528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500" w:hAnchor="page" w:vAnchor="page" w:x="11634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0%</w:t>
      </w:r>
    </w:p>
    <w:p>
      <w:pPr>
        <w:pStyle w:val="Normal"/>
        <w:framePr w:w="1502" w:hAnchor="page" w:vAnchor="page" w:x="359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Justin Rounce</w:t>
      </w:r>
    </w:p>
    <w:p>
      <w:pPr>
        <w:pStyle w:val="Normal"/>
        <w:framePr w:w="728" w:hAnchor="page" w:vAnchor="page" w:x="5612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728" w:hAnchor="page" w:vAnchor="page" w:x="8528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500" w:hAnchor="page" w:vAnchor="page" w:x="11634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0%</w:t>
      </w:r>
    </w:p>
    <w:p>
      <w:pPr>
        <w:pStyle w:val="Normal"/>
        <w:framePr w:w="989" w:hAnchor="page" w:vAnchor="page" w:x="359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Alf Melin</w:t>
      </w:r>
    </w:p>
    <w:p>
      <w:pPr>
        <w:pStyle w:val="Normal"/>
        <w:framePr w:w="728" w:hAnchor="page" w:vAnchor="page" w:x="5612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728" w:hAnchor="page" w:vAnchor="page" w:x="8528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100%</w:t>
      </w:r>
    </w:p>
    <w:p>
      <w:pPr>
        <w:pStyle w:val="Normal"/>
        <w:framePr w:w="500" w:hAnchor="page" w:vAnchor="page" w:x="11634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0%</w:t>
      </w:r>
    </w:p>
    <w:p>
      <w:pPr>
        <w:pStyle w:val="Normal"/>
        <w:framePr w:w="2117" w:hAnchor="page" w:vAnchor="page" w:x="359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Douglas J. Pferdehirt</w:t>
      </w:r>
    </w:p>
    <w:p>
      <w:pPr>
        <w:pStyle w:val="Normal"/>
        <w:framePr w:w="728" w:hAnchor="page" w:vAnchor="page" w:x="5612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135%</w:t>
      </w:r>
    </w:p>
    <w:p>
      <w:pPr>
        <w:pStyle w:val="Normal"/>
        <w:framePr w:w="728" w:hAnchor="page" w:vAnchor="page" w:x="8528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135%</w:t>
      </w:r>
    </w:p>
    <w:p>
      <w:pPr>
        <w:pStyle w:val="Normal"/>
        <w:framePr w:w="500" w:hAnchor="page" w:vAnchor="page" w:x="11634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0%</w:t>
      </w:r>
    </w:p>
    <w:p>
      <w:pPr>
        <w:pStyle w:val="Normal"/>
        <w:framePr w:w="2617" w:hAnchor="page" w:vAnchor="page" w:x="359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Named Executive Officer</w:t>
      </w:r>
    </w:p>
    <w:p>
      <w:pPr>
        <w:pStyle w:val="Normal"/>
        <w:framePr w:w="660" w:hAnchor="page" w:vAnchor="page" w:x="5669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2021</w:t>
      </w:r>
    </w:p>
    <w:p>
      <w:pPr>
        <w:pStyle w:val="Normal"/>
        <w:framePr w:w="660" w:hAnchor="page" w:vAnchor="page" w:x="8585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</w:t>
      </w:r>
    </w:p>
    <w:p>
      <w:pPr>
        <w:pStyle w:val="Normal"/>
        <w:framePr w:w="1035" w:hAnchor="page" w:vAnchor="page" w:x="11188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Increase</w:t>
      </w:r>
    </w:p>
    <w:p>
      <w:pPr>
        <w:pStyle w:val="Normal"/>
        <w:framePr w:w="7696" w:hAnchor="page" w:vAnchor="page" w:x="274" w:y="31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were the 2021 and 2022 annual cash incentive targets for our NEOs:</w:t>
      </w:r>
    </w:p>
    <w:p>
      <w:pPr>
        <w:pStyle w:val="Normal"/>
        <w:framePr w:w="4576" w:hAnchor="page" w:vAnchor="page" w:x="274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market-competitive levels of total compensation.</w:t>
      </w:r>
    </w:p>
    <w:p>
      <w:pPr>
        <w:pStyle w:val="Normal"/>
        <w:framePr w:w="13293" w:hAnchor="page" w:vAnchor="page" w:x="274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financial, ESG goals for the Company, as well as individual goals. The annual cash incentive also ensures that we provide executive officers with</w:t>
      </w:r>
    </w:p>
    <w:p>
      <w:pPr>
        <w:pStyle w:val="Normal"/>
        <w:framePr w:w="13945" w:hAnchor="page" w:vAnchor="page" w:x="274" w:y="23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market median total compensation data for our peers. The targets are set at appropriate levels to incentivize executive officers to achieve the short-term</w:t>
      </w:r>
    </w:p>
    <w:p>
      <w:pPr>
        <w:pStyle w:val="Normal"/>
        <w:framePr w:w="13890" w:hAnchor="page" w:vAnchor="page" w:x="274" w:y="21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 reviews and approves target annual cash incentive percentages for the NEOs annually, based on a review of</w:t>
      </w:r>
    </w:p>
    <w:p>
      <w:pPr>
        <w:pStyle w:val="Normal"/>
        <w:framePr w:w="6945" w:hAnchor="page" w:vAnchor="page" w:x="274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cash incentive target, depending on Company and individual performance.</w:t>
      </w:r>
    </w:p>
    <w:p>
      <w:pPr>
        <w:pStyle w:val="Normal"/>
        <w:framePr w:w="13408" w:hAnchor="page" w:vAnchor="page" w:x="274" w:y="15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contributions. Each NEO has an annual cash incentive target, set as a percentage of base salary. Each NEO can earn 0% to 200% of their annual</w:t>
      </w:r>
    </w:p>
    <w:p>
      <w:pPr>
        <w:pStyle w:val="Normal"/>
        <w:framePr w:w="13134" w:hAnchor="page" w:vAnchor="page" w:x="274" w:y="13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provide our NEOs with an annual cash incentive to drive and reward the achievement of short-term Company strategic goals and individual</w:t>
      </w:r>
    </w:p>
    <w:p>
      <w:pPr>
        <w:pStyle w:val="Normal"/>
        <w:framePr w:w="3710" w:hAnchor="page" w:vAnchor="page" w:x="274" w:y="11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2022 Annual Cash Incentive Targets</w:t>
      </w:r>
    </w:p>
    <w:p>
      <w:pPr>
        <w:pStyle w:val="Normal"/>
        <w:framePr w:w="3183" w:hAnchor="page" w:vAnchor="page" w:x="274" w:y="65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Annual Cash Incentive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7pt;margin-top:1pt;z-index:-1677135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12.7pt;margin-top:175.25pt;z-index:-16771348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159.2pt;margin-top:175.25pt;z-index:-1677134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05pt;margin-top:175.25pt;z-index:-1677134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50.8pt;margin-top:175.25pt;z-index:-1677133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12.7pt;margin-top:193.05pt;z-index:-16771332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159.2pt;margin-top:193.05pt;z-index:-16771328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305pt;margin-top:193.05pt;z-index:-1677132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50.8pt;margin-top:193.05pt;z-index:-1677132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12.7pt;margin-top:210.8pt;z-index:-16771316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159.2pt;margin-top:210.8pt;z-index:-1677131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305pt;margin-top:210.8pt;z-index:-16771308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50.8pt;margin-top:210.8pt;z-index:-1677130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12.7pt;margin-top:228.6pt;z-index:-16771300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159.2pt;margin-top:228.6pt;z-index:-1677129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05pt;margin-top:228.6pt;z-index:-1677129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50.8pt;margin-top:228.6pt;z-index:-16771288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12.7pt;margin-top:246.35pt;z-index:-16771284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159.2pt;margin-top:246.35pt;z-index:-1677128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05pt;margin-top:246.35pt;z-index:-1677127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450.8pt;margin-top:246.35pt;z-index:-16771272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12.7pt;margin-top:264.15pt;z-index:-16771268;width:148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159.2pt;margin-top:264.15pt;z-index:-16771264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305pt;margin-top:264.15pt;z-index:-16771260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450.8pt;margin-top:264.15pt;z-index:-16771256;width:147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50.8pt;margin-top:281.95pt;z-index:-1677125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96.6pt;margin-top:264.15pt;z-index:-1677124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05pt;margin-top:281.95pt;z-index:-1677124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50.8pt;margin-top:264.15pt;z-index:-1677124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159.2pt;margin-top:281.95pt;z-index:-1677123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305pt;margin-top:264.15pt;z-index:-1677123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12.7pt;margin-top:281.95pt;z-index:-16771228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2.7pt;margin-top:264.15pt;z-index:-1677122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59.2pt;margin-top:264.15pt;z-index:-1677122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450.8pt;margin-top:264.15pt;z-index:-1677121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96.6pt;margin-top:246.4pt;z-index:-1677121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305pt;margin-top:264.15pt;z-index:-1677120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50.8pt;margin-top:246.4pt;z-index:-1677120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59.2pt;margin-top:264.15pt;z-index:-1677120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305pt;margin-top:246.4pt;z-index:-1677119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12.7pt;margin-top:264.15pt;z-index:-16771192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12.7pt;margin-top:246.4pt;z-index:-1677118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159.2pt;margin-top:246.4pt;z-index:-1677118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50.8pt;margin-top:246.35pt;z-index:-1677118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96.6pt;margin-top:228.6pt;z-index:-1677117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305pt;margin-top:246.35pt;z-index:-1677117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50.8pt;margin-top:228.6pt;z-index:-1677116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159.2pt;margin-top:246.35pt;z-index:-1677116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05pt;margin-top:228.6pt;z-index:-1677116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12.7pt;margin-top:246.35pt;z-index:-16771156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2.7pt;margin-top:228.6pt;z-index:-1677115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159.2pt;margin-top:228.6pt;z-index:-1677114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450.8pt;margin-top:228.6pt;z-index:-1677114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96.6pt;margin-top:210.8pt;z-index:-1677114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05pt;margin-top:228.6pt;z-index:-1677113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50.8pt;margin-top:210.8pt;z-index:-1677113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159.2pt;margin-top:228.6pt;z-index:-1677112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05pt;margin-top:210.8pt;z-index:-1677112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12.7pt;margin-top:228.6pt;z-index:-16771120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12.7pt;margin-top:210.8pt;z-index:-1677111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159.2pt;margin-top:210.8pt;z-index:-1677111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50.8pt;margin-top:210.8pt;z-index:-1677110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96.6pt;margin-top:193.05pt;z-index:-1677110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305pt;margin-top:210.8pt;z-index:-1677110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50.8pt;margin-top:193.05pt;z-index:-1677109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159.2pt;margin-top:210.8pt;z-index:-1677109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05pt;margin-top:193.05pt;z-index:-1677108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12.7pt;margin-top:210.8pt;z-index:-16771084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12.7pt;margin-top:193.05pt;z-index:-1677108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159.2pt;margin-top:193.05pt;z-index:-16771076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50.8pt;margin-top:175.25pt;z-index:-1677107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50.8pt;margin-top:193.05pt;z-index:-1677106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96.6pt;margin-top:175.25pt;z-index:-1677106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05pt;margin-top:175.25pt;z-index:-1677106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05pt;margin-top:193.05pt;z-index:-1677105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50.8pt;margin-top:175.25pt;z-index:-16771052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159.2pt;margin-top:175.25pt;z-index:-1677104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159.2pt;margin-top:193.05pt;z-index:-1677104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305pt;margin-top:175.25pt;z-index:-16771040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12.7pt;margin-top:175.25pt;z-index:-16771036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12.7pt;margin-top:193.05pt;z-index:-16771032;width:14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12.7pt;margin-top:175.25pt;z-index:-16771028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59.2pt;margin-top:175.25pt;z-index:-16771024;width:2.7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12.7pt;margin-top:333.15pt;z-index:-16771020;width:586.6pt;height:4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12.7pt;margin-top:333.15pt;z-index:-16771016;width:265.15pt;height:4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334.85pt;margin-top:333.15pt;z-index:-16771012;width:264.45pt;height:4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2.7pt;margin-top:521.6pt;z-index:-1677100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</w:p>
    <w:p>
      <w:pPr>
        <w:pStyle w:val="Normal"/>
        <w:framePr w:w="1631" w:hAnchor="page" w:vAnchor="page" w:x="274" w:y="132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66  TechnipFMC</w:t>
      </w:r>
    </w:p>
    <w:p>
      <w:pPr>
        <w:pStyle w:val="Normal"/>
        <w:framePr w:w="6854" w:hAnchor="page" w:vAnchor="page" w:x="27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2022 BPI measures for the annual cash incentive are outlined below:</w:t>
      </w:r>
    </w:p>
    <w:p>
      <w:pPr>
        <w:pStyle w:val="Normal"/>
        <w:framePr w:w="3608" w:hAnchor="page" w:vAnchor="page" w:x="274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incentivizing inappropriate risk taking.</w:t>
      </w:r>
    </w:p>
    <w:p>
      <w:pPr>
        <w:pStyle w:val="Normal"/>
        <w:framePr w:w="13127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These inputs inform discussions regarding both the targets and the ranges around the target to ensure the goals are sufficiently difficult without</w:t>
      </w:r>
    </w:p>
    <w:p>
      <w:pPr>
        <w:pStyle w:val="Normal"/>
        <w:framePr w:w="2959" w:hAnchor="page" w:vAnchor="page" w:x="501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Our prior-year performance</w:t>
      </w:r>
    </w:p>
    <w:p>
      <w:pPr>
        <w:pStyle w:val="Normal"/>
        <w:framePr w:w="4120" w:hAnchor="page" w:vAnchor="page" w:x="501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Anticipated changes in customer activity</w:t>
      </w:r>
    </w:p>
    <w:p>
      <w:pPr>
        <w:pStyle w:val="Normal"/>
        <w:framePr w:w="3186" w:hAnchor="page" w:vAnchor="page" w:x="501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Our competitors’ performance</w:t>
      </w:r>
    </w:p>
    <w:p>
      <w:pPr>
        <w:pStyle w:val="Normal"/>
        <w:framePr w:w="3107" w:hAnchor="page" w:vAnchor="page" w:x="501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Volatility in commodity prices</w:t>
      </w:r>
    </w:p>
    <w:p>
      <w:pPr>
        <w:pStyle w:val="Normal"/>
        <w:framePr w:w="5817" w:hAnchor="page" w:vAnchor="page" w:x="501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Underlying market conditions for our products and services</w:t>
      </w:r>
    </w:p>
    <w:p>
      <w:pPr>
        <w:pStyle w:val="Normal"/>
        <w:framePr w:w="6602" w:hAnchor="page" w:vAnchor="page" w:x="501" w:y="12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The overall business climate and the cyclical nature of our business</w:t>
      </w:r>
    </w:p>
    <w:p>
      <w:pPr>
        <w:pStyle w:val="Normal"/>
        <w:framePr w:w="5270" w:hAnchor="page" w:vAnchor="page" w:x="274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projections, which are impacted by the following factors:</w:t>
      </w:r>
    </w:p>
    <w:p>
      <w:pPr>
        <w:pStyle w:val="Normal"/>
        <w:framePr w:w="13237" w:hAnchor="page" w:vAnchor="page" w:x="274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setting performance goals, the Compensation and Talent Committee considers the Company’s annual financial plans, strategic initiatives, and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7pt;margin-top:1pt;z-index:-167710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12.7pt;margin-top:677.35pt;z-index:-1677100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7.85pt;margin-top:231pt;z-index:-16770996;width:533.4pt;height:40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</w:p>
    <w:p>
      <w:pPr>
        <w:pStyle w:val="Normal"/>
        <w:framePr w:w="1631" w:hAnchor="page" w:vAnchor="page" w:x="274" w:y="974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67  TechnipFMC</w:t>
      </w:r>
    </w:p>
    <w:p>
      <w:pPr>
        <w:pStyle w:val="Normal"/>
        <w:framePr w:w="9832" w:hAnchor="page" w:vAnchor="page" w:x="274" w:y="91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that are important to the Company, in assessing the determination of the payout related to this component:</w:t>
      </w:r>
    </w:p>
    <w:p>
      <w:pPr>
        <w:pStyle w:val="Normal"/>
        <w:framePr w:w="13593" w:hAnchor="page" w:vAnchor="page" w:x="274" w:y="89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2021-2023 ESG Scorecard objectives and focused on overall results, behaviors and measurable actions that showed advancement in areas of ESG</w:t>
      </w:r>
    </w:p>
    <w:p>
      <w:pPr>
        <w:pStyle w:val="Normal"/>
        <w:framePr w:w="13480" w:hAnchor="page" w:vAnchor="page" w:x="274" w:y="87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 took a comprehensive approach to reflect on the progress made in 2022 towards the achievement of the</w:t>
      </w:r>
    </w:p>
    <w:p>
      <w:pPr>
        <w:pStyle w:val="Normal"/>
        <w:framePr w:w="3573" w:hAnchor="page" w:vAnchor="page" w:x="274" w:y="85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Determination of Payout for 2022</w:t>
      </w:r>
    </w:p>
    <w:p>
      <w:pPr>
        <w:pStyle w:val="Normal"/>
        <w:framePr w:w="5077" w:hAnchor="page" w:vAnchor="page" w:x="274" w:y="81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planet, people, and communities in which we operate.</w:t>
      </w:r>
    </w:p>
    <w:p>
      <w:pPr>
        <w:pStyle w:val="Normal"/>
        <w:framePr w:w="13862" w:hAnchor="page" w:vAnchor="page" w:x="274" w:y="79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complements the extensive efforts that inform our approach to ESG matters to drive behaviors and create outcomes that make a positive impact on the</w:t>
      </w:r>
    </w:p>
    <w:p>
      <w:pPr>
        <w:pStyle w:val="Normal"/>
        <w:framePr w:w="13285" w:hAnchor="page" w:vAnchor="page" w:x="274" w:y="77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align our executives’ incentives with our ESG commitments, we link our Scorecard performance to our executive compensation program. This</w:t>
      </w:r>
    </w:p>
    <w:p>
      <w:pPr>
        <w:pStyle w:val="Normal"/>
        <w:framePr w:w="4735" w:hAnchor="page" w:vAnchor="page" w:x="274" w:y="75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2022 Results for the 2021-2023 ESG Scorecard</w:t>
      </w:r>
    </w:p>
    <w:p>
      <w:pPr>
        <w:pStyle w:val="Normal"/>
        <w:framePr w:w="3267" w:hAnchor="page" w:vAnchor="page" w:x="274" w:y="71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relative to the goals that were set.</w:t>
      </w:r>
    </w:p>
    <w:p>
      <w:pPr>
        <w:pStyle w:val="Normal"/>
        <w:framePr w:w="13274" w:hAnchor="page" w:vAnchor="page" w:x="274" w:y="69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divestitures, and foreign exchange movements. These changes are intended to ensure that performance is measured on a like-for-like basis</w:t>
      </w:r>
    </w:p>
    <w:p>
      <w:pPr>
        <w:pStyle w:val="Normal"/>
        <w:framePr w:w="13738" w:hAnchor="page" w:vAnchor="page" w:x="274" w:y="67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accordance with established guidelines, the goals are adjusted for the cumulative effect of changes in accounting principles, significant acquisitions</w:t>
      </w:r>
    </w:p>
    <w:p>
      <w:pPr>
        <w:pStyle w:val="Normal"/>
        <w:framePr w:w="7117" w:hAnchor="page" w:vAnchor="page" w:x="615" w:y="63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rounded to the nearest whole percent for calculating the annual cash incentive payout.</w:t>
      </w:r>
    </w:p>
    <w:p>
      <w:pPr>
        <w:pStyle w:val="Normal"/>
        <w:framePr w:w="13936" w:hAnchor="page" w:vAnchor="page" w:x="274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  Payout for performance between the threshold, target, and maximum payouts are interpolated on a straight-line basis. The final weighted payout percentage for BPI is</w:t>
      </w:r>
    </w:p>
    <w:p>
      <w:pPr>
        <w:pStyle w:val="Normal"/>
        <w:framePr w:w="10839" w:hAnchor="page" w:vAnchor="page" w:x="615" w:y="60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directly comparable GAAP measures, please refer to ”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5"/>
          <w:szCs w:val="15"/>
        </w:rPr>
        <w:t>Appendix A – Reconciliation of Non-GAAP Measures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” in this Proxy Statement.</w:t>
      </w:r>
    </w:p>
    <w:p>
      <w:pPr>
        <w:pStyle w:val="Normal"/>
        <w:framePr w:w="13465" w:hAnchor="page" w:vAnchor="page" w:x="615" w:y="587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provided by operating activities less capital expenditures. For reconciliation of adjusted EBITDA, adjusted EBITDA margin, and free cash flow to their respective most</w:t>
      </w:r>
    </w:p>
    <w:p>
      <w:pPr>
        <w:pStyle w:val="Normal"/>
        <w:framePr w:w="12866" w:hAnchor="page" w:vAnchor="page" w:x="615" w:y="570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costs, foreign exchange impact, as well as other items identified in TechnipFMC’s quarterly and annual financial statements. Free cash flow is defined as cash</w:t>
      </w:r>
    </w:p>
    <w:p>
      <w:pPr>
        <w:pStyle w:val="Normal"/>
        <w:framePr w:w="13906" w:hAnchor="page" w:vAnchor="page" w:x="274" w:y="553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Financial targets and actual performance based on Adjusted EBITDA exclude non-recurring charges and credits, such as impairments, restructuring costs, integration</w:t>
      </w:r>
    </w:p>
    <w:p>
      <w:pPr>
        <w:pStyle w:val="Normal"/>
        <w:framePr w:w="1582" w:hAnchor="page" w:vAnchor="page" w:x="345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25% Weighting</w:t>
      </w:r>
    </w:p>
    <w:p>
      <w:pPr>
        <w:pStyle w:val="Normal"/>
        <w:framePr w:w="1069" w:hAnchor="page" w:vAnchor="page" w:x="2908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$0 million</w:t>
      </w:r>
    </w:p>
    <w:p>
      <w:pPr>
        <w:pStyle w:val="Normal"/>
        <w:framePr w:w="1297" w:hAnchor="page" w:vAnchor="page" w:x="4747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$175 million</w:t>
      </w:r>
    </w:p>
    <w:p>
      <w:pPr>
        <w:pStyle w:val="Normal"/>
        <w:framePr w:w="1297" w:hAnchor="page" w:vAnchor="page" w:x="6682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$350 million</w:t>
      </w:r>
    </w:p>
    <w:p>
      <w:pPr>
        <w:pStyle w:val="Normal"/>
        <w:framePr w:w="1297" w:hAnchor="page" w:vAnchor="page" w:x="8609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$194 million</w:t>
      </w:r>
    </w:p>
    <w:p>
      <w:pPr>
        <w:pStyle w:val="Normal"/>
        <w:framePr w:w="728" w:hAnchor="page" w:vAnchor="page" w:x="10779" w:y="49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111%</w:t>
      </w:r>
    </w:p>
    <w:p>
      <w:pPr>
        <w:pStyle w:val="Normal"/>
        <w:framePr w:w="1718" w:hAnchor="page" w:vAnchor="page" w:x="345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Free Cash Flow</w:t>
      </w:r>
    </w:p>
    <w:p>
      <w:pPr>
        <w:pStyle w:val="Normal"/>
        <w:framePr w:w="1582" w:hAnchor="page" w:vAnchor="page" w:x="345" w:y="45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25% Weighting</w:t>
      </w:r>
    </w:p>
    <w:p>
      <w:pPr>
        <w:pStyle w:val="Normal"/>
        <w:framePr w:w="1240" w:hAnchor="page" w:vAnchor="page" w:x="345" w:y="43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Revenue%</w:t>
      </w:r>
    </w:p>
    <w:p>
      <w:pPr>
        <w:pStyle w:val="Normal"/>
        <w:framePr w:w="671" w:hAnchor="page" w:vAnchor="page" w:x="3074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8.6%</w:t>
      </w:r>
    </w:p>
    <w:p>
      <w:pPr>
        <w:pStyle w:val="Normal"/>
        <w:framePr w:w="785" w:hAnchor="page" w:vAnchor="page" w:x="4960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10.1%</w:t>
      </w:r>
    </w:p>
    <w:p>
      <w:pPr>
        <w:pStyle w:val="Normal"/>
        <w:framePr w:w="785" w:hAnchor="page" w:vAnchor="page" w:x="6901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11.6%</w:t>
      </w:r>
    </w:p>
    <w:p>
      <w:pPr>
        <w:pStyle w:val="Normal"/>
        <w:framePr w:w="785" w:hAnchor="page" w:vAnchor="page" w:x="8822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10.0%</w:t>
      </w:r>
    </w:p>
    <w:p>
      <w:pPr>
        <w:pStyle w:val="Normal"/>
        <w:framePr w:w="614" w:hAnchor="page" w:vAnchor="page" w:x="10814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94%</w:t>
      </w:r>
    </w:p>
    <w:p>
      <w:pPr>
        <w:pStyle w:val="Normal"/>
        <w:framePr w:w="1559" w:hAnchor="page" w:vAnchor="page" w:x="345" w:y="41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Percentage of</w:t>
      </w:r>
    </w:p>
    <w:p>
      <w:pPr>
        <w:pStyle w:val="Normal"/>
        <w:framePr w:w="2355" w:hAnchor="page" w:vAnchor="page" w:x="345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Adjusted EBITDA as a</w:t>
      </w:r>
    </w:p>
    <w:p>
      <w:pPr>
        <w:pStyle w:val="Normal"/>
        <w:framePr w:w="1035" w:hAnchor="page" w:vAnchor="page" w:x="345" w:y="35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Measure</w:t>
      </w:r>
    </w:p>
    <w:p>
      <w:pPr>
        <w:pStyle w:val="Normal"/>
        <w:framePr w:w="1456" w:hAnchor="page" w:vAnchor="page" w:x="2746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Performance</w:t>
      </w:r>
    </w:p>
    <w:p>
      <w:pPr>
        <w:pStyle w:val="Normal"/>
        <w:framePr w:w="1456" w:hAnchor="page" w:vAnchor="page" w:x="4681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Performance</w:t>
      </w:r>
    </w:p>
    <w:p>
      <w:pPr>
        <w:pStyle w:val="Normal"/>
        <w:framePr w:w="1456" w:hAnchor="page" w:vAnchor="page" w:x="6615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Performance</w:t>
      </w:r>
    </w:p>
    <w:p>
      <w:pPr>
        <w:pStyle w:val="Normal"/>
        <w:framePr w:w="1695" w:hAnchor="page" w:vAnchor="page" w:x="8443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Performance %</w:t>
      </w:r>
    </w:p>
    <w:p>
      <w:pPr>
        <w:pStyle w:val="Normal"/>
        <w:framePr w:w="1126" w:hAnchor="page" w:vAnchor="page" w:x="10601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Payout %</w:t>
      </w:r>
    </w:p>
    <w:p>
      <w:pPr>
        <w:pStyle w:val="Normal"/>
        <w:framePr w:w="1115" w:hAnchor="page" w:vAnchor="page" w:x="345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2022 BPI </w:t>
      </w:r>
    </w:p>
    <w:p>
      <w:pPr>
        <w:pStyle w:val="Normal"/>
        <w:framePr w:w="1194" w:hAnchor="page" w:vAnchor="page" w:x="2856" w:y="33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Threshold</w:t>
      </w:r>
    </w:p>
    <w:p>
      <w:pPr>
        <w:pStyle w:val="Normal"/>
        <w:framePr w:w="830" w:hAnchor="page" w:vAnchor="page" w:x="4948" w:y="33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Target</w:t>
      </w:r>
    </w:p>
    <w:p>
      <w:pPr>
        <w:pStyle w:val="Normal"/>
        <w:framePr w:w="1149" w:hAnchor="page" w:vAnchor="page" w:x="6743" w:y="33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Maximum</w:t>
      </w:r>
    </w:p>
    <w:p>
      <w:pPr>
        <w:pStyle w:val="Normal"/>
        <w:framePr w:w="1363" w:hAnchor="page" w:vAnchor="page" w:x="4712" w:y="3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Goals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1</w:t>
      </w:r>
    </w:p>
    <w:p>
      <w:pPr>
        <w:pStyle w:val="Normal"/>
        <w:framePr w:w="2046" w:hAnchor="page" w:vAnchor="page" w:x="9278" w:y="3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Performance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2</w:t>
      </w:r>
    </w:p>
    <w:p>
      <w:pPr>
        <w:pStyle w:val="Normal"/>
        <w:framePr w:w="13537" w:hAnchor="page" w:vAnchor="page" w:x="274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2022 results and corresponding calculated payouts of adjusted EBITDA as a percentage of revenue and free cash flow are summarized below.</w:t>
      </w:r>
    </w:p>
    <w:p>
      <w:pPr>
        <w:pStyle w:val="Normal"/>
        <w:framePr w:w="11930" w:hAnchor="page" w:vAnchor="page" w:x="274" w:y="22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strategic investments we may pursue to ensure TechnipFMC remains a market leader today and in the energy future of tomorrow.</w:t>
      </w:r>
    </w:p>
    <w:p>
      <w:pPr>
        <w:pStyle w:val="Normal"/>
        <w:framePr w:w="13366" w:hAnchor="page" w:vAnchor="page" w:x="274" w:y="20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generation and an improved capital structure will provide us with the flexibility needed for both sustainable shareholder distributions as well as the</w:t>
      </w:r>
    </w:p>
    <w:p>
      <w:pPr>
        <w:pStyle w:val="Normal"/>
        <w:framePr w:w="14155" w:hAnchor="page" w:vAnchor="page" w:x="274" w:y="1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continued focus on cash generation resulted in resulted in $352 million of operating cash flow and $194 million of free cash flow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 2022. Strong cash</w:t>
      </w:r>
    </w:p>
    <w:p>
      <w:pPr>
        <w:pStyle w:val="Normal"/>
        <w:framePr w:w="9668" w:hAnchor="page" w:vAnchor="page" w:x="274" w:y="14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Adjusted EBITDA margin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was 10.0%, a nearly 120-basis point improvement compared to the prior year.</w:t>
      </w:r>
    </w:p>
    <w:p>
      <w:pPr>
        <w:pStyle w:val="Normal"/>
        <w:framePr w:w="14040" w:hAnchor="page" w:vAnchor="page" w:x="274" w:y="12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$29.8 million. Adjusted EBITDA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1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, which excludes foreign exchange gains and losses, was $670 million, an increase of 18.7% compared to the prior year.</w:t>
      </w:r>
    </w:p>
    <w:p>
      <w:pPr>
        <w:pStyle w:val="Normal"/>
        <w:framePr w:w="13992" w:hAnchor="page" w:vAnchor="page" w:x="274" w:y="10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margin of 1.4% for the prior year. These results included after-tax charges and credits totaling $49.3 million and a loss on early extinguishment of debt of</w:t>
      </w:r>
    </w:p>
    <w:p>
      <w:pPr>
        <w:pStyle w:val="Normal"/>
        <w:framePr w:w="13581" w:hAnchor="page" w:vAnchor="page" w:x="274" w:y="8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Loss from continuing operations attributable to TechnipFMC plc was $61.9 million with a margin of 0.9%, compared to income of $87.8 million with a</w:t>
      </w:r>
    </w:p>
    <w:p>
      <w:pPr>
        <w:pStyle w:val="Normal"/>
        <w:framePr w:w="6609" w:hAnchor="page" w:vAnchor="page" w:x="274" w:y="6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5"/>
          <w:szCs w:val="15"/>
        </w:rPr>
        <w:t>2022 Key Financial Results Linked to the Compensation of Our Executives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7pt;margin-top:1pt;z-index:-1677099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12.7pt;margin-top:148.95pt;z-index:-16770988;width:586.6pt;height:11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12.7pt;margin-top:148.95pt;z-index:-16770984;width:101.5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112.25pt;margin-top:148.95pt;z-index:-16770980;width:29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05.3pt;margin-top:148.95pt;z-index:-16770976;width:194.0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12.7pt;margin-top:164.6pt;z-index:-16770972;width:101.5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112.25pt;margin-top:164.6pt;z-index:-16770968;width:101.5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211.85pt;margin-top:164.6pt;z-index:-16770964;width:95.9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305.7pt;margin-top:164.6pt;z-index:-16770960;width:101.5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05.3pt;margin-top:164.6pt;z-index:-16770956;width:95.1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98.45pt;margin-top:164.6pt;z-index:-16770952;width:100.8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12.7pt;margin-top:190.9pt;z-index:-16770948;width:101.5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12.25pt;margin-top:190.9pt;z-index:-16770944;width:101.5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11.85pt;margin-top:190.9pt;z-index:-16770940;width:95.9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305.7pt;margin-top:190.9pt;z-index:-16770936;width:101.5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05.3pt;margin-top:190.9pt;z-index:-16770932;width:95.1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98.45pt;margin-top:190.9pt;z-index:-16770928;width:100.8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12.7pt;margin-top:237.1pt;z-index:-16770924;width:101.5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12.25pt;margin-top:237.1pt;z-index:-16770920;width:101.5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11.85pt;margin-top:237.1pt;z-index:-16770916;width:95.9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05.7pt;margin-top:237.1pt;z-index:-16770912;width:101.5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05.3pt;margin-top:237.1pt;z-index:-16770908;width:95.1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98.45pt;margin-top:237.1pt;z-index:-16770904;width:100.8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98.45pt;margin-top:237.1pt;z-index:-16770900;width:2.7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405.3pt;margin-top:237.1pt;z-index:-16770896;width:2.7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305.7pt;margin-top:237.1pt;z-index:-16770892;width:2.7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11.85pt;margin-top:237.1pt;z-index:-16770888;width:2.7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12.7pt;margin-top:237.1pt;z-index:-16770884;width:2.7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112.25pt;margin-top:237.1pt;z-index:-16770880;width:2.7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498.45pt;margin-top:237.1pt;z-index:-16770876;width:10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405.3pt;margin-top:237.1pt;z-index:-16770872;width:9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98.45pt;margin-top:190.9pt;z-index:-16770868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305.7pt;margin-top:237.1pt;z-index:-16770864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05.3pt;margin-top:190.9pt;z-index:-16770860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211.85pt;margin-top:237.1pt;z-index:-16770856;width:9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05.7pt;margin-top:190.9pt;z-index:-16770852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112.25pt;margin-top:237.1pt;z-index:-16770848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11.85pt;margin-top:190.9pt;z-index:-16770844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12.7pt;margin-top:237.1pt;z-index:-16770840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12.7pt;margin-top:190.9pt;z-index:-16770836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112.25pt;margin-top:190.9pt;z-index:-16770832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98.45pt;margin-top:164.55pt;z-index:-16770828;width:10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98.45pt;margin-top:190.9pt;z-index:-16770824;width:10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05.3pt;margin-top:190.9pt;z-index:-16770820;width:9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98.45pt;margin-top:164.55pt;z-index:-16770816;width:2.7pt;height:2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305.7pt;margin-top:164.55pt;z-index:-16770812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05.7pt;margin-top:190.9pt;z-index:-16770808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05.3pt;margin-top:164.55pt;z-index:-16770804;width:2.7pt;height:2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211.85pt;margin-top:164.55pt;z-index:-16770800;width:9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211.85pt;margin-top:190.9pt;z-index:-16770796;width:9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305.7pt;margin-top:164.55pt;z-index:-16770792;width:2.7pt;height:2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112.25pt;margin-top:190.9pt;z-index:-16770788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11.85pt;margin-top:164.55pt;z-index:-16770784;width:2.7pt;height:2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12.7pt;margin-top:190.9pt;z-index:-16770780;width:10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2.7pt;margin-top:164.55pt;z-index:-16770776;width:2.7pt;height:2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112.25pt;margin-top:164.55pt;z-index:-16770772;width:2.7pt;height:2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05.3pt;margin-top:164.55pt;z-index:-16770768;width:19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112.25pt;margin-top:164.55pt;z-index:-16770764;width:295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05.3pt;margin-top:148.95pt;z-index:-16770760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112.25pt;margin-top:148.95pt;z-index:-16770756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12.7pt;margin-top:503.1pt;z-index:-167707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</w:p>
    <w:p>
      <w:pPr>
        <w:pStyle w:val="Normal"/>
        <w:framePr w:w="1631" w:hAnchor="page" w:vAnchor="page" w:x="274" w:y="112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68  TechnipFMC</w:t>
      </w:r>
    </w:p>
    <w:p>
      <w:pPr>
        <w:pStyle w:val="Normal"/>
        <w:framePr w:w="3324" w:hAnchor="page" w:vAnchor="page" w:x="274" w:y="10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U.K. Annual Report and Accounts.</w:t>
      </w:r>
    </w:p>
    <w:p>
      <w:pPr>
        <w:pStyle w:val="Normal"/>
        <w:framePr w:w="14163" w:hAnchor="page" w:vAnchor="page" w:x="274" w:y="104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more detail on how each metric is measured and our progress in 2022, please see the section entitled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Environmental, Social, and Governance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in our</w:t>
      </w:r>
    </w:p>
    <w:p>
      <w:pPr>
        <w:pStyle w:val="Normal"/>
        <w:framePr w:w="3869" w:hAnchor="page" w:vAnchor="page" w:x="274" w:y="100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 Metric shows against target and is annual</w:t>
      </w:r>
    </w:p>
    <w:p>
      <w:pPr>
        <w:pStyle w:val="Normal"/>
        <w:framePr w:w="4193" w:hAnchor="page" w:vAnchor="page" w:x="274" w:y="99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Metric shows against target and is cumulative</w:t>
      </w:r>
    </w:p>
    <w:p>
      <w:pPr>
        <w:pStyle w:val="Normal"/>
        <w:framePr w:w="1639" w:hAnchor="page" w:vAnchor="page" w:x="274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provided below.</w:t>
      </w:r>
    </w:p>
    <w:p>
      <w:pPr>
        <w:pStyle w:val="Normal"/>
        <w:framePr w:w="13711" w:hAnchor="page" w:vAnchor="page" w:x="274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ESG Scorecard component of the 2022 Annual Cash Incentive. A summary of Year 2 (2021 and 2022 combined) results against 2021-2023 targets is</w:t>
      </w:r>
    </w:p>
    <w:p>
      <w:pPr>
        <w:pStyle w:val="Normal"/>
        <w:framePr w:w="13867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Based upon this comprehensive and holistic assessment, the Compensation and Talent Committee recommended a payout of 120% for the 2021-2023</w:t>
      </w:r>
    </w:p>
    <w:p>
      <w:pPr>
        <w:pStyle w:val="Normal"/>
        <w:framePr w:w="830" w:hAnchor="page" w:vAnchor="page" w:x="729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others.</w:t>
      </w:r>
    </w:p>
    <w:p>
      <w:pPr>
        <w:pStyle w:val="Normal"/>
        <w:framePr w:w="13353" w:hAnchor="page" w:vAnchor="page" w:x="729" w:y="30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Scorecard targets such as community volunteering, STEM volunteering, completion of inclusive leadership curriculum and SIFP programs among</w:t>
      </w:r>
    </w:p>
    <w:p>
      <w:pPr>
        <w:pStyle w:val="Normal"/>
        <w:framePr w:w="13564" w:hAnchor="page" w:vAnchor="page" w:x="729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achievement of goals and the embedment of these efforts into the Company’s culture as demonstrated by the progress above expectations made in</w:t>
      </w:r>
    </w:p>
    <w:p>
      <w:pPr>
        <w:pStyle w:val="Normal"/>
        <w:framePr w:w="12796" w:hAnchor="page" w:vAnchor="page" w:x="501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Furthermore, the Committee recognized the significant progress to raise awareness of how individual employee actions contribute to the</w:t>
      </w:r>
    </w:p>
    <w:p>
      <w:pPr>
        <w:pStyle w:val="Normal"/>
        <w:framePr w:w="4041" w:hAnchor="page" w:vAnchor="page" w:x="729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sustainable behavior in all the ESG pillars.</w:t>
      </w:r>
    </w:p>
    <w:p>
      <w:pPr>
        <w:pStyle w:val="Normal"/>
        <w:framePr w:w="13350" w:hAnchor="page" w:vAnchor="page" w:x="501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The Committee recognized the considerable efforts made by the Company to advance ESG initiatives and move forward towards inherent and</w:t>
      </w:r>
    </w:p>
    <w:p>
      <w:pPr>
        <w:pStyle w:val="Normal"/>
        <w:framePr w:w="3051" w:hAnchor="page" w:vAnchor="page" w:x="729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2023 to achieve Year 3 targets.</w:t>
      </w:r>
    </w:p>
    <w:p>
      <w:pPr>
        <w:pStyle w:val="Normal"/>
        <w:framePr w:w="13836" w:hAnchor="page" w:vAnchor="page" w:x="501" w:y="14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The Committee recognized that, as of Year 2, the majority of objectives were either in line or above target, with a few requiring accelerated efforts in</w:t>
      </w:r>
    </w:p>
    <w:p>
      <w:pPr>
        <w:pStyle w:val="Normal"/>
        <w:framePr w:w="3517" w:hAnchor="page" w:vAnchor="page" w:x="729" w:y="10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certification of the Scorecard results.</w:t>
      </w:r>
    </w:p>
    <w:p>
      <w:pPr>
        <w:pStyle w:val="Normal"/>
        <w:framePr w:w="12761" w:hAnchor="page" w:vAnchor="page" w:x="729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Committees have responsibility for assessment of specified objectives on the Scorecard, and the ESG Committee has responsibility for the</w:t>
      </w:r>
    </w:p>
    <w:p>
      <w:pPr>
        <w:pStyle w:val="Normal"/>
        <w:framePr w:w="12932" w:hAnchor="page" w:vAnchor="page" w:x="501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In making its assessment, the Committee also received input from the ESG Committee and the Audit Committee. Both the ESG and Audit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7pt;margin-top:1pt;z-index:-1677074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12.7pt;margin-top:579.2pt;z-index:-167707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0.7pt;margin-top:221.05pt;z-index:-16770740;width:533.4pt;height:27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</w:p>
    <w:p>
      <w:pPr>
        <w:pStyle w:val="Normal"/>
        <w:framePr w:w="1631" w:hAnchor="page" w:vAnchor="page" w:x="274" w:y="51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69  TechnipFMC</w:t>
      </w:r>
    </w:p>
    <w:p>
      <w:pPr>
        <w:pStyle w:val="Normal"/>
        <w:framePr w:w="2708" w:hAnchor="page" w:vAnchor="page" w:x="274" w:y="39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Committee were as follows:</w:t>
      </w:r>
    </w:p>
    <w:p>
      <w:pPr>
        <w:pStyle w:val="Normal"/>
        <w:framePr w:w="13434" w:hAnchor="page" w:vAnchor="page" w:x="274" w:y="37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objectives established and their achievements against those goals as well as the assessment as determined by the Compensation and Talent</w:t>
      </w:r>
    </w:p>
    <w:p>
      <w:pPr>
        <w:pStyle w:val="Normal"/>
        <w:framePr w:w="9108" w:hAnchor="page" w:vAnchor="page" w:x="274" w:y="33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 value created during 2022 as a result of key strategic actions taken since the Spin-off.</w:t>
      </w:r>
    </w:p>
    <w:p>
      <w:pPr>
        <w:pStyle w:val="Normal"/>
        <w:framePr w:w="13160" w:hAnchor="page" w:vAnchor="page" w:x="274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performance and contributions, including exceeding expectations on many of his 2022 key annual objectives as well as the significant growth in</w:t>
      </w:r>
    </w:p>
    <w:p>
      <w:pPr>
        <w:pStyle w:val="Normal"/>
        <w:framePr w:w="13981" w:hAnchor="page" w:vAnchor="page" w:x="274" w:y="29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determining the 2022 API rating for our Chair and CEO, the Compensation and Talent Committee took into account a comprehensive view of his 2022</w:t>
      </w:r>
    </w:p>
    <w:p>
      <w:pPr>
        <w:pStyle w:val="Normal"/>
        <w:framePr w:w="10588" w:hAnchor="page" w:vAnchor="page" w:x="274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2022, the NEOs received API ratings ranging from 120% to 174% for the year, with an average rating of 153%.</w:t>
      </w:r>
    </w:p>
    <w:p>
      <w:pPr>
        <w:pStyle w:val="Normal"/>
        <w:framePr w:w="5601" w:hAnchor="page" w:vAnchor="page" w:x="274" w:y="21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that may have prevented achievement of certain objectives.</w:t>
      </w:r>
    </w:p>
    <w:p>
      <w:pPr>
        <w:pStyle w:val="Normal"/>
        <w:framePr w:w="13828" w:hAnchor="page" w:vAnchor="page" w:x="274" w:y="19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number of objectives accomplished, their relative importance and difficulty as determined by the Compensation and Talent Committee, and any factors</w:t>
      </w:r>
    </w:p>
    <w:p>
      <w:pPr>
        <w:pStyle w:val="Normal"/>
        <w:framePr w:w="13901" w:hAnchor="page" w:vAnchor="page" w:x="274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mitigating factors. If the NEO met some, but not all, of the objectives, the API multiple would fall between the range of 0% to 200%, depending upon the</w:t>
      </w:r>
    </w:p>
    <w:p>
      <w:pPr>
        <w:pStyle w:val="Normal"/>
        <w:framePr w:w="13206" w:hAnchor="page" w:vAnchor="page" w:x="274" w:y="15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set using a rigorous evaluation process. If an NEO failed to achieve any of his or her objectives, the API multiple would likely be 0%, absent any</w:t>
      </w:r>
    </w:p>
    <w:p>
      <w:pPr>
        <w:pStyle w:val="Normal"/>
        <w:framePr w:w="13692" w:hAnchor="page" w:vAnchor="page" w:x="274" w:y="13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These objectives are set at “stretch” levels (i.e., objectives that are difficult and challenging but should be achievable with superior execution) and are</w:t>
      </w:r>
    </w:p>
    <w:p>
      <w:pPr>
        <w:pStyle w:val="Normal"/>
        <w:framePr w:w="7411" w:hAnchor="page" w:vAnchor="page" w:x="274" w:y="9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February, the individual performance goals are established for each NEO.</w:t>
      </w:r>
    </w:p>
    <w:p>
      <w:pPr>
        <w:pStyle w:val="Normal"/>
        <w:framePr w:w="6467" w:hAnchor="page" w:vAnchor="page" w:x="274" w:y="630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API Component – 25% of Annual Cash Incentive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7pt;margin-top:1pt;z-index:-16770736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12.7pt;margin-top:271.25pt;z-index:-167707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</w:p>
    <w:p>
      <w:pPr>
        <w:pStyle w:val="Normal"/>
        <w:framePr w:w="1631" w:hAnchor="page" w:vAnchor="page" w:x="274" w:y="103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70  TechnipFMC</w:t>
      </w:r>
    </w:p>
    <w:p>
      <w:pPr>
        <w:pStyle w:val="Normal"/>
        <w:framePr w:w="2100" w:hAnchor="page" w:vAnchor="page" w:x="10386" w:y="97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Continued overleaf &gt;</w:t>
      </w:r>
    </w:p>
    <w:p>
      <w:pPr>
        <w:pStyle w:val="Normal"/>
        <w:framePr w:w="1911" w:hAnchor="page" w:vAnchor="page" w:x="4622" w:y="93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Executives (AWE).</w:t>
      </w:r>
    </w:p>
    <w:p>
      <w:pPr>
        <w:pStyle w:val="Normal"/>
        <w:framePr w:w="4041" w:hAnchor="page" w:vAnchor="page" w:x="596" w:y="91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shareholders and success of TechnipFMC</w:t>
      </w:r>
    </w:p>
    <w:p>
      <w:pPr>
        <w:pStyle w:val="Normal"/>
        <w:framePr w:w="5359" w:hAnchor="page" w:vAnchor="page" w:x="4394" w:y="91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Assumed global responsibility with Advancing Women</w:t>
      </w:r>
    </w:p>
    <w:p>
      <w:pPr>
        <w:pStyle w:val="Normal"/>
        <w:framePr w:w="4266" w:hAnchor="page" w:vAnchor="page" w:x="368" w:y="89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Recruit Board talent to promote interest of</w:t>
      </w:r>
    </w:p>
    <w:p>
      <w:pPr>
        <w:pStyle w:val="Normal"/>
        <w:framePr w:w="2196" w:hAnchor="page" w:vAnchor="page" w:x="4622" w:y="88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Executive Committee.</w:t>
      </w:r>
    </w:p>
    <w:p>
      <w:pPr>
        <w:pStyle w:val="Normal"/>
        <w:framePr w:w="3961" w:hAnchor="page" w:vAnchor="page" w:x="596" w:y="86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with our business and diversity objectives</w:t>
      </w:r>
    </w:p>
    <w:p>
      <w:pPr>
        <w:pStyle w:val="Normal"/>
        <w:framePr w:w="4903" w:hAnchor="page" w:vAnchor="page" w:x="4394" w:y="86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Nominated to American Petroleum Industry (API)</w:t>
      </w:r>
    </w:p>
    <w:p>
      <w:pPr>
        <w:pStyle w:val="Normal"/>
        <w:framePr w:w="4790" w:hAnchor="page" w:vAnchor="page" w:x="368" w:y="84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Participate in Boards and Committees that align</w:t>
      </w:r>
    </w:p>
    <w:p>
      <w:pPr>
        <w:pStyle w:val="Normal"/>
        <w:framePr w:w="3289" w:hAnchor="page" w:vAnchor="page" w:x="4622" w:y="83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TechnipFMC’s Board of Directors.</w:t>
      </w:r>
    </w:p>
    <w:p>
      <w:pPr>
        <w:pStyle w:val="Normal"/>
        <w:framePr w:w="3175" w:hAnchor="page" w:vAnchor="page" w:x="368" w:y="81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Personal / Board Development</w:t>
      </w:r>
    </w:p>
    <w:p>
      <w:pPr>
        <w:pStyle w:val="Normal"/>
        <w:framePr w:w="5485" w:hAnchor="page" w:vAnchor="page" w:x="4394" w:y="81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Recruited and nominated new non-executive director to</w:t>
      </w:r>
    </w:p>
    <w:p>
      <w:pPr>
        <w:pStyle w:val="Normal"/>
        <w:framePr w:w="1752" w:hAnchor="page" w:vAnchor="page" w:x="9116" w:y="81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Met expectations</w:t>
      </w:r>
    </w:p>
    <w:p>
      <w:pPr>
        <w:pStyle w:val="Normal"/>
        <w:framePr w:w="1069" w:hAnchor="page" w:vAnchor="page" w:x="4622" w:y="76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business.</w:t>
      </w:r>
    </w:p>
    <w:p>
      <w:pPr>
        <w:pStyle w:val="Normal"/>
        <w:framePr w:w="5020" w:hAnchor="page" w:vAnchor="page" w:x="4622" w:y="74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energy to continue to drive growth in the New Energy</w:t>
      </w:r>
    </w:p>
    <w:p>
      <w:pPr>
        <w:pStyle w:val="Normal"/>
        <w:framePr w:w="5519" w:hAnchor="page" w:vAnchor="page" w:x="4394" w:y="72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Secured key licenses for offshore floating wind and tidal</w:t>
      </w:r>
    </w:p>
    <w:p>
      <w:pPr>
        <w:pStyle w:val="Normal"/>
        <w:framePr w:w="3629" w:hAnchor="page" w:vAnchor="page" w:x="368" w:y="69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Secure key alliances and contracts</w:t>
      </w:r>
    </w:p>
    <w:p>
      <w:pPr>
        <w:pStyle w:val="Normal"/>
        <w:framePr w:w="3869" w:hAnchor="page" w:vAnchor="page" w:x="4622" w:y="69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Mission™ installations in North America.</w:t>
      </w:r>
    </w:p>
    <w:p>
      <w:pPr>
        <w:pStyle w:val="Normal"/>
        <w:framePr w:w="4713" w:hAnchor="page" w:vAnchor="page" w:x="4622" w:y="67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manufacturing facility and increased number of E-</w:t>
      </w:r>
    </w:p>
    <w:p>
      <w:pPr>
        <w:pStyle w:val="Normal"/>
        <w:framePr w:w="1012" w:hAnchor="page" w:vAnchor="page" w:x="596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business</w:t>
      </w:r>
    </w:p>
    <w:p>
      <w:pPr>
        <w:pStyle w:val="Normal"/>
        <w:framePr w:w="4394" w:hAnchor="page" w:vAnchor="page" w:x="4622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Middle East. Passed key audit in Saudi Arabia</w:t>
      </w:r>
    </w:p>
    <w:p>
      <w:pPr>
        <w:pStyle w:val="Normal"/>
        <w:framePr w:w="4164" w:hAnchor="page" w:vAnchor="page" w:x="368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Strengthen market position and grow our</w:t>
      </w:r>
    </w:p>
    <w:p>
      <w:pPr>
        <w:pStyle w:val="Normal"/>
        <w:framePr w:w="5120" w:hAnchor="page" w:vAnchor="page" w:x="4394" w:y="63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Grew Surface business in North America and in the</w:t>
      </w:r>
    </w:p>
    <w:p>
      <w:pPr>
        <w:pStyle w:val="Normal"/>
        <w:framePr w:w="3560" w:hAnchor="page" w:vAnchor="page" w:x="368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Deliver key financial commitments</w:t>
      </w:r>
    </w:p>
    <w:p>
      <w:pPr>
        <w:pStyle w:val="Normal"/>
        <w:framePr w:w="2117" w:hAnchor="page" w:vAnchor="page" w:x="4622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for Subsea business.</w:t>
      </w:r>
    </w:p>
    <w:p>
      <w:pPr>
        <w:pStyle w:val="Normal"/>
        <w:framePr w:w="4029" w:hAnchor="page" w:vAnchor="page" w:x="368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Execute on Key Business Deliverables:</w:t>
      </w:r>
    </w:p>
    <w:p>
      <w:pPr>
        <w:pStyle w:val="Normal"/>
        <w:framePr w:w="5360" w:hAnchor="page" w:vAnchor="page" w:x="4394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Delivered above target inbound, revenue and EBITDA</w:t>
      </w:r>
    </w:p>
    <w:p>
      <w:pPr>
        <w:pStyle w:val="Normal"/>
        <w:framePr w:w="1992" w:hAnchor="page" w:vAnchor="page" w:x="9116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Above expectations</w:t>
      </w:r>
    </w:p>
    <w:p>
      <w:pPr>
        <w:pStyle w:val="Normal"/>
        <w:framePr w:w="5054" w:hAnchor="page" w:vAnchor="page" w:x="4622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authorizing a $400 million share repurchase program.</w:t>
      </w:r>
    </w:p>
    <w:p>
      <w:pPr>
        <w:pStyle w:val="Normal"/>
        <w:framePr w:w="4406" w:hAnchor="page" w:vAnchor="page" w:x="4622" w:y="52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Technip Energies, reducing debt structure and</w:t>
      </w:r>
    </w:p>
    <w:p>
      <w:pPr>
        <w:pStyle w:val="Normal"/>
        <w:framePr w:w="4599" w:hAnchor="page" w:vAnchor="page" w:x="4622" w:y="50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including selling down remaining shareholding in</w:t>
      </w:r>
    </w:p>
    <w:p>
      <w:pPr>
        <w:pStyle w:val="Normal"/>
        <w:framePr w:w="5359" w:hAnchor="page" w:vAnchor="page" w:x="4394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Delivered on company financial strategy post Spin-off,</w:t>
      </w:r>
    </w:p>
    <w:p>
      <w:pPr>
        <w:pStyle w:val="Normal"/>
        <w:framePr w:w="4041" w:hAnchor="page" w:vAnchor="page" w:x="4622" w:y="45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for the 2021-2023 ESG Scorecard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” above.</w:t>
      </w:r>
    </w:p>
    <w:p>
      <w:pPr>
        <w:pStyle w:val="Normal"/>
        <w:framePr w:w="5134" w:hAnchor="page" w:vAnchor="page" w:x="4622" w:y="43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year objectives. See the section entitled “</w:t>
      </w: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2022 Results</w:t>
      </w:r>
    </w:p>
    <w:p>
      <w:pPr>
        <w:pStyle w:val="Normal"/>
        <w:framePr w:w="5339" w:hAnchor="page" w:vAnchor="page" w:x="4622" w:y="41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resulting in solid progress towards achievement of three-</w:t>
      </w:r>
    </w:p>
    <w:p>
      <w:pPr>
        <w:pStyle w:val="Normal"/>
        <w:framePr w:w="4835" w:hAnchor="page" w:vAnchor="page" w:x="4394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Drove company-wide ESG Scorecard objectives</w:t>
      </w:r>
    </w:p>
    <w:p>
      <w:pPr>
        <w:pStyle w:val="Normal"/>
        <w:framePr w:w="1160" w:hAnchor="page" w:vAnchor="page" w:x="4622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pressures.</w:t>
      </w:r>
    </w:p>
    <w:p>
      <w:pPr>
        <w:pStyle w:val="Normal"/>
        <w:framePr w:w="3492" w:hAnchor="page" w:vAnchor="page" w:x="368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Address key business challenges</w:t>
      </w:r>
    </w:p>
    <w:p>
      <w:pPr>
        <w:pStyle w:val="Normal"/>
        <w:framePr w:w="4531" w:hAnchor="page" w:vAnchor="page" w:x="4622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project disruptions, and mitigation of inflationary</w:t>
      </w:r>
    </w:p>
    <w:p>
      <w:pPr>
        <w:pStyle w:val="Normal"/>
        <w:framePr w:w="5225" w:hAnchor="page" w:vAnchor="page" w:x="4622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level relationships resulting in the avoidance of material</w:t>
      </w:r>
    </w:p>
    <w:p>
      <w:pPr>
        <w:pStyle w:val="Normal"/>
        <w:framePr w:w="3640" w:hAnchor="page" w:vAnchor="page" w:x="368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Achieve ESG Scorecard objectives</w:t>
      </w:r>
    </w:p>
    <w:p>
      <w:pPr>
        <w:pStyle w:val="Normal"/>
        <w:framePr w:w="5519" w:hAnchor="page" w:vAnchor="page" w:x="4394" w:y="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Addressed supply chain challenges by leveraging CEO-</w:t>
      </w:r>
    </w:p>
    <w:p>
      <w:pPr>
        <w:pStyle w:val="Normal"/>
        <w:framePr w:w="2308" w:hAnchor="page" w:vAnchor="page" w:x="368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Advance technology</w:t>
      </w:r>
    </w:p>
    <w:p>
      <w:pPr>
        <w:pStyle w:val="Normal"/>
        <w:framePr w:w="3210" w:hAnchor="page" w:vAnchor="page" w:x="4622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supply agreement with customer.</w:t>
      </w:r>
    </w:p>
    <w:p>
      <w:pPr>
        <w:pStyle w:val="Normal"/>
        <w:framePr w:w="2287" w:hAnchor="page" w:vAnchor="page" w:x="368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Strategy and Growth:</w:t>
      </w:r>
    </w:p>
    <w:p>
      <w:pPr>
        <w:pStyle w:val="Normal"/>
        <w:framePr w:w="5519" w:hAnchor="page" w:vAnchor="page" w:x="4394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Advanced qualification of key technology and multi-year</w:t>
      </w:r>
    </w:p>
    <w:p>
      <w:pPr>
        <w:pStyle w:val="Normal"/>
        <w:framePr w:w="1992" w:hAnchor="page" w:vAnchor="page" w:x="9116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Above expectations</w:t>
      </w:r>
    </w:p>
    <w:p>
      <w:pPr>
        <w:pStyle w:val="Normal"/>
        <w:framePr w:w="1126" w:hAnchor="page" w:vAnchor="page" w:x="368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Objective</w:t>
      </w:r>
    </w:p>
    <w:p>
      <w:pPr>
        <w:pStyle w:val="Normal"/>
        <w:framePr w:w="1593" w:hAnchor="page" w:vAnchor="page" w:x="4394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Achievements</w:t>
      </w:r>
    </w:p>
    <w:p>
      <w:pPr>
        <w:pStyle w:val="Normal"/>
        <w:framePr w:w="1411" w:hAnchor="page" w:vAnchor="page" w:x="9991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Assessment</w:t>
      </w:r>
    </w:p>
    <w:p>
      <w:pPr>
        <w:pStyle w:val="Normal"/>
        <w:framePr w:w="1593" w:hAnchor="page" w:vAnchor="page" w:x="368" w:y="17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Chair and CEO</w:t>
      </w:r>
    </w:p>
    <w:p>
      <w:pPr>
        <w:pStyle w:val="Normal"/>
        <w:framePr w:w="2264" w:hAnchor="page" w:vAnchor="page" w:x="368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Douglas J. Pferdehirt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7pt;margin-top:1pt;z-index:-1677072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12.7pt;margin-top:30.85pt;z-index:-16770724;width:586.6pt;height:7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2.7pt;margin-top:120.5pt;z-index:-16770720;width:202.55pt;height:169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213.25pt;margin-top:120.5pt;z-index:-16770716;width:238.1pt;height:169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49.4pt;margin-top:120.5pt;z-index:-16770712;width:149.95pt;height:169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12.7pt;margin-top:288.35pt;z-index:-16770708;width:202.55pt;height:115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213.25pt;margin-top:288.35pt;z-index:-16770704;width:238.1pt;height:115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49.4pt;margin-top:288.35pt;z-index:-16770700;width:149.95pt;height:115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12.7pt;margin-top:401.4pt;z-index:-16770696;width:202.55pt;height:85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213.25pt;margin-top:401.4pt;z-index:-16770692;width:238.1pt;height:85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449.4pt;margin-top:401.4pt;z-index:-16770688;width:149.95pt;height:85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2.7pt;margin-top:101.3pt;z-index:-16770684;width:202.5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13.25pt;margin-top:101.3pt;z-index:-16770680;width:238.1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449.4pt;margin-top:101.3pt;z-index:-16770676;width:149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49.4pt;margin-top:484.6pt;z-index:-16770672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13.25pt;margin-top:484.6pt;z-index:-16770668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49.4pt;margin-top:401.4pt;z-index:-16770664;width:2.7pt;height:8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12.7pt;margin-top:484.6pt;z-index:-16770660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13.25pt;margin-top:401.4pt;z-index:-16770656;width:2.7pt;height:8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49.4pt;margin-top:401.4pt;z-index:-16770652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13.25pt;margin-top:401.4pt;z-index:-16770648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49.4pt;margin-top:288.35pt;z-index:-16770644;width:2.7pt;height:115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12.7pt;margin-top:401.4pt;z-index:-16770640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13.25pt;margin-top:288.35pt;z-index:-16770636;width:2.7pt;height:115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449.4pt;margin-top:288.35pt;z-index:-16770632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13.25pt;margin-top:288.35pt;z-index:-16770628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449.4pt;margin-top:120.5pt;z-index:-16770624;width:2.7pt;height:17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2.7pt;margin-top:288.35pt;z-index:-16770620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213.25pt;margin-top:120.5pt;z-index:-16770616;width:2.7pt;height:17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449.4pt;margin-top:101.3pt;z-index:-16770612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449.4pt;margin-top:120.5pt;z-index:-16770608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213.25pt;margin-top:101.3pt;z-index:-16770604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213.25pt;margin-top:120.5pt;z-index:-16770600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49.4pt;margin-top:101.3pt;z-index:-16770596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2.7pt;margin-top:120.5pt;z-index:-16770592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213.25pt;margin-top:101.3pt;z-index:-16770588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12.7pt;margin-top:101.3pt;z-index:-16770584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12.7pt;margin-top:533pt;z-index:-1677058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18.65pt;margin-top:36.15pt;z-index:-16770576;width:41.25pt;height:4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</w:p>
    <w:p>
      <w:pPr>
        <w:pStyle w:val="Normal"/>
        <w:framePr w:w="1631" w:hAnchor="page" w:vAnchor="page" w:x="274" w:y="874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71  TechnipFMC</w:t>
      </w:r>
    </w:p>
    <w:p>
      <w:pPr>
        <w:pStyle w:val="Normal"/>
        <w:framePr w:w="3311" w:hAnchor="page" w:vAnchor="page" w:x="368" w:y="79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Overall Rating for Mr. Pferdehirt</w:t>
      </w:r>
    </w:p>
    <w:p>
      <w:pPr>
        <w:pStyle w:val="Normal"/>
        <w:framePr w:w="728" w:hAnchor="page" w:vAnchor="page" w:x="10269" w:y="79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174%</w:t>
      </w:r>
    </w:p>
    <w:p>
      <w:pPr>
        <w:pStyle w:val="Normal"/>
        <w:framePr w:w="5462" w:hAnchor="page" w:vAnchor="page" w:x="4394" w:y="74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One fatality in 2022, did not achieve zero fatality target.</w:t>
      </w:r>
    </w:p>
    <w:p>
      <w:pPr>
        <w:pStyle w:val="Normal"/>
        <w:framePr w:w="2606" w:hAnchor="page" w:vAnchor="page" w:x="4622" w:y="71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Fatality Prevention) target.</w:t>
      </w:r>
    </w:p>
    <w:p>
      <w:pPr>
        <w:pStyle w:val="Normal"/>
        <w:framePr w:w="4984" w:hAnchor="page" w:vAnchor="page" w:x="4394" w:y="69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On track to exceed 2023 SIFP (Serious Injury and</w:t>
      </w:r>
    </w:p>
    <w:p>
      <w:pPr>
        <w:pStyle w:val="Normal"/>
        <w:framePr w:w="3415" w:hAnchor="page" w:vAnchor="page" w:x="4622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industrialization of the organization.</w:t>
      </w:r>
    </w:p>
    <w:p>
      <w:pPr>
        <w:pStyle w:val="Normal"/>
        <w:framePr w:w="4349" w:hAnchor="page" w:vAnchor="page" w:x="4622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to lead the simplification, standardization, and</w:t>
      </w:r>
    </w:p>
    <w:p>
      <w:pPr>
        <w:pStyle w:val="Normal"/>
        <w:framePr w:w="5588" w:hAnchor="page" w:vAnchor="page" w:x="4394" w:y="62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Appointed leader of Industrialization and Quality function</w:t>
      </w:r>
    </w:p>
    <w:p>
      <w:pPr>
        <w:pStyle w:val="Normal"/>
        <w:framePr w:w="2435" w:hAnchor="page" w:vAnchor="page" w:x="596" w:y="5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transformation programs</w:t>
      </w:r>
    </w:p>
    <w:p>
      <w:pPr>
        <w:pStyle w:val="Normal"/>
        <w:framePr w:w="1206" w:hAnchor="page" w:vAnchor="page" w:x="4622" w:y="5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leadership.</w:t>
      </w:r>
    </w:p>
    <w:p>
      <w:pPr>
        <w:pStyle w:val="Normal"/>
        <w:framePr w:w="3494" w:hAnchor="page" w:vAnchor="page" w:x="596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(HSES) and Impact Quality (Quality)</w:t>
      </w:r>
    </w:p>
    <w:p>
      <w:pPr>
        <w:pStyle w:val="Normal"/>
        <w:framePr w:w="4710" w:hAnchor="page" w:vAnchor="page" w:x="4394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Promoted human rights through active industry</w:t>
      </w:r>
    </w:p>
    <w:p>
      <w:pPr>
        <w:pStyle w:val="Normal"/>
        <w:framePr w:w="4403" w:hAnchor="page" w:vAnchor="page" w:x="368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QHSE – Fully implement and expand Pulse</w:t>
      </w:r>
    </w:p>
    <w:p>
      <w:pPr>
        <w:pStyle w:val="Normal"/>
        <w:framePr w:w="4302" w:hAnchor="page" w:vAnchor="page" w:x="4622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United Way and American Heart Association.</w:t>
      </w:r>
    </w:p>
    <w:p>
      <w:pPr>
        <w:pStyle w:val="Normal"/>
        <w:framePr w:w="3973" w:hAnchor="page" w:vAnchor="page" w:x="596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community engagement and environment</w:t>
      </w:r>
    </w:p>
    <w:p>
      <w:pPr>
        <w:pStyle w:val="Normal"/>
        <w:framePr w:w="5223" w:hAnchor="page" w:vAnchor="page" w:x="4394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Actively led TechnipFMC as a top contributor to both</w:t>
      </w:r>
    </w:p>
    <w:p>
      <w:pPr>
        <w:pStyle w:val="Normal"/>
        <w:framePr w:w="4061" w:hAnchor="page" w:vAnchor="page" w:x="368" w:y="50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Sustainability – Achieve metrics; equity,</w:t>
      </w:r>
    </w:p>
    <w:p>
      <w:pPr>
        <w:pStyle w:val="Normal"/>
        <w:framePr w:w="1752" w:hAnchor="page" w:vAnchor="page" w:x="4622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Advisory Boards.</w:t>
      </w:r>
    </w:p>
    <w:p>
      <w:pPr>
        <w:pStyle w:val="Normal"/>
        <w:framePr w:w="1570" w:hAnchor="page" w:vAnchor="page" w:x="596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Brazil and U.S.</w:t>
      </w:r>
    </w:p>
    <w:p>
      <w:pPr>
        <w:pStyle w:val="Normal"/>
        <w:framePr w:w="5304" w:hAnchor="page" w:vAnchor="page" w:x="4622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diversity through AWE and CEO Action for Racial Equity</w:t>
      </w:r>
    </w:p>
    <w:p>
      <w:pPr>
        <w:pStyle w:val="Normal"/>
        <w:framePr w:w="4517" w:hAnchor="page" w:vAnchor="page" w:x="368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Integrity – Complete regulatory obligations in</w:t>
      </w:r>
    </w:p>
    <w:p>
      <w:pPr>
        <w:pStyle w:val="Normal"/>
        <w:framePr w:w="5610" w:hAnchor="page" w:vAnchor="page" w:x="4394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Actively contributed to advancement in gender and racial</w:t>
      </w:r>
    </w:p>
    <w:p>
      <w:pPr>
        <w:pStyle w:val="Normal"/>
        <w:framePr w:w="3106" w:hAnchor="page" w:vAnchor="page" w:x="368" w:y="43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Promote Foundational Beliefs</w:t>
      </w:r>
    </w:p>
    <w:p>
      <w:pPr>
        <w:pStyle w:val="Normal"/>
        <w:framePr w:w="5098" w:hAnchor="page" w:vAnchor="page" w:x="4394" w:y="43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Completed regulatory obligations in Brazil and U.S.</w:t>
      </w:r>
    </w:p>
    <w:p>
      <w:pPr>
        <w:pStyle w:val="Normal"/>
        <w:framePr w:w="1969" w:hAnchor="page" w:vAnchor="page" w:x="9116" w:y="43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Below expectations</w:t>
      </w:r>
    </w:p>
    <w:p>
      <w:pPr>
        <w:pStyle w:val="Normal"/>
        <w:framePr w:w="4166" w:hAnchor="page" w:vAnchor="page" w:x="4622" w:y="38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reducing cost and lead times for customers.</w:t>
      </w:r>
    </w:p>
    <w:p>
      <w:pPr>
        <w:pStyle w:val="Normal"/>
        <w:framePr w:w="5271" w:hAnchor="page" w:vAnchor="page" w:x="4622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OneEngineering organization, increasing efficiency, and</w:t>
      </w:r>
    </w:p>
    <w:p>
      <w:pPr>
        <w:pStyle w:val="Normal"/>
        <w:framePr w:w="4360" w:hAnchor="page" w:vAnchor="page" w:x="596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support our customers and grow our business</w:t>
      </w:r>
    </w:p>
    <w:p>
      <w:pPr>
        <w:pStyle w:val="Normal"/>
        <w:framePr w:w="4688" w:hAnchor="page" w:vAnchor="page" w:x="4394" w:y="34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Centralized engineering function, implemented</w:t>
      </w:r>
    </w:p>
    <w:p>
      <w:pPr>
        <w:pStyle w:val="Normal"/>
        <w:framePr w:w="4597" w:hAnchor="page" w:vAnchor="page" w:x="368" w:y="32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Execute organizational effectiveness to better</w:t>
      </w:r>
    </w:p>
    <w:p>
      <w:pPr>
        <w:pStyle w:val="Normal"/>
        <w:framePr w:w="3859" w:hAnchor="page" w:vAnchor="page" w:x="4622" w:y="31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manage cost and meet customer needs.</w:t>
      </w:r>
    </w:p>
    <w:p>
      <w:pPr>
        <w:pStyle w:val="Normal"/>
        <w:framePr w:w="2037" w:hAnchor="page" w:vAnchor="page" w:x="596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incorporate diversity</w:t>
      </w:r>
    </w:p>
    <w:p>
      <w:pPr>
        <w:pStyle w:val="Normal"/>
        <w:framePr w:w="5268" w:hAnchor="page" w:vAnchor="page" w:x="4394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Simplified Surface organization to improve efficiency,</w:t>
      </w:r>
    </w:p>
    <w:p>
      <w:pPr>
        <w:pStyle w:val="Normal"/>
        <w:framePr w:w="3891" w:hAnchor="page" w:vAnchor="page" w:x="368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Ensure succession planning in place /</w:t>
      </w:r>
    </w:p>
    <w:p>
      <w:pPr>
        <w:pStyle w:val="Normal"/>
        <w:framePr w:w="4713" w:hAnchor="page" w:vAnchor="page" w:x="4622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diversity of key leadership within the organization.</w:t>
      </w:r>
    </w:p>
    <w:p>
      <w:pPr>
        <w:pStyle w:val="Normal"/>
        <w:framePr w:w="2708" w:hAnchor="page" w:vAnchor="page" w:x="368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Organizational Readiness</w:t>
      </w:r>
    </w:p>
    <w:p>
      <w:pPr>
        <w:pStyle w:val="Normal"/>
        <w:framePr w:w="5064" w:hAnchor="page" w:vAnchor="page" w:x="439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Continued succession planning actions to increase</w:t>
      </w:r>
    </w:p>
    <w:p>
      <w:pPr>
        <w:pStyle w:val="Normal"/>
        <w:framePr w:w="1992" w:hAnchor="page" w:vAnchor="page" w:x="9116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Above expectations</w:t>
      </w:r>
    </w:p>
    <w:p>
      <w:pPr>
        <w:pStyle w:val="Normal"/>
        <w:framePr w:w="1126" w:hAnchor="page" w:vAnchor="page" w:x="368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Objective</w:t>
      </w:r>
    </w:p>
    <w:p>
      <w:pPr>
        <w:pStyle w:val="Normal"/>
        <w:framePr w:w="1593" w:hAnchor="page" w:vAnchor="page" w:x="439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Achievements</w:t>
      </w:r>
    </w:p>
    <w:p>
      <w:pPr>
        <w:pStyle w:val="Normal"/>
        <w:framePr w:w="1411" w:hAnchor="page" w:vAnchor="page" w:x="9991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Assessment</w:t>
      </w:r>
    </w:p>
    <w:p>
      <w:pPr>
        <w:pStyle w:val="Normal"/>
        <w:framePr w:w="1593" w:hAnchor="page" w:vAnchor="page" w:x="368" w:y="16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Chair and CEO</w:t>
      </w:r>
    </w:p>
    <w:p>
      <w:pPr>
        <w:pStyle w:val="Normal"/>
        <w:framePr w:w="2264" w:hAnchor="page" w:vAnchor="page" w:x="368" w:y="14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Douglas J. Pferdehirt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7pt;margin-top:1pt;z-index:-1677057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12.7pt;margin-top:26.6pt;z-index:-16770568;width:586.6pt;height:7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12.7pt;margin-top:115.5pt;z-index:-16770564;width:202.55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213.25pt;margin-top:115.5pt;z-index:-16770560;width:238.1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49.4pt;margin-top:115.5pt;z-index:-16770556;width:149.95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12.7pt;margin-top:208.7pt;z-index:-16770552;width:202.55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213.25pt;margin-top:208.7pt;z-index:-16770548;width:238.1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49.4pt;margin-top:208.7pt;z-index:-16770544;width:149.95pt;height:18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2.7pt;margin-top:390.75pt;z-index:-16770540;width:438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49.4pt;margin-top:390.75pt;z-index:-16770536;width:149.95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12.7pt;margin-top:97pt;z-index:-16770532;width:202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213.25pt;margin-top:97pt;z-index:-16770528;width:238.1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49.4pt;margin-top:97pt;z-index:-16770524;width:149.9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12.7pt;margin-top:390.75pt;z-index:-16770520;width:438.7pt;height:2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49.4pt;margin-top:414.95pt;z-index:-16770516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12.7pt;margin-top:390.75pt;z-index:-16770512;width:438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12.7pt;margin-top:414.95pt;z-index:-16770508;width:438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449.4pt;margin-top:390.75pt;z-index:-16770504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213.25pt;margin-top:390.75pt;z-index:-16770500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49.4pt;margin-top:208.7pt;z-index:-16770496;width:2.7pt;height:18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12.7pt;margin-top:390.75pt;z-index:-16770492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213.25pt;margin-top:208.7pt;z-index:-16770488;width:2.7pt;height:18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49.4pt;margin-top:208.7pt;z-index:-16770484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213.25pt;margin-top:208.7pt;z-index:-16770480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49.4pt;margin-top:115.5pt;z-index:-16770476;width:2.7pt;height:9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2.7pt;margin-top:208.7pt;z-index:-16770472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213.25pt;margin-top:115.5pt;z-index:-16770468;width:2.7pt;height:9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49.4pt;margin-top:115.5pt;z-index:-16770464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213.25pt;margin-top:115.5pt;z-index:-16770460;width:23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49.4pt;margin-top:97pt;z-index:-16770456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12.7pt;margin-top:115.5pt;z-index:-16770452;width:20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13.25pt;margin-top:97pt;z-index:-16770448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12.7pt;margin-top:453.35pt;z-index:-167704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18.65pt;margin-top:31.9pt;z-index:-16770440;width:41.25pt;height:4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</w:p>
    <w:p>
      <w:pPr>
        <w:pStyle w:val="Normal"/>
        <w:framePr w:w="1631" w:hAnchor="page" w:vAnchor="page" w:x="274" w:y="1206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72  TechnipFMC</w:t>
      </w:r>
    </w:p>
    <w:p>
      <w:pPr>
        <w:pStyle w:val="Normal"/>
        <w:framePr w:w="3675" w:hAnchor="page" w:vAnchor="page" w:x="327" w:y="114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Total Cash Incentive Compensation</w:t>
      </w:r>
    </w:p>
    <w:p>
      <w:pPr>
        <w:pStyle w:val="Normal"/>
        <w:framePr w:w="1058" w:hAnchor="page" w:vAnchor="page" w:x="11112" w:y="114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$711,000</w:t>
      </w:r>
    </w:p>
    <w:p>
      <w:pPr>
        <w:pStyle w:val="Normal"/>
        <w:framePr w:w="545" w:hAnchor="page" w:vAnchor="page" w:x="327" w:y="1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API</w:t>
      </w:r>
    </w:p>
    <w:p>
      <w:pPr>
        <w:pStyle w:val="Normal"/>
        <w:framePr w:w="1058" w:hAnchor="page" w:vAnchor="page" w:x="3706" w:y="1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$600,000</w:t>
      </w:r>
    </w:p>
    <w:p>
      <w:pPr>
        <w:pStyle w:val="Normal"/>
        <w:framePr w:w="773" w:hAnchor="page" w:vAnchor="page" w:x="5793" w:y="1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x 25%</w:t>
      </w:r>
    </w:p>
    <w:p>
      <w:pPr>
        <w:pStyle w:val="Normal"/>
        <w:framePr w:w="887" w:hAnchor="page" w:vAnchor="page" w:x="7547" w:y="1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x 100%</w:t>
      </w:r>
    </w:p>
    <w:p>
      <w:pPr>
        <w:pStyle w:val="Normal"/>
        <w:framePr w:w="1064" w:hAnchor="page" w:vAnchor="page" w:x="9249" w:y="1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x 150% =</w:t>
      </w:r>
    </w:p>
    <w:p>
      <w:pPr>
        <w:pStyle w:val="Normal"/>
        <w:framePr w:w="1058" w:hAnchor="page" w:vAnchor="page" w:x="11103" w:y="1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$225,000</w:t>
      </w:r>
    </w:p>
    <w:p>
      <w:pPr>
        <w:pStyle w:val="Normal"/>
        <w:framePr w:w="545" w:hAnchor="page" w:vAnchor="page" w:x="327" w:y="10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BPI</w:t>
      </w:r>
    </w:p>
    <w:p>
      <w:pPr>
        <w:pStyle w:val="Normal"/>
        <w:framePr w:w="1058" w:hAnchor="page" w:vAnchor="page" w:x="3706" w:y="10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$600,000</w:t>
      </w:r>
    </w:p>
    <w:p>
      <w:pPr>
        <w:pStyle w:val="Normal"/>
        <w:framePr w:w="773" w:hAnchor="page" w:vAnchor="page" w:x="5793" w:y="10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x 75%</w:t>
      </w:r>
    </w:p>
    <w:p>
      <w:pPr>
        <w:pStyle w:val="Normal"/>
        <w:framePr w:w="887" w:hAnchor="page" w:vAnchor="page" w:x="7547" w:y="10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x 100%</w:t>
      </w:r>
    </w:p>
    <w:p>
      <w:pPr>
        <w:pStyle w:val="Normal"/>
        <w:framePr w:w="1064" w:hAnchor="page" w:vAnchor="page" w:x="9249" w:y="10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x 108% =</w:t>
      </w:r>
    </w:p>
    <w:p>
      <w:pPr>
        <w:pStyle w:val="Normal"/>
        <w:framePr w:w="1058" w:hAnchor="page" w:vAnchor="page" w:x="11103" w:y="10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$486,000</w:t>
      </w:r>
    </w:p>
    <w:p>
      <w:pPr>
        <w:pStyle w:val="Normal"/>
        <w:framePr w:w="1342" w:hAnchor="page" w:vAnchor="page" w:x="327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Component</w:t>
      </w:r>
    </w:p>
    <w:p>
      <w:pPr>
        <w:pStyle w:val="Normal"/>
        <w:framePr w:w="1366" w:hAnchor="page" w:vAnchor="page" w:x="3450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Base Salary</w:t>
      </w:r>
    </w:p>
    <w:p>
      <w:pPr>
        <w:pStyle w:val="Normal"/>
        <w:framePr w:w="1194" w:hAnchor="page" w:vAnchor="page" w:x="5445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Weighting</w:t>
      </w:r>
    </w:p>
    <w:p>
      <w:pPr>
        <w:pStyle w:val="Normal"/>
        <w:framePr w:w="1763" w:hAnchor="page" w:vAnchor="page" w:x="6830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Target Bonus %</w:t>
      </w:r>
    </w:p>
    <w:p>
      <w:pPr>
        <w:pStyle w:val="Normal"/>
        <w:framePr w:w="841" w:hAnchor="page" w:vAnchor="page" w:x="9435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Rating</w:t>
      </w:r>
    </w:p>
    <w:p>
      <w:pPr>
        <w:pStyle w:val="Normal"/>
        <w:framePr w:w="887" w:hAnchor="page" w:vAnchor="page" w:x="11246" w:y="105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Payout</w:t>
      </w:r>
    </w:p>
    <w:p>
      <w:pPr>
        <w:pStyle w:val="Normal"/>
        <w:framePr w:w="13671" w:hAnchor="page" w:vAnchor="page" w:x="274" w:y="100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$600,000, a 100% target bonus, a BPI rating of 108%, and an API rating of 150%, the executive’s annual cash bonus would be calculated as follows:</w:t>
      </w:r>
    </w:p>
    <w:p>
      <w:pPr>
        <w:pStyle w:val="Normal"/>
        <w:framePr w:w="13795" w:hAnchor="page" w:vAnchor="page" w:x="274" w:y="98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Each executive’s target annual cash bonus is a percentage of his or her base salary for the year. For example, assuming an NEO has a base salary of</w:t>
      </w:r>
    </w:p>
    <w:p>
      <w:pPr>
        <w:pStyle w:val="Normal"/>
        <w:framePr w:w="6931" w:hAnchor="page" w:vAnchor="page" w:x="274" w:y="96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Determination of 2022 Payouts under the Annual Cash Incentive Plan</w:t>
      </w:r>
    </w:p>
    <w:p>
      <w:pPr>
        <w:pStyle w:val="Normal"/>
        <w:framePr w:w="1081" w:hAnchor="page" w:vAnchor="page" w:x="425" w:y="91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Secretary</w:t>
      </w:r>
    </w:p>
    <w:p>
      <w:pPr>
        <w:pStyle w:val="Normal"/>
        <w:framePr w:w="2299" w:hAnchor="page" w:vAnchor="page" w:x="425" w:y="89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Chief Legal Officer and</w:t>
      </w:r>
    </w:p>
    <w:p>
      <w:pPr>
        <w:pStyle w:val="Normal"/>
        <w:framePr w:w="2527" w:hAnchor="page" w:vAnchor="page" w:x="425" w:y="87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Vice President,</w:t>
      </w:r>
    </w:p>
    <w:p>
      <w:pPr>
        <w:pStyle w:val="Normal"/>
        <w:framePr w:w="1547" w:hAnchor="page" w:vAnchor="page" w:x="425" w:y="85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Victoria Lazar</w:t>
      </w:r>
    </w:p>
    <w:p>
      <w:pPr>
        <w:pStyle w:val="Normal"/>
        <w:framePr w:w="2777" w:hAnchor="page" w:vAnchor="page" w:x="3014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and executive management.</w:t>
      </w:r>
    </w:p>
    <w:p>
      <w:pPr>
        <w:pStyle w:val="Normal"/>
        <w:framePr w:w="10427" w:hAnchor="page" w:vAnchor="page" w:x="3014" w:y="80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Management system. Her objectives also included serving as the strategic legal advisor to our Board of Directors</w:t>
      </w:r>
    </w:p>
    <w:p>
      <w:pPr>
        <w:pStyle w:val="Normal"/>
        <w:framePr w:w="10710" w:hAnchor="page" w:vAnchor="page" w:x="3014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Comptroller General and the Union General Attorney's Office, as well as redesigning the Company’s Enterprise Risk</w:t>
      </w:r>
    </w:p>
    <w:p>
      <w:pPr>
        <w:pStyle w:val="Normal"/>
        <w:framePr w:w="10224" w:hAnchor="page" w:vAnchor="page" w:x="3014" w:y="76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under its leniency agreements with both the Federal Prosecutor's Office Service, and the Brazilian Office of the</w:t>
      </w:r>
    </w:p>
    <w:p>
      <w:pPr>
        <w:pStyle w:val="Normal"/>
        <w:framePr w:w="10427" w:hAnchor="page" w:vAnchor="page" w:x="3014" w:y="74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Prosecution Agreement with the U.S. Department of Justice and U.S. Securities and Exchange Commission, and</w:t>
      </w:r>
    </w:p>
    <w:p>
      <w:pPr>
        <w:pStyle w:val="Normal"/>
        <w:framePr w:w="10463" w:hAnchor="page" w:vAnchor="page" w:x="3014" w:y="72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Ms. Lazar’s 2022 objectives and achievements included concluding the Company’s obligations under its Deferred</w:t>
      </w:r>
    </w:p>
    <w:p>
      <w:pPr>
        <w:pStyle w:val="Normal"/>
        <w:framePr w:w="1878" w:hAnchor="page" w:vAnchor="page" w:x="425" w:y="69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President, Subsea</w:t>
      </w:r>
    </w:p>
    <w:p>
      <w:pPr>
        <w:pStyle w:val="Normal"/>
        <w:framePr w:w="1945" w:hAnchor="page" w:vAnchor="page" w:x="425" w:y="67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 xml:space="preserve">Jonathan Landes </w:t>
      </w:r>
    </w:p>
    <w:p>
      <w:pPr>
        <w:pStyle w:val="Normal"/>
        <w:framePr w:w="1160" w:hAnchor="page" w:vAnchor="page" w:x="3014" w:y="62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Transition.</w:t>
      </w:r>
    </w:p>
    <w:p>
      <w:pPr>
        <w:pStyle w:val="Normal"/>
        <w:framePr w:w="10044" w:hAnchor="page" w:vAnchor="page" w:x="3014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and Transformation activities, and cultivating key strategic partnerships to expand our growth into the Energy</w:t>
      </w:r>
    </w:p>
    <w:p>
      <w:pPr>
        <w:pStyle w:val="Normal"/>
        <w:framePr w:w="10489" w:hAnchor="page" w:vAnchor="page" w:x="3014" w:y="58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rollout of programs that will reduce serious injuries and improve safety, co-leading the Company’s Industrialization</w:t>
      </w:r>
    </w:p>
    <w:p>
      <w:pPr>
        <w:pStyle w:val="Normal"/>
        <w:framePr w:w="10406" w:hAnchor="page" w:vAnchor="page" w:x="3014" w:y="56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alliances that will enable continued growth, delivery on Subsea segment cash flow, inbound and EBITDA targets,</w:t>
      </w:r>
    </w:p>
    <w:p>
      <w:pPr>
        <w:pStyle w:val="Normal"/>
        <w:framePr w:w="10720" w:hAnchor="page" w:vAnchor="page" w:x="3014" w:y="54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Mr. Landes’s 2022 objectives and achievements included winning and renewing several key long-term contracts and</w:t>
      </w:r>
    </w:p>
    <w:p>
      <w:pPr>
        <w:pStyle w:val="Normal"/>
        <w:framePr w:w="2458" w:hAnchor="page" w:vAnchor="page" w:x="425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Chief Technology Officer</w:t>
      </w:r>
    </w:p>
    <w:p>
      <w:pPr>
        <w:pStyle w:val="Normal"/>
        <w:framePr w:w="2868" w:hAnchor="page" w:vAnchor="page" w:x="425" w:y="48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Vice President and</w:t>
      </w:r>
    </w:p>
    <w:p>
      <w:pPr>
        <w:pStyle w:val="Normal"/>
        <w:framePr w:w="1615" w:hAnchor="page" w:vAnchor="page" w:x="425" w:y="46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Justin Rounce</w:t>
      </w:r>
    </w:p>
    <w:p>
      <w:pPr>
        <w:pStyle w:val="Normal"/>
        <w:framePr w:w="10140" w:hAnchor="page" w:vAnchor="page" w:x="3014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development of the New Energy business and co-led the development of the Company’s long-term strategies.</w:t>
      </w:r>
    </w:p>
    <w:p>
      <w:pPr>
        <w:pStyle w:val="Normal"/>
        <w:framePr w:w="10004" w:hAnchor="page" w:vAnchor="page" w:x="3014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performance and leading new technology and product development efforts. He also continued to support the</w:t>
      </w:r>
    </w:p>
    <w:p>
      <w:pPr>
        <w:pStyle w:val="Normal"/>
        <w:framePr w:w="10564" w:hAnchor="page" w:vAnchor="page" w:x="3014" w:y="35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transformation activities, leading the development of strategic alliances and investments, advancing manufacturing</w:t>
      </w:r>
    </w:p>
    <w:p>
      <w:pPr>
        <w:pStyle w:val="Normal"/>
        <w:framePr w:w="10751" w:hAnchor="page" w:vAnchor="page" w:x="3014" w:y="33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Mr. Rounce’s 2022 objectives and achievements included continuing to advance the Company’s industrialization and</w:t>
      </w:r>
    </w:p>
    <w:p>
      <w:pPr>
        <w:pStyle w:val="Normal"/>
        <w:framePr w:w="2219" w:hAnchor="page" w:vAnchor="page" w:x="425" w:y="29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Chief Financial Officer</w:t>
      </w:r>
    </w:p>
    <w:p>
      <w:pPr>
        <w:pStyle w:val="Normal"/>
        <w:framePr w:w="1057" w:hAnchor="page" w:vAnchor="page" w:x="425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2105" w:hAnchor="page" w:vAnchor="page" w:x="301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repurchase program.</w:t>
      </w:r>
    </w:p>
    <w:p>
      <w:pPr>
        <w:pStyle w:val="Normal"/>
        <w:framePr w:w="10679" w:hAnchor="page" w:vAnchor="page" w:x="301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and net debt position and an accelerated introduction of shareholder distributions in the form of a $400 million share</w:t>
      </w:r>
    </w:p>
    <w:p>
      <w:pPr>
        <w:pStyle w:val="Normal"/>
        <w:framePr w:w="10553" w:hAnchor="page" w:vAnchor="page" w:x="301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performance targets including Adjusted EBITDA and free cash flow, a significant reduction in the Company’s gross</w:t>
      </w:r>
    </w:p>
    <w:p>
      <w:pPr>
        <w:pStyle w:val="Normal"/>
        <w:framePr w:w="10273" w:hAnchor="page" w:vAnchor="page" w:x="3014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Mr. Melin’s 2022 achievements included guiding the Company’s financial strategy to meeting 2022 key financial</w:t>
      </w:r>
    </w:p>
    <w:p>
      <w:pPr>
        <w:pStyle w:val="Normal"/>
        <w:framePr w:w="648" w:hAnchor="page" w:vAnchor="page" w:x="425" w:y="10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NEO</w:t>
      </w:r>
    </w:p>
    <w:p>
      <w:pPr>
        <w:pStyle w:val="Normal"/>
        <w:framePr w:w="5293" w:hAnchor="page" w:vAnchor="page" w:x="3014" w:y="10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Summary of 2022 Objectives and Key Achievements</w:t>
      </w:r>
    </w:p>
    <w:p>
      <w:pPr>
        <w:pStyle w:val="Normal"/>
        <w:framePr w:w="8295" w:hAnchor="page" w:vAnchor="page" w:x="274" w:y="56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32373f"/>
          <w:w w:val="100"/>
          <w:sz w:val="19"/>
          <w:szCs w:val="19"/>
        </w:rPr>
        <w:t>Individual performance assessments for the other NEOs are summarized below.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7pt;margin-top:1pt;z-index:-16770436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12.7pt;margin-top:47.95pt;z-index:-16770432;width:130.7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141.4pt;margin-top:47.95pt;z-index:-16770428;width:45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12.7pt;margin-top:66.45pt;z-index:-16770424;width:130.75pt;height:96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41.4pt;margin-top:66.45pt;z-index:-16770420;width:457.9pt;height:96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12.7pt;margin-top:161pt;z-index:-16770416;width:130.75pt;height:105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41.4pt;margin-top:161pt;z-index:-16770412;width:457.9pt;height:105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12.7pt;margin-top:264.85pt;z-index:-16770408;width:130.75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141.4pt;margin-top:264.85pt;z-index:-16770404;width:457.9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12.7pt;margin-top:358.05pt;z-index:-16770400;width:130.75pt;height:115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141.4pt;margin-top:358.05pt;z-index:-16770396;width:457.9pt;height:115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141.4pt;margin-top:358.05pt;z-index:-16770392;width:2.7pt;height:115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141.4pt;margin-top:358.05pt;z-index:-16770388;width:45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12.7pt;margin-top:358.05pt;z-index:-16770384;width:1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141.4pt;margin-top:264.85pt;z-index:-16770380;width:2.7pt;height:9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141.4pt;margin-top:264.85pt;z-index:-16770376;width:45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12.7pt;margin-top:264.85pt;z-index:-16770372;width:1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141.4pt;margin-top:161pt;z-index:-16770368;width:2.7pt;height:10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141.4pt;margin-top:161pt;z-index:-16770364;width:45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12.7pt;margin-top:161pt;z-index:-16770360;width:1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141.4pt;margin-top:66.45pt;z-index:-16770356;width:2.7pt;height:9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141.4pt;margin-top:66.45pt;z-index:-16770352;width:45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12.7pt;margin-top:66.45pt;z-index:-16770348;width:1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141.4pt;margin-top:47.95pt;z-index:-16770344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2.7pt;margin-top:520.9pt;z-index:-16770340;width:125.0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135.75pt;margin-top:520.9pt;z-index:-16770336;width:93.7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227.5pt;margin-top:520.9pt;z-index:-16770332;width:94.4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19.95pt;margin-top:520.9pt;z-index:-16770328;width:94.4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12.4pt;margin-top:520.9pt;z-index:-16770324;width:94.4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04.85pt;margin-top:520.9pt;z-index:-16770320;width:94.4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12.7pt;margin-top:564.3pt;z-index:-16770316;width:216.8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227.5pt;margin-top:564.3pt;z-index:-16770312;width:94.4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319.95pt;margin-top:564.3pt;z-index:-16770308;width:94.4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12.4pt;margin-top:564.3pt;z-index:-16770304;width:94.4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04.85pt;margin-top:564.3pt;z-index:-16770300;width:94.45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12.7pt;margin-top:564.3pt;z-index:-16770296;width:21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04.85pt;margin-top:564.3pt;z-index:-16770292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12.4pt;margin-top:564.3pt;z-index:-16770288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19.95pt;margin-top:564.3pt;z-index:-16770284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227.5pt;margin-top:564.3pt;z-index:-16770280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135.75pt;margin-top:564.3pt;z-index:-16770276;width:93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12.7pt;margin-top:564.3pt;z-index:-16770272;width:125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04.85pt;margin-top:550.05pt;z-index:-16770268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12.4pt;margin-top:550.05pt;z-index:-16770264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19.95pt;margin-top:550.05pt;z-index:-16770260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227.5pt;margin-top:550.05pt;z-index:-16770256;width:9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135.75pt;margin-top:550.05pt;z-index:-16770252;width:93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2.7pt;margin-top:550.05pt;z-index:-16770248;width:125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2.7pt;margin-top:619.05pt;z-index:-167702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21.5pt;margin-top:72.4pt;z-index:-16770240;width:53.35pt;height:5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21.5pt;margin-top:167pt;z-index:-16770236;width:52.65pt;height:5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1.5pt;margin-top:270.85pt;z-index:-16770232;width:54.05pt;height:5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21.5pt;margin-top:364pt;z-index:-16770228;width:52.6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</w:p>
    <w:p>
      <w:pPr>
        <w:pStyle w:val="Normal"/>
        <w:framePr w:w="1631" w:hAnchor="page" w:vAnchor="page" w:x="274" w:y="1132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73  TechnipFMC</w:t>
      </w:r>
    </w:p>
    <w:p>
      <w:pPr>
        <w:pStyle w:val="Normal"/>
        <w:framePr w:w="5567" w:hAnchor="page" w:vAnchor="page" w:x="274" w:y="107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payout and by capping payout in the case of negative TSR.</w:t>
      </w:r>
    </w:p>
    <w:p>
      <w:pPr>
        <w:pStyle w:val="Normal"/>
        <w:framePr w:w="14032" w:hAnchor="page" w:vAnchor="page" w:x="274" w:y="105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competitors, thus aligning their interests with shareholder interests. We further reinforce this by requiring a minimum threshold of relative performance for</w:t>
      </w:r>
    </w:p>
    <w:p>
      <w:pPr>
        <w:pStyle w:val="Normal"/>
        <w:framePr w:w="14215" w:hAnchor="page" w:vAnchor="page" w:x="274" w:y="103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We believe that these are meaningful measures of our long-term performance and motivate our NEOs to achieve superior share price compared to our key</w:t>
      </w:r>
    </w:p>
    <w:p>
      <w:pPr>
        <w:pStyle w:val="Normal"/>
        <w:framePr w:w="4292" w:hAnchor="page" w:vAnchor="page" w:x="274" w:y="99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ROIC for the three-year period of 2022-2024.</w:t>
      </w:r>
    </w:p>
    <w:p>
      <w:pPr>
        <w:pStyle w:val="Normal"/>
        <w:framePr w:w="13900" w:hAnchor="page" w:vAnchor="page" w:x="274" w:y="97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period. For awards in 2022, PSU awards comprised 70% of the total long-term equity award and payout will be based on relative TSR performance and</w:t>
      </w:r>
    </w:p>
    <w:p>
      <w:pPr>
        <w:pStyle w:val="Normal"/>
        <w:framePr w:w="14208" w:hAnchor="page" w:vAnchor="page" w:x="274" w:y="95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Compensation and Talent Committee sets the performance targets associated with PSU awards prior to the beginning of each three-year performance</w:t>
      </w:r>
    </w:p>
    <w:p>
      <w:pPr>
        <w:pStyle w:val="Normal"/>
        <w:framePr w:w="6055" w:hAnchor="page" w:vAnchor="page" w:x="274" w:y="93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2022 Performance Stock Unit Awards (70% of Equity Award)</w:t>
      </w:r>
    </w:p>
    <w:p>
      <w:pPr>
        <w:pStyle w:val="Normal"/>
        <w:framePr w:w="1456" w:hAnchor="page" w:vAnchor="page" w:x="331" w:y="88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Victoria Lazar</w:t>
      </w:r>
    </w:p>
    <w:p>
      <w:pPr>
        <w:pStyle w:val="Normal"/>
        <w:framePr w:w="728" w:hAnchor="page" w:vAnchor="page" w:x="8557" w:y="88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200%</w:t>
      </w:r>
    </w:p>
    <w:p>
      <w:pPr>
        <w:pStyle w:val="Normal"/>
        <w:framePr w:w="1229" w:hAnchor="page" w:vAnchor="page" w:x="11017" w:y="88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$1,000,000</w:t>
      </w:r>
    </w:p>
    <w:p>
      <w:pPr>
        <w:pStyle w:val="Normal"/>
        <w:framePr w:w="1776" w:hAnchor="page" w:vAnchor="page" w:x="331" w:y="85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Jonathan Landes</w:t>
      </w:r>
    </w:p>
    <w:p>
      <w:pPr>
        <w:pStyle w:val="Normal"/>
        <w:framePr w:w="728" w:hAnchor="page" w:vAnchor="page" w:x="8557" w:y="85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250%</w:t>
      </w:r>
    </w:p>
    <w:p>
      <w:pPr>
        <w:pStyle w:val="Normal"/>
        <w:framePr w:w="1229" w:hAnchor="page" w:vAnchor="page" w:x="11017" w:y="85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$1,312,500</w:t>
      </w:r>
    </w:p>
    <w:p>
      <w:pPr>
        <w:pStyle w:val="Normal"/>
        <w:framePr w:w="1502" w:hAnchor="page" w:vAnchor="page" w:x="331" w:y="82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Justin Rounce</w:t>
      </w:r>
    </w:p>
    <w:p>
      <w:pPr>
        <w:pStyle w:val="Normal"/>
        <w:framePr w:w="728" w:hAnchor="page" w:vAnchor="page" w:x="8557" w:y="82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300%</w:t>
      </w:r>
    </w:p>
    <w:p>
      <w:pPr>
        <w:pStyle w:val="Normal"/>
        <w:framePr w:w="1229" w:hAnchor="page" w:vAnchor="page" w:x="11017" w:y="82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$1,800,000</w:t>
      </w:r>
    </w:p>
    <w:p>
      <w:pPr>
        <w:pStyle w:val="Normal"/>
        <w:framePr w:w="989" w:hAnchor="page" w:vAnchor="page" w:x="331" w:y="78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728" w:hAnchor="page" w:vAnchor="page" w:x="8557" w:y="78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300%</w:t>
      </w:r>
    </w:p>
    <w:p>
      <w:pPr>
        <w:pStyle w:val="Normal"/>
        <w:framePr w:w="1229" w:hAnchor="page" w:vAnchor="page" w:x="11017" w:y="78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$1,950,000</w:t>
      </w:r>
    </w:p>
    <w:p>
      <w:pPr>
        <w:pStyle w:val="Normal"/>
        <w:framePr w:w="2117" w:hAnchor="page" w:vAnchor="page" w:x="331" w:y="75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Douglas J. Pferdehirt</w:t>
      </w:r>
    </w:p>
    <w:p>
      <w:pPr>
        <w:pStyle w:val="Normal"/>
        <w:framePr w:w="728" w:hAnchor="page" w:vAnchor="page" w:x="8557" w:y="75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785%</w:t>
      </w:r>
    </w:p>
    <w:p>
      <w:pPr>
        <w:pStyle w:val="Normal"/>
        <w:framePr w:w="1229" w:hAnchor="page" w:vAnchor="page" w:x="11017" w:y="75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$9,700,000</w:t>
      </w:r>
    </w:p>
    <w:p>
      <w:pPr>
        <w:pStyle w:val="Normal"/>
        <w:framePr w:w="2617" w:hAnchor="page" w:vAnchor="page" w:x="331" w:y="72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Named Executive Officer</w:t>
      </w:r>
    </w:p>
    <w:p>
      <w:pPr>
        <w:pStyle w:val="Normal"/>
        <w:framePr w:w="2879" w:hAnchor="page" w:vAnchor="page" w:x="6790" w:y="72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LTI Target (% of Base)</w:t>
      </w:r>
    </w:p>
    <w:p>
      <w:pPr>
        <w:pStyle w:val="Normal"/>
        <w:framePr w:w="2310" w:hAnchor="page" w:vAnchor="page" w:x="10151" w:y="72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LTI Target Value</w:t>
      </w:r>
    </w:p>
    <w:p>
      <w:pPr>
        <w:pStyle w:val="Normal"/>
        <w:framePr w:w="1992" w:hAnchor="page" w:vAnchor="page" w:x="274" w:y="67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compensation data.</w:t>
      </w:r>
    </w:p>
    <w:p>
      <w:pPr>
        <w:pStyle w:val="Normal"/>
        <w:framePr w:w="12921" w:hAnchor="page" w:vAnchor="page" w:x="274" w:y="65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For 2022, the Compensation and Talent Committee set the target value of equity awards for each NEO with reference to market median total</w:t>
      </w:r>
    </w:p>
    <w:p>
      <w:pPr>
        <w:pStyle w:val="Normal"/>
        <w:framePr w:w="751" w:hAnchor="page" w:vAnchor="page" w:x="274" w:y="61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goals.</w:t>
      </w:r>
    </w:p>
    <w:p>
      <w:pPr>
        <w:pStyle w:val="Normal"/>
        <w:framePr w:w="13741" w:hAnchor="page" w:vAnchor="page" w:x="274" w:y="59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competitiveness on total target compensation and aim to provide appropriate levels of retention and incentives for achieving the Company’s long-term</w:t>
      </w:r>
    </w:p>
    <w:p>
      <w:pPr>
        <w:pStyle w:val="Normal"/>
        <w:framePr w:w="13491" w:hAnchor="page" w:vAnchor="page" w:x="274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Compensation and Talent Committee reviews and approves equity awards for the NEOs on an annual basis. The awards are based on market</w:t>
      </w:r>
    </w:p>
    <w:p>
      <w:pPr>
        <w:pStyle w:val="Normal"/>
        <w:framePr w:w="4861" w:hAnchor="page" w:vAnchor="page" w:x="274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sustainable long-term value creation, and retention.</w:t>
      </w:r>
    </w:p>
    <w:p>
      <w:pPr>
        <w:pStyle w:val="Normal"/>
        <w:framePr w:w="13942" w:hAnchor="page" w:vAnchor="page" w:x="274" w:y="12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shareholders. Awards are made in the form of two complementary vehicles, PSU awards and RSU awards, providing a balanced focus on performance,</w:t>
      </w:r>
    </w:p>
    <w:p>
      <w:pPr>
        <w:pStyle w:val="Normal"/>
        <w:framePr w:w="13464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compensation opportunity, grounded in our compensation philosophy of paying for performance and aligning executives’ interests with those of our</w:t>
      </w:r>
    </w:p>
    <w:p>
      <w:pPr>
        <w:pStyle w:val="Normal"/>
        <w:framePr w:w="13498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Annual long-term equity incentive awards, granted in the form of TechnipFMC equity, represent the largest component of each NEO’s annual target</w:t>
      </w:r>
    </w:p>
    <w:p>
      <w:pPr>
        <w:pStyle w:val="Normal"/>
        <w:framePr w:w="3996" w:hAnchor="page" w:vAnchor="page" w:x="274" w:y="5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Long-Term Equity Incentives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7pt;margin-top:1pt;z-index:-167702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12.7pt;margin-top:355.9pt;z-index:-16770220;width:29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05.7pt;margin-top:355.9pt;z-index:-16770216;width:147.8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51.5pt;margin-top:355.9pt;z-index:-16770212;width:147.8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51.5pt;margin-top:454.05pt;z-index:-16770208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05.7pt;margin-top:454.05pt;z-index:-16770204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12.7pt;margin-top:454.05pt;z-index:-16770200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451.5pt;margin-top:437.7pt;z-index:-16770196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305.7pt;margin-top:437.7pt;z-index:-16770192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12.7pt;margin-top:437.7pt;z-index:-16770188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51.5pt;margin-top:421.35pt;z-index:-16770184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05.7pt;margin-top:421.35pt;z-index:-16770180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2.7pt;margin-top:421.35pt;z-index:-16770176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51.5pt;margin-top:404.95pt;z-index:-16770172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305.7pt;margin-top:404.95pt;z-index:-16770168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12.7pt;margin-top:404.95pt;z-index:-16770164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51.5pt;margin-top:388.6pt;z-index:-16770160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305.7pt;margin-top:388.6pt;z-index:-16770156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12.7pt;margin-top:388.6pt;z-index:-16770152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451.5pt;margin-top:355.9pt;z-index:-16770148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51.5pt;margin-top:372.25pt;z-index:-16770144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05.7pt;margin-top:355.9pt;z-index:-16770140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05.7pt;margin-top:372.25pt;z-index:-16770136;width:14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12.7pt;margin-top:355.9pt;z-index:-16770132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12.7pt;margin-top:372.25pt;z-index:-16770128;width:2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12.7pt;margin-top:582.05pt;z-index:-167701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13.7pt;margin-top:102.3pt;z-index:-16770120;width:590.3pt;height:17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</w:p>
    <w:p>
      <w:pPr>
        <w:pStyle w:val="Normal"/>
        <w:framePr w:w="1631" w:hAnchor="page" w:vAnchor="page" w:x="274" w:y="84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74  TechnipFMC</w:t>
      </w:r>
    </w:p>
    <w:p>
      <w:pPr>
        <w:pStyle w:val="Normal"/>
        <w:framePr w:w="12535" w:hAnchor="page" w:vAnchor="page" w:x="274" w:y="76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vesting date for the 2022 PSU awards is March 8, 2025, with a performance period of January 1, 2022 through December 31, 2024.</w:t>
      </w:r>
    </w:p>
    <w:p>
      <w:pPr>
        <w:pStyle w:val="Normal"/>
        <w:framePr w:w="14124" w:hAnchor="page" w:vAnchor="page" w:x="274" w:y="72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business profile, or not having a comparable market cap: The Weir Group PLC, Aker Solutions ASA, Oil States Intl., Inc., Forum Energy Technologies, Inc</w:t>
      </w:r>
    </w:p>
    <w:p>
      <w:pPr>
        <w:pStyle w:val="Normal"/>
        <w:framePr w:w="14140" w:hAnchor="page" w:vAnchor="page" w:x="274" w:y="70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 comparison to our prior Relative TSR Peer Group, the following companies were removed due to no longer being comparable peers due to divestitures,</w:t>
      </w:r>
    </w:p>
    <w:p>
      <w:pPr>
        <w:pStyle w:val="Normal"/>
        <w:framePr w:w="2151" w:hAnchor="page" w:vAnchor="page" w:x="274" w:y="66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  <w:t>*New peers for 2022</w:t>
      </w:r>
    </w:p>
    <w:p>
      <w:pPr>
        <w:pStyle w:val="Normal"/>
        <w:framePr w:w="2117" w:hAnchor="page" w:vAnchor="page" w:x="368" w:y="59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Halliburton Company</w:t>
      </w:r>
    </w:p>
    <w:p>
      <w:pPr>
        <w:pStyle w:val="Normal"/>
        <w:framePr w:w="1513" w:hAnchor="page" w:vAnchor="page" w:x="4280" w:y="59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Subsea 7 S.A.</w:t>
      </w:r>
    </w:p>
    <w:p>
      <w:pPr>
        <w:pStyle w:val="Normal"/>
        <w:framePr w:w="2503" w:hAnchor="page" w:vAnchor="page" w:x="368" w:y="5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  <w:t>Core Laboratories N.V.*</w:t>
      </w:r>
    </w:p>
    <w:p>
      <w:pPr>
        <w:pStyle w:val="Normal"/>
        <w:framePr w:w="591" w:hAnchor="page" w:vAnchor="page" w:x="4280" w:y="55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SLB</w:t>
      </w:r>
    </w:p>
    <w:p>
      <w:pPr>
        <w:pStyle w:val="Normal"/>
        <w:framePr w:w="2070" w:hAnchor="page" w:vAnchor="page" w:x="368" w:y="51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  <w:t>Champion X Corp.*</w:t>
      </w:r>
    </w:p>
    <w:p>
      <w:pPr>
        <w:pStyle w:val="Normal"/>
        <w:framePr w:w="2652" w:hAnchor="page" w:vAnchor="page" w:x="4280" w:y="51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National Oilwell Varco, Inc.</w:t>
      </w:r>
    </w:p>
    <w:p>
      <w:pPr>
        <w:pStyle w:val="Normal"/>
        <w:framePr w:w="3005" w:hAnchor="page" w:vAnchor="page" w:x="8178" w:y="51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Oceaneering International, Inc.</w:t>
      </w:r>
    </w:p>
    <w:p>
      <w:pPr>
        <w:pStyle w:val="Normal"/>
        <w:framePr w:w="1502" w:hAnchor="page" w:vAnchor="page" w:x="368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Baker Hughes</w:t>
      </w:r>
    </w:p>
    <w:p>
      <w:pPr>
        <w:pStyle w:val="Normal"/>
        <w:framePr w:w="2458" w:hAnchor="page" w:vAnchor="page" w:x="4280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  <w:t>Nabors Industries Ltd.*</w:t>
      </w:r>
    </w:p>
    <w:p>
      <w:pPr>
        <w:pStyle w:val="Normal"/>
        <w:framePr w:w="1866" w:hAnchor="page" w:vAnchor="page" w:x="8178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ace9"/>
          <w:w w:val="100"/>
          <w:sz w:val="17"/>
          <w:szCs w:val="17"/>
        </w:rPr>
        <w:t>Transocean Ltd.*</w:t>
      </w:r>
    </w:p>
    <w:p>
      <w:pPr>
        <w:pStyle w:val="Normal"/>
        <w:framePr w:w="3141" w:hAnchor="page" w:vAnchor="page" w:x="368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Relative TSR Peer Group</w:t>
      </w:r>
    </w:p>
    <w:p>
      <w:pPr>
        <w:pStyle w:val="Normal"/>
        <w:framePr w:w="3027" w:hAnchor="page" w:vAnchor="page" w:x="274" w:y="39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similar macroeconomic factors.</w:t>
      </w:r>
    </w:p>
    <w:p>
      <w:pPr>
        <w:pStyle w:val="Normal"/>
        <w:framePr w:w="13786" w:hAnchor="page" w:vAnchor="page" w:x="274" w:y="37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customers. The financial and operational performance of these companies is therefore most directly relevant to TechnipFMC, and we are all subject to</w:t>
      </w:r>
    </w:p>
    <w:p>
      <w:pPr>
        <w:pStyle w:val="Normal"/>
        <w:framePr w:w="13795" w:hAnchor="page" w:vAnchor="page" w:x="274" w:y="35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each a "</w:t>
      </w: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TSR Pee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r") that the Compensation and Talent Committee believes best reflects the companies that we compete with for both investments and</w:t>
      </w:r>
    </w:p>
    <w:p>
      <w:pPr>
        <w:pStyle w:val="Normal"/>
        <w:framePr w:w="14238" w:hAnchor="page" w:vAnchor="page" w:x="274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relative TSR performance for our 2022 PSU awards will be measured against a group of ten companies (collectively, "</w:t>
      </w: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Relative TSR Peer Group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," and</w:t>
      </w:r>
    </w:p>
    <w:p>
      <w:pPr>
        <w:pStyle w:val="Normal"/>
        <w:framePr w:w="2470" w:hAnchor="page" w:vAnchor="page" w:x="4849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average invested capital.</w:t>
      </w:r>
    </w:p>
    <w:p>
      <w:pPr>
        <w:pStyle w:val="Normal"/>
        <w:framePr w:w="2288" w:hAnchor="page" w:vAnchor="page" w:x="4849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divided by a three-year</w:t>
      </w:r>
    </w:p>
    <w:p>
      <w:pPr>
        <w:pStyle w:val="Normal"/>
        <w:framePr w:w="2367" w:hAnchor="page" w:vAnchor="page" w:x="4849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operating profit after tax</w:t>
      </w:r>
    </w:p>
    <w:p>
      <w:pPr>
        <w:pStyle w:val="Normal"/>
        <w:framePr w:w="5077" w:hAnchor="page" w:vAnchor="page" w:x="7410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capital over the three-year period to generate income.</w:t>
      </w:r>
    </w:p>
    <w:p>
      <w:pPr>
        <w:pStyle w:val="Normal"/>
        <w:framePr w:w="716" w:hAnchor="page" w:vAnchor="page" w:x="368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ROIC</w:t>
      </w:r>
    </w:p>
    <w:p>
      <w:pPr>
        <w:pStyle w:val="Normal"/>
        <w:framePr w:w="1935" w:hAnchor="page" w:vAnchor="page" w:x="2616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50% of PSU award</w:t>
      </w:r>
    </w:p>
    <w:p>
      <w:pPr>
        <w:pStyle w:val="Normal"/>
        <w:framePr w:w="2345" w:hAnchor="page" w:vAnchor="page" w:x="4849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Three-year average net</w:t>
      </w:r>
    </w:p>
    <w:p>
      <w:pPr>
        <w:pStyle w:val="Normal"/>
        <w:framePr w:w="4974" w:hAnchor="page" w:vAnchor="page" w:x="7410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Assesses our profitability and how effectively we use</w:t>
      </w:r>
    </w:p>
    <w:p>
      <w:pPr>
        <w:pStyle w:val="Normal"/>
        <w:framePr w:w="876" w:hAnchor="page" w:vAnchor="page" w:x="7410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factors.</w:t>
      </w:r>
    </w:p>
    <w:p>
      <w:pPr>
        <w:pStyle w:val="Normal"/>
        <w:framePr w:w="2584" w:hAnchor="page" w:vAnchor="page" w:x="4849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dividends relative to peers</w:t>
      </w:r>
    </w:p>
    <w:p>
      <w:pPr>
        <w:pStyle w:val="Normal"/>
        <w:framePr w:w="4860" w:hAnchor="page" w:vAnchor="page" w:x="7410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investors that are subject to similar macroeconomic</w:t>
      </w:r>
    </w:p>
    <w:p>
      <w:pPr>
        <w:pStyle w:val="Normal"/>
        <w:framePr w:w="2732" w:hAnchor="page" w:vAnchor="page" w:x="4849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weighted-average price and</w:t>
      </w:r>
    </w:p>
    <w:p>
      <w:pPr>
        <w:pStyle w:val="Normal"/>
        <w:framePr w:w="5054" w:hAnchor="page" w:vAnchor="page" w:x="7410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companies with which we compete for customers and</w:t>
      </w:r>
    </w:p>
    <w:p>
      <w:pPr>
        <w:pStyle w:val="Normal"/>
        <w:framePr w:w="2970" w:hAnchor="page" w:vAnchor="page" w:x="4849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three-year increase in volume-</w:t>
      </w:r>
    </w:p>
    <w:p>
      <w:pPr>
        <w:pStyle w:val="Normal"/>
        <w:framePr w:w="5111" w:hAnchor="page" w:vAnchor="page" w:x="7410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shareholders and the broader stock market, relative to</w:t>
      </w:r>
    </w:p>
    <w:p>
      <w:pPr>
        <w:pStyle w:val="Normal"/>
        <w:framePr w:w="1456" w:hAnchor="page" w:vAnchor="page" w:x="368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Relative TSR</w:t>
      </w:r>
    </w:p>
    <w:p>
      <w:pPr>
        <w:pStyle w:val="Normal"/>
        <w:framePr w:w="1935" w:hAnchor="page" w:vAnchor="page" w:x="2616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50% of PSU award</w:t>
      </w:r>
    </w:p>
    <w:p>
      <w:pPr>
        <w:pStyle w:val="Normal"/>
        <w:framePr w:w="2549" w:hAnchor="page" w:vAnchor="page" w:x="4849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Relative TSR: Cumulative</w:t>
      </w:r>
    </w:p>
    <w:p>
      <w:pPr>
        <w:pStyle w:val="Normal"/>
        <w:framePr w:w="4929" w:hAnchor="page" w:vAnchor="page" w:x="7410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Assesses our overall performance in the eyes of our</w:t>
      </w:r>
    </w:p>
    <w:p>
      <w:pPr>
        <w:pStyle w:val="Normal"/>
        <w:framePr w:w="1513" w:hAnchor="page" w:vAnchor="page" w:x="368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PSU Measure</w:t>
      </w:r>
    </w:p>
    <w:p>
      <w:pPr>
        <w:pStyle w:val="Normal"/>
        <w:framePr w:w="1194" w:hAnchor="page" w:vAnchor="page" w:x="2616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Weighting</w:t>
      </w:r>
    </w:p>
    <w:p>
      <w:pPr>
        <w:pStyle w:val="Normal"/>
        <w:framePr w:w="1148" w:hAnchor="page" w:vAnchor="page" w:x="4849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Definition</w:t>
      </w:r>
    </w:p>
    <w:p>
      <w:pPr>
        <w:pStyle w:val="Normal"/>
        <w:framePr w:w="1604" w:hAnchor="page" w:vAnchor="page" w:x="7410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Why It Matters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7pt;margin-top:1pt;z-index:-1677011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12.7pt;margin-top:46.5pt;z-index:-16770112;width:113.65pt;height:6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124.35pt;margin-top:46.5pt;z-index:-16770108;width:113.65pt;height:6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236pt;margin-top:46.5pt;z-index:-16770104;width:130pt;height:6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64.05pt;margin-top:46.5pt;z-index:-16770100;width:235.3pt;height:6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2.7pt;margin-top:105.55pt;z-index:-16770096;width:113.65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124.35pt;margin-top:105.55pt;z-index:-16770092;width:113.65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236pt;margin-top:105.55pt;z-index:-16770088;width:130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64.05pt;margin-top:105.55pt;z-index:-16770084;width:235.3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12.7pt;margin-top:28pt;z-index:-16770080;width:113.6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124.35pt;margin-top:28pt;z-index:-16770076;width:113.6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236pt;margin-top:28pt;z-index:-16770072;width:130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64.05pt;margin-top:28pt;z-index:-16770068;width:235.3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64.05pt;margin-top:154.6pt;z-index:-16770064;width:23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236pt;margin-top:154.6pt;z-index:-16770060;width:1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64.05pt;margin-top:105.55pt;z-index:-16770056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124.35pt;margin-top:154.6pt;z-index:-16770052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36pt;margin-top:105.55pt;z-index:-16770048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12.7pt;margin-top:154.6pt;z-index:-16770044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124.35pt;margin-top:105.55pt;z-index:-16770040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64.05pt;margin-top:105.55pt;z-index:-16770036;width:23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236pt;margin-top:105.55pt;z-index:-16770032;width:1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364.05pt;margin-top:46.5pt;z-index:-16770028;width:2.7pt;height:6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124.35pt;margin-top:105.55pt;z-index:-16770024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236pt;margin-top:46.5pt;z-index:-16770020;width:2.7pt;height:6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12.7pt;margin-top:105.55pt;z-index:-16770016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124.35pt;margin-top:46.5pt;z-index:-16770012;width:2.7pt;height:6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64.05pt;margin-top:46.5pt;z-index:-16770008;width:23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36pt;margin-top:46.5pt;z-index:-16770004;width:1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64.05pt;margin-top:28pt;z-index:-16770000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124.35pt;margin-top:46.5pt;z-index:-16769996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236pt;margin-top:28pt;z-index:-16769992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12.7pt;margin-top:46.5pt;z-index:-16769988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124.35pt;margin-top:28pt;z-index:-16769984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12.7pt;margin-top:214.35pt;z-index:-16769980;width:586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12.7pt;margin-top:232.85pt;z-index:-16769976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207.55pt;margin-top:232.85pt;z-index:-16769972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02.45pt;margin-top:232.85pt;z-index:-16769968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12.7pt;margin-top:252.05pt;z-index:-16769964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207.55pt;margin-top:252.05pt;z-index:-16769960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02.45pt;margin-top:252.05pt;z-index:-16769956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12.7pt;margin-top:271.25pt;z-index:-16769952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07.55pt;margin-top:271.25pt;z-index:-16769948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02.45pt;margin-top:271.25pt;z-index:-16769944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12.7pt;margin-top:290.45pt;z-index:-16769940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07.55pt;margin-top:290.45pt;z-index:-16769936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02.45pt;margin-top:290.45pt;z-index:-16769932;width:196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402.45pt;margin-top:309.65pt;z-index:-16769928;width:19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207.55pt;margin-top:309.65pt;z-index:-16769924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02.45pt;margin-top:290.45pt;z-index:-16769920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12.7pt;margin-top:309.65pt;z-index:-16769916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207.55pt;margin-top:290.45pt;z-index:-16769912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02.45pt;margin-top:290.45pt;z-index:-16769908;width:19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207.55pt;margin-top:290.45pt;z-index:-16769904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02.45pt;margin-top:271.25pt;z-index:-16769900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12.7pt;margin-top:290.45pt;z-index:-16769896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207.55pt;margin-top:271.25pt;z-index:-16769892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02.45pt;margin-top:271.25pt;z-index:-16769888;width:19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207.55pt;margin-top:271.25pt;z-index:-16769884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02.45pt;margin-top:252.05pt;z-index:-16769880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2.7pt;margin-top:271.25pt;z-index:-16769876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07.55pt;margin-top:252.05pt;z-index:-16769872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402.45pt;margin-top:232.85pt;z-index:-16769868;width:19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02.45pt;margin-top:252.05pt;z-index:-16769864;width:19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207.55pt;margin-top:232.85pt;z-index:-16769860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207.55pt;margin-top:252.05pt;z-index:-16769856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02.45pt;margin-top:232.85pt;z-index:-16769852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12.7pt;margin-top:252.05pt;z-index:-16769848;width:19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207.55pt;margin-top:232.85pt;z-index:-16769844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12.7pt;margin-top:232.85pt;z-index:-16769840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12.7pt;margin-top:436.95pt;z-index:-1676983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</w:p>
    <w:p>
      <w:pPr>
        <w:pStyle w:val="Normal"/>
        <w:framePr w:w="1631" w:hAnchor="page" w:vAnchor="page" w:x="274" w:y="1106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75  TechnipFMC</w:t>
      </w:r>
    </w:p>
    <w:p>
      <w:pPr>
        <w:pStyle w:val="Normal"/>
        <w:framePr w:w="10439" w:hAnchor="page" w:vAnchor="page" w:x="274" w:y="104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participate in the U.S. Qualified and Non-Qualified Savings Plans on the same terms as other eligible employees.</w:t>
      </w:r>
    </w:p>
    <w:p>
      <w:pPr>
        <w:pStyle w:val="Normal"/>
        <w:framePr w:w="13749" w:hAnchor="page" w:vAnchor="page" w:x="274" w:y="102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Eligibility for retirement savings plan participation depends on an NEO’s tenure and the country in which he or she is based. The majority of our NEOs</w:t>
      </w:r>
    </w:p>
    <w:p>
      <w:pPr>
        <w:pStyle w:val="Normal"/>
        <w:framePr w:w="2139" w:hAnchor="page" w:vAnchor="page" w:x="274" w:y="100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Retirement Benefits</w:t>
      </w:r>
    </w:p>
    <w:p>
      <w:pPr>
        <w:pStyle w:val="Normal"/>
        <w:framePr w:w="7547" w:hAnchor="page" w:vAnchor="page" w:x="274" w:y="96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NEOs in their roles while ensuring we are market competitive in what we provide.</w:t>
      </w:r>
    </w:p>
    <w:p>
      <w:pPr>
        <w:pStyle w:val="Normal"/>
        <w:framePr w:w="13810" w:hAnchor="page" w:vAnchor="page" w:x="274" w:y="94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final element of our compensation comprises market-aligned benefits and perquisites. These are intended to both facilitate the performance of our</w:t>
      </w:r>
    </w:p>
    <w:p>
      <w:pPr>
        <w:pStyle w:val="Normal"/>
        <w:framePr w:w="3213" w:hAnchor="page" w:vAnchor="page" w:x="274" w:y="917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  <w:t>Indirect Compensation</w:t>
      </w:r>
    </w:p>
    <w:p>
      <w:pPr>
        <w:pStyle w:val="Normal"/>
        <w:framePr w:w="13548" w:hAnchor="page" w:vAnchor="page" w:x="274" w:y="87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executive pay to their performance and the advancement of our annual and long-term business objectives that is aligned with shareholder interests.</w:t>
      </w:r>
    </w:p>
    <w:p>
      <w:pPr>
        <w:pStyle w:val="Normal"/>
        <w:framePr w:w="14083" w:hAnchor="page" w:vAnchor="page" w:x="274" w:y="85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We intend for all other core components of our incentive framework to remain the same in 2023 as in 2022. We believe this framework continues to link</w:t>
      </w:r>
    </w:p>
    <w:p>
      <w:pPr>
        <w:pStyle w:val="Normal"/>
        <w:framePr w:w="5188" w:hAnchor="page" w:vAnchor="page" w:x="274" w:y="828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  <w:t>Looking Ahead – 2023 Incentive Plans</w:t>
      </w:r>
    </w:p>
    <w:p>
      <w:pPr>
        <w:pStyle w:val="Normal"/>
        <w:framePr w:w="7024" w:hAnchor="page" w:vAnchor="page" w:x="274" w:y="78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share price, further aligning NEOs’ interests with those of our shareholders.</w:t>
      </w:r>
    </w:p>
    <w:p>
      <w:pPr>
        <w:pStyle w:val="Normal"/>
        <w:framePr w:w="13661" w:hAnchor="page" w:vAnchor="page" w:x="274" w:y="76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On vesting, 50% of the after-tax number of RSUs must be held for a period of at least one year to incentivize NEOs to retain the shares and increase</w:t>
      </w:r>
    </w:p>
    <w:p>
      <w:pPr>
        <w:pStyle w:val="Normal"/>
        <w:framePr w:w="6022" w:hAnchor="page" w:vAnchor="page" w:x="274" w:y="72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Company’s Ordinary Shares on the NYSE on the grant date.</w:t>
      </w:r>
    </w:p>
    <w:p>
      <w:pPr>
        <w:pStyle w:val="Normal"/>
        <w:framePr w:w="13479" w:hAnchor="page" w:vAnchor="page" w:x="274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number of RSUs granted to each of the NEOs was determined by dividing the target value set for each executive officer by the closing price of</w:t>
      </w:r>
    </w:p>
    <w:p>
      <w:pPr>
        <w:pStyle w:val="Normal"/>
        <w:framePr w:w="2754" w:hAnchor="page" w:vAnchor="page" w:x="274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underlying Ordinary Shares.</w:t>
      </w:r>
    </w:p>
    <w:p>
      <w:pPr>
        <w:pStyle w:val="Normal"/>
        <w:framePr w:w="12884" w:hAnchor="page" w:vAnchor="page" w:x="274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8, 2025, with exceptions only for retirement, death, and disability. Once vested, the executive receives ownership and the voting rights of the</w:t>
      </w:r>
    </w:p>
    <w:p>
      <w:pPr>
        <w:pStyle w:val="Normal"/>
        <w:framePr w:w="13828" w:hAnchor="page" w:vAnchor="page" w:x="274" w:y="62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RSUs are subject to three-year cliff vesting terms, with no phased vesting, meaning the NEO must remain employed through the vesting date of March</w:t>
      </w:r>
    </w:p>
    <w:p>
      <w:pPr>
        <w:pStyle w:val="Normal"/>
        <w:framePr w:w="5806" w:hAnchor="page" w:vAnchor="page" w:x="274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reinforcing the retention impact of our compensation program.</w:t>
      </w:r>
    </w:p>
    <w:p>
      <w:pPr>
        <w:pStyle w:val="Normal"/>
        <w:framePr w:w="13186" w:hAnchor="page" w:vAnchor="page" w:x="274" w:y="56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Time-based RSU awards further align NEOs’ interests with the interests of our shareholders by incentivizing them to increase share price, while</w:t>
      </w:r>
    </w:p>
    <w:p>
      <w:pPr>
        <w:pStyle w:val="Normal"/>
        <w:framePr w:w="5383" w:hAnchor="page" w:vAnchor="page" w:x="274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2022 Time-Based RSU Awards (30% of Equity Award)</w:t>
      </w:r>
    </w:p>
    <w:p>
      <w:pPr>
        <w:pStyle w:val="Normal"/>
        <w:framePr w:w="10269" w:hAnchor="page" w:vAnchor="page" w:x="274" w:y="50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results for the ROIC three-year period of 2022-2024 will be disclosed at the end of the performance period.</w:t>
      </w:r>
    </w:p>
    <w:p>
      <w:pPr>
        <w:pStyle w:val="Normal"/>
        <w:framePr w:w="898" w:hAnchor="page" w:vAnchor="page" w:x="274" w:y="46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returns.</w:t>
      </w:r>
    </w:p>
    <w:p>
      <w:pPr>
        <w:pStyle w:val="Normal"/>
        <w:framePr w:w="13772" w:hAnchor="page" w:vAnchor="page" w:x="274" w:y="44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capital. This will measure our profitability and how effectively the Company uses capital over the three year performance period to generate financial</w:t>
      </w:r>
    </w:p>
    <w:p>
      <w:pPr>
        <w:pStyle w:val="Normal"/>
        <w:framePr w:w="13765" w:hAnchor="page" w:vAnchor="page" w:x="274" w:y="42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2022-2024 ROIC target was calculated based on a three-year average net operating profit after tax divided by a three-year average invested</w:t>
      </w:r>
    </w:p>
    <w:p>
      <w:pPr>
        <w:pStyle w:val="Normal"/>
        <w:framePr w:w="3504" w:hAnchor="page" w:vAnchor="page" w:x="274" w:y="40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3b3c42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3b3c42"/>
          <w:w w:val="100"/>
          <w:sz w:val="17"/>
          <w:szCs w:val="17"/>
        </w:rPr>
        <w:t>Return on Invested Capital (ROIC)</w:t>
      </w:r>
    </w:p>
    <w:p>
      <w:pPr>
        <w:pStyle w:val="Normal"/>
        <w:framePr w:w="11698" w:hAnchor="page" w:vAnchor="page" w:x="274" w:y="37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b3c42"/>
          <w:w w:val="100"/>
          <w:sz w:val="15"/>
          <w:szCs w:val="15"/>
        </w:rPr>
        <w:t>performance. For performance achievement between the levels identified above, payout percentage will be interpolated on a straight-line basis.</w:t>
      </w:r>
    </w:p>
    <w:p>
      <w:pPr>
        <w:pStyle w:val="Normal"/>
        <w:framePr w:w="13725" w:hAnchor="page" w:vAnchor="page" w:x="274" w:y="35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b3c42"/>
          <w:w w:val="100"/>
          <w:sz w:val="15"/>
          <w:szCs w:val="15"/>
        </w:rPr>
        <w:t>Note: If the Company’s absolute TSR is negative for the performance period, the payout in respect of the TSR element will be capped at target, regardless of our relative</w:t>
      </w:r>
    </w:p>
    <w:p>
      <w:pPr>
        <w:pStyle w:val="Normal"/>
        <w:framePr w:w="1946" w:hAnchor="page" w:vAnchor="page" w:x="368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Maximum or above</w:t>
      </w:r>
    </w:p>
    <w:p>
      <w:pPr>
        <w:pStyle w:val="Normal"/>
        <w:framePr w:w="2493" w:hAnchor="page" w:vAnchor="page" w:x="6465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75th percentile or greater</w:t>
      </w:r>
    </w:p>
    <w:p>
      <w:pPr>
        <w:pStyle w:val="Normal"/>
        <w:framePr w:w="728" w:hAnchor="page" w:vAnchor="page" w:x="11435" w:y="31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200%</w:t>
      </w:r>
    </w:p>
    <w:p>
      <w:pPr>
        <w:pStyle w:val="Normal"/>
        <w:framePr w:w="796" w:hAnchor="page" w:vAnchor="page" w:x="368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Target</w:t>
      </w:r>
    </w:p>
    <w:p>
      <w:pPr>
        <w:pStyle w:val="Normal"/>
        <w:framePr w:w="1548" w:hAnchor="page" w:vAnchor="page" w:x="7253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50th percentile</w:t>
      </w:r>
    </w:p>
    <w:p>
      <w:pPr>
        <w:pStyle w:val="Normal"/>
        <w:framePr w:w="728" w:hAnchor="page" w:vAnchor="page" w:x="11435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100%</w:t>
      </w:r>
    </w:p>
    <w:p>
      <w:pPr>
        <w:pStyle w:val="Normal"/>
        <w:framePr w:w="1115" w:hAnchor="page" w:vAnchor="page" w:x="368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Threshold</w:t>
      </w:r>
    </w:p>
    <w:p>
      <w:pPr>
        <w:pStyle w:val="Normal"/>
        <w:framePr w:w="1548" w:hAnchor="page" w:vAnchor="page" w:x="7253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25th percentile</w:t>
      </w:r>
    </w:p>
    <w:p>
      <w:pPr>
        <w:pStyle w:val="Normal"/>
        <w:framePr w:w="614" w:hAnchor="page" w:vAnchor="page" w:x="11530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50%</w:t>
      </w:r>
    </w:p>
    <w:p>
      <w:pPr>
        <w:pStyle w:val="Normal"/>
        <w:framePr w:w="1730" w:hAnchor="page" w:vAnchor="page" w:x="368" w:y="21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Below Threshold</w:t>
      </w:r>
    </w:p>
    <w:p>
      <w:pPr>
        <w:pStyle w:val="Normal"/>
        <w:framePr w:w="2162" w:hAnchor="page" w:vAnchor="page" w:x="6740" w:y="21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Below 25th percentile</w:t>
      </w:r>
    </w:p>
    <w:p>
      <w:pPr>
        <w:pStyle w:val="Normal"/>
        <w:framePr w:w="500" w:hAnchor="page" w:vAnchor="page" w:x="11625" w:y="21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0%</w:t>
      </w:r>
    </w:p>
    <w:p>
      <w:pPr>
        <w:pStyle w:val="Normal"/>
        <w:framePr w:w="2788" w:hAnchor="page" w:vAnchor="page" w:x="368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Performance Achievement</w:t>
      </w:r>
    </w:p>
    <w:p>
      <w:pPr>
        <w:pStyle w:val="Normal"/>
        <w:framePr w:w="2765" w:hAnchor="page" w:vAnchor="page" w:x="6238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Relative TSR Performance</w:t>
      </w:r>
    </w:p>
    <w:p>
      <w:pPr>
        <w:pStyle w:val="Normal"/>
        <w:framePr w:w="2093" w:hAnchor="page" w:vAnchor="page" w:x="10297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(% of earned PSUs)</w:t>
      </w:r>
    </w:p>
    <w:p>
      <w:pPr>
        <w:pStyle w:val="Normal"/>
        <w:framePr w:w="887" w:hAnchor="page" w:vAnchor="page" w:x="11303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Payout</w:t>
      </w:r>
    </w:p>
    <w:p>
      <w:pPr>
        <w:pStyle w:val="Normal"/>
        <w:framePr w:w="7423" w:hAnchor="page" w:vAnchor="page" w:x="274" w:y="11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Relative TSR payout scale for the 2022-2024 PSU award is outlined below:</w:t>
      </w:r>
    </w:p>
    <w:p>
      <w:pPr>
        <w:pStyle w:val="Normal"/>
        <w:framePr w:w="1456" w:hAnchor="page" w:vAnchor="page" w:x="274" w:y="9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3b3c42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3b3c42"/>
          <w:w w:val="100"/>
          <w:sz w:val="17"/>
          <w:szCs w:val="17"/>
        </w:rPr>
        <w:t>Relative TSR</w:t>
      </w:r>
    </w:p>
    <w:p>
      <w:pPr>
        <w:pStyle w:val="Normal"/>
        <w:framePr w:w="10053" w:hAnchor="page" w:vAnchor="page" w:x="274" w:y="5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Compensation and Talent Committee approved the following targets in relation to the 2022 PSU awards: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7pt;margin-top:1pt;z-index:-1676983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12.7pt;margin-top:76.4pt;z-index:-16769828;width:236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246.7pt;margin-top:76.4pt;z-index:-16769824;width:177.65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422.35pt;margin-top:76.4pt;z-index:-16769820;width:176.95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12.7pt;margin-top:102pt;z-index:-16769816;width:236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46.7pt;margin-top:102pt;z-index:-16769812;width:177.6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22.35pt;margin-top:102pt;z-index:-16769808;width:176.9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12.7pt;margin-top:117.65pt;z-index:-16769804;width:236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46.7pt;margin-top:117.65pt;z-index:-16769800;width:177.6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22.35pt;margin-top:117.65pt;z-index:-16769796;width:176.9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12.7pt;margin-top:134pt;z-index:-16769792;width:236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246.7pt;margin-top:134pt;z-index:-16769788;width:177.6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22.35pt;margin-top:134pt;z-index:-16769784;width:176.9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12.7pt;margin-top:150.35pt;z-index:-16769780;width:236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246.7pt;margin-top:150.35pt;z-index:-16769776;width:177.6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22.35pt;margin-top:150.35pt;z-index:-16769772;width:176.9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22.35pt;margin-top:166.7pt;z-index:-16769768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246.7pt;margin-top:166.7pt;z-index:-16769764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12.7pt;margin-top:166.7pt;z-index:-1676976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22.35pt;margin-top:150.35pt;z-index:-16769756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246.7pt;margin-top:150.35pt;z-index:-16769752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12.7pt;margin-top:150.35pt;z-index:-16769748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22.35pt;margin-top:134pt;z-index:-16769744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246.7pt;margin-top:134pt;z-index:-16769740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12.7pt;margin-top:134pt;z-index:-16769736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22.35pt;margin-top:117.65pt;z-index:-16769732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246.7pt;margin-top:117.65pt;z-index:-16769728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12.7pt;margin-top:117.65pt;z-index:-16769724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12.7pt;margin-top:569.25pt;z-index:-167697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</w:p>
    <w:p>
      <w:pPr>
        <w:pStyle w:val="Normal"/>
        <w:framePr w:w="1631" w:hAnchor="page" w:vAnchor="page" w:x="274" w:y="100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76  TechnipFMC</w:t>
      </w:r>
    </w:p>
    <w:p>
      <w:pPr>
        <w:pStyle w:val="Normal"/>
        <w:framePr w:w="2100" w:hAnchor="page" w:vAnchor="page" w:x="10386" w:y="96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>Continued overleaf &gt;</w:t>
      </w:r>
    </w:p>
    <w:p>
      <w:pPr>
        <w:pStyle w:val="Normal"/>
        <w:framePr w:w="648" w:hAnchor="page" w:vAnchor="page" w:x="2147" w:y="91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NEO</w:t>
      </w:r>
    </w:p>
    <w:p>
      <w:pPr>
        <w:pStyle w:val="Normal"/>
        <w:framePr w:w="2720" w:hAnchor="page" w:vAnchor="page" w:x="2147" w:y="89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Mr. Melin is the only eligible</w:t>
      </w:r>
    </w:p>
    <w:p>
      <w:pPr>
        <w:pStyle w:val="Normal"/>
        <w:framePr w:w="7534" w:hAnchor="page" w:vAnchor="page" w:x="4479" w:y="90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Benefit accruals frozen for non-union employees effective December 31, 2017</w:t>
      </w:r>
    </w:p>
    <w:p>
      <w:pPr>
        <w:pStyle w:val="Normal"/>
        <w:framePr w:w="887" w:hAnchor="page" w:vAnchor="page" w:x="2147" w:y="86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1, 2010</w:t>
      </w:r>
    </w:p>
    <w:p>
      <w:pPr>
        <w:pStyle w:val="Normal"/>
        <w:framePr w:w="6865" w:hAnchor="page" w:vAnchor="page" w:x="4707" w:y="86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(base salary and annual cash incentive) in the final 120 months of service</w:t>
      </w:r>
    </w:p>
    <w:p>
      <w:pPr>
        <w:pStyle w:val="Normal"/>
        <w:framePr w:w="2561" w:hAnchor="page" w:vAnchor="page" w:x="2147" w:y="84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of service prior to January</w:t>
      </w:r>
    </w:p>
    <w:p>
      <w:pPr>
        <w:pStyle w:val="Normal"/>
        <w:framePr w:w="8856" w:hAnchor="page" w:vAnchor="page" w:x="4479" w:y="84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Pension based on final average pay, calculated as the highest 60 consecutive months of pay</w:t>
      </w:r>
    </w:p>
    <w:p>
      <w:pPr>
        <w:pStyle w:val="Normal"/>
        <w:framePr w:w="2777" w:hAnchor="page" w:vAnchor="page" w:x="2147" w:y="82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Technologies with five years</w:t>
      </w:r>
    </w:p>
    <w:p>
      <w:pPr>
        <w:pStyle w:val="Normal"/>
        <w:framePr w:w="1946" w:hAnchor="page" w:vAnchor="page" w:x="368" w:y="80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U.S. Pension Plan</w:t>
      </w:r>
    </w:p>
    <w:p>
      <w:pPr>
        <w:pStyle w:val="Normal"/>
        <w:framePr w:w="2378" w:hAnchor="page" w:vAnchor="page" w:x="2147" w:y="80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U.S. employees of FMC</w:t>
      </w:r>
    </w:p>
    <w:p>
      <w:pPr>
        <w:pStyle w:val="Normal"/>
        <w:framePr w:w="3607" w:hAnchor="page" w:vAnchor="page" w:x="4479" w:y="80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 tax-qualified defined benefit plan</w:t>
      </w:r>
    </w:p>
    <w:p>
      <w:pPr>
        <w:pStyle w:val="Normal"/>
        <w:framePr w:w="7433" w:hAnchor="page" w:vAnchor="page" w:x="4707" w:y="76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Company; provided, however, that there is a six-month delay for key employees</w:t>
      </w:r>
    </w:p>
    <w:p>
      <w:pPr>
        <w:pStyle w:val="Normal"/>
        <w:framePr w:w="8536" w:hAnchor="page" w:vAnchor="page" w:x="4479" w:y="74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All vested funds must be distributed upon an employee’s separation from service with the</w:t>
      </w:r>
    </w:p>
    <w:p>
      <w:pPr>
        <w:pStyle w:val="Normal"/>
        <w:framePr w:w="1638" w:hAnchor="page" w:vAnchor="page" w:x="4707" w:y="70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years of service</w:t>
      </w:r>
    </w:p>
    <w:p>
      <w:pPr>
        <w:pStyle w:val="Normal"/>
        <w:framePr w:w="8901" w:hAnchor="page" w:vAnchor="page" w:x="4479" w:y="68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Employees receive an additional 2% non-elective Company contribution that vests after three</w:t>
      </w:r>
    </w:p>
    <w:p>
      <w:pPr>
        <w:pStyle w:val="Normal"/>
        <w:framePr w:w="7523" w:hAnchor="page" w:vAnchor="page" w:x="4479" w:y="64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Participants are 100% vested in their contributions and matching contributions</w:t>
      </w:r>
    </w:p>
    <w:p>
      <w:pPr>
        <w:pStyle w:val="Normal"/>
        <w:framePr w:w="6202" w:hAnchor="page" w:vAnchor="page" w:x="4479" w:y="60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Company matches 100% of the first 5% of eligible contributions</w:t>
      </w:r>
    </w:p>
    <w:p>
      <w:pPr>
        <w:pStyle w:val="Normal"/>
        <w:framePr w:w="2868" w:hAnchor="page" w:vAnchor="page" w:x="4707" w:y="56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incentives) on a pre-tax basis</w:t>
      </w:r>
    </w:p>
    <w:p>
      <w:pPr>
        <w:pStyle w:val="Normal"/>
        <w:framePr w:w="8331" w:hAnchor="page" w:vAnchor="page" w:x="4479" w:y="54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Participants can contribute up to 75% of their eligible compensation (salary and eligible</w:t>
      </w:r>
    </w:p>
    <w:p>
      <w:pPr>
        <w:pStyle w:val="Normal"/>
        <w:framePr w:w="5336" w:hAnchor="page" w:vAnchor="page" w:x="4479" w:y="50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Terms mirror those of the U.S. Qualified Savings Plan</w:t>
      </w:r>
    </w:p>
    <w:p>
      <w:pPr>
        <w:pStyle w:val="Normal"/>
        <w:framePr w:w="8242" w:hAnchor="page" w:vAnchor="page" w:x="4707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percentage of eligible earnings from the Company regardless of their compensation level</w:t>
      </w:r>
    </w:p>
    <w:p>
      <w:pPr>
        <w:pStyle w:val="Normal"/>
        <w:framePr w:w="8024" w:hAnchor="page" w:vAnchor="page" w:x="4479" w:y="44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Intent of the plan is to ensure eligible employees receive the same contribution as a</w:t>
      </w:r>
    </w:p>
    <w:p>
      <w:pPr>
        <w:pStyle w:val="Normal"/>
        <w:framePr w:w="2538" w:hAnchor="page" w:vAnchor="page" w:x="2147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All U.S. NEOs are eligible</w:t>
      </w:r>
    </w:p>
    <w:p>
      <w:pPr>
        <w:pStyle w:val="Normal"/>
        <w:framePr w:w="2561" w:hAnchor="page" w:vAnchor="page" w:x="4707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for the plan to be qualified</w:t>
      </w:r>
    </w:p>
    <w:p>
      <w:pPr>
        <w:pStyle w:val="Normal"/>
        <w:framePr w:w="1479" w:hAnchor="page" w:vAnchor="page" w:x="368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Savings Plan</w:t>
      </w:r>
    </w:p>
    <w:p>
      <w:pPr>
        <w:pStyle w:val="Normal"/>
        <w:framePr w:w="2504" w:hAnchor="page" w:vAnchor="page" w:x="2147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eligible senior employees</w:t>
      </w:r>
    </w:p>
    <w:p>
      <w:pPr>
        <w:pStyle w:val="Normal"/>
        <w:framePr w:w="8743" w:hAnchor="page" w:vAnchor="page" w:x="4707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U.S. Qualified Savings Plan on annual compensation that exceeds the maximum limit required</w:t>
      </w:r>
    </w:p>
    <w:p>
      <w:pPr>
        <w:pStyle w:val="Normal"/>
        <w:framePr w:w="2002" w:hAnchor="page" w:vAnchor="page" w:x="368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U.S. Non-Qualified</w:t>
      </w:r>
    </w:p>
    <w:p>
      <w:pPr>
        <w:pStyle w:val="Normal"/>
        <w:framePr w:w="2550" w:hAnchor="page" w:vAnchor="page" w:x="2147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U.S. executives and other</w:t>
      </w:r>
    </w:p>
    <w:p>
      <w:pPr>
        <w:pStyle w:val="Normal"/>
        <w:framePr w:w="8684" w:hAnchor="page" w:vAnchor="page" w:x="4479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Company contributes an amount equal to any missed Company contribution under the</w:t>
      </w:r>
    </w:p>
    <w:p>
      <w:pPr>
        <w:pStyle w:val="Normal"/>
        <w:framePr w:w="7992" w:hAnchor="page" w:vAnchor="page" w:x="4707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Company contributes 5% of such excess to the employee’s non-qualified savings plan</w:t>
      </w:r>
    </w:p>
    <w:p>
      <w:pPr>
        <w:pStyle w:val="Normal"/>
        <w:framePr w:w="8377" w:hAnchor="page" w:vAnchor="page" w:x="4479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For annual compensation that exceeds the limit required for the plan to be qualified, the</w:t>
      </w:r>
    </w:p>
    <w:p>
      <w:pPr>
        <w:pStyle w:val="Normal"/>
        <w:framePr w:w="1638" w:hAnchor="page" w:vAnchor="page" w:x="4707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years of service</w:t>
      </w:r>
    </w:p>
    <w:p>
      <w:pPr>
        <w:pStyle w:val="Normal"/>
        <w:framePr w:w="8901" w:hAnchor="page" w:vAnchor="page" w:x="4479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Employees receive an additional 2% non-elective Company contribution that vests after three</w:t>
      </w:r>
    </w:p>
    <w:p>
      <w:pPr>
        <w:pStyle w:val="Normal"/>
        <w:framePr w:w="7523" w:hAnchor="page" w:vAnchor="page" w:x="4479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Participants are 100% vested in their contributions and matching contributions</w:t>
      </w:r>
    </w:p>
    <w:p>
      <w:pPr>
        <w:pStyle w:val="Normal"/>
        <w:framePr w:w="2538" w:hAnchor="page" w:vAnchor="page" w:x="2147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All U.S. NEOs are eligible</w:t>
      </w:r>
    </w:p>
    <w:p>
      <w:pPr>
        <w:pStyle w:val="Normal"/>
        <w:framePr w:w="6202" w:hAnchor="page" w:vAnchor="page" w:x="4479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Company matches 100% of the first 5% of eligible contributions</w:t>
      </w:r>
    </w:p>
    <w:p>
      <w:pPr>
        <w:pStyle w:val="Normal"/>
        <w:framePr w:w="1479" w:hAnchor="page" w:vAnchor="page" w:x="368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Savings Plan</w:t>
      </w:r>
    </w:p>
    <w:p>
      <w:pPr>
        <w:pStyle w:val="Normal"/>
        <w:framePr w:w="2686" w:hAnchor="page" w:vAnchor="page" w:x="2147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more than 30 hours a week</w:t>
      </w:r>
    </w:p>
    <w:p>
      <w:pPr>
        <w:pStyle w:val="Normal"/>
        <w:framePr w:w="7673" w:hAnchor="page" w:vAnchor="page" w:x="4707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incentives) on a pre- and after-tax basis up to statutory limits for tax qualified plans</w:t>
      </w:r>
    </w:p>
    <w:p>
      <w:pPr>
        <w:pStyle w:val="Normal"/>
        <w:framePr w:w="1536" w:hAnchor="page" w:vAnchor="page" w:x="368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U.S. Qualified</w:t>
      </w:r>
    </w:p>
    <w:p>
      <w:pPr>
        <w:pStyle w:val="Normal"/>
        <w:framePr w:w="2413" w:hAnchor="page" w:vAnchor="page" w:x="2147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U.S. employees working</w:t>
      </w:r>
    </w:p>
    <w:p>
      <w:pPr>
        <w:pStyle w:val="Normal"/>
        <w:framePr w:w="8890" w:hAnchor="page" w:vAnchor="page" w:x="4479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Employees can contribute between 1% and 75% of eligible compensation (salary and eligible</w:t>
      </w:r>
    </w:p>
    <w:p>
      <w:pPr>
        <w:pStyle w:val="Normal"/>
        <w:framePr w:w="637" w:hAnchor="page" w:vAnchor="page" w:x="368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Plan</w:t>
      </w:r>
    </w:p>
    <w:p>
      <w:pPr>
        <w:pStyle w:val="Normal"/>
        <w:framePr w:w="1115" w:hAnchor="page" w:vAnchor="page" w:x="2147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Eligibility</w:t>
      </w:r>
    </w:p>
    <w:p>
      <w:pPr>
        <w:pStyle w:val="Normal"/>
        <w:framePr w:w="1058" w:hAnchor="page" w:vAnchor="page" w:x="4479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Features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7pt;margin-top:1pt;z-index:-1676971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12.7pt;margin-top:46.5pt;z-index:-16769712;width:90.2pt;height:1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100.9pt;margin-top:46.5pt;z-index:-16769708;width:118.65pt;height:1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217.5pt;margin-top:46.5pt;z-index:-16769704;width:381.8pt;height:1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12.7pt;margin-top:175.25pt;z-index:-16769700;width:90.2pt;height:22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100.9pt;margin-top:175.25pt;z-index:-16769696;width:118.65pt;height:22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217.5pt;margin-top:175.25pt;z-index:-16769692;width:381.8pt;height:22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12.7pt;margin-top:393.6pt;z-index:-16769688;width:90.2pt;height:79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100.9pt;margin-top:393.6pt;z-index:-16769684;width:118.65pt;height:79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217.5pt;margin-top:393.6pt;z-index:-16769680;width:381.8pt;height:79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12.7pt;margin-top:28.05pt;z-index:-16769676;width:90.2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100.9pt;margin-top:28.05pt;z-index:-16769672;width:118.6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217.5pt;margin-top:28.05pt;z-index:-16769668;width:381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217.5pt;margin-top:471.1pt;z-index:-16769664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100.9pt;margin-top:471.1pt;z-index:-16769660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217.5pt;margin-top:393.6pt;z-index:-16769656;width:2.7pt;height:8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12.7pt;margin-top:471.1pt;z-index:-16769652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100.9pt;margin-top:393.6pt;z-index:-16769648;width:2.7pt;height:8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217.5pt;margin-top:393.6pt;z-index:-16769644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100.9pt;margin-top:393.6pt;z-index:-16769640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217.5pt;margin-top:175.25pt;z-index:-16769636;width:2.7pt;height:22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12.7pt;margin-top:393.6pt;z-index:-16769632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00.9pt;margin-top:175.25pt;z-index:-16769628;width:2.7pt;height:22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217.5pt;margin-top:175.25pt;z-index:-16769624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00.9pt;margin-top:175.25pt;z-index:-16769620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17.5pt;margin-top:46.5pt;z-index:-16769616;width:2.7pt;height:131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12.7pt;margin-top:175.25pt;z-index:-16769612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100.9pt;margin-top:46.5pt;z-index:-16769608;width:2.7pt;height:131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217.5pt;margin-top:46.5pt;z-index:-16769604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100.9pt;margin-top:46.5pt;z-index:-16769600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217.5pt;margin-top:28.05pt;z-index:-16769596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12.7pt;margin-top:46.5pt;z-index:-16769592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100.9pt;margin-top:28.05pt;z-index:-16769588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12.7pt;margin-top:516.65pt;z-index:-1676958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</w:p>
    <w:p>
      <w:pPr>
        <w:pStyle w:val="Normal"/>
        <w:framePr w:w="1631" w:hAnchor="page" w:vAnchor="page" w:x="274" w:y="59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77  TechnipFMC</w:t>
      </w:r>
    </w:p>
    <w:p>
      <w:pPr>
        <w:pStyle w:val="Normal"/>
        <w:framePr w:w="3642" w:hAnchor="page" w:vAnchor="page" w:x="274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in the Summary Compensation Table.</w:t>
      </w:r>
    </w:p>
    <w:p>
      <w:pPr>
        <w:pStyle w:val="Normal"/>
        <w:framePr w:w="14101" w:hAnchor="page" w:vAnchor="page" w:x="274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expenses for the benefit of the Company. However, in accordance with SEC disclosure rules, the aggregate incremental cost of these services is reported</w:t>
      </w:r>
    </w:p>
    <w:p>
      <w:pPr>
        <w:pStyle w:val="Normal"/>
        <w:framePr w:w="13780" w:hAnchor="page" w:vAnchor="page" w:x="274" w:y="45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consultant. We do not consider the security measures provided to our executive officers to be a personal benefit, but rather reasonable and necessary</w:t>
      </w:r>
    </w:p>
    <w:p>
      <w:pPr>
        <w:pStyle w:val="Normal"/>
        <w:framePr w:w="13760" w:hAnchor="page" w:vAnchor="page" w:x="274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of the Company. The security program was developed based on a risk assessment determined to be appropriate by our security team and an external</w:t>
      </w:r>
    </w:p>
    <w:p>
      <w:pPr>
        <w:pStyle w:val="Normal"/>
        <w:framePr w:w="14082" w:hAnchor="page" w:vAnchor="page" w:x="274" w:y="41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Talent Committee believes this is in the best interests of shareholders as the personal safety and security of our executive officers is critical to the stability</w:t>
      </w:r>
    </w:p>
    <w:p>
      <w:pPr>
        <w:pStyle w:val="Normal"/>
        <w:framePr w:w="13808" w:hAnchor="page" w:vAnchor="page" w:x="274" w:y="39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Reflecting the safety concerns associated with their roles, the Company provides a security program for our executive officers. The Compensation and</w:t>
      </w:r>
    </w:p>
    <w:p>
      <w:pPr>
        <w:pStyle w:val="Normal"/>
        <w:framePr w:w="11442" w:hAnchor="page" w:vAnchor="page" w:x="274" w:y="3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such imputed income. Additional allowances or benefits may be granted to NEOs, if considered appropriate and reasonable.</w:t>
      </w:r>
    </w:p>
    <w:p>
      <w:pPr>
        <w:pStyle w:val="Normal"/>
        <w:framePr w:w="14128" w:hAnchor="page" w:vAnchor="page" w:x="274" w:y="33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responsibilities. The value of perquisites deemed to be personal is imputed as income to an executive officer, and we do not gross up for the taxes due on</w:t>
      </w:r>
    </w:p>
    <w:p>
      <w:pPr>
        <w:pStyle w:val="Normal"/>
        <w:framePr w:w="13865" w:hAnchor="page" w:vAnchor="page" w:x="274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dining club memberships and country club memberships, car allowances, executive physicals and other minor expenses associated with their business</w:t>
      </w:r>
    </w:p>
    <w:p>
      <w:pPr>
        <w:pStyle w:val="Normal"/>
        <w:framePr w:w="14196" w:hAnchor="page" w:vAnchor="page" w:x="274" w:y="29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package. The perquisites we provide to our executives may include financial planning and personal tax assistance, personal use of Company automobiles,</w:t>
      </w:r>
    </w:p>
    <w:p>
      <w:pPr>
        <w:pStyle w:val="Normal"/>
        <w:framePr w:w="13387" w:hAnchor="page" w:vAnchor="page" w:x="274" w:y="27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Company also provides limited perquisites to NEOs, facilitating the performance of their roles and to ensure a competitive total compensation</w:t>
      </w:r>
    </w:p>
    <w:p>
      <w:pPr>
        <w:pStyle w:val="Normal"/>
        <w:framePr w:w="1308" w:hAnchor="page" w:vAnchor="page" w:x="274" w:y="26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Perquisites</w:t>
      </w:r>
    </w:p>
    <w:p>
      <w:pPr>
        <w:pStyle w:val="Normal"/>
        <w:framePr w:w="648" w:hAnchor="page" w:vAnchor="page" w:x="2147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NEO</w:t>
      </w:r>
    </w:p>
    <w:p>
      <w:pPr>
        <w:pStyle w:val="Normal"/>
        <w:framePr w:w="7534" w:hAnchor="page" w:vAnchor="page" w:x="4479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Benefit accruals frozen for non-union employees effective December 31, 2017</w:t>
      </w:r>
    </w:p>
    <w:p>
      <w:pPr>
        <w:pStyle w:val="Normal"/>
        <w:framePr w:w="2720" w:hAnchor="page" w:vAnchor="page" w:x="2147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b3c42"/>
          <w:w w:val="100"/>
          <w:sz w:val="17"/>
          <w:szCs w:val="17"/>
        </w:rPr>
        <w:t>Mr. Melin is the only eligible</w:t>
      </w:r>
    </w:p>
    <w:p>
      <w:pPr>
        <w:pStyle w:val="Normal"/>
        <w:framePr w:w="694" w:hAnchor="page" w:vAnchor="page" w:x="4707" w:y="16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plans</w:t>
      </w:r>
    </w:p>
    <w:p>
      <w:pPr>
        <w:pStyle w:val="Normal"/>
        <w:framePr w:w="1673" w:hAnchor="page" w:vAnchor="page" w:x="2147" w:y="14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January 1, 2010</w:t>
      </w:r>
    </w:p>
    <w:p>
      <w:pPr>
        <w:pStyle w:val="Normal"/>
        <w:framePr w:w="8709" w:hAnchor="page" w:vAnchor="page" w:x="4707" w:y="14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Qualified Savings Plan) in the final 120 months of service up to statutory limits for tax qualified</w:t>
      </w:r>
    </w:p>
    <w:p>
      <w:pPr>
        <w:pStyle w:val="Normal"/>
        <w:framePr w:w="2333" w:hAnchor="page" w:vAnchor="page" w:x="2147" w:y="12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years of service prior to</w:t>
      </w:r>
    </w:p>
    <w:p>
      <w:pPr>
        <w:pStyle w:val="Normal"/>
        <w:framePr w:w="8117" w:hAnchor="page" w:vAnchor="page" w:x="4707" w:y="12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(base salary, annual cash incentive, and employee contributions made to the U.S. Non-</w:t>
      </w:r>
    </w:p>
    <w:p>
      <w:pPr>
        <w:pStyle w:val="Normal"/>
        <w:framePr w:w="2720" w:hAnchor="page" w:vAnchor="page" w:x="2147" w:y="10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FMC Technologies with five</w:t>
      </w:r>
    </w:p>
    <w:p>
      <w:pPr>
        <w:pStyle w:val="Normal"/>
        <w:framePr w:w="8856" w:hAnchor="page" w:vAnchor="page" w:x="4479" w:y="10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Pension based on final average pay, calculated as the highest 60 consecutive months of pay</w:t>
      </w:r>
    </w:p>
    <w:p>
      <w:pPr>
        <w:pStyle w:val="Normal"/>
        <w:framePr w:w="1490" w:hAnchor="page" w:vAnchor="page" w:x="368" w:y="8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Pension Plan</w:t>
      </w:r>
    </w:p>
    <w:p>
      <w:pPr>
        <w:pStyle w:val="Normal"/>
        <w:framePr w:w="2732" w:hAnchor="page" w:vAnchor="page" w:x="2147" w:y="8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eligible senior employees of</w:t>
      </w:r>
    </w:p>
    <w:p>
      <w:pPr>
        <w:pStyle w:val="Normal"/>
        <w:framePr w:w="2002" w:hAnchor="page" w:vAnchor="page" w:x="368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U.S. Non-Qualified</w:t>
      </w:r>
    </w:p>
    <w:p>
      <w:pPr>
        <w:pStyle w:val="Normal"/>
        <w:framePr w:w="2550" w:hAnchor="page" w:vAnchor="page" w:x="2147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U.S. executives and other</w:t>
      </w:r>
    </w:p>
    <w:p>
      <w:pPr>
        <w:pStyle w:val="Normal"/>
        <w:framePr w:w="4450" w:hAnchor="page" w:vAnchor="page" w:x="4479" w:y="6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 non-qualified defined benefit pension plan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7pt;margin-top:1pt;z-index:-1676958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12.7pt;margin-top:28pt;z-index:-16769576;width:90.2pt;height:90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100.9pt;margin-top:28pt;z-index:-16769572;width:118.65pt;height:90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217.5pt;margin-top:28pt;z-index:-16769568;width:381.8pt;height:90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217.5pt;margin-top:116.2pt;z-index:-16769564;width:38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100.9pt;margin-top:116.2pt;z-index:-16769560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217.5pt;margin-top:28pt;z-index:-16769556;width:2.7pt;height:9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12.7pt;margin-top:116.2pt;z-index:-16769552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100.9pt;margin-top:28pt;z-index:-16769548;width:2.7pt;height:9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12.7pt;margin-top:315.35pt;z-index:-167695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</w:p>
    <w:p>
      <w:pPr>
        <w:pStyle w:val="Normal"/>
        <w:framePr w:w="1631" w:hAnchor="page" w:vAnchor="page" w:x="274" w:y="553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78  TechnipFMC</w:t>
      </w:r>
    </w:p>
    <w:p>
      <w:pPr>
        <w:pStyle w:val="Normal"/>
        <w:framePr w:w="10666" w:hAnchor="page" w:vAnchor="page" w:x="274" w:y="45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termination for cause. The material terms of the Executive Severance Agreements are described in the chart below.</w:t>
      </w:r>
    </w:p>
    <w:p>
      <w:pPr>
        <w:pStyle w:val="Normal"/>
        <w:framePr w:w="13977" w:hAnchor="page" w:vAnchor="page" w:x="274" w:y="43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executives with the assurance that they will not be adversely affected by a change-in-control transaction without fair compensation, except in the case of</w:t>
      </w:r>
    </w:p>
    <w:p>
      <w:pPr>
        <w:pStyle w:val="Normal"/>
        <w:framePr w:w="13912" w:hAnchor="page" w:vAnchor="page" w:x="274" w:y="41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order to ensure we have the ability to maintain continuity of management. The Compensation and Talent Committee believes it is appropriate to provide</w:t>
      </w:r>
    </w:p>
    <w:p>
      <w:pPr>
        <w:pStyle w:val="Normal"/>
        <w:framePr w:w="13612" w:hAnchor="page" w:vAnchor="page" w:x="274" w:y="39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incentivized to continue to work in the Company’s best interests during the period of time when a change-in-control transaction is taking place and in</w:t>
      </w:r>
    </w:p>
    <w:p>
      <w:pPr>
        <w:pStyle w:val="Normal"/>
        <w:framePr w:w="13522" w:hAnchor="page" w:vAnchor="page" w:x="274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qualifying termination in connection with a change-in-control event. We entered into the Executive Severance Agreements to ensure executives are</w:t>
      </w:r>
    </w:p>
    <w:p>
      <w:pPr>
        <w:pStyle w:val="Normal"/>
        <w:framePr w:w="13377" w:hAnchor="page" w:vAnchor="page" w:x="274" w:y="35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Each of our NEOs is party to an Executive Severance Agreement, pursuant to which he or she is entitled to enhanced severance in the event of a</w:t>
      </w:r>
    </w:p>
    <w:p>
      <w:pPr>
        <w:pStyle w:val="Normal"/>
        <w:framePr w:w="1980" w:hAnchor="page" w:vAnchor="page" w:x="274" w:y="31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severance benefits.</w:t>
      </w:r>
    </w:p>
    <w:p>
      <w:pPr>
        <w:pStyle w:val="Normal"/>
        <w:framePr w:w="13378" w:hAnchor="page" w:vAnchor="page" w:x="274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another, and in no circumstance would any NEO receive benefits under both a change-in-control severance agreement and our general executive</w:t>
      </w:r>
    </w:p>
    <w:p>
      <w:pPr>
        <w:pStyle w:val="Normal"/>
        <w:framePr w:w="13321" w:hAnchor="page" w:vAnchor="page" w:x="274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by our compensation consultant. Change-in-control severance benefits, as described below, and general severance benefits are exclusive of one</w:t>
      </w:r>
    </w:p>
    <w:p>
      <w:pPr>
        <w:pStyle w:val="Normal"/>
        <w:framePr w:w="14003" w:hAnchor="page" w:vAnchor="page" w:x="274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described in the chart below. Our general executive severance arrangements are consistent with the market practice of large public companies surveyed</w:t>
      </w:r>
    </w:p>
    <w:p>
      <w:pPr>
        <w:pStyle w:val="Normal"/>
        <w:framePr w:w="13577" w:hAnchor="page" w:vAnchor="page" w:x="274" w:y="23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Our executive officers, including our NEOs, are entitled to severance benefits outside of a change-in-control context, the material terms of which are</w:t>
      </w:r>
    </w:p>
    <w:p>
      <w:pPr>
        <w:pStyle w:val="Normal"/>
        <w:framePr w:w="1684" w:hAnchor="page" w:vAnchor="page" w:x="274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talent.</w:t>
      </w:r>
    </w:p>
    <w:p>
      <w:pPr>
        <w:pStyle w:val="Normal"/>
        <w:framePr w:w="14221" w:hAnchor="page" w:vAnchor="page" w:x="274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 officers  in  the  event  of  involuntary  job  loss,  are  consistent  with  the  practices  of  peer  companies,  and  are  appropriate  for  the  retention  of</w:t>
      </w:r>
    </w:p>
    <w:p>
      <w:pPr>
        <w:pStyle w:val="Normal"/>
        <w:framePr w:w="14229" w:hAnchor="page" w:vAnchor="page" w:x="274" w:y="15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It is our policy to offer severance benefits to our executive officers because we believe that severance benefits provide important financial protection to</w:t>
      </w:r>
    </w:p>
    <w:p>
      <w:pPr>
        <w:pStyle w:val="Normal"/>
        <w:framePr w:w="4118" w:hAnchor="page" w:vAnchor="page" w:x="274" w:y="1256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  <w:t>Executive Severance Benefits</w:t>
      </w:r>
    </w:p>
    <w:p>
      <w:pPr>
        <w:pStyle w:val="Normal"/>
        <w:framePr w:w="10328" w:hAnchor="page" w:vAnchor="page" w:x="274" w:y="602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b1f67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b1f67"/>
          <w:w w:val="100"/>
          <w:sz w:val="40"/>
          <w:szCs w:val="40"/>
        </w:rPr>
        <w:t>Other Compensation, Benefits, and Considerations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7pt;margin-top:1pt;z-index:-1676954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12.7pt;margin-top:292.6pt;z-index:-1676953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</w:p>
    <w:p>
      <w:pPr>
        <w:pStyle w:val="Normal"/>
        <w:framePr w:w="1631" w:hAnchor="page" w:vAnchor="page" w:x="274" w:y="100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79  TechnipFMC</w:t>
      </w:r>
    </w:p>
    <w:p>
      <w:pPr>
        <w:pStyle w:val="Normal"/>
        <w:framePr w:w="9207" w:hAnchor="page" w:vAnchor="page" w:x="2147" w:y="93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“Best-after-tax” cutback for 280G excise tax calculations, with no tax gross-ups on any payments</w:t>
      </w:r>
    </w:p>
    <w:p>
      <w:pPr>
        <w:pStyle w:val="Normal"/>
        <w:framePr w:w="10017" w:hAnchor="page" w:vAnchor="page" w:x="2147" w:y="89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Accelerated vesting of all granted and outstanding equity awards, with outstanding PSUs vesting at target</w:t>
      </w:r>
    </w:p>
    <w:p>
      <w:pPr>
        <w:pStyle w:val="Normal"/>
        <w:framePr w:w="4278" w:hAnchor="page" w:vAnchor="page" w:x="2147" w:y="85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Up to $50,000 in outplacement assistance</w:t>
      </w:r>
    </w:p>
    <w:p>
      <w:pPr>
        <w:pStyle w:val="Normal"/>
        <w:framePr w:w="8776" w:hAnchor="page" w:vAnchor="page" w:x="2147" w:y="81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Amount equal to the premiums payable for health and welfare coverage for 24 to 36 months</w:t>
      </w:r>
    </w:p>
    <w:p>
      <w:pPr>
        <w:pStyle w:val="Normal"/>
        <w:framePr w:w="6316" w:hAnchor="page" w:vAnchor="page" w:x="2147" w:y="77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Pro-rated target annual cash incentive for the year of termination</w:t>
      </w:r>
    </w:p>
    <w:p>
      <w:pPr>
        <w:pStyle w:val="Normal"/>
        <w:framePr w:w="9813" w:hAnchor="page" w:vAnchor="page" w:x="2374" w:y="73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years prior to termination or his or her target annual cash incentive for the year the executive is terminated</w:t>
      </w:r>
    </w:p>
    <w:p>
      <w:pPr>
        <w:pStyle w:val="Normal"/>
        <w:framePr w:w="11453" w:hAnchor="page" w:vAnchor="page" w:x="2374" w:y="71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the date of termination and two to three times the greater of his or her average actual annual cash incentive paid in the three</w:t>
      </w:r>
    </w:p>
    <w:p>
      <w:pPr>
        <w:pStyle w:val="Normal"/>
        <w:framePr w:w="739" w:hAnchor="page" w:vAnchor="page" w:x="368" w:y="69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event</w:t>
      </w:r>
    </w:p>
    <w:p>
      <w:pPr>
        <w:pStyle w:val="Normal"/>
        <w:framePr w:w="11789" w:hAnchor="page" w:vAnchor="page" w:x="2147" w:y="69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Cash severance equal to two to three times the greater of the executive’s annual base salary on the date of the agreement or</w:t>
      </w:r>
    </w:p>
    <w:p>
      <w:pPr>
        <w:pStyle w:val="Normal"/>
        <w:framePr w:w="1934" w:hAnchor="page" w:vAnchor="page" w:x="368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change-in-control</w:t>
      </w:r>
    </w:p>
    <w:p>
      <w:pPr>
        <w:pStyle w:val="Normal"/>
        <w:framePr w:w="1274" w:hAnchor="page" w:vAnchor="page" w:x="368" w:y="65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following a</w:t>
      </w:r>
    </w:p>
    <w:p>
      <w:pPr>
        <w:pStyle w:val="Normal"/>
        <w:framePr w:w="2379" w:hAnchor="page" w:vAnchor="page" w:x="2374" w:y="65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location of employment)</w:t>
      </w:r>
    </w:p>
    <w:p>
      <w:pPr>
        <w:pStyle w:val="Normal"/>
        <w:framePr w:w="1433" w:hAnchor="page" w:vAnchor="page" w:x="368" w:y="63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good reason</w:t>
      </w:r>
    </w:p>
    <w:p>
      <w:pPr>
        <w:pStyle w:val="Normal"/>
        <w:framePr w:w="10940" w:hAnchor="page" w:vAnchor="page" w:x="2374" w:y="63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good reason (e.g., material change in responsibilities, material reduction in salary and/or benefits, significant change in</w:t>
      </w:r>
    </w:p>
    <w:p>
      <w:pPr>
        <w:pStyle w:val="Normal"/>
        <w:framePr w:w="1638" w:hAnchor="page" w:vAnchor="page" w:x="368" w:y="61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resignation for</w:t>
      </w:r>
    </w:p>
    <w:p>
      <w:pPr>
        <w:pStyle w:val="Normal"/>
        <w:framePr w:w="11712" w:hAnchor="page" w:vAnchor="page" w:x="2147" w:y="61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“Qualifying termination” defined as termination by the Company without cause, or if the executive terminates employment for</w:t>
      </w:r>
    </w:p>
    <w:p>
      <w:pPr>
        <w:pStyle w:val="Normal"/>
        <w:framePr w:w="1832" w:hAnchor="page" w:vAnchor="page" w:x="368" w:y="59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without cause or</w:t>
      </w:r>
    </w:p>
    <w:p>
      <w:pPr>
        <w:pStyle w:val="Normal"/>
        <w:framePr w:w="1319" w:hAnchor="page" w:vAnchor="page" w:x="368" w:y="57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termination</w:t>
      </w:r>
    </w:p>
    <w:p>
      <w:pPr>
        <w:pStyle w:val="Normal"/>
        <w:framePr w:w="876" w:hAnchor="page" w:vAnchor="page" w:x="2374" w:y="57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months</w:t>
      </w:r>
    </w:p>
    <w:p>
      <w:pPr>
        <w:pStyle w:val="Normal"/>
        <w:framePr w:w="1206" w:hAnchor="page" w:vAnchor="page" w:x="368" w:y="55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Qualifying</w:t>
      </w:r>
    </w:p>
    <w:p>
      <w:pPr>
        <w:pStyle w:val="Normal"/>
        <w:framePr w:w="11485" w:hAnchor="page" w:vAnchor="page" w:x="2147" w:y="55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Double trigger requirements, meaning a change-in-control event must occur, followed by a qualifying termination within 24</w:t>
      </w:r>
    </w:p>
    <w:p>
      <w:pPr>
        <w:pStyle w:val="Normal"/>
        <w:framePr w:w="1980" w:hAnchor="page" w:vAnchor="page" w:x="368" w:y="51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Death or disability</w:t>
      </w:r>
    </w:p>
    <w:p>
      <w:pPr>
        <w:pStyle w:val="Normal"/>
        <w:framePr w:w="10016" w:hAnchor="page" w:vAnchor="page" w:x="2147" w:y="51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Accelerated vesting of all granted and outstanding equity awards, with outstanding PSUs vesting at target</w:t>
      </w:r>
    </w:p>
    <w:p>
      <w:pPr>
        <w:pStyle w:val="Normal"/>
        <w:framePr w:w="11257" w:hAnchor="page" w:vAnchor="page" w:x="2147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Outstanding PSUs will remain subject to the original performance conditions, measured at the originally scheduled date</w:t>
      </w:r>
    </w:p>
    <w:p>
      <w:pPr>
        <w:pStyle w:val="Normal"/>
        <w:framePr w:w="1274" w:hAnchor="page" w:vAnchor="page" w:x="368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Retirement</w:t>
      </w:r>
    </w:p>
    <w:p>
      <w:pPr>
        <w:pStyle w:val="Normal"/>
        <w:framePr w:w="5770" w:hAnchor="page" w:vAnchor="page" w:x="2147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Outstanding equity settled on the originally scheduled date</w:t>
      </w:r>
    </w:p>
    <w:p>
      <w:pPr>
        <w:pStyle w:val="Normal"/>
        <w:framePr w:w="3629" w:hAnchor="page" w:vAnchor="page" w:x="2147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No tax gross-ups on any payments</w:t>
      </w:r>
    </w:p>
    <w:p>
      <w:pPr>
        <w:pStyle w:val="Normal"/>
        <w:framePr w:w="5713" w:hAnchor="page" w:vAnchor="page" w:x="2147" w:y="36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Equity treated pursuant to the terms of the applicable plan</w:t>
      </w:r>
    </w:p>
    <w:p>
      <w:pPr>
        <w:pStyle w:val="Normal"/>
        <w:framePr w:w="10233" w:hAnchor="page" w:vAnchor="page" w:x="2147" w:y="32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Severance benefits subject to compliance with non-disclosure, non-compete, and non-solicitation covenants</w:t>
      </w:r>
    </w:p>
    <w:p>
      <w:pPr>
        <w:pStyle w:val="Normal"/>
        <w:framePr w:w="8730" w:hAnchor="page" w:vAnchor="page" w:x="2147" w:y="28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Financial planning and tax preparation assistance for the final calendar year of employment</w:t>
      </w:r>
    </w:p>
    <w:p>
      <w:pPr>
        <w:pStyle w:val="Normal"/>
        <w:framePr w:w="4130" w:hAnchor="page" w:vAnchor="page" w:x="2147" w:y="24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Outplacement assistance as appropriate</w:t>
      </w:r>
    </w:p>
    <w:p>
      <w:pPr>
        <w:pStyle w:val="Normal"/>
        <w:framePr w:w="5360" w:hAnchor="page" w:vAnchor="page" w:x="2147" w:y="20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18 months of medical and dental benefits continuation</w:t>
      </w:r>
    </w:p>
    <w:p>
      <w:pPr>
        <w:pStyle w:val="Normal"/>
        <w:framePr w:w="6316" w:hAnchor="page" w:vAnchor="page" w:x="2147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Pro-rated target annual cash incentive for the year of termination</w:t>
      </w:r>
    </w:p>
    <w:p>
      <w:pPr>
        <w:pStyle w:val="Normal"/>
        <w:framePr w:w="1570" w:hAnchor="page" w:vAnchor="page" w:x="368" w:y="14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without cause</w:t>
      </w:r>
    </w:p>
    <w:p>
      <w:pPr>
        <w:pStyle w:val="Normal"/>
        <w:framePr w:w="1376" w:hAnchor="page" w:vAnchor="page" w:x="368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b3c42"/>
          <w:w w:val="100"/>
          <w:sz w:val="17"/>
          <w:szCs w:val="17"/>
        </w:rPr>
        <w:t>Termination</w:t>
      </w:r>
    </w:p>
    <w:p>
      <w:pPr>
        <w:pStyle w:val="Normal"/>
        <w:framePr w:w="8081" w:hAnchor="page" w:vAnchor="page" w:x="2147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Cash severance equal to 18 months of base salary and target annual cash incentive</w:t>
      </w:r>
    </w:p>
    <w:p>
      <w:pPr>
        <w:pStyle w:val="Normal"/>
        <w:framePr w:w="1069" w:hAnchor="page" w:vAnchor="page" w:x="368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Scenario</w:t>
      </w:r>
    </w:p>
    <w:p>
      <w:pPr>
        <w:pStyle w:val="Normal"/>
        <w:framePr w:w="1319" w:hAnchor="page" w:vAnchor="page" w:x="368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Separation </w:t>
      </w:r>
    </w:p>
    <w:p>
      <w:pPr>
        <w:pStyle w:val="Normal"/>
        <w:framePr w:w="10164" w:hAnchor="page" w:vAnchor="page" w:x="2147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Provisions under TechnipFMC Executive Severance Agreement or Relevant Equity Award Agreements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7pt;margin-top:1pt;z-index:-1676953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12.7pt;margin-top:26.6pt;z-index:-16769528;width:90.2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100.9pt;margin-top:26.6pt;z-index:-16769524;width:498.45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12.7pt;margin-top:26.6pt;z-index:-16769520;width:90.2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12.7pt;margin-top:55.05pt;z-index:-16769516;width:90.2pt;height:160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100.9pt;margin-top:55.05pt;z-index:-16769512;width:498.45pt;height:160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12.7pt;margin-top:213.65pt;z-index:-16769508;width:90.2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100.9pt;margin-top:213.65pt;z-index:-16769504;width:498.45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12.7pt;margin-top:252.8pt;z-index:-16769500;width:90.2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100.9pt;margin-top:252.8pt;z-index:-16769496;width:498.4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12.7pt;margin-top:272pt;z-index:-16769492;width:90.2pt;height:21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100.9pt;margin-top:272pt;z-index:-16769488;width:498.45pt;height:21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100.9pt;margin-top:480.35pt;z-index:-16769484;width:49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12.7pt;margin-top:480.35pt;z-index:-16769480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100.9pt;margin-top:272pt;z-index:-16769476;width:2.7pt;height:21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100.9pt;margin-top:272pt;z-index:-16769472;width:49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12.7pt;margin-top:272pt;z-index:-16769468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100.9pt;margin-top:252.75pt;z-index:-16769464;width:2.7pt;height:21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100.9pt;margin-top:252.75pt;z-index:-16769460;width:49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12.7pt;margin-top:252.75pt;z-index:-1676945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100.9pt;margin-top:213.65pt;z-index:-16769452;width:2.7pt;height:4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100.9pt;margin-top:213.65pt;z-index:-16769448;width:49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12.7pt;margin-top:213.65pt;z-index:-16769444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100.9pt;margin-top:55.05pt;z-index:-16769440;width:2.7pt;height:1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100.9pt;margin-top:55.05pt;z-index:-16769436;width:49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12.7pt;margin-top:55.05pt;z-index:-16769432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100.9pt;margin-top:26.6pt;z-index:-16769428;width:2.7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12.7pt;margin-top:518.75pt;z-index:-167694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</w:p>
    <w:p>
      <w:pPr>
        <w:pStyle w:val="Normal"/>
        <w:framePr w:w="1631" w:hAnchor="page" w:vAnchor="page" w:x="274" w:y="75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80  TechnipFMC</w:t>
      </w:r>
    </w:p>
    <w:p>
      <w:pPr>
        <w:pStyle w:val="Normal"/>
        <w:framePr w:w="4745" w:hAnchor="page" w:vAnchor="page" w:x="2474" w:y="68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Reduce or offset future incentive compensation</w:t>
      </w:r>
    </w:p>
    <w:p>
      <w:pPr>
        <w:pStyle w:val="Normal"/>
        <w:framePr w:w="1821" w:hAnchor="page" w:vAnchor="page" w:x="2701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payment received</w:t>
      </w:r>
    </w:p>
    <w:p>
      <w:pPr>
        <w:pStyle w:val="Normal"/>
        <w:framePr w:w="11276" w:hAnchor="page" w:vAnchor="page" w:x="2474" w:y="62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Clawback previously earned compensation by requiring the executive officer to repay the Company any gain realized or</w:t>
      </w:r>
    </w:p>
    <w:p>
      <w:pPr>
        <w:pStyle w:val="Normal"/>
        <w:framePr w:w="1114" w:hAnchor="page" w:vAnchor="page" w:x="368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Authority</w:t>
      </w:r>
    </w:p>
    <w:p>
      <w:pPr>
        <w:pStyle w:val="Normal"/>
        <w:framePr w:w="8400" w:hAnchor="page" w:vAnchor="page" w:x="2474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Cancel previously granted compensation in part or in whole, whether vested or deferred</w:t>
      </w:r>
    </w:p>
    <w:p>
      <w:pPr>
        <w:pStyle w:val="Normal"/>
        <w:framePr w:w="1923" w:hAnchor="page" w:vAnchor="page" w:x="368" w:y="56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Talent Committee</w:t>
      </w:r>
    </w:p>
    <w:p>
      <w:pPr>
        <w:pStyle w:val="Normal"/>
        <w:framePr w:w="2048" w:hAnchor="page" w:vAnchor="page" w:x="368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 and</w:t>
      </w:r>
    </w:p>
    <w:p>
      <w:pPr>
        <w:pStyle w:val="Normal"/>
        <w:framePr w:w="5075" w:hAnchor="page" w:vAnchor="page" w:x="2474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Determine whether a triggering event has occurred</w:t>
      </w:r>
    </w:p>
    <w:p>
      <w:pPr>
        <w:pStyle w:val="Normal"/>
        <w:framePr w:w="1718" w:hAnchor="page" w:vAnchor="page" w:x="2701" w:y="51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operating results</w:t>
      </w:r>
    </w:p>
    <w:p>
      <w:pPr>
        <w:pStyle w:val="Normal"/>
        <w:framePr w:w="11188" w:hAnchor="page" w:vAnchor="page" w:x="2474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Willful misconduct, including conduct that requires the Company to materially restate its quarterly or annual financial or</w:t>
      </w:r>
    </w:p>
    <w:p>
      <w:pPr>
        <w:pStyle w:val="Normal"/>
        <w:framePr w:w="2058" w:hAnchor="page" w:vAnchor="page" w:x="2474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Gross negligence</w:t>
      </w:r>
    </w:p>
    <w:p>
      <w:pPr>
        <w:pStyle w:val="Normal"/>
        <w:framePr w:w="1945" w:hAnchor="page" w:vAnchor="page" w:x="368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Triggering Events</w:t>
      </w:r>
    </w:p>
    <w:p>
      <w:pPr>
        <w:pStyle w:val="Normal"/>
        <w:framePr w:w="8092" w:hAnchor="page" w:vAnchor="page" w:x="2474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Illegal acts including fraud, material theft of Company assets, bribery, and corruption</w:t>
      </w:r>
    </w:p>
    <w:p>
      <w:pPr>
        <w:pStyle w:val="Normal"/>
        <w:framePr w:w="1750" w:hAnchor="page" w:vAnchor="page" w:x="2474" w:y="37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Equity awards</w:t>
      </w:r>
    </w:p>
    <w:p>
      <w:pPr>
        <w:pStyle w:val="Normal"/>
        <w:framePr w:w="5665" w:hAnchor="page" w:vAnchor="page" w:x="368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Covered Compensation    </w:t>
      </w: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Cash incentive compensation</w:t>
      </w:r>
    </w:p>
    <w:p>
      <w:pPr>
        <w:pStyle w:val="Normal"/>
        <w:framePr w:w="3686" w:hAnchor="page" w:vAnchor="page" w:x="2474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By definition, this includes all NEOs</w:t>
      </w:r>
    </w:p>
    <w:p>
      <w:pPr>
        <w:pStyle w:val="Normal"/>
        <w:framePr w:w="2162" w:hAnchor="page" w:vAnchor="page" w:x="368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Covered Employees</w:t>
      </w:r>
    </w:p>
    <w:p>
      <w:pPr>
        <w:pStyle w:val="Normal"/>
        <w:framePr w:w="8605" w:hAnchor="page" w:vAnchor="page" w:x="2474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Executive officers subject to the reporting requirements of Section 16 of the Exchange Act</w:t>
      </w:r>
    </w:p>
    <w:p>
      <w:pPr>
        <w:pStyle w:val="Normal"/>
        <w:framePr w:w="1855" w:hAnchor="page" w:vAnchor="page" w:x="27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defined situations.</w:t>
      </w:r>
    </w:p>
    <w:p>
      <w:pPr>
        <w:pStyle w:val="Normal"/>
        <w:framePr w:w="13582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Company has adopted a compensation recovery claw-back policy that enables us to recoup and/or cancel previously awarded compensation in</w:t>
      </w:r>
    </w:p>
    <w:p>
      <w:pPr>
        <w:pStyle w:val="Normal"/>
        <w:framePr w:w="1878" w:hAnchor="page" w:vAnchor="page" w:x="27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Claw-back Policy</w:t>
      </w:r>
    </w:p>
    <w:p>
      <w:pPr>
        <w:pStyle w:val="Normal"/>
        <w:framePr w:w="8834" w:hAnchor="page" w:vAnchor="page" w:x="274" w:y="12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decisions that expose the Company to an appropriate level of risk within our agreed framework.</w:t>
      </w:r>
    </w:p>
    <w:p>
      <w:pPr>
        <w:pStyle w:val="Normal"/>
        <w:framePr w:w="13547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employee populations. These policies are intended to align our NEOs with the long-term interests of our shareholders and encourage them to make</w:t>
      </w:r>
    </w:p>
    <w:p>
      <w:pPr>
        <w:pStyle w:val="Normal"/>
        <w:framePr w:w="13673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As part of a robust approach to risk mitigation, the Company operates a number of policies that apply to our NEOs, and in many instances to broader</w:t>
      </w:r>
    </w:p>
    <w:p>
      <w:pPr>
        <w:pStyle w:val="Normal"/>
        <w:framePr w:w="2806" w:hAnchor="page" w:vAnchor="page" w:x="274" w:y="5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  <w:t>Compensation Risk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7pt;margin-top:1pt;z-index:-1676942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12.7pt;margin-top:121.2pt;z-index:-16769416;width:107.25pt;height: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117.95pt;margin-top:121.2pt;z-index:-16769412;width:481.35pt;height: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12.7pt;margin-top:159.6pt;z-index:-16769408;width:107.25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117.95pt;margin-top:159.6pt;z-index:-16769404;width:481.35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12.7pt;margin-top:198.7pt;z-index:-16769400;width:107.25pt;height:7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117.95pt;margin-top:198.7pt;z-index:-16769396;width:481.35pt;height:7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2.7pt;margin-top:267.7pt;z-index:-16769392;width:107.25pt;height:9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117.95pt;margin-top:267.7pt;z-index:-16769388;width:481.35pt;height:9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117.95pt;margin-top:356.6pt;z-index:-16769384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12.7pt;margin-top:356.6pt;z-index:-16769380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117.95pt;margin-top:267.7pt;z-index:-16769376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12.7pt;margin-top:267.7pt;z-index:-16769372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117.95pt;margin-top:198.7pt;z-index:-16769368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2.7pt;margin-top:198.7pt;z-index:-16769364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17.95pt;margin-top:159.6pt;z-index:-16769360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2.7pt;margin-top:159.6pt;z-index:-16769356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2.7pt;margin-top:395pt;z-index:-167693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</w:p>
    <w:p>
      <w:pPr>
        <w:pStyle w:val="Normal"/>
        <w:framePr w:w="1631" w:hAnchor="page" w:vAnchor="page" w:x="274" w:y="85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81  TechnipFMC</w:t>
      </w:r>
    </w:p>
    <w:p>
      <w:pPr>
        <w:pStyle w:val="Normal"/>
        <w:framePr w:w="12966" w:hAnchor="page" w:vAnchor="page" w:x="274" w:y="79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Compensation and Talent Committee will continue to structure our compensation program in the best long-term interests of our shareholders.</w:t>
      </w:r>
    </w:p>
    <w:p>
      <w:pPr>
        <w:pStyle w:val="Normal"/>
        <w:framePr w:w="14162" w:hAnchor="page" w:vAnchor="page" w:x="274" w:y="77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treatment and tax deductibility of compensation have not had and will not have a material impact on the Company’s executive compensation program. Our</w:t>
      </w:r>
    </w:p>
    <w:p>
      <w:pPr>
        <w:pStyle w:val="Normal"/>
        <w:framePr w:w="13617" w:hAnchor="page" w:vAnchor="page" w:x="274" w:y="75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Although the Compensation and Talent Committee considers the accounting and tax treatment of the various forms of compensation, the accounting</w:t>
      </w:r>
    </w:p>
    <w:p>
      <w:pPr>
        <w:pStyle w:val="Normal"/>
        <w:framePr w:w="2791" w:hAnchor="page" w:vAnchor="page" w:x="274" w:y="730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b1f67"/>
          <w:w w:val="100"/>
          <w:sz w:val="25"/>
          <w:szCs w:val="25"/>
        </w:rPr>
        <w:t>Tax Considerations</w:t>
      </w:r>
    </w:p>
    <w:p>
      <w:pPr>
        <w:pStyle w:val="Normal"/>
        <w:framePr w:w="4018" w:hAnchor="page" w:vAnchor="page" w:x="274" w:y="68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ownership risk with those of shareholders.</w:t>
      </w:r>
    </w:p>
    <w:p>
      <w:pPr>
        <w:pStyle w:val="Normal"/>
        <w:framePr w:w="13619" w:hAnchor="page" w:vAnchor="page" w:x="274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or purchasing options in Ordinary Shares, and borrowing against Ordinary Shares. Our Insider Trading Policy aims to align management’s economic</w:t>
      </w:r>
    </w:p>
    <w:p>
      <w:pPr>
        <w:pStyle w:val="Normal"/>
        <w:framePr w:w="14070" w:hAnchor="page" w:vAnchor="page" w:x="274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prohibited from directly or indirectly speculating in Ordinary Shares, including derivative transactions, hedging and pledging activities, short selling, selling</w:t>
      </w:r>
    </w:p>
    <w:p>
      <w:pPr>
        <w:pStyle w:val="Normal"/>
        <w:framePr w:w="14025" w:hAnchor="page" w:vAnchor="page" w:x="274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non-public information or otherwise using such information in any manner that would violate applicable laws and regulations. All such individuals are also</w:t>
      </w:r>
    </w:p>
    <w:p>
      <w:pPr>
        <w:pStyle w:val="Normal"/>
        <w:framePr w:w="13953" w:hAnchor="page" w:vAnchor="page" w:x="274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Our officers, directors, and employees are prohibited from engaging in discretionary transactions involving our securities while in possession of material,</w:t>
      </w:r>
    </w:p>
    <w:p>
      <w:pPr>
        <w:pStyle w:val="Normal"/>
        <w:framePr w:w="5166" w:hAnchor="page" w:vAnchor="page" w:x="274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Insider Trading and Speculation in Company Stock</w:t>
      </w:r>
    </w:p>
    <w:p>
      <w:pPr>
        <w:pStyle w:val="Normal"/>
        <w:framePr w:w="7637" w:hAnchor="page" w:vAnchor="page" w:x="2474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Applies regardless of whether an executive has met the ownership requirement</w:t>
      </w:r>
    </w:p>
    <w:p>
      <w:pPr>
        <w:pStyle w:val="Normal"/>
        <w:framePr w:w="10379" w:hAnchor="page" w:vAnchor="page" w:x="368" w:y="50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Retention Requirement     </w:t>
      </w: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50% of the after-tax RSUs must be retained for at least one year following vesting</w:t>
      </w:r>
    </w:p>
    <w:p>
      <w:pPr>
        <w:pStyle w:val="Normal"/>
        <w:framePr w:w="1911" w:hAnchor="page" w:vAnchor="page" w:x="368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Non-achievement</w:t>
      </w:r>
    </w:p>
    <w:p>
      <w:pPr>
        <w:pStyle w:val="Normal"/>
        <w:framePr w:w="1991" w:hAnchor="page" w:vAnchor="page" w:x="368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Consequences for</w:t>
      </w:r>
    </w:p>
    <w:p>
      <w:pPr>
        <w:pStyle w:val="Normal"/>
        <w:framePr w:w="4209" w:hAnchor="page" w:vAnchor="page" w:x="2474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At the discretion of the Board of Directors</w:t>
      </w:r>
    </w:p>
    <w:p>
      <w:pPr>
        <w:pStyle w:val="Normal"/>
        <w:framePr w:w="6794" w:hAnchor="page" w:vAnchor="page" w:x="2474" w:y="40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Pro rata requirement of 20% per year applies within the first five years</w:t>
      </w:r>
    </w:p>
    <w:p>
      <w:pPr>
        <w:pStyle w:val="Normal"/>
        <w:framePr w:w="2344" w:hAnchor="page" w:vAnchor="page" w:x="368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Time for Achievement</w:t>
      </w:r>
    </w:p>
    <w:p>
      <w:pPr>
        <w:pStyle w:val="Normal"/>
        <w:framePr w:w="4904" w:hAnchor="page" w:vAnchor="page" w:x="2474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Five years from the effective date of appointment</w:t>
      </w:r>
    </w:p>
    <w:p>
      <w:pPr>
        <w:pStyle w:val="Normal"/>
        <w:framePr w:w="1921" w:hAnchor="page" w:vAnchor="page" w:x="2474" w:y="33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Unvested RSUs</w:t>
      </w:r>
    </w:p>
    <w:p>
      <w:pPr>
        <w:pStyle w:val="Normal"/>
        <w:framePr w:w="6339" w:hAnchor="page" w:vAnchor="page" w:x="2474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PSU awards where the performance period is final and approved</w:t>
      </w:r>
    </w:p>
    <w:p>
      <w:pPr>
        <w:pStyle w:val="Normal"/>
        <w:framePr w:w="1058" w:hAnchor="page" w:vAnchor="page" w:x="368" w:y="277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Interests</w:t>
      </w:r>
    </w:p>
    <w:p>
      <w:pPr>
        <w:pStyle w:val="Normal"/>
        <w:framePr w:w="1832" w:hAnchor="page" w:vAnchor="page" w:x="368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Qualifying Share</w:t>
      </w:r>
    </w:p>
    <w:p>
      <w:pPr>
        <w:pStyle w:val="Normal"/>
        <w:framePr w:w="3321" w:hAnchor="page" w:vAnchor="page" w:x="2474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Ordinary shares owned outright</w:t>
      </w:r>
    </w:p>
    <w:p>
      <w:pPr>
        <w:pStyle w:val="Normal"/>
        <w:framePr w:w="4050" w:hAnchor="page" w:vAnchor="page" w:x="2474" w:y="21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Other executive officers: 3x base salary</w:t>
      </w:r>
    </w:p>
    <w:p>
      <w:pPr>
        <w:pStyle w:val="Normal"/>
        <w:framePr w:w="2331" w:hAnchor="page" w:vAnchor="page" w:x="2474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CFO: 5x base salary</w:t>
      </w:r>
    </w:p>
    <w:p>
      <w:pPr>
        <w:pStyle w:val="Normal"/>
        <w:framePr w:w="1570" w:hAnchor="page" w:vAnchor="page" w:x="368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Requirements</w:t>
      </w:r>
    </w:p>
    <w:p>
      <w:pPr>
        <w:pStyle w:val="Normal"/>
        <w:framePr w:w="1889" w:hAnchor="page" w:vAnchor="page" w:x="368" w:y="14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Share Ownership</w:t>
      </w:r>
    </w:p>
    <w:p>
      <w:pPr>
        <w:pStyle w:val="Normal"/>
        <w:framePr w:w="2342" w:hAnchor="page" w:vAnchor="page" w:x="2474" w:y="14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b1f67"/>
          <w:w w:val="100"/>
          <w:sz w:val="17"/>
          <w:szCs w:val="17"/>
        </w:rPr>
        <w:t xml:space="preserve">► </w:t>
      </w:r>
      <w:r>
        <w:rPr>
          <w:rFonts w:ascii="TYIFDT+ArialMT" w:hAnsi="TYIFDT+ArialMT" w:fareast="TYIFDT+ArialMT" w:cs="TYIFDT+ArialMT"/>
          <w:color w:val="3b3c42"/>
          <w:w w:val="100"/>
          <w:sz w:val="17"/>
          <w:szCs w:val="17"/>
        </w:rPr>
        <w:t>CEO: 6x base salary</w:t>
      </w:r>
    </w:p>
    <w:p>
      <w:pPr>
        <w:pStyle w:val="Normal"/>
        <w:framePr w:w="11186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officers, including all NEOs, met their pro rata ownership and retention requirements under the Company’s policy in 2022.</w:t>
      </w:r>
    </w:p>
    <w:p>
      <w:pPr>
        <w:pStyle w:val="Normal"/>
        <w:framePr w:w="13320" w:hAnchor="page" w:vAnchor="page" w:x="274" w:y="7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Compensation and Talent Committee oversees the operation of share ownership guidelines that apply to our executive officers. All executive</w:t>
      </w:r>
    </w:p>
    <w:p>
      <w:pPr>
        <w:pStyle w:val="Normal"/>
        <w:framePr w:w="4734" w:hAnchor="page" w:vAnchor="page" w:x="274" w:y="5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Share Ownership and Retention Requirements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7pt;margin-top:1pt;z-index:-1676934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12.7pt;margin-top:66.45pt;z-index:-16769344;width:107.25pt;height:5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117.95pt;margin-top:66.45pt;z-index:-16769340;width:481.35pt;height:5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12.7pt;margin-top:121.9pt;z-index:-16769336;width:107.25pt;height:58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117.95pt;margin-top:121.9pt;z-index:-16769332;width:481.35pt;height:58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12.7pt;margin-top:178.1pt;z-index:-16769328;width:107.2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117.95pt;margin-top:178.1pt;z-index:-16769324;width:481.3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12.7pt;margin-top:215.8pt;z-index:-16769320;width:107.2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117.95pt;margin-top:215.8pt;z-index:-16769316;width:481.35pt;height:31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12.7pt;margin-top:244.95pt;z-index:-16769312;width:107.2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117.95pt;margin-top:244.95pt;z-index:-16769308;width:481.3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117.95pt;margin-top:282.65pt;z-index:-16769304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117.95pt;margin-top:244.95pt;z-index:-16769300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12.7pt;margin-top:244.95pt;z-index:-16769296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117.95pt;margin-top:215.8pt;z-index:-16769292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2.7pt;margin-top:215.8pt;z-index:-16769288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117.95pt;margin-top:178.1pt;z-index:-16769284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2.7pt;margin-top:178.1pt;z-index:-16769280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117.95pt;margin-top:121.9pt;z-index:-16769276;width:481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12.7pt;margin-top:121.9pt;z-index:-16769272;width:10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12.7pt;margin-top:445.5pt;z-index:-167692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</w:p>
    <w:p>
      <w:pPr>
        <w:pStyle w:val="Normal"/>
        <w:framePr w:w="1631" w:hAnchor="page" w:vAnchor="page" w:x="274" w:y="1122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82  TechnipFMC</w:t>
      </w:r>
    </w:p>
    <w:p>
      <w:pPr>
        <w:pStyle w:val="Normal"/>
        <w:framePr w:w="6683" w:hAnchor="page" w:vAnchor="page" w:x="558" w:y="107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assumptions consistent with those disclosed in our </w:t>
      </w: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Annual Report on </w:t>
      </w: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Form 10-K.</w:t>
      </w:r>
    </w:p>
    <w:p>
      <w:pPr>
        <w:pStyle w:val="Normal"/>
        <w:framePr w:w="12738" w:hAnchor="page" w:vAnchor="page" w:x="558" w:y="105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unreduced benefits (age 62 for U.S. pension programs) under all of our pension plans. These amounts are determined using interest rates and mortality rate</w:t>
      </w:r>
    </w:p>
    <w:p>
      <w:pPr>
        <w:pStyle w:val="Normal"/>
        <w:framePr w:w="13609" w:hAnchor="page" w:vAnchor="page" w:x="274" w:y="103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(4) The amounts shown in the Change in Pension Value column reflect the actuarial increase in the present value of the NEO’s benefits at the first retirement date with</w:t>
      </w:r>
    </w:p>
    <w:p>
      <w:pPr>
        <w:pStyle w:val="Normal"/>
        <w:framePr w:w="8682" w:hAnchor="page" w:vAnchor="page" w:x="274" w:y="100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(3) Represents Short-Term Incentive Program remuneration earned in 2022 and paid on March 10, 2023.</w:t>
      </w:r>
    </w:p>
    <w:p>
      <w:pPr>
        <w:pStyle w:val="Normal"/>
        <w:framePr w:w="585" w:hAnchor="page" w:vAnchor="page" w:x="558" w:y="97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2022</w:t>
      </w:r>
    </w:p>
    <w:p>
      <w:pPr>
        <w:pStyle w:val="Normal"/>
        <w:framePr w:w="1091" w:hAnchor="page" w:vAnchor="page" w:x="1881" w:y="97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19,542,789</w:t>
      </w:r>
    </w:p>
    <w:p>
      <w:pPr>
        <w:pStyle w:val="Normal"/>
        <w:framePr w:w="989" w:hAnchor="page" w:vAnchor="page" w:x="3375" w:y="97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3,928,698</w:t>
      </w:r>
    </w:p>
    <w:p>
      <w:pPr>
        <w:pStyle w:val="Normal"/>
        <w:framePr w:w="989" w:hAnchor="page" w:vAnchor="page" w:x="4868" w:y="97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3,626,509</w:t>
      </w:r>
    </w:p>
    <w:p>
      <w:pPr>
        <w:pStyle w:val="Normal"/>
        <w:framePr w:w="989" w:hAnchor="page" w:vAnchor="page" w:x="6362" w:y="97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2,644,307</w:t>
      </w:r>
    </w:p>
    <w:p>
      <w:pPr>
        <w:pStyle w:val="Normal"/>
        <w:framePr w:w="989" w:hAnchor="page" w:vAnchor="page" w:x="7841" w:y="97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2,014,732</w:t>
      </w:r>
    </w:p>
    <w:p>
      <w:pPr>
        <w:pStyle w:val="Normal"/>
        <w:framePr w:w="1039" w:hAnchor="page" w:vAnchor="page" w:x="1881" w:y="95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Pferdehirt</w:t>
      </w:r>
    </w:p>
    <w:p>
      <w:pPr>
        <w:pStyle w:val="Normal"/>
        <w:framePr w:w="645" w:hAnchor="page" w:vAnchor="page" w:x="3375" w:y="95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Melin</w:t>
      </w:r>
    </w:p>
    <w:p>
      <w:pPr>
        <w:pStyle w:val="Normal"/>
        <w:framePr w:w="847" w:hAnchor="page" w:vAnchor="page" w:x="4868" w:y="95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Rounce</w:t>
      </w:r>
    </w:p>
    <w:p>
      <w:pPr>
        <w:pStyle w:val="Normal"/>
        <w:framePr w:w="817" w:hAnchor="page" w:vAnchor="page" w:x="6362" w:y="95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Landes</w:t>
      </w:r>
    </w:p>
    <w:p>
      <w:pPr>
        <w:pStyle w:val="Normal"/>
        <w:framePr w:w="655" w:hAnchor="page" w:vAnchor="page" w:x="7841" w:y="95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Lazar</w:t>
      </w:r>
    </w:p>
    <w:p>
      <w:pPr>
        <w:pStyle w:val="Normal"/>
        <w:framePr w:w="4559" w:hAnchor="page" w:vAnchor="page" w:x="558" w:y="91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as in the Summary Compensation Table for the PSUs.</w:t>
      </w:r>
    </w:p>
    <w:p>
      <w:pPr>
        <w:pStyle w:val="Normal"/>
        <w:framePr w:w="13688" w:hAnchor="page" w:vAnchor="page" w:x="558" w:y="897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ii. The maximum award value of PSUs granted in 2022 subject to market-based conditions are shown in the table below. The methodology used in this table is the same</w:t>
      </w:r>
    </w:p>
    <w:p>
      <w:pPr>
        <w:pStyle w:val="Normal"/>
        <w:framePr w:w="3062" w:hAnchor="page" w:vAnchor="page" w:x="558" w:y="87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in our Annual Report on Form 10-K.</w:t>
      </w:r>
    </w:p>
    <w:p>
      <w:pPr>
        <w:pStyle w:val="Normal"/>
        <w:framePr w:w="13698" w:hAnchor="page" w:vAnchor="page" w:x="558" w:y="854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respect to PSUs subject to TSR market-based vesting conditions, the grant date fair value of such award was determined utilizing a Monte Carlo simulation as disclosed</w:t>
      </w:r>
    </w:p>
    <w:p>
      <w:pPr>
        <w:pStyle w:val="Normal"/>
        <w:framePr w:w="13402" w:hAnchor="page" w:vAnchor="page" w:x="558" w:y="83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conditions and time-based RSUs, the aggregate grant date fair value of such awards was based on the Company’s share price on the grant date of the awards. With</w:t>
      </w:r>
    </w:p>
    <w:p>
      <w:pPr>
        <w:pStyle w:val="Normal"/>
        <w:framePr w:w="13596" w:hAnchor="page" w:vAnchor="page" w:x="558" w:y="820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vesting conditions. Determination of fair value was made in accordance with FASB ASC Topic 718. With respect to PSUs subject to performance-based (ROIC) vesting</w:t>
      </w:r>
    </w:p>
    <w:p>
      <w:pPr>
        <w:pStyle w:val="Normal"/>
        <w:framePr w:w="13263" w:hAnchor="page" w:vAnchor="page" w:x="558" w:y="80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i. For each year, the sum of the aggregate grant date fair value of time-based RSUs and PSUs subject to either market-based (TSR) or performance-based (ROIC)</w:t>
      </w:r>
    </w:p>
    <w:p>
      <w:pPr>
        <w:pStyle w:val="Normal"/>
        <w:framePr w:w="9571" w:hAnchor="page" w:vAnchor="page" w:x="274" w:y="776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In accordance with SEC regulations for the Summary Compensation Table, the “Stock Awards” column includes:</w:t>
      </w:r>
    </w:p>
    <w:p>
      <w:pPr>
        <w:pStyle w:val="Normal"/>
        <w:framePr w:w="171" w:hAnchor="page" w:vAnchor="page" w:x="274" w:y="7656"/>
        <w:widowControl w:val="off"/>
        <w:autoSpaceDE w:val="off"/>
        <w:autoSpaceDN w:val="off"/>
        <w:spacing w:before="0" w:after="0" w:line="99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9"/>
          <w:szCs w:val="9"/>
        </w:rPr>
      </w:pPr>
      <w:r>
        <w:rPr>
          <w:rFonts w:ascii="TYIFDT+ArialMT" w:hAnsi="TYIFDT+ArialMT" w:fareast="TYIFDT+ArialMT" w:cs="TYIFDT+ArialMT"/>
          <w:color w:val="32373f"/>
          <w:w w:val="100"/>
          <w:sz w:val="9"/>
          <w:szCs w:val="9"/>
        </w:rPr>
        <w:t xml:space="preserve">  </w:t>
      </w:r>
    </w:p>
    <w:p>
      <w:pPr>
        <w:pStyle w:val="Normal"/>
        <w:framePr w:w="4517" w:hAnchor="page" w:vAnchor="page" w:x="274" w:y="74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Salary represents contractual annual base salary.</w:t>
      </w:r>
    </w:p>
    <w:p>
      <w:pPr>
        <w:pStyle w:val="Normal"/>
        <w:framePr w:w="660" w:hAnchor="page" w:vAnchor="page" w:x="4138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2020</w:t>
      </w:r>
    </w:p>
    <w:p>
      <w:pPr>
        <w:pStyle w:val="Normal"/>
        <w:framePr w:w="318" w:hAnchor="page" w:vAnchor="page" w:x="5575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6741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050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9358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653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819" w:y="71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479" w:hAnchor="page" w:vAnchor="page" w:x="335" w:y="71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and Secretary</w:t>
      </w:r>
    </w:p>
    <w:p>
      <w:pPr>
        <w:pStyle w:val="Normal"/>
        <w:framePr w:w="4280" w:hAnchor="page" w:vAnchor="page" w:x="335" w:y="69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Vice President, Chief Legal Officer</w:t>
      </w:r>
    </w:p>
    <w:p>
      <w:pPr>
        <w:pStyle w:val="Normal"/>
        <w:framePr w:w="660" w:hAnchor="page" w:vAnchor="page" w:x="4138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2021</w:t>
      </w:r>
    </w:p>
    <w:p>
      <w:pPr>
        <w:pStyle w:val="Normal"/>
        <w:framePr w:w="318" w:hAnchor="page" w:vAnchor="page" w:x="5575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6741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050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9358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653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819" w:y="69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547" w:hAnchor="page" w:vAnchor="page" w:x="335" w:y="67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Victoria Lazar</w:t>
      </w:r>
    </w:p>
    <w:p>
      <w:pPr>
        <w:pStyle w:val="Normal"/>
        <w:framePr w:w="660" w:hAnchor="page" w:vAnchor="page" w:x="4138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2022</w:t>
      </w:r>
    </w:p>
    <w:p>
      <w:pPr>
        <w:pStyle w:val="Normal"/>
        <w:framePr w:w="944" w:hAnchor="page" w:vAnchor="page" w:x="5053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500,000</w:t>
      </w:r>
    </w:p>
    <w:p>
      <w:pPr>
        <w:pStyle w:val="Normal"/>
        <w:framePr w:w="944" w:hAnchor="page" w:vAnchor="page" w:x="6219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999,996</w:t>
      </w:r>
    </w:p>
    <w:p>
      <w:pPr>
        <w:pStyle w:val="Normal"/>
        <w:framePr w:w="944" w:hAnchor="page" w:vAnchor="page" w:x="7528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555,000</w:t>
      </w:r>
    </w:p>
    <w:p>
      <w:pPr>
        <w:pStyle w:val="Normal"/>
        <w:framePr w:w="318" w:hAnchor="page" w:vAnchor="page" w:x="9358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10226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25,775</w:t>
      </w:r>
    </w:p>
    <w:p>
      <w:pPr>
        <w:pStyle w:val="Normal"/>
        <w:framePr w:w="1115" w:hAnchor="page" w:vAnchor="page" w:x="11155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2,080,771</w:t>
      </w:r>
    </w:p>
    <w:p>
      <w:pPr>
        <w:pStyle w:val="Normal"/>
        <w:framePr w:w="660" w:hAnchor="page" w:vAnchor="page" w:x="4138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2020</w:t>
      </w:r>
    </w:p>
    <w:p>
      <w:pPr>
        <w:pStyle w:val="Normal"/>
        <w:framePr w:w="318" w:hAnchor="page" w:vAnchor="page" w:x="5575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6741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050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9358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653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819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878" w:hAnchor="page" w:vAnchor="page" w:x="335" w:y="62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President, Subsea</w:t>
      </w:r>
    </w:p>
    <w:p>
      <w:pPr>
        <w:pStyle w:val="Normal"/>
        <w:framePr w:w="660" w:hAnchor="page" w:vAnchor="page" w:x="4138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2021</w:t>
      </w:r>
    </w:p>
    <w:p>
      <w:pPr>
        <w:pStyle w:val="Normal"/>
        <w:framePr w:w="944" w:hAnchor="page" w:vAnchor="page" w:x="5053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475,000</w:t>
      </w:r>
    </w:p>
    <w:p>
      <w:pPr>
        <w:pStyle w:val="Normal"/>
        <w:framePr w:w="1115" w:hAnchor="page" w:vAnchor="page" w:x="6090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1,593,115</w:t>
      </w:r>
    </w:p>
    <w:p>
      <w:pPr>
        <w:pStyle w:val="Normal"/>
        <w:framePr w:w="944" w:hAnchor="page" w:vAnchor="page" w:x="7528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755,250</w:t>
      </w:r>
    </w:p>
    <w:p>
      <w:pPr>
        <w:pStyle w:val="Normal"/>
        <w:framePr w:w="318" w:hAnchor="page" w:vAnchor="page" w:x="9358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10226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57,588</w:t>
      </w:r>
    </w:p>
    <w:p>
      <w:pPr>
        <w:pStyle w:val="Normal"/>
        <w:framePr w:w="1115" w:hAnchor="page" w:vAnchor="page" w:x="11155" w:y="61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2,880,953</w:t>
      </w:r>
    </w:p>
    <w:p>
      <w:pPr>
        <w:pStyle w:val="Normal"/>
        <w:framePr w:w="1889" w:hAnchor="page" w:vAnchor="page" w:x="335" w:y="60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Jonathan Landes</w:t>
      </w:r>
    </w:p>
    <w:p>
      <w:pPr>
        <w:pStyle w:val="Normal"/>
        <w:framePr w:w="660" w:hAnchor="page" w:vAnchor="page" w:x="4138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2022</w:t>
      </w:r>
    </w:p>
    <w:p>
      <w:pPr>
        <w:pStyle w:val="Normal"/>
        <w:framePr w:w="944" w:hAnchor="page" w:vAnchor="page" w:x="5053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525,000</w:t>
      </w:r>
    </w:p>
    <w:p>
      <w:pPr>
        <w:pStyle w:val="Normal"/>
        <w:framePr w:w="1115" w:hAnchor="page" w:vAnchor="page" w:x="6077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1,312,493</w:t>
      </w:r>
    </w:p>
    <w:p>
      <w:pPr>
        <w:pStyle w:val="Normal"/>
        <w:framePr w:w="944" w:hAnchor="page" w:vAnchor="page" w:x="7528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635,250</w:t>
      </w:r>
    </w:p>
    <w:p>
      <w:pPr>
        <w:pStyle w:val="Normal"/>
        <w:framePr w:w="318" w:hAnchor="page" w:vAnchor="page" w:x="9358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10226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71,042</w:t>
      </w:r>
    </w:p>
    <w:p>
      <w:pPr>
        <w:pStyle w:val="Normal"/>
        <w:framePr w:w="1115" w:hAnchor="page" w:vAnchor="page" w:x="11155" w:y="59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2,543,784</w:t>
      </w:r>
    </w:p>
    <w:p>
      <w:pPr>
        <w:pStyle w:val="Normal"/>
        <w:framePr w:w="660" w:hAnchor="page" w:vAnchor="page" w:x="4138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2020</w:t>
      </w:r>
    </w:p>
    <w:p>
      <w:pPr>
        <w:pStyle w:val="Normal"/>
        <w:framePr w:w="944" w:hAnchor="page" w:vAnchor="page" w:x="5053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520,000</w:t>
      </w:r>
    </w:p>
    <w:p>
      <w:pPr>
        <w:pStyle w:val="Normal"/>
        <w:framePr w:w="1115" w:hAnchor="page" w:vAnchor="page" w:x="6077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1,849,497</w:t>
      </w:r>
    </w:p>
    <w:p>
      <w:pPr>
        <w:pStyle w:val="Normal"/>
        <w:framePr w:w="944" w:hAnchor="page" w:vAnchor="page" w:x="7528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600,000</w:t>
      </w:r>
    </w:p>
    <w:p>
      <w:pPr>
        <w:pStyle w:val="Normal"/>
        <w:framePr w:w="318" w:hAnchor="page" w:vAnchor="page" w:x="9358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944" w:hAnchor="page" w:vAnchor="page" w:x="10143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115,910</w:t>
      </w:r>
    </w:p>
    <w:p>
      <w:pPr>
        <w:pStyle w:val="Normal"/>
        <w:framePr w:w="1115" w:hAnchor="page" w:vAnchor="page" w:x="11155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3,085,407</w:t>
      </w:r>
    </w:p>
    <w:p>
      <w:pPr>
        <w:pStyle w:val="Normal"/>
        <w:framePr w:w="1923" w:hAnchor="page" w:vAnchor="page" w:x="335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Technology Officer</w:t>
      </w:r>
    </w:p>
    <w:p>
      <w:pPr>
        <w:pStyle w:val="Normal"/>
        <w:framePr w:w="3403" w:hAnchor="page" w:vAnchor="page" w:x="335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Vice President and Chief</w:t>
      </w:r>
    </w:p>
    <w:p>
      <w:pPr>
        <w:pStyle w:val="Normal"/>
        <w:framePr w:w="660" w:hAnchor="page" w:vAnchor="page" w:x="4138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2021</w:t>
      </w:r>
    </w:p>
    <w:p>
      <w:pPr>
        <w:pStyle w:val="Normal"/>
        <w:framePr w:w="944" w:hAnchor="page" w:vAnchor="page" w:x="5053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600,000</w:t>
      </w:r>
    </w:p>
    <w:p>
      <w:pPr>
        <w:pStyle w:val="Normal"/>
        <w:framePr w:w="1115" w:hAnchor="page" w:vAnchor="page" w:x="6077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3,649,495</w:t>
      </w:r>
    </w:p>
    <w:p>
      <w:pPr>
        <w:pStyle w:val="Normal"/>
        <w:framePr w:w="944" w:hAnchor="page" w:vAnchor="page" w:x="7528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969,000</w:t>
      </w:r>
    </w:p>
    <w:p>
      <w:pPr>
        <w:pStyle w:val="Normal"/>
        <w:framePr w:w="318" w:hAnchor="page" w:vAnchor="page" w:x="9358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944" w:hAnchor="page" w:vAnchor="page" w:x="10156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111,776</w:t>
      </w:r>
    </w:p>
    <w:p>
      <w:pPr>
        <w:pStyle w:val="Normal"/>
        <w:framePr w:w="1115" w:hAnchor="page" w:vAnchor="page" w:x="11155" w:y="54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5,330,270</w:t>
      </w:r>
    </w:p>
    <w:p>
      <w:pPr>
        <w:pStyle w:val="Normal"/>
        <w:framePr w:w="1615" w:hAnchor="page" w:vAnchor="page" w:x="335" w:y="52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Justin Rounce</w:t>
      </w:r>
    </w:p>
    <w:p>
      <w:pPr>
        <w:pStyle w:val="Normal"/>
        <w:framePr w:w="660" w:hAnchor="page" w:vAnchor="page" w:x="4138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2022</w:t>
      </w:r>
    </w:p>
    <w:p>
      <w:pPr>
        <w:pStyle w:val="Normal"/>
        <w:framePr w:w="944" w:hAnchor="page" w:vAnchor="page" w:x="5053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600,000</w:t>
      </w:r>
    </w:p>
    <w:p>
      <w:pPr>
        <w:pStyle w:val="Normal"/>
        <w:framePr w:w="1115" w:hAnchor="page" w:vAnchor="page" w:x="6077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1,799,997</w:t>
      </w:r>
    </w:p>
    <w:p>
      <w:pPr>
        <w:pStyle w:val="Normal"/>
        <w:framePr w:w="944" w:hAnchor="page" w:vAnchor="page" w:x="7528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726,000</w:t>
      </w:r>
    </w:p>
    <w:p>
      <w:pPr>
        <w:pStyle w:val="Normal"/>
        <w:framePr w:w="318" w:hAnchor="page" w:vAnchor="page" w:x="9358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10226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81,462</w:t>
      </w:r>
    </w:p>
    <w:p>
      <w:pPr>
        <w:pStyle w:val="Normal"/>
        <w:framePr w:w="1115" w:hAnchor="page" w:vAnchor="page" w:x="11155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3,207,459</w:t>
      </w:r>
    </w:p>
    <w:p>
      <w:pPr>
        <w:pStyle w:val="Normal"/>
        <w:framePr w:w="660" w:hAnchor="page" w:vAnchor="page" w:x="4138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2020</w:t>
      </w:r>
    </w:p>
    <w:p>
      <w:pPr>
        <w:pStyle w:val="Normal"/>
        <w:framePr w:w="318" w:hAnchor="page" w:vAnchor="page" w:x="5575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6741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050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9358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653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819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2219" w:hAnchor="page" w:vAnchor="page" w:x="335" w:y="48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Chief Financial Officer</w:t>
      </w:r>
    </w:p>
    <w:p>
      <w:pPr>
        <w:pStyle w:val="Normal"/>
        <w:framePr w:w="660" w:hAnchor="page" w:vAnchor="page" w:x="4138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2021</w:t>
      </w:r>
    </w:p>
    <w:p>
      <w:pPr>
        <w:pStyle w:val="Normal"/>
        <w:framePr w:w="944" w:hAnchor="page" w:vAnchor="page" w:x="5053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650,000</w:t>
      </w:r>
    </w:p>
    <w:p>
      <w:pPr>
        <w:pStyle w:val="Normal"/>
        <w:framePr w:w="1115" w:hAnchor="page" w:vAnchor="page" w:x="6077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2,589,929</w:t>
      </w:r>
    </w:p>
    <w:p>
      <w:pPr>
        <w:pStyle w:val="Normal"/>
        <w:framePr w:w="944" w:hAnchor="page" w:vAnchor="page" w:x="7528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988,915</w:t>
      </w:r>
    </w:p>
    <w:p>
      <w:pPr>
        <w:pStyle w:val="Normal"/>
        <w:framePr w:w="853" w:hAnchor="page" w:vAnchor="page" w:x="8913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(8,626)</w:t>
      </w:r>
    </w:p>
    <w:p>
      <w:pPr>
        <w:pStyle w:val="Normal"/>
        <w:framePr w:w="830" w:hAnchor="page" w:vAnchor="page" w:x="10226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56,783</w:t>
      </w:r>
    </w:p>
    <w:p>
      <w:pPr>
        <w:pStyle w:val="Normal"/>
        <w:framePr w:w="1115" w:hAnchor="page" w:vAnchor="page" w:x="11155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4,277,001</w:t>
      </w:r>
    </w:p>
    <w:p>
      <w:pPr>
        <w:pStyle w:val="Normal"/>
        <w:framePr w:w="1057" w:hAnchor="page" w:vAnchor="page" w:x="335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660" w:hAnchor="page" w:vAnchor="page" w:x="4138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2022</w:t>
      </w:r>
    </w:p>
    <w:p>
      <w:pPr>
        <w:pStyle w:val="Normal"/>
        <w:framePr w:w="944" w:hAnchor="page" w:vAnchor="page" w:x="5053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650,000</w:t>
      </w:r>
    </w:p>
    <w:p>
      <w:pPr>
        <w:pStyle w:val="Normal"/>
        <w:framePr w:w="1115" w:hAnchor="page" w:vAnchor="page" w:x="6077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1,949,993</w:t>
      </w:r>
    </w:p>
    <w:p>
      <w:pPr>
        <w:pStyle w:val="Normal"/>
        <w:framePr w:w="944" w:hAnchor="page" w:vAnchor="page" w:x="7528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786,500</w:t>
      </w:r>
    </w:p>
    <w:p>
      <w:pPr>
        <w:pStyle w:val="Normal"/>
        <w:framePr w:w="1081" w:hAnchor="page" w:vAnchor="page" w:x="8723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(249,849)</w:t>
      </w:r>
    </w:p>
    <w:p>
      <w:pPr>
        <w:pStyle w:val="Normal"/>
        <w:framePr w:w="830" w:hAnchor="page" w:vAnchor="page" w:x="10226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57,155</w:t>
      </w:r>
    </w:p>
    <w:p>
      <w:pPr>
        <w:pStyle w:val="Normal"/>
        <w:framePr w:w="1115" w:hAnchor="page" w:vAnchor="page" w:x="11155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3,193,799</w:t>
      </w:r>
    </w:p>
    <w:p>
      <w:pPr>
        <w:pStyle w:val="Normal"/>
        <w:framePr w:w="660" w:hAnchor="page" w:vAnchor="page" w:x="4138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2020</w:t>
      </w:r>
    </w:p>
    <w:p>
      <w:pPr>
        <w:pStyle w:val="Normal"/>
        <w:framePr w:w="944" w:hAnchor="page" w:vAnchor="page" w:x="5053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988,800</w:t>
      </w:r>
    </w:p>
    <w:p>
      <w:pPr>
        <w:pStyle w:val="Normal"/>
        <w:framePr w:w="1115" w:hAnchor="page" w:vAnchor="page" w:x="6077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9,966,772</w:t>
      </w:r>
    </w:p>
    <w:p>
      <w:pPr>
        <w:pStyle w:val="Normal"/>
        <w:framePr w:w="1115" w:hAnchor="page" w:vAnchor="page" w:x="7385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1,668,600</w:t>
      </w:r>
    </w:p>
    <w:p>
      <w:pPr>
        <w:pStyle w:val="Normal"/>
        <w:framePr w:w="318" w:hAnchor="page" w:vAnchor="page" w:x="9358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2344" w:hAnchor="page" w:vAnchor="page" w:x="10131" w:y="42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296,429    12,920,601</w:t>
      </w:r>
    </w:p>
    <w:p>
      <w:pPr>
        <w:pStyle w:val="Normal"/>
        <w:framePr w:w="1593" w:hAnchor="page" w:vAnchor="page" w:x="335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Chair and CEO</w:t>
      </w:r>
    </w:p>
    <w:p>
      <w:pPr>
        <w:pStyle w:val="Normal"/>
        <w:framePr w:w="660" w:hAnchor="page" w:vAnchor="page" w:x="4138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2021</w:t>
      </w:r>
    </w:p>
    <w:p>
      <w:pPr>
        <w:pStyle w:val="Normal"/>
        <w:framePr w:w="2515" w:hAnchor="page" w:vAnchor="page" w:x="4910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1,236,000    17,629,477</w:t>
      </w:r>
    </w:p>
    <w:p>
      <w:pPr>
        <w:pStyle w:val="Normal"/>
        <w:framePr w:w="1115" w:hAnchor="page" w:vAnchor="page" w:x="7385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2,694,789</w:t>
      </w:r>
    </w:p>
    <w:p>
      <w:pPr>
        <w:pStyle w:val="Normal"/>
        <w:framePr w:w="318" w:hAnchor="page" w:vAnchor="page" w:x="9358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2344" w:hAnchor="page" w:vAnchor="page" w:x="10131" w:y="40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373,416    21,933,682</w:t>
      </w:r>
    </w:p>
    <w:p>
      <w:pPr>
        <w:pStyle w:val="Normal"/>
        <w:framePr w:w="2264" w:hAnchor="page" w:vAnchor="page" w:x="335" w:y="39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Douglas J. Pferdehirt</w:t>
      </w:r>
    </w:p>
    <w:p>
      <w:pPr>
        <w:pStyle w:val="Normal"/>
        <w:framePr w:w="660" w:hAnchor="page" w:vAnchor="page" w:x="4138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2022</w:t>
      </w:r>
    </w:p>
    <w:p>
      <w:pPr>
        <w:pStyle w:val="Normal"/>
        <w:framePr w:w="1115" w:hAnchor="page" w:vAnchor="page" w:x="4910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1,236,000</w:t>
      </w:r>
    </w:p>
    <w:p>
      <w:pPr>
        <w:pStyle w:val="Normal"/>
        <w:framePr w:w="1115" w:hAnchor="page" w:vAnchor="page" w:x="6077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9,699,996</w:t>
      </w:r>
    </w:p>
    <w:p>
      <w:pPr>
        <w:pStyle w:val="Normal"/>
        <w:framePr w:w="1115" w:hAnchor="page" w:vAnchor="page" w:x="7385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2,077,407</w:t>
      </w:r>
    </w:p>
    <w:p>
      <w:pPr>
        <w:pStyle w:val="Normal"/>
        <w:framePr w:w="318" w:hAnchor="page" w:vAnchor="page" w:x="9358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2344" w:hAnchor="page" w:vAnchor="page" w:x="10131" w:y="37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270,193    13,283,596</w:t>
      </w:r>
    </w:p>
    <w:p>
      <w:pPr>
        <w:pStyle w:val="Normal"/>
        <w:framePr w:w="1229" w:hAnchor="page" w:vAnchor="page" w:x="329" w:y="35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12/31/2022</w:t>
      </w:r>
    </w:p>
    <w:p>
      <w:pPr>
        <w:pStyle w:val="Normal"/>
        <w:framePr w:w="648" w:hAnchor="page" w:vAnchor="page" w:x="4154" w:y="35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Year</w:t>
      </w:r>
    </w:p>
    <w:p>
      <w:pPr>
        <w:pStyle w:val="Normal"/>
        <w:framePr w:w="531" w:hAnchor="page" w:vAnchor="page" w:x="5370" w:y="35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1</w:t>
      </w:r>
    </w:p>
    <w:p>
      <w:pPr>
        <w:pStyle w:val="Normal"/>
        <w:framePr w:w="531" w:hAnchor="page" w:vAnchor="page" w:x="6537" w:y="35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2</w:t>
      </w:r>
    </w:p>
    <w:p>
      <w:pPr>
        <w:pStyle w:val="Normal"/>
        <w:framePr w:w="531" w:hAnchor="page" w:vAnchor="page" w:x="7845" w:y="35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3</w:t>
      </w:r>
    </w:p>
    <w:p>
      <w:pPr>
        <w:pStyle w:val="Normal"/>
        <w:framePr w:w="1465" w:hAnchor="page" w:vAnchor="page" w:x="8376" w:y="35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Earnings 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4</w:t>
      </w:r>
    </w:p>
    <w:p>
      <w:pPr>
        <w:pStyle w:val="Normal"/>
        <w:framePr w:w="531" w:hAnchor="page" w:vAnchor="page" w:x="10458" w:y="35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5</w:t>
      </w:r>
    </w:p>
    <w:p>
      <w:pPr>
        <w:pStyle w:val="Normal"/>
        <w:framePr w:w="454" w:hAnchor="page" w:vAnchor="page" w:x="11703" w:y="35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1604" w:hAnchor="page" w:vAnchor="page" w:x="329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Position as of </w:t>
      </w:r>
    </w:p>
    <w:p>
      <w:pPr>
        <w:pStyle w:val="Normal"/>
        <w:framePr w:w="819" w:hAnchor="page" w:vAnchor="page" w:x="5145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Salary</w:t>
      </w:r>
    </w:p>
    <w:p>
      <w:pPr>
        <w:pStyle w:val="Normal"/>
        <w:framePr w:w="944" w:hAnchor="page" w:vAnchor="page" w:x="6210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Awards</w:t>
      </w:r>
    </w:p>
    <w:p>
      <w:pPr>
        <w:pStyle w:val="Normal"/>
        <w:framePr w:w="1627" w:hAnchor="page" w:vAnchor="page" w:x="6947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</w:t>
      </w:r>
    </w:p>
    <w:p>
      <w:pPr>
        <w:pStyle w:val="Normal"/>
        <w:framePr w:w="1627" w:hAnchor="page" w:vAnchor="page" w:x="8256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</w:t>
      </w:r>
    </w:p>
    <w:p>
      <w:pPr>
        <w:pStyle w:val="Normal"/>
        <w:framePr w:w="1627" w:hAnchor="page" w:vAnchor="page" w:x="9560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</w:t>
      </w:r>
    </w:p>
    <w:p>
      <w:pPr>
        <w:pStyle w:val="Normal"/>
        <w:framePr w:w="693" w:hAnchor="page" w:vAnchor="page" w:x="11516" w:y="33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</w:t>
      </w:r>
    </w:p>
    <w:p>
      <w:pPr>
        <w:pStyle w:val="Normal"/>
        <w:framePr w:w="2105" w:hAnchor="page" w:vAnchor="page" w:x="329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 and Principal</w:t>
      </w:r>
    </w:p>
    <w:p>
      <w:pPr>
        <w:pStyle w:val="Normal"/>
        <w:framePr w:w="762" w:hAnchor="page" w:vAnchor="page" w:x="6359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Stock</w:t>
      </w:r>
    </w:p>
    <w:p>
      <w:pPr>
        <w:pStyle w:val="Normal"/>
        <w:framePr w:w="1581" w:hAnchor="page" w:vAnchor="page" w:x="6985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Incentive Plan</w:t>
      </w:r>
    </w:p>
    <w:p>
      <w:pPr>
        <w:pStyle w:val="Normal"/>
        <w:framePr w:w="1046" w:hAnchor="page" w:vAnchor="page" w:x="8739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Deferred</w:t>
      </w:r>
    </w:p>
    <w:p>
      <w:pPr>
        <w:pStyle w:val="Normal"/>
        <w:framePr w:w="1069" w:hAnchor="page" w:vAnchor="page" w:x="10024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All Other</w:t>
      </w:r>
    </w:p>
    <w:p>
      <w:pPr>
        <w:pStyle w:val="Normal"/>
        <w:framePr w:w="1296" w:hAnchor="page" w:vAnchor="page" w:x="7222" w:y="29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Non-Equity</w:t>
      </w:r>
    </w:p>
    <w:p>
      <w:pPr>
        <w:pStyle w:val="Normal"/>
        <w:framePr w:w="1513" w:hAnchor="page" w:vAnchor="page" w:x="8351" w:y="29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Non-qualified</w:t>
      </w:r>
    </w:p>
    <w:p>
      <w:pPr>
        <w:pStyle w:val="Normal"/>
        <w:framePr w:w="1172" w:hAnchor="page" w:vAnchor="page" w:x="8644" w:y="27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Value and</w:t>
      </w:r>
    </w:p>
    <w:p>
      <w:pPr>
        <w:pStyle w:val="Normal"/>
        <w:framePr w:w="1001" w:hAnchor="page" w:vAnchor="page" w:x="8777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Pension</w:t>
      </w:r>
    </w:p>
    <w:p>
      <w:pPr>
        <w:pStyle w:val="Normal"/>
        <w:framePr w:w="1194" w:hAnchor="page" w:vAnchor="page" w:x="8616" w:y="23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Change in</w:t>
      </w:r>
    </w:p>
    <w:p>
      <w:pPr>
        <w:pStyle w:val="Normal"/>
        <w:framePr w:w="5567" w:hAnchor="page" w:vAnchor="page" w:x="274" w:y="19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Company during the fiscal year ended December 31, 2022.</w:t>
      </w:r>
    </w:p>
    <w:p>
      <w:pPr>
        <w:pStyle w:val="Normal"/>
        <w:framePr w:w="13570" w:hAnchor="page" w:vAnchor="page" w:x="274" w:y="17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following table summarizes the compensation earned by each of the NEOs from all sources for services rendered in all of their capacities to the</w:t>
      </w:r>
    </w:p>
    <w:p>
      <w:pPr>
        <w:pStyle w:val="Normal"/>
        <w:framePr w:w="1415" w:hAnchor="page" w:vAnchor="page" w:x="274" w:y="1057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2022</w:t>
      </w:r>
    </w:p>
    <w:p>
      <w:pPr>
        <w:pStyle w:val="Normal"/>
        <w:framePr w:w="13152" w:hAnchor="page" w:vAnchor="page" w:x="274" w:y="602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Summary Compensation Table for the Year Ended December 31,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7pt;margin-top:1pt;z-index:-167692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12.7pt;margin-top:113.35pt;z-index:-16769260;width:181.25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191.9pt;margin-top:113.35pt;z-index:-16769256;width:36.85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26.75pt;margin-top:113.35pt;z-index:-16769252;width:59.6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284.4pt;margin-top:113.35pt;z-index:-16769248;width:60.3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42.7pt;margin-top:113.35pt;z-index:-16769244;width:67.45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08.15pt;margin-top:113.35pt;z-index:-16769240;width:67.45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73.55pt;margin-top:113.35pt;z-index:-16769236;width:66.7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38.3pt;margin-top:113.35pt;z-index:-16769232;width:60.3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12.7pt;margin-top:222.2pt;z-index:-16769228;width:181.25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191.9pt;margin-top:222.2pt;z-index:-16769224;width:36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226.75pt;margin-top:222.2pt;z-index:-16769220;width:59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284.4pt;margin-top:222.2pt;z-index:-1676921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42.7pt;margin-top:222.2pt;z-index:-16769212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08.15pt;margin-top:222.2pt;z-index:-16769208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73.55pt;margin-top:222.2pt;z-index:-16769204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38.3pt;margin-top:222.2pt;z-index:-1676920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191.9pt;margin-top:234.3pt;z-index:-16769196;width:36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226.75pt;margin-top:234.3pt;z-index:-16769192;width:59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284.4pt;margin-top:234.3pt;z-index:-1676918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42.7pt;margin-top:234.3pt;z-index:-1676918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08.15pt;margin-top:234.3pt;z-index:-16769180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73.55pt;margin-top:234.3pt;z-index:-16769176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538.3pt;margin-top:234.3pt;z-index:-1676917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191.9pt;margin-top:246.35pt;z-index:-16769168;width:36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26.75pt;margin-top:246.35pt;z-index:-16769164;width:59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284.4pt;margin-top:246.35pt;z-index:-1676916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42.7pt;margin-top:246.35pt;z-index:-16769156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408.15pt;margin-top:246.35pt;z-index:-16769152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473.55pt;margin-top:246.35pt;z-index:-16769148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38.3pt;margin-top:246.35pt;z-index:-1676914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12.7pt;margin-top:294.7pt;z-index:-16769140;width:181.25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191.9pt;margin-top:294.75pt;z-index:-16769136;width:36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226.75pt;margin-top:294.75pt;z-index:-16769132;width:59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284.4pt;margin-top:294.75pt;z-index:-1676912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42.7pt;margin-top:294.75pt;z-index:-1676912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08.15pt;margin-top:294.75pt;z-index:-16769120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73.55pt;margin-top:294.75pt;z-index:-16769116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38.3pt;margin-top:294.75pt;z-index:-1676911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91.9pt;margin-top:306.8pt;z-index:-16769108;width:36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226.75pt;margin-top:306.8pt;z-index:-16769104;width:59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284.4pt;margin-top:306.8pt;z-index:-1676910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342.7pt;margin-top:306.8pt;z-index:-16769096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08.15pt;margin-top:306.8pt;z-index:-16769092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73.55pt;margin-top:306.8pt;z-index:-16769088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38.3pt;margin-top:306.8pt;z-index:-1676908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191.9pt;margin-top:318.9pt;z-index:-16769080;width:36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226.75pt;margin-top:318.9pt;z-index:-16769076;width:59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284.4pt;margin-top:318.9pt;z-index:-1676907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42.7pt;margin-top:318.9pt;z-index:-16769068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08.15pt;margin-top:318.9pt;z-index:-1676906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73.55pt;margin-top:318.9pt;z-index:-16769060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38.3pt;margin-top:318.9pt;z-index:-1676905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38.3pt;margin-top:367.25pt;z-index:-1676905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73.55pt;margin-top:367.25pt;z-index:-16769048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08.15pt;margin-top:367.25pt;z-index:-1676904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42.7pt;margin-top:367.25pt;z-index:-1676904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284.4pt;margin-top:367.25pt;z-index:-1676903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226.75pt;margin-top:367.25pt;z-index:-1676903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191.9pt;margin-top:367.25pt;z-index:-16769028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38.3pt;margin-top:355.2pt;z-index:-167690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73.55pt;margin-top:355.2pt;z-index:-1676902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08.15pt;margin-top:355.2pt;z-index:-1676901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42.7pt;margin-top:355.2pt;z-index:-1676901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284.4pt;margin-top:355.2pt;z-index:-1676900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226.75pt;margin-top:355.2pt;z-index:-16769004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191.9pt;margin-top:355.2pt;z-index:-16769000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38.3pt;margin-top:343.1pt;z-index:-1676899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73.55pt;margin-top:343.1pt;z-index:-1676899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08.15pt;margin-top:343.1pt;z-index:-1676898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42.7pt;margin-top:343.1pt;z-index:-1676898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284.4pt;margin-top:343.1pt;z-index:-1676898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226.75pt;margin-top:343.1pt;z-index:-16768976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191.9pt;margin-top:343.1pt;z-index:-16768972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12.7pt;margin-top:331pt;z-index:-16768968;width:2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38.3pt;margin-top:331pt;z-index:-167689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73.55pt;margin-top:331pt;z-index:-1676896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08.15pt;margin-top:331pt;z-index:-1676895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42.7pt;margin-top:331pt;z-index:-1676895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284.4pt;margin-top:331pt;z-index:-1676894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226.75pt;margin-top:331pt;z-index:-16768944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191.9pt;margin-top:331pt;z-index:-16768940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38.3pt;margin-top:318.9pt;z-index:-1676893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73.55pt;margin-top:318.9pt;z-index:-1676893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08.15pt;margin-top:318.9pt;z-index:-1676892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42.7pt;margin-top:318.9pt;z-index:-1676892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284.4pt;margin-top:318.9pt;z-index:-167689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226.75pt;margin-top:318.9pt;z-index:-16768916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191.9pt;margin-top:318.9pt;z-index:-16768912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38.3pt;margin-top:306.8pt;z-index:-1676890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73.55pt;margin-top:306.8pt;z-index:-16768904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08.15pt;margin-top:306.8pt;z-index:-1676890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42.7pt;margin-top:306.8pt;z-index:-1676889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284.4pt;margin-top:306.8pt;z-index:-1676889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26.75pt;margin-top:306.8pt;z-index:-1676888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191.9pt;margin-top:306.8pt;z-index:-16768884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12.7pt;margin-top:294.7pt;z-index:-16768880;width:2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38.3pt;margin-top:294.7pt;z-index:-1676887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73.55pt;margin-top:294.7pt;z-index:-1676887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08.15pt;margin-top:294.7pt;z-index:-1676886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342.7pt;margin-top:294.7pt;z-index:-1676886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284.4pt;margin-top:294.7pt;z-index:-1676886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226.75pt;margin-top:294.7pt;z-index:-16768856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91.9pt;margin-top:294.7pt;z-index:-16768852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38.3pt;margin-top:282.65pt;z-index:-1676884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73.55pt;margin-top:282.65pt;z-index:-16768844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08.15pt;margin-top:282.65pt;z-index:-1676884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42.7pt;margin-top:282.65pt;z-index:-1676883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84.4pt;margin-top:282.65pt;z-index:-1676883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226.75pt;margin-top:282.65pt;z-index:-1676882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91.9pt;margin-top:282.65pt;z-index:-16768824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538.3pt;margin-top:270.55pt;z-index:-167688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73.55pt;margin-top:270.55pt;z-index:-1676881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08.15pt;margin-top:270.55pt;z-index:-1676881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42.7pt;margin-top:270.55pt;z-index:-1676880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284.4pt;margin-top:270.55pt;z-index:-1676880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226.75pt;margin-top:270.55pt;z-index:-1676880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191.9pt;margin-top:270.55pt;z-index:-16768796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12.7pt;margin-top:258.45pt;z-index:-16768792;width:2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38.3pt;margin-top:258.45pt;z-index:-1676878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73.55pt;margin-top:258.45pt;z-index:-16768784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08.15pt;margin-top:258.45pt;z-index:-1676878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42.7pt;margin-top:258.45pt;z-index:-1676877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284.4pt;margin-top:258.45pt;z-index:-1676877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226.75pt;margin-top:258.45pt;z-index:-1676876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191.9pt;margin-top:258.45pt;z-index:-16768764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38.3pt;margin-top:246.35pt;z-index:-1676876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73.55pt;margin-top:246.35pt;z-index:-1676875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08.15pt;margin-top:246.35pt;z-index:-1676875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342.7pt;margin-top:246.35pt;z-index:-1676874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284.4pt;margin-top:246.35pt;z-index:-167687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226.75pt;margin-top:246.35pt;z-index:-1676874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191.9pt;margin-top:246.35pt;z-index:-16768736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38.3pt;margin-top:234.25pt;z-index:-1676873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73.55pt;margin-top:234.25pt;z-index:-16768728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08.15pt;margin-top:234.25pt;z-index:-1676872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342.7pt;margin-top:234.25pt;z-index:-1676872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284.4pt;margin-top:234.25pt;z-index:-1676871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226.75pt;margin-top:234.25pt;z-index:-1676871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191.9pt;margin-top:234.25pt;z-index:-16768708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12.7pt;margin-top:222.2pt;z-index:-16768704;width:2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38.3pt;margin-top:222.2pt;z-index:-1676870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73.55pt;margin-top:222.2pt;z-index:-1676869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08.15pt;margin-top:222.2pt;z-index:-1676869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42.7pt;margin-top:222.2pt;z-index:-1676868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284.4pt;margin-top:222.2pt;z-index:-167686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226.75pt;margin-top:222.2pt;z-index:-1676868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191.9pt;margin-top:222.2pt;z-index:-16768676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38.3pt;margin-top:210.1pt;z-index:-1676867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73.55pt;margin-top:210.1pt;z-index:-16768668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08.15pt;margin-top:210.1pt;z-index:-1676866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42.7pt;margin-top:210.1pt;z-index:-1676866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284.4pt;margin-top:210.1pt;z-index:-1676865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226.75pt;margin-top:210.1pt;z-index:-1676865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191.9pt;margin-top:210.1pt;z-index:-16768648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38.3pt;margin-top:198pt;z-index:-167686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73.55pt;margin-top:198pt;z-index:-1676864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08.15pt;margin-top:198pt;z-index:-1676863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42.7pt;margin-top:198pt;z-index:-1676863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284.4pt;margin-top:198pt;z-index:-1676862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26.75pt;margin-top:198pt;z-index:-16768624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191.9pt;margin-top:198pt;z-index:-16768620;width:3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12.7pt;margin-top:185.9pt;z-index:-16768616;width:2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38.3pt;margin-top:185.9pt;z-index:-1676861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96.6pt;margin-top:113.35pt;z-index:-16768608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73.55pt;margin-top:185.9pt;z-index:-1676860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38.3pt;margin-top:113.35pt;z-index:-16768600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08.15pt;margin-top:185.9pt;z-index:-16768596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73.55pt;margin-top:113.35pt;z-index:-16768592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42.7pt;margin-top:185.9pt;z-index:-16768588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08.15pt;margin-top:113.35pt;z-index:-16768584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284.4pt;margin-top:185.9pt;z-index:-1676858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42.7pt;margin-top:113.35pt;z-index:-16768576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226.75pt;margin-top:185.9pt;z-index:-1676857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284.4pt;margin-top:113.35pt;z-index:-16768568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191.9pt;margin-top:185.9pt;z-index:-16768564;width:3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226.75pt;margin-top:113.35pt;z-index:-16768560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12.7pt;margin-top:113.35pt;z-index:-16768556;width:2.7pt;height:7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191.9pt;margin-top:113.35pt;z-index:-16768552;width:2.7pt;height:7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26.9pt;margin-top:472.55pt;z-index:-16768548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93.05pt;margin-top:472.55pt;z-index:-16768544;width:7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167.75pt;margin-top:472.55pt;z-index:-16768540;width:7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242.4pt;margin-top:472.55pt;z-index:-16768536;width:7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17.1pt;margin-top:472.55pt;z-index:-16768532;width:75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91.05pt;margin-top:472.55pt;z-index:-16768528;width:75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91.05pt;margin-top:493.85pt;z-index:-16768524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17.1pt;margin-top:493.85pt;z-index:-16768520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242.4pt;margin-top:493.85pt;z-index:-16768516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167.75pt;margin-top:493.85pt;z-index:-16768512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93.05pt;margin-top:493.85pt;z-index:-16768508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26.9pt;margin-top:493.85pt;z-index:-1676850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91.05pt;margin-top:472.55pt;z-index:-16768500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391.05pt;margin-top:483.2pt;z-index:-16768496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317.1pt;margin-top:472.55pt;z-index:-16768492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317.1pt;margin-top:483.2pt;z-index:-16768488;width:75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242.4pt;margin-top:472.55pt;z-index:-16768484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242.4pt;margin-top:483.2pt;z-index:-16768480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167.75pt;margin-top:472.55pt;z-index:-16768476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167.75pt;margin-top:483.2pt;z-index:-16768472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93.05pt;margin-top:472.55pt;z-index:-16768468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93.05pt;margin-top:483.2pt;z-index:-16768464;width:7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26.9pt;margin-top:472.55pt;z-index:-16768460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26.9pt;margin-top:483.2pt;z-index:-16768456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12.7pt;margin-top:577.8pt;z-index:-167684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</w:p>
    <w:p>
      <w:pPr>
        <w:pStyle w:val="Normal"/>
        <w:framePr w:w="1631" w:hAnchor="page" w:vAnchor="page" w:x="274" w:y="1031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83  TechnipFMC</w:t>
      </w:r>
    </w:p>
    <w:p>
      <w:pPr>
        <w:pStyle w:val="Normal"/>
        <w:framePr w:w="4438" w:hAnchor="page" w:vAnchor="page" w:x="558" w:y="974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measure. The annual awards vest on March 8, 2025.</w:t>
      </w:r>
    </w:p>
    <w:p>
      <w:pPr>
        <w:pStyle w:val="Normal"/>
        <w:framePr w:w="13158" w:hAnchor="page" w:vAnchor="page" w:x="274" w:y="957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“RSU” awards are time-based restricted stock unit awards, “PSU-TSR” awards are market-based restricted stock unit awards based on the TSR performance</w:t>
      </w:r>
    </w:p>
    <w:p>
      <w:pPr>
        <w:pStyle w:val="Normal"/>
        <w:framePr w:w="1211" w:hAnchor="page" w:vAnchor="page" w:x="2772" w:y="92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ROIC</w:t>
      </w:r>
    </w:p>
    <w:p>
      <w:pPr>
        <w:pStyle w:val="Normal"/>
        <w:framePr w:w="888" w:hAnchor="page" w:vAnchor="page" w:x="4454" w:y="92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92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22,209</w:t>
      </w:r>
    </w:p>
    <w:p>
      <w:pPr>
        <w:pStyle w:val="Normal"/>
        <w:framePr w:w="737" w:hAnchor="page" w:vAnchor="page" w:x="8890" w:y="92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44,417</w:t>
      </w:r>
    </w:p>
    <w:p>
      <w:pPr>
        <w:pStyle w:val="Normal"/>
        <w:framePr w:w="737" w:hAnchor="page" w:vAnchor="page" w:x="9701" w:y="92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88,833</w:t>
      </w:r>
    </w:p>
    <w:p>
      <w:pPr>
        <w:pStyle w:val="Normal"/>
        <w:framePr w:w="838" w:hAnchor="page" w:vAnchor="page" w:x="11366" w:y="92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350,002</w:t>
      </w:r>
    </w:p>
    <w:p>
      <w:pPr>
        <w:pStyle w:val="Normal"/>
        <w:framePr w:w="1120" w:hAnchor="page" w:vAnchor="page" w:x="2772" w:y="90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TSR</w:t>
      </w:r>
    </w:p>
    <w:p>
      <w:pPr>
        <w:pStyle w:val="Normal"/>
        <w:framePr w:w="888" w:hAnchor="page" w:vAnchor="page" w:x="4454" w:y="90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91" w:y="90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11,104</w:t>
      </w:r>
    </w:p>
    <w:p>
      <w:pPr>
        <w:pStyle w:val="Normal"/>
        <w:framePr w:w="737" w:hAnchor="page" w:vAnchor="page" w:x="8890" w:y="90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44,417</w:t>
      </w:r>
    </w:p>
    <w:p>
      <w:pPr>
        <w:pStyle w:val="Normal"/>
        <w:framePr w:w="737" w:hAnchor="page" w:vAnchor="page" w:x="9701" w:y="90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88,833</w:t>
      </w:r>
    </w:p>
    <w:p>
      <w:pPr>
        <w:pStyle w:val="Normal"/>
        <w:framePr w:w="838" w:hAnchor="page" w:vAnchor="page" w:x="11366" w:y="90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350,002</w:t>
      </w:r>
    </w:p>
    <w:p>
      <w:pPr>
        <w:pStyle w:val="Normal"/>
        <w:framePr w:w="564" w:hAnchor="page" w:vAnchor="page" w:x="2772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RSU</w:t>
      </w:r>
    </w:p>
    <w:p>
      <w:pPr>
        <w:pStyle w:val="Normal"/>
        <w:framePr w:w="888" w:hAnchor="page" w:vAnchor="page" w:x="4454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10526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38,070</w:t>
      </w:r>
    </w:p>
    <w:p>
      <w:pPr>
        <w:pStyle w:val="Normal"/>
        <w:framePr w:w="838" w:hAnchor="page" w:vAnchor="page" w:x="11366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299,992</w:t>
      </w:r>
    </w:p>
    <w:p>
      <w:pPr>
        <w:pStyle w:val="Normal"/>
        <w:framePr w:w="1373" w:hAnchor="page" w:vAnchor="page" w:x="312" w:y="85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Victoria Lazar</w:t>
      </w:r>
    </w:p>
    <w:p>
      <w:pPr>
        <w:pStyle w:val="Normal"/>
        <w:framePr w:w="1525" w:hAnchor="page" w:vAnchor="page" w:x="2772" w:y="85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Annual Incentive</w:t>
      </w:r>
    </w:p>
    <w:p>
      <w:pPr>
        <w:pStyle w:val="Normal"/>
        <w:framePr w:w="585" w:hAnchor="page" w:vAnchor="page" w:x="4707" w:y="85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2022</w:t>
      </w:r>
    </w:p>
    <w:p>
      <w:pPr>
        <w:pStyle w:val="Normal"/>
        <w:framePr w:w="2194" w:hAnchor="page" w:vAnchor="page" w:x="5941" w:y="85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500,000  1,000,000</w:t>
      </w:r>
    </w:p>
    <w:p>
      <w:pPr>
        <w:pStyle w:val="Normal"/>
        <w:framePr w:w="1211" w:hAnchor="page" w:vAnchor="page" w:x="2772" w:y="83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ROIC</w:t>
      </w:r>
    </w:p>
    <w:p>
      <w:pPr>
        <w:pStyle w:val="Normal"/>
        <w:framePr w:w="888" w:hAnchor="page" w:vAnchor="page" w:x="4454" w:y="83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83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29,148</w:t>
      </w:r>
    </w:p>
    <w:p>
      <w:pPr>
        <w:pStyle w:val="Normal"/>
        <w:framePr w:w="1723" w:hAnchor="page" w:vAnchor="page" w:x="8890" w:y="83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58,296    116,592</w:t>
      </w:r>
    </w:p>
    <w:p>
      <w:pPr>
        <w:pStyle w:val="Normal"/>
        <w:framePr w:w="838" w:hAnchor="page" w:vAnchor="page" w:x="11366" w:y="83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459,372</w:t>
      </w:r>
    </w:p>
    <w:p>
      <w:pPr>
        <w:pStyle w:val="Normal"/>
        <w:framePr w:w="1120" w:hAnchor="page" w:vAnchor="page" w:x="2772" w:y="81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TSR</w:t>
      </w:r>
    </w:p>
    <w:p>
      <w:pPr>
        <w:pStyle w:val="Normal"/>
        <w:framePr w:w="888" w:hAnchor="page" w:vAnchor="page" w:x="4454" w:y="81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81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14,574</w:t>
      </w:r>
    </w:p>
    <w:p>
      <w:pPr>
        <w:pStyle w:val="Normal"/>
        <w:framePr w:w="1723" w:hAnchor="page" w:vAnchor="page" w:x="8890" w:y="81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58,296    116,592</w:t>
      </w:r>
    </w:p>
    <w:p>
      <w:pPr>
        <w:pStyle w:val="Normal"/>
        <w:framePr w:w="838" w:hAnchor="page" w:vAnchor="page" w:x="11366" w:y="81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459,372</w:t>
      </w:r>
    </w:p>
    <w:p>
      <w:pPr>
        <w:pStyle w:val="Normal"/>
        <w:framePr w:w="564" w:hAnchor="page" w:vAnchor="page" w:x="2772" w:y="795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RSU</w:t>
      </w:r>
    </w:p>
    <w:p>
      <w:pPr>
        <w:pStyle w:val="Normal"/>
        <w:framePr w:w="888" w:hAnchor="page" w:vAnchor="page" w:x="4454" w:y="795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10526" w:y="795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49,968</w:t>
      </w:r>
    </w:p>
    <w:p>
      <w:pPr>
        <w:pStyle w:val="Normal"/>
        <w:framePr w:w="838" w:hAnchor="page" w:vAnchor="page" w:x="11366" w:y="795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393,748</w:t>
      </w:r>
    </w:p>
    <w:p>
      <w:pPr>
        <w:pStyle w:val="Normal"/>
        <w:framePr w:w="1676" w:hAnchor="page" w:vAnchor="page" w:x="312" w:y="77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Jonathan Landes</w:t>
      </w:r>
    </w:p>
    <w:p>
      <w:pPr>
        <w:pStyle w:val="Normal"/>
        <w:framePr w:w="1525" w:hAnchor="page" w:vAnchor="page" w:x="2772" w:y="77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Annual Incentive</w:t>
      </w:r>
    </w:p>
    <w:p>
      <w:pPr>
        <w:pStyle w:val="Normal"/>
        <w:framePr w:w="585" w:hAnchor="page" w:vAnchor="page" w:x="4707" w:y="77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2022</w:t>
      </w:r>
    </w:p>
    <w:p>
      <w:pPr>
        <w:pStyle w:val="Normal"/>
        <w:framePr w:w="2194" w:hAnchor="page" w:vAnchor="page" w:x="5941" w:y="77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525,000  1,050,000</w:t>
      </w:r>
    </w:p>
    <w:p>
      <w:pPr>
        <w:pStyle w:val="Normal"/>
        <w:framePr w:w="1211" w:hAnchor="page" w:vAnchor="page" w:x="2772" w:y="75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ROIC</w:t>
      </w:r>
    </w:p>
    <w:p>
      <w:pPr>
        <w:pStyle w:val="Normal"/>
        <w:framePr w:w="888" w:hAnchor="page" w:vAnchor="page" w:x="4454" w:y="75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75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39,975</w:t>
      </w:r>
    </w:p>
    <w:p>
      <w:pPr>
        <w:pStyle w:val="Normal"/>
        <w:framePr w:w="1709" w:hAnchor="page" w:vAnchor="page" w:x="8890" w:y="75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79,950    159,899</w:t>
      </w:r>
    </w:p>
    <w:p>
      <w:pPr>
        <w:pStyle w:val="Normal"/>
        <w:framePr w:w="838" w:hAnchor="page" w:vAnchor="page" w:x="11366" w:y="75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630,002</w:t>
      </w:r>
    </w:p>
    <w:p>
      <w:pPr>
        <w:pStyle w:val="Normal"/>
        <w:framePr w:w="1120" w:hAnchor="page" w:vAnchor="page" w:x="2772" w:y="73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TSR</w:t>
      </w:r>
    </w:p>
    <w:p>
      <w:pPr>
        <w:pStyle w:val="Normal"/>
        <w:framePr w:w="888" w:hAnchor="page" w:vAnchor="page" w:x="4454" w:y="73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73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19,988</w:t>
      </w:r>
    </w:p>
    <w:p>
      <w:pPr>
        <w:pStyle w:val="Normal"/>
        <w:framePr w:w="1709" w:hAnchor="page" w:vAnchor="page" w:x="8890" w:y="73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79,950    159,899</w:t>
      </w:r>
    </w:p>
    <w:p>
      <w:pPr>
        <w:pStyle w:val="Normal"/>
        <w:framePr w:w="838" w:hAnchor="page" w:vAnchor="page" w:x="11366" w:y="73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630,002</w:t>
      </w:r>
    </w:p>
    <w:p>
      <w:pPr>
        <w:pStyle w:val="Normal"/>
        <w:framePr w:w="564" w:hAnchor="page" w:vAnchor="page" w:x="2772" w:y="709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RSU</w:t>
      </w:r>
    </w:p>
    <w:p>
      <w:pPr>
        <w:pStyle w:val="Normal"/>
        <w:framePr w:w="888" w:hAnchor="page" w:vAnchor="page" w:x="4454" w:y="709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10526" w:y="709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68,527</w:t>
      </w:r>
    </w:p>
    <w:p>
      <w:pPr>
        <w:pStyle w:val="Normal"/>
        <w:framePr w:w="838" w:hAnchor="page" w:vAnchor="page" w:x="11366" w:y="709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539,993</w:t>
      </w:r>
    </w:p>
    <w:p>
      <w:pPr>
        <w:pStyle w:val="Normal"/>
        <w:framePr w:w="1434" w:hAnchor="page" w:vAnchor="page" w:x="312" w:y="68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Justin Rounce</w:t>
      </w:r>
    </w:p>
    <w:p>
      <w:pPr>
        <w:pStyle w:val="Normal"/>
        <w:framePr w:w="1525" w:hAnchor="page" w:vAnchor="page" w:x="2772" w:y="68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Annual Incentive</w:t>
      </w:r>
    </w:p>
    <w:p>
      <w:pPr>
        <w:pStyle w:val="Normal"/>
        <w:framePr w:w="585" w:hAnchor="page" w:vAnchor="page" w:x="4707" w:y="68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2022</w:t>
      </w:r>
    </w:p>
    <w:p>
      <w:pPr>
        <w:pStyle w:val="Normal"/>
        <w:framePr w:w="2194" w:hAnchor="page" w:vAnchor="page" w:x="5941" w:y="68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600,000  1,200,000</w:t>
      </w:r>
    </w:p>
    <w:p>
      <w:pPr>
        <w:pStyle w:val="Normal"/>
        <w:framePr w:w="1211" w:hAnchor="page" w:vAnchor="page" w:x="2772" w:y="66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ROIC</w:t>
      </w:r>
    </w:p>
    <w:p>
      <w:pPr>
        <w:pStyle w:val="Normal"/>
        <w:framePr w:w="888" w:hAnchor="page" w:vAnchor="page" w:x="4454" w:y="66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66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43,306</w:t>
      </w:r>
    </w:p>
    <w:p>
      <w:pPr>
        <w:pStyle w:val="Normal"/>
        <w:framePr w:w="1709" w:hAnchor="page" w:vAnchor="page" w:x="8890" w:y="66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86,612    173,223</w:t>
      </w:r>
    </w:p>
    <w:p>
      <w:pPr>
        <w:pStyle w:val="Normal"/>
        <w:framePr w:w="838" w:hAnchor="page" w:vAnchor="page" w:x="11366" w:y="66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682,499</w:t>
      </w:r>
    </w:p>
    <w:p>
      <w:pPr>
        <w:pStyle w:val="Normal"/>
        <w:framePr w:w="1120" w:hAnchor="page" w:vAnchor="page" w:x="2772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TSR</w:t>
      </w:r>
    </w:p>
    <w:p>
      <w:pPr>
        <w:pStyle w:val="Normal"/>
        <w:framePr w:w="888" w:hAnchor="page" w:vAnchor="page" w:x="4454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8080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21,653</w:t>
      </w:r>
    </w:p>
    <w:p>
      <w:pPr>
        <w:pStyle w:val="Normal"/>
        <w:framePr w:w="1709" w:hAnchor="page" w:vAnchor="page" w:x="8890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86,612    173,223</w:t>
      </w:r>
    </w:p>
    <w:p>
      <w:pPr>
        <w:pStyle w:val="Normal"/>
        <w:framePr w:w="838" w:hAnchor="page" w:vAnchor="page" w:x="11366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682,499</w:t>
      </w:r>
    </w:p>
    <w:p>
      <w:pPr>
        <w:pStyle w:val="Normal"/>
        <w:framePr w:w="564" w:hAnchor="page" w:vAnchor="page" w:x="2772" w:y="62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RSU</w:t>
      </w:r>
    </w:p>
    <w:p>
      <w:pPr>
        <w:pStyle w:val="Normal"/>
        <w:framePr w:w="888" w:hAnchor="page" w:vAnchor="page" w:x="4454" w:y="62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737" w:hAnchor="page" w:vAnchor="page" w:x="10526" w:y="62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74,238</w:t>
      </w:r>
    </w:p>
    <w:p>
      <w:pPr>
        <w:pStyle w:val="Normal"/>
        <w:framePr w:w="838" w:hAnchor="page" w:vAnchor="page" w:x="11366" w:y="62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584,995</w:t>
      </w:r>
    </w:p>
    <w:p>
      <w:pPr>
        <w:pStyle w:val="Normal"/>
        <w:framePr w:w="938" w:hAnchor="page" w:vAnchor="page" w:x="312" w:y="60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Alf Melin</w:t>
      </w:r>
    </w:p>
    <w:p>
      <w:pPr>
        <w:pStyle w:val="Normal"/>
        <w:framePr w:w="1525" w:hAnchor="page" w:vAnchor="page" w:x="2772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Annual Incentive</w:t>
      </w:r>
    </w:p>
    <w:p>
      <w:pPr>
        <w:pStyle w:val="Normal"/>
        <w:framePr w:w="585" w:hAnchor="page" w:vAnchor="page" w:x="4707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2022</w:t>
      </w:r>
    </w:p>
    <w:p>
      <w:pPr>
        <w:pStyle w:val="Normal"/>
        <w:framePr w:w="2194" w:hAnchor="page" w:vAnchor="page" w:x="5941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650,000  1,300,000</w:t>
      </w:r>
    </w:p>
    <w:p>
      <w:pPr>
        <w:pStyle w:val="Normal"/>
        <w:framePr w:w="1211" w:hAnchor="page" w:vAnchor="page" w:x="2772" w:y="58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ROIC</w:t>
      </w:r>
    </w:p>
    <w:p>
      <w:pPr>
        <w:pStyle w:val="Normal"/>
        <w:framePr w:w="888" w:hAnchor="page" w:vAnchor="page" w:x="4454" w:y="58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2784" w:hAnchor="page" w:vAnchor="page" w:x="7995" w:y="58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215,419    430,838    861,675</w:t>
      </w:r>
    </w:p>
    <w:p>
      <w:pPr>
        <w:pStyle w:val="Normal"/>
        <w:framePr w:w="1340" w:hAnchor="page" w:vAnchor="page" w:x="10948" w:y="58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3,395,000</w:t>
      </w:r>
    </w:p>
    <w:p>
      <w:pPr>
        <w:pStyle w:val="Normal"/>
        <w:framePr w:w="1120" w:hAnchor="page" w:vAnchor="page" w:x="2772" w:y="56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PSU – TSR</w:t>
      </w:r>
    </w:p>
    <w:p>
      <w:pPr>
        <w:pStyle w:val="Normal"/>
        <w:framePr w:w="888" w:hAnchor="page" w:vAnchor="page" w:x="4454" w:y="56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2784" w:hAnchor="page" w:vAnchor="page" w:x="7995" w:y="56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107,710    430,838    861,675</w:t>
      </w:r>
    </w:p>
    <w:p>
      <w:pPr>
        <w:pStyle w:val="Normal"/>
        <w:framePr w:w="1340" w:hAnchor="page" w:vAnchor="page" w:x="10948" w:y="56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3,395,000</w:t>
      </w:r>
    </w:p>
    <w:p>
      <w:pPr>
        <w:pStyle w:val="Normal"/>
        <w:framePr w:w="564" w:hAnchor="page" w:vAnchor="page" w:x="2772" w:y="538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RSU</w:t>
      </w:r>
    </w:p>
    <w:p>
      <w:pPr>
        <w:pStyle w:val="Normal"/>
        <w:framePr w:w="888" w:hAnchor="page" w:vAnchor="page" w:x="4454" w:y="538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</w:p>
    <w:p>
      <w:pPr>
        <w:pStyle w:val="Normal"/>
        <w:framePr w:w="2330" w:hAnchor="page" w:vAnchor="page" w:x="10123" w:y="538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   369,289    2,909,997</w:t>
      </w:r>
    </w:p>
    <w:p>
      <w:pPr>
        <w:pStyle w:val="Normal"/>
        <w:framePr w:w="2010" w:hAnchor="page" w:vAnchor="page" w:x="312" w:y="51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Douglas J. Pferdehirt</w:t>
      </w:r>
    </w:p>
    <w:p>
      <w:pPr>
        <w:pStyle w:val="Normal"/>
        <w:framePr w:w="1525" w:hAnchor="page" w:vAnchor="page" w:x="2772" w:y="51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Annual Incentive</w:t>
      </w:r>
    </w:p>
    <w:p>
      <w:pPr>
        <w:pStyle w:val="Normal"/>
        <w:framePr w:w="585" w:hAnchor="page" w:vAnchor="page" w:x="4707" w:y="51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2022</w:t>
      </w:r>
    </w:p>
    <w:p>
      <w:pPr>
        <w:pStyle w:val="Normal"/>
        <w:framePr w:w="1962" w:hAnchor="page" w:vAnchor="page" w:x="6133" w:y="51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1,668,600  3,337,200</w:t>
      </w:r>
    </w:p>
    <w:p>
      <w:pPr>
        <w:pStyle w:val="Normal"/>
        <w:framePr w:w="676" w:hAnchor="page" w:vAnchor="page" w:x="326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Name</w:t>
      </w:r>
    </w:p>
    <w:p>
      <w:pPr>
        <w:pStyle w:val="Normal"/>
        <w:framePr w:w="677" w:hAnchor="page" w:vAnchor="page" w:x="2787" w:y="49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Type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574" w:hAnchor="page" w:vAnchor="page" w:x="4715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Date</w:t>
      </w:r>
    </w:p>
    <w:p>
      <w:pPr>
        <w:pStyle w:val="Normal"/>
        <w:framePr w:w="402" w:hAnchor="page" w:vAnchor="page" w:x="5798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475" w:hAnchor="page" w:vAnchor="page" w:x="6553" w:y="49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2</w:t>
      </w:r>
    </w:p>
    <w:p>
      <w:pPr>
        <w:pStyle w:val="Normal"/>
        <w:framePr w:w="402" w:hAnchor="page" w:vAnchor="page" w:x="7433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402" w:hAnchor="page" w:vAnchor="page" w:x="8358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(#)</w:t>
      </w:r>
    </w:p>
    <w:p>
      <w:pPr>
        <w:pStyle w:val="Normal"/>
        <w:framePr w:w="402" w:hAnchor="page" w:vAnchor="page" w:x="9169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(#)</w:t>
      </w:r>
    </w:p>
    <w:p>
      <w:pPr>
        <w:pStyle w:val="Normal"/>
        <w:framePr w:w="402" w:hAnchor="page" w:vAnchor="page" w:x="9979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(#)</w:t>
      </w:r>
    </w:p>
    <w:p>
      <w:pPr>
        <w:pStyle w:val="Normal"/>
        <w:framePr w:w="402" w:hAnchor="page" w:vAnchor="page" w:x="10804" w:y="49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(#)</w:t>
      </w:r>
    </w:p>
    <w:p>
      <w:pPr>
        <w:pStyle w:val="Normal"/>
        <w:framePr w:w="1132" w:hAnchor="page" w:vAnchor="page" w:x="11114" w:y="49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Awards($)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3</w:t>
      </w:r>
    </w:p>
    <w:p>
      <w:pPr>
        <w:pStyle w:val="Normal"/>
        <w:framePr w:w="787" w:hAnchor="page" w:vAnchor="page" w:x="2787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 xml:space="preserve">Award </w:t>
      </w:r>
    </w:p>
    <w:p>
      <w:pPr>
        <w:pStyle w:val="Normal"/>
        <w:framePr w:w="665" w:hAnchor="page" w:vAnchor="page" w:x="4640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Grant</w:t>
      </w:r>
    </w:p>
    <w:p>
      <w:pPr>
        <w:pStyle w:val="Normal"/>
        <w:framePr w:w="1059" w:hAnchor="page" w:vAnchor="page" w:x="5250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Threshold</w:t>
      </w:r>
    </w:p>
    <w:p>
      <w:pPr>
        <w:pStyle w:val="Normal"/>
        <w:framePr w:w="736" w:hAnchor="page" w:vAnchor="page" w:x="6356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Target</w:t>
      </w:r>
    </w:p>
    <w:p>
      <w:pPr>
        <w:pStyle w:val="Normal"/>
        <w:framePr w:w="1019" w:hAnchor="page" w:vAnchor="page" w:x="6919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Maximum</w:t>
      </w:r>
    </w:p>
    <w:p>
      <w:pPr>
        <w:pStyle w:val="Normal"/>
        <w:framePr w:w="1132" w:hAnchor="page" w:vAnchor="page" w:x="7740" w:y="474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Threshold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4</w:t>
      </w:r>
    </w:p>
    <w:p>
      <w:pPr>
        <w:pStyle w:val="Normal"/>
        <w:framePr w:w="736" w:hAnchor="page" w:vAnchor="page" w:x="8902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Target</w:t>
      </w:r>
    </w:p>
    <w:p>
      <w:pPr>
        <w:pStyle w:val="Normal"/>
        <w:framePr w:w="1019" w:hAnchor="page" w:vAnchor="page" w:x="9466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Maximum</w:t>
      </w:r>
    </w:p>
    <w:p>
      <w:pPr>
        <w:pStyle w:val="Normal"/>
        <w:framePr w:w="867" w:hAnchor="page" w:vAnchor="page" w:x="10417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or Units</w:t>
      </w:r>
    </w:p>
    <w:p>
      <w:pPr>
        <w:pStyle w:val="Normal"/>
        <w:framePr w:w="766" w:hAnchor="page" w:vAnchor="page" w:x="11426" w:y="47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</w:t>
      </w:r>
    </w:p>
    <w:p>
      <w:pPr>
        <w:pStyle w:val="Normal"/>
        <w:framePr w:w="898" w:hAnchor="page" w:vAnchor="page" w:x="10392" w:y="45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of Stock</w:t>
      </w:r>
    </w:p>
    <w:p>
      <w:pPr>
        <w:pStyle w:val="Normal"/>
        <w:framePr w:w="1050" w:hAnchor="page" w:vAnchor="page" w:x="11190" w:y="45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Stock and</w:t>
      </w:r>
    </w:p>
    <w:p>
      <w:pPr>
        <w:pStyle w:val="Normal"/>
        <w:framePr w:w="1009" w:hAnchor="page" w:vAnchor="page" w:x="10299" w:y="44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of Shares</w:t>
      </w:r>
    </w:p>
    <w:p>
      <w:pPr>
        <w:pStyle w:val="Normal"/>
        <w:framePr w:w="888" w:hAnchor="page" w:vAnchor="page" w:x="11333" w:y="44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Value of</w:t>
      </w:r>
    </w:p>
    <w:p>
      <w:pPr>
        <w:pStyle w:val="Normal"/>
        <w:framePr w:w="867" w:hAnchor="page" w:vAnchor="page" w:x="10417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Number</w:t>
      </w:r>
    </w:p>
    <w:p>
      <w:pPr>
        <w:pStyle w:val="Normal"/>
        <w:framePr w:w="959" w:hAnchor="page" w:vAnchor="page" w:x="11266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Date Fair</w:t>
      </w:r>
    </w:p>
    <w:p>
      <w:pPr>
        <w:pStyle w:val="Normal"/>
        <w:framePr w:w="665" w:hAnchor="page" w:vAnchor="page" w:x="11510" w:y="408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Grant</w:t>
      </w:r>
    </w:p>
    <w:p>
      <w:pPr>
        <w:pStyle w:val="Normal"/>
        <w:framePr w:w="1025" w:hAnchor="page" w:vAnchor="page" w:x="10267" w:y="397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MMCQTV+Calibri-Bold" w:hAnsi="MMCQTV+Calibri-Bold" w:fareast="MMCQTV+Calibri-Bold" w:cs="MMCQTV+Calibri-Bold"/>
          <w:color w:val="ffffff"/>
          <w:w w:val="100"/>
          <w:sz w:val="21"/>
          <w:szCs w:val="21"/>
        </w:rPr>
      </w:pPr>
      <w:r>
        <w:rPr>
          <w:rFonts w:ascii="MMCQTV+Calibri-Bold" w:hAnsi="MMCQTV+Calibri-Bold" w:fareast="MMCQTV+Calibri-Bold" w:cs="MMCQTV+Calibri-Bold"/>
          <w:color w:val="ffffff"/>
          <w:w w:val="100"/>
          <w:sz w:val="21"/>
          <w:szCs w:val="21"/>
        </w:rPr>
        <w:t>Awards:</w:t>
      </w:r>
    </w:p>
    <w:p>
      <w:pPr>
        <w:pStyle w:val="Normal"/>
        <w:framePr w:w="1272" w:hAnchor="page" w:vAnchor="page" w:x="5922" w:y="38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Plan Awards</w:t>
      </w:r>
    </w:p>
    <w:p>
      <w:pPr>
        <w:pStyle w:val="Normal"/>
        <w:framePr w:w="837" w:hAnchor="page" w:vAnchor="page" w:x="8664" w:y="38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Awards</w:t>
      </w:r>
    </w:p>
    <w:p>
      <w:pPr>
        <w:pStyle w:val="Normal"/>
        <w:framePr w:w="675" w:hAnchor="page" w:vAnchor="page" w:x="10577" w:y="38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Stock</w:t>
      </w:r>
    </w:p>
    <w:p>
      <w:pPr>
        <w:pStyle w:val="Normal"/>
        <w:framePr w:w="2546" w:hAnchor="page" w:vAnchor="page" w:x="5391" w:y="36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under Non-Equity Incentive</w:t>
      </w:r>
    </w:p>
    <w:p>
      <w:pPr>
        <w:pStyle w:val="Normal"/>
        <w:framePr w:w="2566" w:hAnchor="page" w:vAnchor="page" w:x="7942" w:y="36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under Equity Incentive Plan</w:t>
      </w:r>
    </w:p>
    <w:p>
      <w:pPr>
        <w:pStyle w:val="Normal"/>
        <w:framePr w:w="948" w:hAnchor="page" w:vAnchor="page" w:x="10350" w:y="36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All Other</w:t>
      </w:r>
    </w:p>
    <w:p>
      <w:pPr>
        <w:pStyle w:val="Normal"/>
        <w:framePr w:w="2607" w:hAnchor="page" w:vAnchor="page" w:x="5365" w:y="34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Estimated Possible Payouts</w:t>
      </w:r>
    </w:p>
    <w:p>
      <w:pPr>
        <w:pStyle w:val="Normal"/>
        <w:framePr w:w="2607" w:hAnchor="page" w:vAnchor="page" w:x="7926" w:y="34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Estimated Possible Payouts</w:t>
      </w:r>
    </w:p>
    <w:p>
      <w:pPr>
        <w:pStyle w:val="Normal"/>
        <w:framePr w:w="8447" w:hAnchor="page" w:vAnchor="page" w:x="274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Shown below is information with respect to plan-based awards made in 2022 to each NEO.</w:t>
      </w:r>
    </w:p>
    <w:p>
      <w:pPr>
        <w:pStyle w:val="Normal"/>
        <w:framePr w:w="7429" w:hAnchor="page" w:vAnchor="page" w:x="274" w:y="2381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Grants of Plan-Based Awards Table</w:t>
      </w:r>
    </w:p>
    <w:p>
      <w:pPr>
        <w:pStyle w:val="Normal"/>
        <w:framePr w:w="13365" w:hAnchor="page" w:vAnchor="page" w:x="558" w:y="203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►  Ms. Lazar – contributions to the U.S. Qualified Savings Plan and U.S. Non-Qualified Savings Plan of $25,751 and Company-paid life insurance premium of $23.</w:t>
      </w:r>
    </w:p>
    <w:p>
      <w:pPr>
        <w:pStyle w:val="Normal"/>
        <w:framePr w:w="2435" w:hAnchor="page" w:vAnchor="page" w:x="843" w:y="18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insurance premium of $184.</w:t>
      </w:r>
    </w:p>
    <w:p>
      <w:pPr>
        <w:pStyle w:val="Normal"/>
        <w:framePr w:w="13525" w:hAnchor="page" w:vAnchor="page" w:x="558" w:y="169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►  Mr. Landes – contributions to the U.S. Qualified Savings Plan and U.S. Non-Qualified Savings Plan of $52,857, Auto Allowance of $18,000 and Company-paid life</w:t>
      </w:r>
    </w:p>
    <w:p>
      <w:pPr>
        <w:pStyle w:val="Normal"/>
        <w:framePr w:w="13597" w:hAnchor="page" w:vAnchor="page" w:x="558" w:y="152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►  Mr. Rounce – contributions to the U.S. Qualified Savings Plan and U.S. Non-Qualified Savings Plan of $81,181 and Company-paid life insurance premium of $281.</w:t>
      </w:r>
    </w:p>
    <w:p>
      <w:pPr>
        <w:pStyle w:val="Normal"/>
        <w:framePr w:w="13405" w:hAnchor="page" w:vAnchor="page" w:x="558" w:y="135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►  Mr. Melin – contributions to the U.S. Qualified Savings Plan and U.S. Non-Qualified Savings Plan of $56,851 and Company-paid life insurance premium of $304.</w:t>
      </w:r>
    </w:p>
    <w:p>
      <w:pPr>
        <w:pStyle w:val="Normal"/>
        <w:framePr w:w="3113" w:hAnchor="page" w:vAnchor="page" w:x="843" w:y="11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paid life insurance premium of $578.</w:t>
      </w:r>
    </w:p>
    <w:p>
      <w:pPr>
        <w:pStyle w:val="Normal"/>
        <w:framePr w:w="12903" w:hAnchor="page" w:vAnchor="page" w:x="843" w:y="100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of $19,360, personal use of Company automobile of $23,097, club dues of $5,378, spousal travel of $9,614, taxable travel expenses of $1,554, and Company-</w:t>
      </w:r>
    </w:p>
    <w:p>
      <w:pPr>
        <w:pStyle w:val="Normal"/>
        <w:framePr w:w="13494" w:hAnchor="page" w:vAnchor="page" w:x="558" w:y="8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►  Mr. Pferdehirt – contributions to the U.S. Qualified Savings Plan and U.S. Non-Qualified Savings Plan of $209,382, financial planning and personal tax assistance</w:t>
      </w:r>
    </w:p>
    <w:p>
      <w:pPr>
        <w:pStyle w:val="Normal"/>
        <w:framePr w:w="9956" w:hAnchor="page" w:vAnchor="page" w:x="274" w:y="5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(5) The amounts reflected in the All Other Compensation column for the fiscal year ended December 31, 2022 represent: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7pt;margin-top:1pt;z-index:-1676844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12.7pt;margin-top:169.55pt;z-index:-16768444;width:125.05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135.75pt;margin-top:169.55pt;z-index:-16768440;width:72.4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206.15pt;margin-top:169.55pt;z-index:-16768436;width:48.95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253.1pt;margin-top:169.55pt;z-index:-16768432;width:130.75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81.8pt;margin-top:169.55pt;z-index:-16768428;width:129.3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09.1pt;margin-top:169.55pt;z-index:-16768424;width:43.25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50.35pt;margin-top:169.55pt;z-index:-16768420;width:48.25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12.7pt;margin-top:198pt;z-index:-16768416;width:125.0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135.75pt;margin-top:198pt;z-index:-16768412;width:72.4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206.15pt;margin-top:198pt;z-index:-16768408;width:48.9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253.1pt;margin-top:198pt;z-index:-16768404;width:48.9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00pt;margin-top:198pt;z-index:-16768400;width:43.2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41.25pt;margin-top:198pt;z-index:-16768396;width:42.5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81.8pt;margin-top:198pt;z-index:-16768392;width:48.2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28.05pt;margin-top:198pt;z-index:-16768388;width:42.5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68.6pt;margin-top:198pt;z-index:-16768384;width:42.5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09.1pt;margin-top:198pt;z-index:-16768380;width:43.2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50.35pt;margin-top:198pt;z-index:-16768376;width:48.25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12.7pt;margin-top:298.3pt;z-index:-16768372;width:125.05pt;height:4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135.75pt;margin-top:298.3pt;z-index:-16768368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06.15pt;margin-top:298.3pt;z-index:-16768364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53.1pt;margin-top:298.3pt;z-index:-1676836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300pt;margin-top:298.3pt;z-index:-1676835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341.25pt;margin-top:298.3pt;z-index:-16768352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81.8pt;margin-top:298.3pt;z-index:-1676834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428.05pt;margin-top:298.3pt;z-index:-16768344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68.6pt;margin-top:298.3pt;z-index:-1676834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09.1pt;margin-top:298.3pt;z-index:-1676833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50.35pt;margin-top:298.3pt;z-index:-16768332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35.75pt;margin-top:308.95pt;z-index:-16768328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206.15pt;margin-top:308.95pt;z-index:-16768324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253.1pt;margin-top:308.95pt;z-index:-1676832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00pt;margin-top:308.95pt;z-index:-1676831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41.25pt;margin-top:308.95pt;z-index:-16768312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81.8pt;margin-top:308.95pt;z-index:-1676830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28.05pt;margin-top:308.95pt;z-index:-16768304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68.6pt;margin-top:308.95pt;z-index:-1676830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09.1pt;margin-top:308.95pt;z-index:-1676829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50.35pt;margin-top:308.95pt;z-index:-16768292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35.75pt;margin-top:319.6pt;z-index:-16768288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206.15pt;margin-top:319.6pt;z-index:-16768284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253.1pt;margin-top:319.6pt;z-index:-1676828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300pt;margin-top:319.6pt;z-index:-1676827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341.25pt;margin-top:319.6pt;z-index:-16768272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381.8pt;margin-top:319.6pt;z-index:-1676826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28.05pt;margin-top:319.6pt;z-index:-16768264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68.6pt;margin-top:319.6pt;z-index:-1676826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09.1pt;margin-top:319.6pt;z-index:-1676825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50.35pt;margin-top:319.6pt;z-index:-16768252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135.75pt;margin-top:330.3pt;z-index:-16768248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206.15pt;margin-top:330.3pt;z-index:-16768244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253.1pt;margin-top:330.3pt;z-index:-1676824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00pt;margin-top:330.3pt;z-index:-1676823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41.25pt;margin-top:330.3pt;z-index:-16768232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81.8pt;margin-top:330.3pt;z-index:-1676822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28.05pt;margin-top:330.3pt;z-index:-16768224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8.6pt;margin-top:330.3pt;z-index:-1676822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09.1pt;margin-top:330.3pt;z-index:-16768216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50.35pt;margin-top:330.3pt;z-index:-16768212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2.7pt;margin-top:383.65pt;z-index:-16768208;width:125.05pt;height:4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135.75pt;margin-top:383.65pt;z-index:-16768204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206.15pt;margin-top:383.65pt;z-index:-1676820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253.1pt;margin-top:383.65pt;z-index:-16768196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00pt;margin-top:383.65pt;z-index:-1676819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41.25pt;margin-top:383.65pt;z-index:-16768188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381.8pt;margin-top:383.65pt;z-index:-16768184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28.05pt;margin-top:383.65pt;z-index:-1676818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68.6pt;margin-top:383.65pt;z-index:-16768176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09.1pt;margin-top:383.65pt;z-index:-1676817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50.35pt;margin-top:383.65pt;z-index:-1676816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135.75pt;margin-top:394.3pt;z-index:-16768164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206.15pt;margin-top:394.3pt;z-index:-1676816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253.1pt;margin-top:394.3pt;z-index:-16768156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00pt;margin-top:394.3pt;z-index:-1676815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41.25pt;margin-top:394.3pt;z-index:-16768148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81.8pt;margin-top:394.3pt;z-index:-16768144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28.05pt;margin-top:394.3pt;z-index:-1676814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68.6pt;margin-top:394.3pt;z-index:-16768136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09.1pt;margin-top:394.3pt;z-index:-1676813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50.35pt;margin-top:394.3pt;z-index:-1676812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135.75pt;margin-top:404.95pt;z-index:-16768124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206.15pt;margin-top:404.95pt;z-index:-1676812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253.1pt;margin-top:404.95pt;z-index:-16768116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300pt;margin-top:404.95pt;z-index:-1676811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341.25pt;margin-top:404.95pt;z-index:-16768108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81.8pt;margin-top:404.95pt;z-index:-16768104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28.05pt;margin-top:404.95pt;z-index:-1676810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68.6pt;margin-top:404.95pt;z-index:-16768096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09.1pt;margin-top:404.95pt;z-index:-1676809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50.35pt;margin-top:404.95pt;z-index:-1676808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35.75pt;margin-top:415.65pt;z-index:-16768084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206.15pt;margin-top:415.65pt;z-index:-16768080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253.1pt;margin-top:415.65pt;z-index:-16768076;width:48.9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300pt;margin-top:415.65pt;z-index:-1676807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41.25pt;margin-top:415.65pt;z-index:-16768068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81.8pt;margin-top:415.65pt;z-index:-16768064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28.05pt;margin-top:415.65pt;z-index:-16768060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68.6pt;margin-top:415.65pt;z-index:-16768056;width:42.5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09.1pt;margin-top:415.65pt;z-index:-16768052;width:43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50.35pt;margin-top:415.65pt;z-index:-16768048;width:48.2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50.35pt;margin-top:469pt;z-index:-1676804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09.1pt;margin-top:469pt;z-index:-167680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68.6pt;margin-top:469pt;z-index:-167680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28.05pt;margin-top:469pt;z-index:-167680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81.8pt;margin-top:469pt;z-index:-1676802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41.25pt;margin-top:469pt;z-index:-167680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00pt;margin-top:469pt;z-index:-167680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253.1pt;margin-top:469pt;z-index:-1676801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206.15pt;margin-top:469pt;z-index:-1676801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135.75pt;margin-top:469pt;z-index:-1676800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550.35pt;margin-top:458.3pt;z-index:-1676800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09.1pt;margin-top:458.3pt;z-index:-167680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68.6pt;margin-top:458.3pt;z-index:-167679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28.05pt;margin-top:458.3pt;z-index:-167679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81.8pt;margin-top:458.3pt;z-index:-1676798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41.25pt;margin-top:458.3pt;z-index:-167679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00pt;margin-top:458.3pt;z-index:-167679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253.1pt;margin-top:458.3pt;z-index:-1676797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206.15pt;margin-top:458.3pt;z-index:-1676797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135.75pt;margin-top:458.3pt;z-index:-1676796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50.35pt;margin-top:447.65pt;z-index:-1676796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09.1pt;margin-top:447.65pt;z-index:-167679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68.6pt;margin-top:447.65pt;z-index:-167679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28.05pt;margin-top:447.65pt;z-index:-167679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81.8pt;margin-top:447.65pt;z-index:-1676794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41.25pt;margin-top:447.65pt;z-index:-167679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00pt;margin-top:447.65pt;z-index:-167679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53.1pt;margin-top:447.65pt;z-index:-1676793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06.15pt;margin-top:447.65pt;z-index:-1676793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135.75pt;margin-top:447.65pt;z-index:-1676792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50.35pt;margin-top:436.95pt;z-index:-1676792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09.1pt;margin-top:436.95pt;z-index:-167679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68.6pt;margin-top:436.95pt;z-index:-167679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28.05pt;margin-top:436.95pt;z-index:-167679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381.8pt;margin-top:436.95pt;z-index:-1676790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341.25pt;margin-top:436.95pt;z-index:-167679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00pt;margin-top:436.95pt;z-index:-167679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253.1pt;margin-top:436.95pt;z-index:-1676789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206.15pt;margin-top:436.95pt;z-index:-1676789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135.75pt;margin-top:436.95pt;z-index:-1676788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50.35pt;margin-top:426.3pt;z-index:-1676788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509.1pt;margin-top:426.3pt;z-index:-167678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68.6pt;margin-top:426.3pt;z-index:-1676787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28.05pt;margin-top:426.3pt;z-index:-167678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381.8pt;margin-top:426.3pt;z-index:-1676786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341.25pt;margin-top:426.3pt;z-index:-167678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300pt;margin-top:426.3pt;z-index:-167678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253.1pt;margin-top:426.3pt;z-index:-1676785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206.15pt;margin-top:426.3pt;z-index:-1676785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135.75pt;margin-top:426.3pt;z-index:-1676784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50.35pt;margin-top:415.65pt;z-index:-1676784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09.1pt;margin-top:415.65pt;z-index:-167678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468.6pt;margin-top:415.65pt;z-index:-167678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428.05pt;margin-top:415.65pt;z-index:-167678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81.8pt;margin-top:415.65pt;z-index:-1676782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41.25pt;margin-top:415.65pt;z-index:-167678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300pt;margin-top:415.65pt;z-index:-167678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253.1pt;margin-top:415.65pt;z-index:-1676781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206.15pt;margin-top:415.65pt;z-index:-1676781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135.75pt;margin-top:415.65pt;z-index:-1676780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50.35pt;margin-top:404.95pt;z-index:-1676780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09.1pt;margin-top:404.95pt;z-index:-167678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68.6pt;margin-top:404.95pt;z-index:-167677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28.05pt;margin-top:404.95pt;z-index:-167677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81.8pt;margin-top:404.95pt;z-index:-1676778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41.25pt;margin-top:404.95pt;z-index:-167677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00pt;margin-top:404.95pt;z-index:-167677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253.1pt;margin-top:404.95pt;z-index:-1676777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206.15pt;margin-top:404.95pt;z-index:-1676777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135.75pt;margin-top:404.95pt;z-index:-1676776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50.35pt;margin-top:394.3pt;z-index:-1676776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09.1pt;margin-top:394.3pt;z-index:-167677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68.6pt;margin-top:394.3pt;z-index:-167677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28.05pt;margin-top:394.3pt;z-index:-167677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381.8pt;margin-top:394.3pt;z-index:-1676774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41.25pt;margin-top:394.3pt;z-index:-167677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00pt;margin-top:394.3pt;z-index:-167677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253.1pt;margin-top:394.3pt;z-index:-1676773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206.15pt;margin-top:394.3pt;z-index:-1676773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35.75pt;margin-top:394.3pt;z-index:-1676772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50.35pt;margin-top:383.65pt;z-index:-1676772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09.1pt;margin-top:383.65pt;z-index:-167677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68.6pt;margin-top:383.65pt;z-index:-167677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28.05pt;margin-top:383.65pt;z-index:-167677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381.8pt;margin-top:383.65pt;z-index:-1676770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341.25pt;margin-top:383.65pt;z-index:-167677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300pt;margin-top:383.65pt;z-index:-167677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253.1pt;margin-top:383.65pt;z-index:-1676769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206.15pt;margin-top:383.65pt;z-index:-1676769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135.75pt;margin-top:383.65pt;z-index:-1676768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50.35pt;margin-top:372.95pt;z-index:-1676768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09.1pt;margin-top:372.95pt;z-index:-167676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68.6pt;margin-top:372.95pt;z-index:-1676767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28.05pt;margin-top:372.95pt;z-index:-167676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81.8pt;margin-top:372.95pt;z-index:-1676766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41.25pt;margin-top:372.95pt;z-index:-167676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300pt;margin-top:372.95pt;z-index:-167676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253.1pt;margin-top:372.95pt;z-index:-1676765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206.15pt;margin-top:372.95pt;z-index:-1676765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135.75pt;margin-top:372.95pt;z-index:-1676764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50.35pt;margin-top:362.3pt;z-index:-1676764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09.1pt;margin-top:362.3pt;z-index:-167676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68.6pt;margin-top:362.3pt;z-index:-167676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428.05pt;margin-top:362.3pt;z-index:-167676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81.8pt;margin-top:362.3pt;z-index:-1676762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41.25pt;margin-top:362.3pt;z-index:-167676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00pt;margin-top:362.3pt;z-index:-167676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53.1pt;margin-top:362.3pt;z-index:-1676761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206.15pt;margin-top:362.3pt;z-index:-1676761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135.75pt;margin-top:362.3pt;z-index:-1676760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50.35pt;margin-top:351.65pt;z-index:-1676760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509.1pt;margin-top:351.65pt;z-index:-167676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68.6pt;margin-top:351.65pt;z-index:-1676759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28.05pt;margin-top:351.65pt;z-index:-167675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81.8pt;margin-top:351.65pt;z-index:-1676758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341.25pt;margin-top:351.65pt;z-index:-167675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00pt;margin-top:351.65pt;z-index:-167675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253.1pt;margin-top:351.65pt;z-index:-1676757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206.15pt;margin-top:351.65pt;z-index:-1676757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135.75pt;margin-top:351.65pt;z-index:-1676756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50.35pt;margin-top:340.95pt;z-index:-1676756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09.1pt;margin-top:340.95pt;z-index:-167675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68.6pt;margin-top:340.95pt;z-index:-167675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28.05pt;margin-top:340.95pt;z-index:-167675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81.8pt;margin-top:340.95pt;z-index:-1676754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341.25pt;margin-top:340.95pt;z-index:-167675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300pt;margin-top:340.95pt;z-index:-167675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253.1pt;margin-top:340.95pt;z-index:-1676753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206.15pt;margin-top:340.95pt;z-index:-1676753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135.75pt;margin-top:340.95pt;z-index:-1676752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50.35pt;margin-top:330.3pt;z-index:-1676752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09.1pt;margin-top:330.3pt;z-index:-167675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68.6pt;margin-top:330.3pt;z-index:-167675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28.05pt;margin-top:330.3pt;z-index:-1676751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81.8pt;margin-top:330.3pt;z-index:-1676750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41.25pt;margin-top:330.3pt;z-index:-1676750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00pt;margin-top:330.3pt;z-index:-167675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253.1pt;margin-top:330.3pt;z-index:-1676749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206.15pt;margin-top:330.3pt;z-index:-1676749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135.75pt;margin-top:330.3pt;z-index:-1676748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50.35pt;margin-top:319.6pt;z-index:-1676748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09.1pt;margin-top:319.6pt;z-index:-167674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68.6pt;margin-top:319.6pt;z-index:-1676747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428.05pt;margin-top:319.6pt;z-index:-167674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81.8pt;margin-top:319.6pt;z-index:-1676746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41.25pt;margin-top:319.6pt;z-index:-1676746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00pt;margin-top:319.6pt;z-index:-167674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53.1pt;margin-top:319.6pt;z-index:-1676745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206.15pt;margin-top:319.6pt;z-index:-1676745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135.75pt;margin-top:319.6pt;z-index:-1676744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50.35pt;margin-top:308.95pt;z-index:-1676744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09.1pt;margin-top:308.95pt;z-index:-167674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468.6pt;margin-top:308.95pt;z-index:-1676743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28.05pt;margin-top:308.95pt;z-index:-1676743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81.8pt;margin-top:308.95pt;z-index:-1676742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341.25pt;margin-top:308.95pt;z-index:-1676742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300pt;margin-top:298.3pt;z-index:-167674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300pt;margin-top:308.95pt;z-index:-167674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253.1pt;margin-top:308.95pt;z-index:-1676741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206.15pt;margin-top:308.95pt;z-index:-16767408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135.75pt;margin-top:308.95pt;z-index:-1676740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50.35pt;margin-top:298.3pt;z-index:-16767400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509.1pt;margin-top:298.3pt;z-index:-167673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68.6pt;margin-top:298.3pt;z-index:-1676739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28.05pt;margin-top:298.3pt;z-index:-1676738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81.8pt;margin-top:298.3pt;z-index:-1676738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41.25pt;margin-top:298.3pt;z-index:-1676738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53.1pt;margin-top:298.3pt;z-index:-1676737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206.15pt;margin-top:298.3pt;z-index:-16767372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135.75pt;margin-top:298.3pt;z-index:-1676736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50.35pt;margin-top:287.6pt;z-index:-16767364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09.1pt;margin-top:287.6pt;z-index:-167673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68.6pt;margin-top:287.6pt;z-index:-1676735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28.05pt;margin-top:287.6pt;z-index:-1676735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81.8pt;margin-top:287.6pt;z-index:-1676734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41.25pt;margin-top:287.6pt;z-index:-1676734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253.1pt;margin-top:287.6pt;z-index:-16767340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206.15pt;margin-top:287.6pt;z-index:-16767336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135.75pt;margin-top:287.6pt;z-index:-16767332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50.35pt;margin-top:276.95pt;z-index:-16767328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09.1pt;margin-top:276.95pt;z-index:-167673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68.6pt;margin-top:276.95pt;z-index:-1676732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28.05pt;margin-top:276.95pt;z-index:-16767316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81.8pt;margin-top:276.95pt;z-index:-1676731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41.25pt;margin-top:276.95pt;z-index:-16767308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253.1pt;margin-top:276.95pt;z-index:-1676730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206.15pt;margin-top:276.95pt;z-index:-16767300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135.75pt;margin-top:276.95pt;z-index:-1676729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550.35pt;margin-top:266.3pt;z-index:-1676729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509.1pt;margin-top:266.3pt;z-index:-167672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68.6pt;margin-top:266.3pt;z-index:-16767284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28.05pt;margin-top:266.3pt;z-index:-16767280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81.8pt;margin-top:266.3pt;z-index:-167672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341.25pt;margin-top:266.3pt;z-index:-16767272;width:4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253.1pt;margin-top:266.3pt;z-index:-1676726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206.15pt;margin-top:266.3pt;z-index:-16767264;width:48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135.75pt;margin-top:266.3pt;z-index:-1676726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96.6pt;margin-top:198pt;z-index:-1676725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50.35pt;margin-top:198pt;z-index:-16767252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09.1pt;margin-top:198pt;z-index:-16767248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68.6pt;margin-top:198pt;z-index:-16767244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28.05pt;margin-top:198pt;z-index:-16767240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381.8pt;margin-top:198pt;z-index:-1676723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341.25pt;margin-top:198pt;z-index:-16767232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300pt;margin-top:198pt;z-index:-16767228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253.1pt;margin-top:198pt;z-index:-16767224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206.15pt;margin-top:198pt;z-index:-16767220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12.7pt;margin-top:198pt;z-index:-1676721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135.75pt;margin-top:198pt;z-index:-16767212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96.6pt;margin-top:169.55pt;z-index:-16767208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50.35pt;margin-top:169.55pt;z-index:-16767204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09.1pt;margin-top:169.55pt;z-index:-16767200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381.8pt;margin-top:169.55pt;z-index:-16767196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253.1pt;margin-top:169.55pt;z-index:-16767192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206.15pt;margin-top:169.55pt;z-index:-16767188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12.7pt;margin-top:169.55pt;z-index:-16767184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135.75pt;margin-top:169.55pt;z-index:-16767180;width:2.7pt;height:30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12.7pt;margin-top:531.55pt;z-index:-167671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</w:p>
    <w:p>
      <w:pPr>
        <w:pStyle w:val="Normal"/>
        <w:framePr w:w="1631" w:hAnchor="page" w:vAnchor="page" w:x="274" w:y="218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84  TechnipFMC</w:t>
      </w:r>
    </w:p>
    <w:p>
      <w:pPr>
        <w:pStyle w:val="Normal"/>
        <w:framePr w:w="14082" w:hAnchor="page" w:vAnchor="page" w:x="274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32373f"/>
          <w:w w:val="100"/>
          <w:sz w:val="17"/>
          <w:szCs w:val="17"/>
        </w:rPr>
        <w:t>Incentives</w:t>
      </w: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.” Dividend equivalents, where allowed, are accumulated on RSU and PSU awards and are payable only if and when the RSUs and PSUs vest.</w:t>
      </w:r>
    </w:p>
    <w:p>
      <w:pPr>
        <w:pStyle w:val="Normal"/>
        <w:framePr w:w="14196" w:hAnchor="page" w:vAnchor="page" w:x="274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award amounts for PSUs, please see the descriptions set out in the section entitled “</w:t>
      </w:r>
      <w:r>
        <w:rPr>
          <w:rFonts w:ascii="QFTFTF+Arial-ItalicMT" w:hAnsi="QFTFTF+Arial-ItalicMT" w:fareast="QFTFTF+Arial-ItalicMT" w:cs="QFTFTF+Arial-ItalicMT"/>
          <w:color w:val="32373f"/>
          <w:w w:val="100"/>
          <w:sz w:val="17"/>
          <w:szCs w:val="17"/>
        </w:rPr>
        <w:t>Executive Compensation Discussion and Analysis - Long-Term Equity</w:t>
      </w:r>
    </w:p>
    <w:p>
      <w:pPr>
        <w:pStyle w:val="Normal"/>
        <w:framePr w:w="13684" w:hAnchor="page" w:vAnchor="page" w:x="274" w:y="14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For a description of the material terms of the RSU awards, including the vesting schedules and a description of the performance targets and potential</w:t>
      </w:r>
    </w:p>
    <w:p>
      <w:pPr>
        <w:pStyle w:val="Normal"/>
        <w:framePr w:w="4071" w:hAnchor="page" w:vAnchor="page" w:x="274" w:y="10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(4) Threshold for TSR is 25%, for ROIC is 50%.</w:t>
      </w:r>
    </w:p>
    <w:p>
      <w:pPr>
        <w:pStyle w:val="Normal"/>
        <w:framePr w:w="10545" w:hAnchor="page" w:vAnchor="page" w:x="558" w:y="9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date fair value of such award was determined utilizing a Monte Carlo simulation as disclosed in our Annual Report on Form 10-K.</w:t>
      </w:r>
    </w:p>
    <w:p>
      <w:pPr>
        <w:pStyle w:val="Normal"/>
        <w:framePr w:w="13665" w:hAnchor="page" w:vAnchor="page" w:x="274" w:y="7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(3) Grant date fair values were determined in accordance with FASB ASC Topic 718. With respect to PSUs subject to market-based (TSR) vesting conditions, the grant</w:t>
      </w:r>
    </w:p>
    <w:p>
      <w:pPr>
        <w:pStyle w:val="Normal"/>
        <w:framePr w:w="13241" w:hAnchor="page" w:vAnchor="page" w:x="274" w:y="5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Each target award as a percentage of base salary: Mr. Pferdehirt – 135%; Mr. Melin – 100%; Mr. Rounce – 100%; Mr. Landes – 100%; and Ms. Lazar – 100%.</w:t>
      </w:r>
    </w:p>
    <w:p>
      <w:pPr>
        <w:pStyle w:val="Normal"/>
        <w:framePr w:w="3213" w:hAnchor="page" w:vAnchor="page" w:x="274" w:y="2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7pt;margin-top:1pt;z-index:-1676717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12.7pt;margin-top:125.45pt;z-index:-167671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</w:p>
    <w:p>
      <w:pPr>
        <w:pStyle w:val="Normal"/>
        <w:framePr w:w="1631" w:hAnchor="page" w:vAnchor="page" w:x="274" w:y="108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85  TechnipFMC</w:t>
      </w:r>
    </w:p>
    <w:p>
      <w:pPr>
        <w:pStyle w:val="Normal"/>
        <w:framePr w:w="939" w:hAnchor="page" w:vAnchor="page" w:x="558" w:y="102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30, 2022.</w:t>
      </w:r>
    </w:p>
    <w:p>
      <w:pPr>
        <w:pStyle w:val="Normal"/>
        <w:framePr w:w="14211" w:hAnchor="page" w:vAnchor="page" w:x="274" w:y="101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(5) The market value of PSUs and RSUs that have not vested is calculated using the closing price of the Company’s Ordinary Shares on the NYSE of $12.19 on December</w:t>
      </w:r>
    </w:p>
    <w:p>
      <w:pPr>
        <w:pStyle w:val="Normal"/>
        <w:framePr w:w="7923" w:hAnchor="page" w:vAnchor="page" w:x="274" w:y="99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(4) Reflects March 8, 2022 grant of RSUs and PSUs, as applicable, that vest on March 8, 2025.</w:t>
      </w:r>
    </w:p>
    <w:p>
      <w:pPr>
        <w:pStyle w:val="Normal"/>
        <w:framePr w:w="7782" w:hAnchor="page" w:vAnchor="page" w:x="274" w:y="97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(3) Reflects April 1, 2021 grant of RSUs and PSUs, as applicable, that vest on March 1, 2024.</w:t>
      </w:r>
    </w:p>
    <w:p>
      <w:pPr>
        <w:pStyle w:val="Normal"/>
        <w:framePr w:w="5705" w:hAnchor="page" w:vAnchor="page" w:x="274" w:y="96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Mr. Pferdehirt’s grant of 267,418 RSUs will vest on April 1, 2025.</w:t>
      </w:r>
    </w:p>
    <w:p>
      <w:pPr>
        <w:pStyle w:val="Normal"/>
        <w:framePr w:w="3306" w:hAnchor="page" w:vAnchor="page" w:x="558" w:y="94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applicable, that vest on March 9, 2023.</w:t>
      </w:r>
    </w:p>
    <w:p>
      <w:pPr>
        <w:pStyle w:val="Normal"/>
        <w:framePr w:w="13710" w:hAnchor="page" w:vAnchor="page" w:x="274" w:y="927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2020 PSU grants were converted to RSUs at target due to the Spin-off as a one-time event stemming from the Spin-off – Reflects March 9, 2020 grants of RSUs, as</w:t>
      </w:r>
    </w:p>
    <w:p>
      <w:pPr>
        <w:pStyle w:val="Normal"/>
        <w:framePr w:w="961" w:hAnchor="page" w:vAnchor="page" w:x="1857" w:y="89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4</w:t>
      </w:r>
    </w:p>
    <w:p>
      <w:pPr>
        <w:pStyle w:val="Normal"/>
        <w:framePr w:w="281" w:hAnchor="page" w:vAnchor="page" w:x="3603" w:y="89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89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89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38,070</w:t>
      </w:r>
    </w:p>
    <w:p>
      <w:pPr>
        <w:pStyle w:val="Normal"/>
        <w:framePr w:w="838" w:hAnchor="page" w:vAnchor="page" w:x="9271" w:y="89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464,073</w:t>
      </w:r>
    </w:p>
    <w:p>
      <w:pPr>
        <w:pStyle w:val="Normal"/>
        <w:framePr w:w="737" w:hAnchor="page" w:vAnchor="page" w:x="10393" w:y="89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88,833</w:t>
      </w:r>
    </w:p>
    <w:p>
      <w:pPr>
        <w:pStyle w:val="Normal"/>
        <w:framePr w:w="989" w:hAnchor="page" w:vAnchor="page" w:x="11221" w:y="89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1,082,874</w:t>
      </w:r>
    </w:p>
    <w:p>
      <w:pPr>
        <w:pStyle w:val="Normal"/>
        <w:framePr w:w="1373" w:hAnchor="page" w:vAnchor="page" w:x="331" w:y="878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Victoria Lazar</w:t>
      </w:r>
    </w:p>
    <w:p>
      <w:pPr>
        <w:pStyle w:val="Normal"/>
        <w:framePr w:w="961" w:hAnchor="page" w:vAnchor="page" w:x="1857" w:y="87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4/1/2021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3</w:t>
      </w:r>
    </w:p>
    <w:p>
      <w:pPr>
        <w:pStyle w:val="Normal"/>
        <w:framePr w:w="281" w:hAnchor="page" w:vAnchor="page" w:x="3603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37,593</w:t>
      </w:r>
    </w:p>
    <w:p>
      <w:pPr>
        <w:pStyle w:val="Normal"/>
        <w:framePr w:w="838" w:hAnchor="page" w:vAnchor="page" w:x="9271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458,259</w:t>
      </w:r>
    </w:p>
    <w:p>
      <w:pPr>
        <w:pStyle w:val="Normal"/>
        <w:framePr w:w="737" w:hAnchor="page" w:vAnchor="page" w:x="10393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87,719</w:t>
      </w:r>
    </w:p>
    <w:p>
      <w:pPr>
        <w:pStyle w:val="Normal"/>
        <w:framePr w:w="989" w:hAnchor="page" w:vAnchor="page" w:x="11221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1,069,295</w:t>
      </w:r>
    </w:p>
    <w:p>
      <w:pPr>
        <w:pStyle w:val="Normal"/>
        <w:framePr w:w="961" w:hAnchor="page" w:vAnchor="page" w:x="1857" w:y="85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4</w:t>
      </w:r>
    </w:p>
    <w:p>
      <w:pPr>
        <w:pStyle w:val="Normal"/>
        <w:framePr w:w="281" w:hAnchor="page" w:vAnchor="page" w:x="3603" w:y="86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86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86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49,968</w:t>
      </w:r>
    </w:p>
    <w:p>
      <w:pPr>
        <w:pStyle w:val="Normal"/>
        <w:framePr w:w="838" w:hAnchor="page" w:vAnchor="page" w:x="9282" w:y="86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609,110</w:t>
      </w:r>
    </w:p>
    <w:p>
      <w:pPr>
        <w:pStyle w:val="Normal"/>
        <w:framePr w:w="838" w:hAnchor="page" w:vAnchor="page" w:x="10320" w:y="86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116,592</w:t>
      </w:r>
    </w:p>
    <w:p>
      <w:pPr>
        <w:pStyle w:val="Normal"/>
        <w:framePr w:w="989" w:hAnchor="page" w:vAnchor="page" w:x="11221" w:y="86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1,421,256</w:t>
      </w:r>
    </w:p>
    <w:p>
      <w:pPr>
        <w:pStyle w:val="Normal"/>
        <w:framePr w:w="961" w:hAnchor="page" w:vAnchor="page" w:x="1857" w:y="84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4/1/2021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3</w:t>
      </w:r>
    </w:p>
    <w:p>
      <w:pPr>
        <w:pStyle w:val="Normal"/>
        <w:framePr w:w="281" w:hAnchor="page" w:vAnchor="page" w:x="3603" w:y="84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84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84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44,642</w:t>
      </w:r>
    </w:p>
    <w:p>
      <w:pPr>
        <w:pStyle w:val="Normal"/>
        <w:framePr w:w="838" w:hAnchor="page" w:vAnchor="page" w:x="9271" w:y="84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544,186</w:t>
      </w:r>
    </w:p>
    <w:p>
      <w:pPr>
        <w:pStyle w:val="Normal"/>
        <w:framePr w:w="838" w:hAnchor="page" w:vAnchor="page" w:x="10309" w:y="84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104,166</w:t>
      </w:r>
    </w:p>
    <w:p>
      <w:pPr>
        <w:pStyle w:val="Normal"/>
        <w:framePr w:w="989" w:hAnchor="page" w:vAnchor="page" w:x="11221" w:y="84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1,269,784</w:t>
      </w:r>
    </w:p>
    <w:p>
      <w:pPr>
        <w:pStyle w:val="Normal"/>
        <w:framePr w:w="961" w:hAnchor="page" w:vAnchor="page" w:x="1857" w:y="82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3/9/2020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1</w:t>
      </w:r>
    </w:p>
    <w:p>
      <w:pPr>
        <w:pStyle w:val="Normal"/>
        <w:framePr w:w="281" w:hAnchor="page" w:vAnchor="page" w:x="3603" w:y="824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824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824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37,677</w:t>
      </w:r>
    </w:p>
    <w:p>
      <w:pPr>
        <w:pStyle w:val="Normal"/>
        <w:framePr w:w="838" w:hAnchor="page" w:vAnchor="page" w:x="9271" w:y="824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459,283</w:t>
      </w:r>
    </w:p>
    <w:p>
      <w:pPr>
        <w:pStyle w:val="Normal"/>
        <w:framePr w:w="989" w:hAnchor="page" w:vAnchor="page" w:x="1842" w:y="80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6/14/2018</w:t>
      </w:r>
    </w:p>
    <w:p>
      <w:pPr>
        <w:pStyle w:val="Normal"/>
        <w:framePr w:w="635" w:hAnchor="page" w:vAnchor="page" w:x="3309" w:y="80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7,317</w:t>
      </w:r>
    </w:p>
    <w:p>
      <w:pPr>
        <w:pStyle w:val="Normal"/>
        <w:framePr w:w="281" w:hAnchor="page" w:vAnchor="page" w:x="4770" w:y="80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745" w:hAnchor="page" w:vAnchor="page" w:x="6438" w:y="80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25.24    6/14/2028</w:t>
      </w:r>
    </w:p>
    <w:p>
      <w:pPr>
        <w:pStyle w:val="Normal"/>
        <w:framePr w:w="281" w:hAnchor="page" w:vAnchor="page" w:x="9734" w:y="80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676" w:hAnchor="page" w:vAnchor="page" w:x="331" w:y="786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Jonathan Landes</w:t>
      </w:r>
    </w:p>
    <w:p>
      <w:pPr>
        <w:pStyle w:val="Normal"/>
        <w:framePr w:w="989" w:hAnchor="page" w:vAnchor="page" w:x="1842" w:y="78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6/26/2017</w:t>
      </w:r>
    </w:p>
    <w:p>
      <w:pPr>
        <w:pStyle w:val="Normal"/>
        <w:framePr w:w="737" w:hAnchor="page" w:vAnchor="page" w:x="3224" w:y="78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10,873</w:t>
      </w:r>
    </w:p>
    <w:p>
      <w:pPr>
        <w:pStyle w:val="Normal"/>
        <w:framePr w:w="281" w:hAnchor="page" w:vAnchor="page" w:x="4770" w:y="78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745" w:hAnchor="page" w:vAnchor="page" w:x="6438" w:y="78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20.89    6/26/2027</w:t>
      </w:r>
    </w:p>
    <w:p>
      <w:pPr>
        <w:pStyle w:val="Normal"/>
        <w:framePr w:w="281" w:hAnchor="page" w:vAnchor="page" w:x="9734" w:y="78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961" w:hAnchor="page" w:vAnchor="page" w:x="1857" w:y="767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4</w:t>
      </w:r>
    </w:p>
    <w:p>
      <w:pPr>
        <w:pStyle w:val="Normal"/>
        <w:framePr w:w="281" w:hAnchor="page" w:vAnchor="page" w:x="3603" w:y="76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76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76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68,527</w:t>
      </w:r>
    </w:p>
    <w:p>
      <w:pPr>
        <w:pStyle w:val="Normal"/>
        <w:framePr w:w="838" w:hAnchor="page" w:vAnchor="page" w:x="9271" w:y="76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835,344</w:t>
      </w:r>
    </w:p>
    <w:p>
      <w:pPr>
        <w:pStyle w:val="Normal"/>
        <w:framePr w:w="838" w:hAnchor="page" w:vAnchor="page" w:x="10309" w:y="76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159,899</w:t>
      </w:r>
    </w:p>
    <w:p>
      <w:pPr>
        <w:pStyle w:val="Normal"/>
        <w:framePr w:w="989" w:hAnchor="page" w:vAnchor="page" w:x="11221" w:y="76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1,949,169</w:t>
      </w:r>
    </w:p>
    <w:p>
      <w:pPr>
        <w:pStyle w:val="Normal"/>
        <w:framePr w:w="961" w:hAnchor="page" w:vAnchor="page" w:x="1857" w:y="74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4/1/2021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3</w:t>
      </w:r>
    </w:p>
    <w:p>
      <w:pPr>
        <w:pStyle w:val="Normal"/>
        <w:framePr w:w="281" w:hAnchor="page" w:vAnchor="page" w:x="3603" w:y="75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75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75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95,864</w:t>
      </w:r>
    </w:p>
    <w:p>
      <w:pPr>
        <w:pStyle w:val="Normal"/>
        <w:framePr w:w="989" w:hAnchor="page" w:vAnchor="page" w:x="9144" w:y="75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1,168,582</w:t>
      </w:r>
    </w:p>
    <w:p>
      <w:pPr>
        <w:pStyle w:val="Normal"/>
        <w:framePr w:w="838" w:hAnchor="page" w:vAnchor="page" w:x="10309" w:y="75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223,684</w:t>
      </w:r>
    </w:p>
    <w:p>
      <w:pPr>
        <w:pStyle w:val="Normal"/>
        <w:framePr w:w="989" w:hAnchor="page" w:vAnchor="page" w:x="11221" w:y="750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2,726,708</w:t>
      </w:r>
    </w:p>
    <w:p>
      <w:pPr>
        <w:pStyle w:val="Normal"/>
        <w:framePr w:w="961" w:hAnchor="page" w:vAnchor="page" w:x="1857" w:y="730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3/9/2020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1</w:t>
      </w:r>
    </w:p>
    <w:p>
      <w:pPr>
        <w:pStyle w:val="Normal"/>
        <w:framePr w:w="281" w:hAnchor="page" w:vAnchor="page" w:x="3603" w:y="73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73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838" w:hAnchor="page" w:vAnchor="page" w:x="8232" w:y="73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246,922</w:t>
      </w:r>
    </w:p>
    <w:p>
      <w:pPr>
        <w:pStyle w:val="Normal"/>
        <w:framePr w:w="989" w:hAnchor="page" w:vAnchor="page" w:x="9144" w:y="73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3,009,979</w:t>
      </w:r>
    </w:p>
    <w:p>
      <w:pPr>
        <w:pStyle w:val="Normal"/>
        <w:framePr w:w="1434" w:hAnchor="page" w:vAnchor="page" w:x="331" w:y="71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Justin Rounce</w:t>
      </w:r>
    </w:p>
    <w:p>
      <w:pPr>
        <w:pStyle w:val="Normal"/>
        <w:framePr w:w="888" w:hAnchor="page" w:vAnchor="page" w:x="1927" w:y="71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3/8/2019</w:t>
      </w:r>
    </w:p>
    <w:p>
      <w:pPr>
        <w:pStyle w:val="Normal"/>
        <w:framePr w:w="737" w:hAnchor="page" w:vAnchor="page" w:x="3224" w:y="71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81,286</w:t>
      </w:r>
    </w:p>
    <w:p>
      <w:pPr>
        <w:pStyle w:val="Normal"/>
        <w:framePr w:w="281" w:hAnchor="page" w:vAnchor="page" w:x="4770" w:y="71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635" w:hAnchor="page" w:vAnchor="page" w:x="6438" w:y="71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16.47</w:t>
      </w:r>
    </w:p>
    <w:p>
      <w:pPr>
        <w:pStyle w:val="Normal"/>
        <w:framePr w:w="888" w:hAnchor="page" w:vAnchor="page" w:x="7152" w:y="71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3/8/2029</w:t>
      </w:r>
    </w:p>
    <w:p>
      <w:pPr>
        <w:pStyle w:val="Normal"/>
        <w:framePr w:w="961" w:hAnchor="page" w:vAnchor="page" w:x="1857" w:y="69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4</w:t>
      </w:r>
    </w:p>
    <w:p>
      <w:pPr>
        <w:pStyle w:val="Normal"/>
        <w:framePr w:w="281" w:hAnchor="page" w:vAnchor="page" w:x="3603" w:y="69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69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69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74,238</w:t>
      </w:r>
    </w:p>
    <w:p>
      <w:pPr>
        <w:pStyle w:val="Normal"/>
        <w:framePr w:w="838" w:hAnchor="page" w:vAnchor="page" w:x="9271" w:y="69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904,961</w:t>
      </w:r>
    </w:p>
    <w:p>
      <w:pPr>
        <w:pStyle w:val="Normal"/>
        <w:framePr w:w="838" w:hAnchor="page" w:vAnchor="page" w:x="10309" w:y="69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173,223</w:t>
      </w:r>
    </w:p>
    <w:p>
      <w:pPr>
        <w:pStyle w:val="Normal"/>
        <w:framePr w:w="989" w:hAnchor="page" w:vAnchor="page" w:x="11244" w:y="69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2,111,588</w:t>
      </w:r>
    </w:p>
    <w:p>
      <w:pPr>
        <w:pStyle w:val="Normal"/>
        <w:framePr w:w="961" w:hAnchor="page" w:vAnchor="page" w:x="1857" w:y="674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4/1/2021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3</w:t>
      </w:r>
    </w:p>
    <w:p>
      <w:pPr>
        <w:pStyle w:val="Normal"/>
        <w:framePr w:w="281" w:hAnchor="page" w:vAnchor="page" w:x="3603" w:y="67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67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67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73,308</w:t>
      </w:r>
    </w:p>
    <w:p>
      <w:pPr>
        <w:pStyle w:val="Normal"/>
        <w:framePr w:w="838" w:hAnchor="page" w:vAnchor="page" w:x="9271" w:y="67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893,625</w:t>
      </w:r>
    </w:p>
    <w:p>
      <w:pPr>
        <w:pStyle w:val="Normal"/>
        <w:framePr w:w="838" w:hAnchor="page" w:vAnchor="page" w:x="10309" w:y="67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171,052</w:t>
      </w:r>
    </w:p>
    <w:p>
      <w:pPr>
        <w:pStyle w:val="Normal"/>
        <w:framePr w:w="989" w:hAnchor="page" w:vAnchor="page" w:x="11221" w:y="67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2,085,124</w:t>
      </w:r>
    </w:p>
    <w:p>
      <w:pPr>
        <w:pStyle w:val="Normal"/>
        <w:framePr w:w="961" w:hAnchor="page" w:vAnchor="page" w:x="1857" w:y="65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3/9/2020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1</w:t>
      </w:r>
    </w:p>
    <w:p>
      <w:pPr>
        <w:pStyle w:val="Normal"/>
        <w:framePr w:w="281" w:hAnchor="page" w:vAnchor="page" w:x="3603" w:y="65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65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8317" w:y="65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36,580</w:t>
      </w:r>
    </w:p>
    <w:p>
      <w:pPr>
        <w:pStyle w:val="Normal"/>
        <w:framePr w:w="838" w:hAnchor="page" w:vAnchor="page" w:x="9271" w:y="65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445,910</w:t>
      </w:r>
    </w:p>
    <w:p>
      <w:pPr>
        <w:pStyle w:val="Normal"/>
        <w:framePr w:w="989" w:hAnchor="page" w:vAnchor="page" w:x="1842" w:y="639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6/14/2018</w:t>
      </w:r>
    </w:p>
    <w:p>
      <w:pPr>
        <w:pStyle w:val="Normal"/>
        <w:framePr w:w="635" w:hAnchor="page" w:vAnchor="page" w:x="3308" w:y="639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6,584</w:t>
      </w:r>
    </w:p>
    <w:p>
      <w:pPr>
        <w:pStyle w:val="Normal"/>
        <w:framePr w:w="281" w:hAnchor="page" w:vAnchor="page" w:x="4770" w:y="639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745" w:hAnchor="page" w:vAnchor="page" w:x="6438" w:y="639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25.24    6/14/2028</w:t>
      </w:r>
    </w:p>
    <w:p>
      <w:pPr>
        <w:pStyle w:val="Normal"/>
        <w:framePr w:w="281" w:hAnchor="page" w:vAnchor="page" w:x="9734" w:y="639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938" w:hAnchor="page" w:vAnchor="page" w:x="331" w:y="62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Alf Melin</w:t>
      </w:r>
    </w:p>
    <w:p>
      <w:pPr>
        <w:pStyle w:val="Normal"/>
        <w:framePr w:w="989" w:hAnchor="page" w:vAnchor="page" w:x="1842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6/26/2017</w:t>
      </w:r>
    </w:p>
    <w:p>
      <w:pPr>
        <w:pStyle w:val="Normal"/>
        <w:framePr w:w="635" w:hAnchor="page" w:vAnchor="page" w:x="3308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7,176</w:t>
      </w:r>
    </w:p>
    <w:p>
      <w:pPr>
        <w:pStyle w:val="Normal"/>
        <w:framePr w:w="281" w:hAnchor="page" w:vAnchor="page" w:x="4770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745" w:hAnchor="page" w:vAnchor="page" w:x="6438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20.89    6/26/2027</w:t>
      </w:r>
    </w:p>
    <w:p>
      <w:pPr>
        <w:pStyle w:val="Normal"/>
        <w:framePr w:w="281" w:hAnchor="page" w:vAnchor="page" w:x="9734" w:y="62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961" w:hAnchor="page" w:vAnchor="page" w:x="1857" w:y="600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3/8/2022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4</w:t>
      </w:r>
    </w:p>
    <w:p>
      <w:pPr>
        <w:pStyle w:val="Normal"/>
        <w:framePr w:w="281" w:hAnchor="page" w:vAnchor="page" w:x="3603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838" w:hAnchor="page" w:vAnchor="page" w:x="8232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369,289</w:t>
      </w:r>
    </w:p>
    <w:p>
      <w:pPr>
        <w:pStyle w:val="Normal"/>
        <w:framePr w:w="989" w:hAnchor="page" w:vAnchor="page" w:x="9144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4,501,633</w:t>
      </w:r>
    </w:p>
    <w:p>
      <w:pPr>
        <w:pStyle w:val="Normal"/>
        <w:framePr w:w="2084" w:hAnchor="page" w:vAnchor="page" w:x="10309" w:y="60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861,675    10,503,818</w:t>
      </w:r>
    </w:p>
    <w:p>
      <w:pPr>
        <w:pStyle w:val="Normal"/>
        <w:framePr w:w="961" w:hAnchor="page" w:vAnchor="page" w:x="1857" w:y="582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4/1/2021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3</w:t>
      </w:r>
    </w:p>
    <w:p>
      <w:pPr>
        <w:pStyle w:val="Normal"/>
        <w:framePr w:w="281" w:hAnchor="page" w:vAnchor="page" w:x="3603" w:y="58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58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838" w:hAnchor="page" w:vAnchor="page" w:x="8232" w:y="58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364,661</w:t>
      </w:r>
    </w:p>
    <w:p>
      <w:pPr>
        <w:pStyle w:val="Normal"/>
        <w:framePr w:w="989" w:hAnchor="page" w:vAnchor="page" w:x="9144" w:y="58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4,445,218</w:t>
      </w:r>
    </w:p>
    <w:p>
      <w:pPr>
        <w:pStyle w:val="Normal"/>
        <w:framePr w:w="2098" w:hAnchor="page" w:vAnchor="page" w:x="10309" w:y="58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948,120    11,557,583</w:t>
      </w:r>
    </w:p>
    <w:p>
      <w:pPr>
        <w:pStyle w:val="Normal"/>
        <w:framePr w:w="961" w:hAnchor="page" w:vAnchor="page" w:x="1857" w:y="56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4/1/2021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2</w:t>
      </w:r>
    </w:p>
    <w:p>
      <w:pPr>
        <w:pStyle w:val="Normal"/>
        <w:framePr w:w="281" w:hAnchor="page" w:vAnchor="page" w:x="3603" w:y="566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566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838" w:hAnchor="page" w:vAnchor="page" w:x="8232" w:y="566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267,418</w:t>
      </w:r>
    </w:p>
    <w:p>
      <w:pPr>
        <w:pStyle w:val="Normal"/>
        <w:framePr w:w="989" w:hAnchor="page" w:vAnchor="page" w:x="9144" w:y="566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3,259,825</w:t>
      </w:r>
    </w:p>
    <w:p>
      <w:pPr>
        <w:pStyle w:val="Normal"/>
        <w:framePr w:w="961" w:hAnchor="page" w:vAnchor="page" w:x="1857" w:y="54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3/9/2020</w:t>
      </w:r>
      <w:r>
        <w:rPr>
          <w:rFonts w:ascii="TYIFDT+ArialMT" w:hAnsi="TYIFDT+ArialMT" w:fareast="TYIFDT+ArialMT" w:cs="TYIFDT+ArialMT"/>
          <w:color w:val="32373f"/>
          <w:w w:val="100"/>
          <w:sz w:val="13"/>
          <w:szCs w:val="13"/>
        </w:rPr>
        <w:t>1</w:t>
      </w:r>
    </w:p>
    <w:p>
      <w:pPr>
        <w:pStyle w:val="Normal"/>
        <w:framePr w:w="281" w:hAnchor="page" w:vAnchor="page" w:x="3603" w:y="547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4770" w:y="547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2236" w:hAnchor="page" w:vAnchor="page" w:x="8106" w:y="547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1,330,643    16,220,538</w:t>
      </w:r>
    </w:p>
    <w:p>
      <w:pPr>
        <w:pStyle w:val="Normal"/>
        <w:framePr w:w="888" w:hAnchor="page" w:vAnchor="page" w:x="1927" w:y="52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3/8/2019</w:t>
      </w:r>
    </w:p>
    <w:p>
      <w:pPr>
        <w:pStyle w:val="Normal"/>
        <w:framePr w:w="838" w:hAnchor="page" w:vAnchor="page" w:x="3140" w:y="52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438,045</w:t>
      </w:r>
    </w:p>
    <w:p>
      <w:pPr>
        <w:pStyle w:val="Normal"/>
        <w:framePr w:w="281" w:hAnchor="page" w:vAnchor="page" w:x="4770" w:y="52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635" w:hAnchor="page" w:vAnchor="page" w:x="6438" w:y="52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16.47</w:t>
      </w:r>
    </w:p>
    <w:p>
      <w:pPr>
        <w:pStyle w:val="Normal"/>
        <w:framePr w:w="888" w:hAnchor="page" w:vAnchor="page" w:x="7152" w:y="529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3/8/2029</w:t>
      </w:r>
    </w:p>
    <w:p>
      <w:pPr>
        <w:pStyle w:val="Normal"/>
        <w:framePr w:w="989" w:hAnchor="page" w:vAnchor="page" w:x="1842" w:y="51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2/26/2018</w:t>
      </w:r>
    </w:p>
    <w:p>
      <w:pPr>
        <w:pStyle w:val="Normal"/>
        <w:framePr w:w="838" w:hAnchor="page" w:vAnchor="page" w:x="3140" w:y="51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245,973</w:t>
      </w:r>
    </w:p>
    <w:p>
      <w:pPr>
        <w:pStyle w:val="Normal"/>
        <w:framePr w:w="281" w:hAnchor="page" w:vAnchor="page" w:x="4770" w:y="51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745" w:hAnchor="page" w:vAnchor="page" w:x="6438" w:y="51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23.78    2/26/2028</w:t>
      </w:r>
    </w:p>
    <w:p>
      <w:pPr>
        <w:pStyle w:val="Normal"/>
        <w:framePr w:w="281" w:hAnchor="page" w:vAnchor="page" w:x="9734" w:y="51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039" w:hAnchor="page" w:vAnchor="page" w:x="331" w:y="492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Pferdehirt</w:t>
      </w:r>
    </w:p>
    <w:p>
      <w:pPr>
        <w:pStyle w:val="Normal"/>
        <w:framePr w:w="989" w:hAnchor="page" w:vAnchor="page" w:x="1842" w:y="48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6/20/2017</w:t>
      </w:r>
    </w:p>
    <w:p>
      <w:pPr>
        <w:pStyle w:val="Normal"/>
        <w:framePr w:w="838" w:hAnchor="page" w:vAnchor="page" w:x="3140" w:y="48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286,529</w:t>
      </w:r>
    </w:p>
    <w:p>
      <w:pPr>
        <w:pStyle w:val="Normal"/>
        <w:framePr w:w="281" w:hAnchor="page" w:vAnchor="page" w:x="4770" w:y="48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745" w:hAnchor="page" w:vAnchor="page" w:x="6438" w:y="48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20.89    6/20/2027</w:t>
      </w:r>
    </w:p>
    <w:p>
      <w:pPr>
        <w:pStyle w:val="Normal"/>
        <w:framePr w:w="281" w:hAnchor="page" w:vAnchor="page" w:x="9734" w:y="48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1100" w:hAnchor="page" w:vAnchor="page" w:x="331" w:y="474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Douglas J.</w:t>
      </w:r>
    </w:p>
    <w:p>
      <w:pPr>
        <w:pStyle w:val="Normal"/>
        <w:framePr w:w="676" w:hAnchor="page" w:vAnchor="page" w:x="345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Name</w:t>
      </w:r>
    </w:p>
    <w:p>
      <w:pPr>
        <w:pStyle w:val="Normal"/>
        <w:framePr w:w="574" w:hAnchor="page" w:vAnchor="page" w:x="2188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Date</w:t>
      </w:r>
    </w:p>
    <w:p>
      <w:pPr>
        <w:pStyle w:val="Normal"/>
        <w:framePr w:w="1192" w:hAnchor="page" w:vAnchor="page" w:x="2845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Exercisable</w:t>
      </w:r>
    </w:p>
    <w:p>
      <w:pPr>
        <w:pStyle w:val="Normal"/>
        <w:framePr w:w="1414" w:hAnchor="page" w:vAnchor="page" w:x="3826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Unexercisable</w:t>
      </w:r>
    </w:p>
    <w:p>
      <w:pPr>
        <w:pStyle w:val="Normal"/>
        <w:framePr w:w="1140" w:hAnchor="page" w:vAnchor="page" w:x="5093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Options (#)</w:t>
      </w:r>
    </w:p>
    <w:p>
      <w:pPr>
        <w:pStyle w:val="Normal"/>
        <w:framePr w:w="1050" w:hAnchor="page" w:vAnchor="page" w:x="6092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Price ($/€)</w:t>
      </w:r>
    </w:p>
    <w:p>
      <w:pPr>
        <w:pStyle w:val="Normal"/>
        <w:framePr w:w="574" w:hAnchor="page" w:vAnchor="page" w:x="7413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Date</w:t>
      </w:r>
    </w:p>
    <w:p>
      <w:pPr>
        <w:pStyle w:val="Normal"/>
        <w:framePr w:w="1050" w:hAnchor="page" w:vAnchor="page" w:x="8064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Vested (#)</w:t>
      </w:r>
    </w:p>
    <w:p>
      <w:pPr>
        <w:pStyle w:val="Normal"/>
        <w:framePr w:w="1050" w:hAnchor="page" w:vAnchor="page" w:x="9102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Vested ($)</w:t>
      </w:r>
    </w:p>
    <w:p>
      <w:pPr>
        <w:pStyle w:val="Normal"/>
        <w:framePr w:w="402" w:hAnchor="page" w:vAnchor="page" w:x="10672" w:y="45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(#)</w:t>
      </w:r>
    </w:p>
    <w:p>
      <w:pPr>
        <w:pStyle w:val="Normal"/>
        <w:framePr w:w="1122" w:hAnchor="page" w:vAnchor="page" w:x="11109" w:y="450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Vested 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5</w:t>
      </w:r>
    </w:p>
    <w:p>
      <w:pPr>
        <w:pStyle w:val="Normal"/>
        <w:framePr w:w="665" w:hAnchor="page" w:vAnchor="page" w:x="2113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Grant</w:t>
      </w:r>
    </w:p>
    <w:p>
      <w:pPr>
        <w:pStyle w:val="Normal"/>
        <w:framePr w:w="1140" w:hAnchor="page" w:vAnchor="page" w:x="2888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Options (#)</w:t>
      </w:r>
    </w:p>
    <w:p>
      <w:pPr>
        <w:pStyle w:val="Normal"/>
        <w:framePr w:w="1140" w:hAnchor="page" w:vAnchor="page" w:x="4054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Options (#)</w:t>
      </w:r>
    </w:p>
    <w:p>
      <w:pPr>
        <w:pStyle w:val="Normal"/>
        <w:framePr w:w="1019" w:hAnchor="page" w:vAnchor="page" w:x="5193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Unearned</w:t>
      </w:r>
    </w:p>
    <w:p>
      <w:pPr>
        <w:pStyle w:val="Normal"/>
        <w:framePr w:w="929" w:hAnchor="page" w:vAnchor="page" w:x="6193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Exercise</w:t>
      </w:r>
    </w:p>
    <w:p>
      <w:pPr>
        <w:pStyle w:val="Normal"/>
        <w:framePr w:w="1070" w:hAnchor="page" w:vAnchor="page" w:x="7001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Expiration</w:t>
      </w:r>
    </w:p>
    <w:p>
      <w:pPr>
        <w:pStyle w:val="Normal"/>
        <w:framePr w:w="483" w:hAnchor="page" w:vAnchor="page" w:x="8527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Not</w:t>
      </w:r>
    </w:p>
    <w:p>
      <w:pPr>
        <w:pStyle w:val="Normal"/>
        <w:framePr w:w="483" w:hAnchor="page" w:vAnchor="page" w:x="9566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Not</w:t>
      </w:r>
    </w:p>
    <w:p>
      <w:pPr>
        <w:pStyle w:val="Normal"/>
        <w:framePr w:w="1130" w:hAnchor="page" w:vAnchor="page" w:x="10073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Not Vested</w:t>
      </w:r>
    </w:p>
    <w:p>
      <w:pPr>
        <w:pStyle w:val="Normal"/>
        <w:framePr w:w="483" w:hAnchor="page" w:vAnchor="page" w:x="11643" w:y="43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Not</w:t>
      </w:r>
    </w:p>
    <w:p>
      <w:pPr>
        <w:pStyle w:val="Normal"/>
        <w:framePr w:w="1262" w:hAnchor="page" w:vAnchor="page" w:x="2786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Unexercised</w:t>
      </w:r>
    </w:p>
    <w:p>
      <w:pPr>
        <w:pStyle w:val="Normal"/>
        <w:framePr w:w="1262" w:hAnchor="page" w:vAnchor="page" w:x="3953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Unexercised</w:t>
      </w:r>
    </w:p>
    <w:p>
      <w:pPr>
        <w:pStyle w:val="Normal"/>
        <w:framePr w:w="1262" w:hAnchor="page" w:vAnchor="page" w:x="4991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Unexercised</w:t>
      </w:r>
    </w:p>
    <w:p>
      <w:pPr>
        <w:pStyle w:val="Normal"/>
        <w:framePr w:w="766" w:hAnchor="page" w:vAnchor="page" w:x="6329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</w:t>
      </w:r>
    </w:p>
    <w:p>
      <w:pPr>
        <w:pStyle w:val="Normal"/>
        <w:framePr w:w="766" w:hAnchor="page" w:vAnchor="page" w:x="7253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</w:t>
      </w:r>
    </w:p>
    <w:p>
      <w:pPr>
        <w:pStyle w:val="Normal"/>
        <w:framePr w:w="979" w:hAnchor="page" w:vAnchor="page" w:x="8115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that have</w:t>
      </w:r>
    </w:p>
    <w:p>
      <w:pPr>
        <w:pStyle w:val="Normal"/>
        <w:framePr w:w="979" w:hAnchor="page" w:vAnchor="page" w:x="9153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that have</w:t>
      </w:r>
    </w:p>
    <w:p>
      <w:pPr>
        <w:pStyle w:val="Normal"/>
        <w:framePr w:w="979" w:hAnchor="page" w:vAnchor="page" w:x="10191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that have</w:t>
      </w:r>
    </w:p>
    <w:p>
      <w:pPr>
        <w:pStyle w:val="Normal"/>
        <w:framePr w:w="979" w:hAnchor="page" w:vAnchor="page" w:x="11230" w:y="41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that have</w:t>
      </w:r>
    </w:p>
    <w:p>
      <w:pPr>
        <w:pStyle w:val="Normal"/>
        <w:framePr w:w="1130" w:hAnchor="page" w:vAnchor="page" w:x="2896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Underlying</w:t>
      </w:r>
    </w:p>
    <w:p>
      <w:pPr>
        <w:pStyle w:val="Normal"/>
        <w:framePr w:w="1130" w:hAnchor="page" w:vAnchor="page" w:x="4063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Underlying</w:t>
      </w:r>
    </w:p>
    <w:p>
      <w:pPr>
        <w:pStyle w:val="Normal"/>
        <w:framePr w:w="1130" w:hAnchor="page" w:vAnchor="page" w:x="5101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Underlying</w:t>
      </w:r>
    </w:p>
    <w:p>
      <w:pPr>
        <w:pStyle w:val="Normal"/>
        <w:framePr w:w="675" w:hAnchor="page" w:vAnchor="page" w:x="8367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Stock</w:t>
      </w:r>
    </w:p>
    <w:p>
      <w:pPr>
        <w:pStyle w:val="Normal"/>
        <w:framePr w:w="675" w:hAnchor="page" w:vAnchor="page" w:x="9406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Stock</w:t>
      </w:r>
    </w:p>
    <w:p>
      <w:pPr>
        <w:pStyle w:val="Normal"/>
        <w:framePr w:w="746" w:hAnchor="page" w:vAnchor="page" w:x="10385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Rights</w:t>
      </w:r>
    </w:p>
    <w:p>
      <w:pPr>
        <w:pStyle w:val="Normal"/>
        <w:framePr w:w="746" w:hAnchor="page" w:vAnchor="page" w:x="11424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Rights</w:t>
      </w:r>
    </w:p>
    <w:p>
      <w:pPr>
        <w:pStyle w:val="Normal"/>
        <w:framePr w:w="1050" w:hAnchor="page" w:vAnchor="page" w:x="2963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Securities</w:t>
      </w:r>
    </w:p>
    <w:p>
      <w:pPr>
        <w:pStyle w:val="Normal"/>
        <w:framePr w:w="1050" w:hAnchor="page" w:vAnchor="page" w:x="4129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Securities</w:t>
      </w:r>
    </w:p>
    <w:p>
      <w:pPr>
        <w:pStyle w:val="Normal"/>
        <w:framePr w:w="1050" w:hAnchor="page" w:vAnchor="page" w:x="5168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Securities</w:t>
      </w:r>
    </w:p>
    <w:p>
      <w:pPr>
        <w:pStyle w:val="Normal"/>
        <w:framePr w:w="857" w:hAnchor="page" w:vAnchor="page" w:x="8216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Units of</w:t>
      </w:r>
    </w:p>
    <w:p>
      <w:pPr>
        <w:pStyle w:val="Normal"/>
        <w:framePr w:w="857" w:hAnchor="page" w:vAnchor="page" w:x="9254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Units of</w:t>
      </w:r>
    </w:p>
    <w:p>
      <w:pPr>
        <w:pStyle w:val="Normal"/>
        <w:framePr w:w="665" w:hAnchor="page" w:vAnchor="page" w:x="10453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Other</w:t>
      </w:r>
    </w:p>
    <w:p>
      <w:pPr>
        <w:pStyle w:val="Normal"/>
        <w:framePr w:w="898" w:hAnchor="page" w:vAnchor="page" w:x="11297" w:y="38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or Other</w:t>
      </w:r>
    </w:p>
    <w:p>
      <w:pPr>
        <w:pStyle w:val="Normal"/>
        <w:framePr w:w="1090" w:hAnchor="page" w:vAnchor="page" w:x="2930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Number of</w:t>
      </w:r>
    </w:p>
    <w:p>
      <w:pPr>
        <w:pStyle w:val="Normal"/>
        <w:framePr w:w="1090" w:hAnchor="page" w:vAnchor="page" w:x="4096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Number of</w:t>
      </w:r>
    </w:p>
    <w:p>
      <w:pPr>
        <w:pStyle w:val="Normal"/>
        <w:framePr w:w="1090" w:hAnchor="page" w:vAnchor="page" w:x="5135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Number of</w:t>
      </w:r>
    </w:p>
    <w:p>
      <w:pPr>
        <w:pStyle w:val="Normal"/>
        <w:framePr w:w="1019" w:hAnchor="page" w:vAnchor="page" w:x="8081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Shares or</w:t>
      </w:r>
    </w:p>
    <w:p>
      <w:pPr>
        <w:pStyle w:val="Normal"/>
        <w:framePr w:w="1242" w:hAnchor="page" w:vAnchor="page" w:x="8934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of Shares or</w:t>
      </w:r>
    </w:p>
    <w:p>
      <w:pPr>
        <w:pStyle w:val="Normal"/>
        <w:framePr w:w="918" w:hAnchor="page" w:vAnchor="page" w:x="10242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Units, or</w:t>
      </w:r>
    </w:p>
    <w:p>
      <w:pPr>
        <w:pStyle w:val="Normal"/>
        <w:framePr w:w="685" w:hAnchor="page" w:vAnchor="page" w:x="11474" w:y="36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Units,</w:t>
      </w:r>
    </w:p>
    <w:p>
      <w:pPr>
        <w:pStyle w:val="Normal"/>
        <w:framePr w:w="898" w:hAnchor="page" w:vAnchor="page" w:x="5297" w:y="34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Awards:</w:t>
      </w:r>
    </w:p>
    <w:p>
      <w:pPr>
        <w:pStyle w:val="Normal"/>
        <w:framePr w:w="1090" w:hAnchor="page" w:vAnchor="page" w:x="8022" w:y="34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Number of</w:t>
      </w:r>
    </w:p>
    <w:p>
      <w:pPr>
        <w:pStyle w:val="Normal"/>
        <w:framePr w:w="665" w:hAnchor="page" w:vAnchor="page" w:x="9422" w:y="34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Value</w:t>
      </w:r>
    </w:p>
    <w:p>
      <w:pPr>
        <w:pStyle w:val="Normal"/>
        <w:framePr w:w="837" w:hAnchor="page" w:vAnchor="page" w:x="10309" w:y="34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Shares,</w:t>
      </w:r>
    </w:p>
    <w:p>
      <w:pPr>
        <w:pStyle w:val="Normal"/>
        <w:framePr w:w="837" w:hAnchor="page" w:vAnchor="page" w:x="11347" w:y="34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Shares,</w:t>
      </w:r>
    </w:p>
    <w:p>
      <w:pPr>
        <w:pStyle w:val="Normal"/>
        <w:framePr w:w="1171" w:hAnchor="page" w:vAnchor="page" w:x="5070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 Plan</w:t>
      </w:r>
    </w:p>
    <w:p>
      <w:pPr>
        <w:pStyle w:val="Normal"/>
        <w:framePr w:w="767" w:hAnchor="page" w:vAnchor="page" w:x="9330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Market</w:t>
      </w:r>
    </w:p>
    <w:p>
      <w:pPr>
        <w:pStyle w:val="Normal"/>
        <w:framePr w:w="1019" w:hAnchor="page" w:vAnchor="page" w:x="10158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Unearned</w:t>
      </w:r>
    </w:p>
    <w:p>
      <w:pPr>
        <w:pStyle w:val="Normal"/>
        <w:framePr w:w="1242" w:hAnchor="page" w:vAnchor="page" w:x="11011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of Unearned</w:t>
      </w:r>
    </w:p>
    <w:p>
      <w:pPr>
        <w:pStyle w:val="Normal"/>
        <w:framePr w:w="969" w:hAnchor="page" w:vAnchor="page" w:x="5235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Incentive</w:t>
      </w:r>
    </w:p>
    <w:p>
      <w:pPr>
        <w:pStyle w:val="Normal"/>
        <w:framePr w:w="1090" w:hAnchor="page" w:vAnchor="page" w:x="10099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Number of</w:t>
      </w:r>
    </w:p>
    <w:p>
      <w:pPr>
        <w:pStyle w:val="Normal"/>
        <w:framePr w:w="665" w:hAnchor="page" w:vAnchor="page" w:x="11499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Value</w:t>
      </w:r>
    </w:p>
    <w:p>
      <w:pPr>
        <w:pStyle w:val="Normal"/>
        <w:framePr w:w="898" w:hAnchor="page" w:vAnchor="page" w:x="10261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Awards:</w:t>
      </w:r>
    </w:p>
    <w:p>
      <w:pPr>
        <w:pStyle w:val="Normal"/>
        <w:framePr w:w="787" w:hAnchor="page" w:vAnchor="page" w:x="11390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Payout</w:t>
      </w:r>
    </w:p>
    <w:p>
      <w:pPr>
        <w:pStyle w:val="Normal"/>
        <w:framePr w:w="1171" w:hAnchor="page" w:vAnchor="page" w:x="10034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 Plan</w:t>
      </w:r>
    </w:p>
    <w:p>
      <w:pPr>
        <w:pStyle w:val="Normal"/>
        <w:framePr w:w="999" w:hAnchor="page" w:vAnchor="page" w:x="11213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Market or</w:t>
      </w:r>
    </w:p>
    <w:p>
      <w:pPr>
        <w:pStyle w:val="Normal"/>
        <w:framePr w:w="969" w:hAnchor="page" w:vAnchor="page" w:x="10200" w:y="26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Incentive</w:t>
      </w:r>
    </w:p>
    <w:p>
      <w:pPr>
        <w:pStyle w:val="Normal"/>
        <w:framePr w:w="898" w:hAnchor="page" w:vAnchor="page" w:x="11300" w:y="26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Awards:</w:t>
      </w:r>
    </w:p>
    <w:p>
      <w:pPr>
        <w:pStyle w:val="Normal"/>
        <w:framePr w:w="1171" w:hAnchor="page" w:vAnchor="page" w:x="11073" w:y="247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 Plan</w:t>
      </w:r>
    </w:p>
    <w:p>
      <w:pPr>
        <w:pStyle w:val="Normal"/>
        <w:framePr w:w="969" w:hAnchor="page" w:vAnchor="page" w:x="11238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Incentive</w:t>
      </w:r>
    </w:p>
    <w:p>
      <w:pPr>
        <w:pStyle w:val="Normal"/>
        <w:framePr w:w="1747" w:hAnchor="page" w:vAnchor="page" w:x="4615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OPTION AWARDS</w:t>
      </w:r>
    </w:p>
    <w:p>
      <w:pPr>
        <w:pStyle w:val="Normal"/>
        <w:framePr w:w="1686" w:hAnchor="page" w:vAnchor="page" w:x="9265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STOCK AWARDS</w:t>
      </w:r>
    </w:p>
    <w:p>
      <w:pPr>
        <w:pStyle w:val="Normal"/>
        <w:framePr w:w="10894" w:hAnchor="page" w:vAnchor="page" w:x="274" w:y="15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Shown below is information for each of the NEOs with respect to outstanding equity awards as of December 31, 2022.</w:t>
      </w:r>
    </w:p>
    <w:p>
      <w:pPr>
        <w:pStyle w:val="Normal"/>
        <w:framePr w:w="10668" w:hAnchor="page" w:vAnchor="page" w:x="274" w:y="958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Outstanding Equity Awards at Fiscal Year-End Table</w:t>
      </w:r>
    </w:p>
    <w:p>
      <w:pPr>
        <w:pStyle w:val="Normal"/>
        <w:framePr w:w="3213" w:hAnchor="page" w:vAnchor="page" w:x="274" w:y="2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7pt;margin-top:1pt;z-index:-167671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12.7pt;margin-top:95.6pt;z-index:-16767160;width:77.4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88.1pt;margin-top:95.6pt;z-index:-16767156;width:48.25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134.3pt;margin-top:95.6pt;z-index:-16767152;width:256.6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88.9pt;margin-top:95.6pt;z-index:-16767148;width:209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12.7pt;margin-top:110.5pt;z-index:-16767144;width:77.4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88.1pt;margin-top:110.5pt;z-index:-16767140;width:48.25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134.3pt;margin-top:110.5pt;z-index:-16767136;width:53.9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186.25pt;margin-top:110.5pt;z-index:-16767132;width:60.3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244.55pt;margin-top:110.5pt;z-index:-16767128;width:53.9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296.45pt;margin-top:110.5pt;z-index:-16767124;width:48.25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42.7pt;margin-top:110.5pt;z-index:-16767120;width:48.25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88.9pt;margin-top:110.5pt;z-index:-16767116;width:53.9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440.85pt;margin-top:110.5pt;z-index:-16767112;width:53.9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92.75pt;margin-top:110.5pt;z-index:-16767108;width:53.9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44.7pt;margin-top:110.5pt;z-index:-16767104;width:53.9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12.7pt;margin-top:308.25pt;z-index:-16767100;width:77.4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88.1pt;margin-top:308.25pt;z-index:-1676709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34.3pt;margin-top:308.25pt;z-index:-1676709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186.25pt;margin-top:308.25pt;z-index:-16767088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244.55pt;margin-top:308.25pt;z-index:-1676708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296.45pt;margin-top:308.25pt;z-index:-16767080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342.7pt;margin-top:308.25pt;z-index:-1676707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88.9pt;margin-top:308.25pt;z-index:-1676707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440.85pt;margin-top:308.25pt;z-index:-1676706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92.75pt;margin-top:308.25pt;z-index:-1676706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44.7pt;margin-top:308.25pt;z-index:-1676706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88.1pt;margin-top:317.5pt;z-index:-1676705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134.3pt;margin-top:317.5pt;z-index:-1676705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186.25pt;margin-top:317.5pt;z-index:-16767048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244.55pt;margin-top:317.5pt;z-index:-1676704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296.45pt;margin-top:317.5pt;z-index:-16767040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42.7pt;margin-top:317.5pt;z-index:-1676703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88.9pt;margin-top:317.5pt;z-index:-1676703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40.85pt;margin-top:317.5pt;z-index:-1676702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92.75pt;margin-top:317.5pt;z-index:-1676702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44.7pt;margin-top:317.5pt;z-index:-1676702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88.1pt;margin-top:326.75pt;z-index:-1676701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134.3pt;margin-top:326.75pt;z-index:-1676701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186.25pt;margin-top:326.75pt;z-index:-16767008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244.55pt;margin-top:326.75pt;z-index:-1676700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296.45pt;margin-top:326.75pt;z-index:-16767000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42.7pt;margin-top:326.75pt;z-index:-1676699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88.9pt;margin-top:326.75pt;z-index:-1676699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40.85pt;margin-top:326.75pt;z-index:-1676698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92.75pt;margin-top:326.75pt;z-index:-1676698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44.7pt;margin-top:326.75pt;z-index:-1676698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88.1pt;margin-top:336pt;z-index:-1676697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134.3pt;margin-top:336pt;z-index:-1676697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186.25pt;margin-top:336pt;z-index:-16766968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244.55pt;margin-top:336pt;z-index:-1676696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296.45pt;margin-top:336pt;z-index:-16766960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42.7pt;margin-top:336pt;z-index:-1676695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388.9pt;margin-top:336pt;z-index:-1676695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40.85pt;margin-top:336pt;z-index:-1676694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92.75pt;margin-top:336pt;z-index:-1676694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44.7pt;margin-top:336pt;z-index:-1676694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88.1pt;margin-top:345.25pt;z-index:-1676693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134.3pt;margin-top:345.25pt;z-index:-1676693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186.25pt;margin-top:345.25pt;z-index:-16766928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244.55pt;margin-top:345.25pt;z-index:-1676692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296.45pt;margin-top:345.25pt;z-index:-16766920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342.7pt;margin-top:345.25pt;z-index:-1676691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388.9pt;margin-top:345.25pt;z-index:-16766912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440.85pt;margin-top:345.25pt;z-index:-1676690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492.75pt;margin-top:345.25pt;z-index:-1676690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44.7pt;margin-top:345.25pt;z-index:-1676690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12.7pt;margin-top:391.45pt;z-index:-16766896;width:77.4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88.1pt;margin-top:391.45pt;z-index:-1676689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134.3pt;margin-top:391.45pt;z-index:-1676688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186.25pt;margin-top:391.45pt;z-index:-16766884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244.55pt;margin-top:391.45pt;z-index:-1676688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296.45pt;margin-top:391.45pt;z-index:-1676687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42.7pt;margin-top:391.45pt;z-index:-1676687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88.9pt;margin-top:391.45pt;z-index:-1676686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40.85pt;margin-top:391.45pt;z-index:-1676686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92.75pt;margin-top:391.45pt;z-index:-1676686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44.7pt;margin-top:391.45pt;z-index:-16766856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88.1pt;margin-top:400.7pt;z-index:-1676685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134.3pt;margin-top:400.7pt;z-index:-1676684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186.25pt;margin-top:400.7pt;z-index:-16766844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244.55pt;margin-top:400.7pt;z-index:-1676684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296.45pt;margin-top:400.7pt;z-index:-1676683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42.7pt;margin-top:400.7pt;z-index:-1676683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88.9pt;margin-top:400.7pt;z-index:-1676682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40.85pt;margin-top:400.7pt;z-index:-1676682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92.75pt;margin-top:400.7pt;z-index:-1676682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44.7pt;margin-top:400.7pt;z-index:-16766816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88.1pt;margin-top:409.95pt;z-index:-1676681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134.3pt;margin-top:409.95pt;z-index:-1676680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186.25pt;margin-top:409.95pt;z-index:-16766804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244.55pt;margin-top:409.95pt;z-index:-1676680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296.45pt;margin-top:409.95pt;z-index:-1676679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342.7pt;margin-top:409.95pt;z-index:-1676679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388.9pt;margin-top:409.95pt;z-index:-1676678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40.85pt;margin-top:409.95pt;z-index:-1676678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92.75pt;margin-top:409.95pt;z-index:-1676678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544.7pt;margin-top:409.95pt;z-index:-16766776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88.1pt;margin-top:419.2pt;z-index:-1676677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134.3pt;margin-top:419.2pt;z-index:-1676676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186.25pt;margin-top:419.2pt;z-index:-16766764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244.55pt;margin-top:419.2pt;z-index:-1676676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96.45pt;margin-top:419.2pt;z-index:-1676675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42.7pt;margin-top:419.2pt;z-index:-1676675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88.9pt;margin-top:419.2pt;z-index:-1676674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440.85pt;margin-top:419.2pt;z-index:-1676674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492.75pt;margin-top:419.2pt;z-index:-1676674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44.7pt;margin-top:419.2pt;z-index:-16766736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88.1pt;margin-top:428.45pt;z-index:-1676673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134.3pt;margin-top:428.45pt;z-index:-1676672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186.25pt;margin-top:428.45pt;z-index:-16766724;width:60.3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244.55pt;margin-top:428.45pt;z-index:-1676672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296.45pt;margin-top:428.45pt;z-index:-16766716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42.7pt;margin-top:428.45pt;z-index:-16766712;width:48.25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88.9pt;margin-top:428.45pt;z-index:-16766708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40.85pt;margin-top:428.45pt;z-index:-16766704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92.75pt;margin-top:428.45pt;z-index:-16766700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44.7pt;margin-top:428.45pt;z-index:-16766696;width:53.9pt;height:1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44.7pt;margin-top:456.2pt;z-index:-1676669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492.75pt;margin-top:456.2pt;z-index:-167666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440.85pt;margin-top:456.2pt;z-index:-1676668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88.9pt;margin-top:456.2pt;z-index:-167666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342.7pt;margin-top:456.2pt;z-index:-167666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296.45pt;margin-top:456.2pt;z-index:-1676667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244.55pt;margin-top:456.2pt;z-index:-167666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186.25pt;margin-top:456.2pt;z-index:-167666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134.3pt;margin-top:456.2pt;z-index:-167666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88.1pt;margin-top:456.2pt;z-index:-167666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44.7pt;margin-top:446.95pt;z-index:-1676665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92.75pt;margin-top:446.95pt;z-index:-167666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40.85pt;margin-top:446.95pt;z-index:-1676664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388.9pt;margin-top:446.95pt;z-index:-167666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342.7pt;margin-top:446.95pt;z-index:-167666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296.45pt;margin-top:446.95pt;z-index:-1676663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244.55pt;margin-top:446.95pt;z-index:-167666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186.25pt;margin-top:446.95pt;z-index:-167666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134.3pt;margin-top:446.95pt;z-index:-167666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88.1pt;margin-top:446.95pt;z-index:-167666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544.7pt;margin-top:437.7pt;z-index:-1676661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92.75pt;margin-top:437.7pt;z-index:-167666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40.85pt;margin-top:437.7pt;z-index:-1676660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388.9pt;margin-top:437.7pt;z-index:-167666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42.7pt;margin-top:437.7pt;z-index:-167665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296.45pt;margin-top:437.7pt;z-index:-1676659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244.55pt;margin-top:437.7pt;z-index:-167665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186.25pt;margin-top:437.7pt;z-index:-167665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134.3pt;margin-top:437.7pt;z-index:-167665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88.1pt;margin-top:437.7pt;z-index:-167665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44.7pt;margin-top:428.45pt;z-index:-1676657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92.75pt;margin-top:428.45pt;z-index:-167665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40.85pt;margin-top:428.45pt;z-index:-1676656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88.9pt;margin-top:428.45pt;z-index:-167665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342.7pt;margin-top:428.45pt;z-index:-167665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296.45pt;margin-top:428.45pt;z-index:-1676655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244.55pt;margin-top:428.45pt;z-index:-167665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186.25pt;margin-top:428.45pt;z-index:-167665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134.3pt;margin-top:428.45pt;z-index:-167665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88.1pt;margin-top:428.45pt;z-index:-167665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44.7pt;margin-top:419.2pt;z-index:-1676653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92.75pt;margin-top:419.2pt;z-index:-167665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40.85pt;margin-top:419.2pt;z-index:-1676652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88.9pt;margin-top:419.2pt;z-index:-167665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42.7pt;margin-top:419.2pt;z-index:-167665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296.45pt;margin-top:419.2pt;z-index:-1676651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244.55pt;margin-top:419.2pt;z-index:-167665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186.25pt;margin-top:419.2pt;z-index:-1676650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134.3pt;margin-top:419.2pt;z-index:-167665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88.1pt;margin-top:419.2pt;z-index:-167664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44.7pt;margin-top:409.95pt;z-index:-1676649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492.75pt;margin-top:409.95pt;z-index:-167664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440.85pt;margin-top:409.95pt;z-index:-1676648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88.9pt;margin-top:409.95pt;z-index:-167664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342.7pt;margin-top:409.95pt;z-index:-167664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296.45pt;margin-top:409.95pt;z-index:-1676647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244.55pt;margin-top:409.95pt;z-index:-167664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186.25pt;margin-top:409.95pt;z-index:-167664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134.3pt;margin-top:409.95pt;z-index:-167664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88.1pt;margin-top:409.95pt;z-index:-167664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44.7pt;margin-top:400.7pt;z-index:-1676645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92.75pt;margin-top:400.7pt;z-index:-167664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40.85pt;margin-top:400.7pt;z-index:-1676644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388.9pt;margin-top:400.7pt;z-index:-167664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342.7pt;margin-top:400.7pt;z-index:-167664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296.45pt;margin-top:400.7pt;z-index:-1676643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244.55pt;margin-top:400.7pt;z-index:-167664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186.25pt;margin-top:400.7pt;z-index:-167664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134.3pt;margin-top:400.7pt;z-index:-167664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88.1pt;margin-top:400.7pt;z-index:-167664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44.7pt;margin-top:391.45pt;z-index:-1676641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92.75pt;margin-top:391.45pt;z-index:-167664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40.85pt;margin-top:391.45pt;z-index:-1676640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388.9pt;margin-top:391.45pt;z-index:-167664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342.7pt;margin-top:391.45pt;z-index:-167663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296.45pt;margin-top:391.45pt;z-index:-1676639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244.55pt;margin-top:391.45pt;z-index:-167663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186.25pt;margin-top:391.45pt;z-index:-167663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34.3pt;margin-top:391.45pt;z-index:-167663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88.1pt;margin-top:391.45pt;z-index:-167663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44.7pt;margin-top:382.2pt;z-index:-1676637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492.75pt;margin-top:382.2pt;z-index:-167663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40.85pt;margin-top:382.2pt;z-index:-1676636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88.9pt;margin-top:382.2pt;z-index:-167663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342.7pt;margin-top:382.2pt;z-index:-167663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296.45pt;margin-top:382.2pt;z-index:-1676635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244.55pt;margin-top:382.2pt;z-index:-167663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186.25pt;margin-top:382.2pt;z-index:-167663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134.3pt;margin-top:382.2pt;z-index:-167663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88.1pt;margin-top:382.2pt;z-index:-167663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544.7pt;margin-top:372.95pt;z-index:-1676633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92.75pt;margin-top:372.95pt;z-index:-167663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440.85pt;margin-top:372.95pt;z-index:-1676632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88.9pt;margin-top:372.95pt;z-index:-167663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42.7pt;margin-top:372.95pt;z-index:-167663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296.45pt;margin-top:372.95pt;z-index:-1676631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244.55pt;margin-top:372.95pt;z-index:-167663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186.25pt;margin-top:372.95pt;z-index:-1676630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134.3pt;margin-top:372.95pt;z-index:-167663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88.1pt;margin-top:372.95pt;z-index:-167662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44.7pt;margin-top:363.7pt;z-index:-1676629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92.75pt;margin-top:363.7pt;z-index:-167662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40.85pt;margin-top:363.7pt;z-index:-1676628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88.9pt;margin-top:363.7pt;z-index:-167662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42.7pt;margin-top:363.7pt;z-index:-167662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296.45pt;margin-top:363.7pt;z-index:-1676627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244.55pt;margin-top:363.7pt;z-index:-167662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186.25pt;margin-top:363.7pt;z-index:-167662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134.3pt;margin-top:363.7pt;z-index:-167662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88.1pt;margin-top:363.7pt;z-index:-167662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44.7pt;margin-top:354.45pt;z-index:-1676625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92.75pt;margin-top:354.45pt;z-index:-167662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40.85pt;margin-top:354.45pt;z-index:-1676624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88.9pt;margin-top:354.45pt;z-index:-167662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342.7pt;margin-top:354.45pt;z-index:-167662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296.45pt;margin-top:354.45pt;z-index:-1676623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244.55pt;margin-top:354.45pt;z-index:-167662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186.25pt;margin-top:354.45pt;z-index:-167662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134.3pt;margin-top:354.45pt;z-index:-167662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88.1pt;margin-top:354.45pt;z-index:-167662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44.7pt;margin-top:345.25pt;z-index:-1676621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92.75pt;margin-top:345.25pt;z-index:-167662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40.85pt;margin-top:345.25pt;z-index:-1676620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88.9pt;margin-top:345.25pt;z-index:-167662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342.7pt;margin-top:345.25pt;z-index:-167661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296.45pt;margin-top:345.25pt;z-index:-1676619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244.55pt;margin-top:345.25pt;z-index:-167661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186.25pt;margin-top:345.25pt;z-index:-167661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134.3pt;margin-top:345.25pt;z-index:-167661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88.1pt;margin-top:345.25pt;z-index:-167661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44.7pt;margin-top:336pt;z-index:-1676617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92.75pt;margin-top:336pt;z-index:-167661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440.85pt;margin-top:336pt;z-index:-1676616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88.9pt;margin-top:336pt;z-index:-167661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42.7pt;margin-top:336pt;z-index:-167661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296.45pt;margin-top:336pt;z-index:-1676615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244.55pt;margin-top:336pt;z-index:-167661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186.25pt;margin-top:336pt;z-index:-167661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134.3pt;margin-top:336pt;z-index:-167661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88.1pt;margin-top:336pt;z-index:-167661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44.7pt;margin-top:326.75pt;z-index:-1676613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92.75pt;margin-top:326.75pt;z-index:-167661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40.85pt;margin-top:326.75pt;z-index:-1676612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88.9pt;margin-top:326.75pt;z-index:-167661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42.7pt;margin-top:326.75pt;z-index:-167661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296.45pt;margin-top:326.75pt;z-index:-1676611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244.55pt;margin-top:326.75pt;z-index:-167661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186.25pt;margin-top:326.75pt;z-index:-1676610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134.3pt;margin-top:326.75pt;z-index:-167661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88.1pt;margin-top:326.75pt;z-index:-167660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44.7pt;margin-top:317.5pt;z-index:-1676609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92.75pt;margin-top:317.5pt;z-index:-167660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40.85pt;margin-top:317.5pt;z-index:-1676608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388.9pt;margin-top:317.5pt;z-index:-167660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342.7pt;margin-top:317.5pt;z-index:-167660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296.45pt;margin-top:317.5pt;z-index:-1676607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244.55pt;margin-top:317.5pt;z-index:-167660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186.25pt;margin-top:317.5pt;z-index:-167660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134.3pt;margin-top:317.5pt;z-index:-167660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88.1pt;margin-top:317.5pt;z-index:-167660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544.7pt;margin-top:308.25pt;z-index:-1676605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92.75pt;margin-top:308.25pt;z-index:-167660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40.85pt;margin-top:308.25pt;z-index:-1676604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88.9pt;margin-top:308.25pt;z-index:-167660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42.7pt;margin-top:308.25pt;z-index:-167660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296.45pt;margin-top:308.25pt;z-index:-1676603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244.55pt;margin-top:308.25pt;z-index:-167660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186.25pt;margin-top:308.25pt;z-index:-167660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134.3pt;margin-top:308.25pt;z-index:-167660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88.1pt;margin-top:308.25pt;z-index:-167660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44.7pt;margin-top:299pt;z-index:-1676601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92.75pt;margin-top:299pt;z-index:-167660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40.85pt;margin-top:299pt;z-index:-1676600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88.9pt;margin-top:299pt;z-index:-167660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42.7pt;margin-top:299pt;z-index:-167659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296.45pt;margin-top:299pt;z-index:-1676599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244.55pt;margin-top:299pt;z-index:-167659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186.25pt;margin-top:299pt;z-index:-167659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134.3pt;margin-top:299pt;z-index:-167659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88.1pt;margin-top:299pt;z-index:-167659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44.7pt;margin-top:289.75pt;z-index:-1676597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492.75pt;margin-top:289.75pt;z-index:-167659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440.85pt;margin-top:289.75pt;z-index:-1676596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88.9pt;margin-top:289.75pt;z-index:-167659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42.7pt;margin-top:289.75pt;z-index:-167659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296.45pt;margin-top:289.75pt;z-index:-1676595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244.55pt;margin-top:289.75pt;z-index:-167659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186.25pt;margin-top:289.75pt;z-index:-167659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134.3pt;margin-top:289.75pt;z-index:-167659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88.1pt;margin-top:289.75pt;z-index:-167659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44.7pt;margin-top:280.5pt;z-index:-1676593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92.75pt;margin-top:280.5pt;z-index:-167659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40.85pt;margin-top:280.5pt;z-index:-1676592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388.9pt;margin-top:280.5pt;z-index:-167659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42.7pt;margin-top:280.5pt;z-index:-167659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296.45pt;margin-top:280.5pt;z-index:-1676591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244.55pt;margin-top:280.5pt;z-index:-167659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186.25pt;margin-top:280.5pt;z-index:-1676590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134.3pt;margin-top:280.5pt;z-index:-167659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88.1pt;margin-top:280.5pt;z-index:-167658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44.7pt;margin-top:271.25pt;z-index:-1676589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92.75pt;margin-top:271.25pt;z-index:-167658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40.85pt;margin-top:271.25pt;z-index:-1676588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88.9pt;margin-top:271.25pt;z-index:-167658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42.7pt;margin-top:271.25pt;z-index:-167658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296.45pt;margin-top:271.25pt;z-index:-1676587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244.55pt;margin-top:271.25pt;z-index:-1676586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186.25pt;margin-top:271.25pt;z-index:-167658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134.3pt;margin-top:271.25pt;z-index:-1676586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88.1pt;margin-top:271.25pt;z-index:-1676585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44.7pt;margin-top:262pt;z-index:-1676585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492.75pt;margin-top:262pt;z-index:-1676584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440.85pt;margin-top:262pt;z-index:-1676584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388.9pt;margin-top:262pt;z-index:-1676584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342.7pt;margin-top:262pt;z-index:-1676583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296.45pt;margin-top:262pt;z-index:-1676583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244.55pt;margin-top:262pt;z-index:-1676582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186.25pt;margin-top:262pt;z-index:-167658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134.3pt;margin-top:262pt;z-index:-1676582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88.1pt;margin-top:262pt;z-index:-1676581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44.7pt;margin-top:252.75pt;z-index:-16765812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92.75pt;margin-top:252.75pt;z-index:-1676580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40.85pt;margin-top:252.75pt;z-index:-16765804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388.9pt;margin-top:252.75pt;z-index:-1676580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42.7pt;margin-top:252.75pt;z-index:-1676579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296.45pt;margin-top:252.75pt;z-index:-16765792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244.55pt;margin-top:252.75pt;z-index:-16765788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186.25pt;margin-top:252.75pt;z-index:-167657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134.3pt;margin-top:252.75pt;z-index:-16765780;width:5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88.1pt;margin-top:252.75pt;z-index:-16765776;width:48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96.6pt;margin-top:110.5pt;z-index:-16765772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544.7pt;margin-top:110.5pt;z-index:-16765768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92.75pt;margin-top:110.5pt;z-index:-16765764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40.85pt;margin-top:110.5pt;z-index:-16765760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88.9pt;margin-top:110.5pt;z-index:-16765756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42.7pt;margin-top:110.5pt;z-index:-16765752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296.45pt;margin-top:110.5pt;z-index:-16765748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244.55pt;margin-top:110.5pt;z-index:-16765744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186.25pt;margin-top:110.5pt;z-index:-16765740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134.3pt;margin-top:110.5pt;z-index:-16765736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12.7pt;margin-top:110.5pt;z-index:-16765732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88.1pt;margin-top:110.5pt;z-index:-16765728;width:2.7pt;height:12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96.6pt;margin-top:95.6pt;z-index:-16765724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88.9pt;margin-top:95.6pt;z-index:-16765720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134.3pt;margin-top:95.6pt;z-index:-16765716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12.7pt;margin-top:95.6pt;z-index:-16765712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88.1pt;margin-top:95.6pt;z-index:-16765708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12.7pt;margin-top:556.45pt;z-index:-167657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</w:p>
    <w:p>
      <w:pPr>
        <w:pStyle w:val="Normal"/>
        <w:framePr w:w="1631" w:hAnchor="page" w:vAnchor="page" w:x="274" w:y="1096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86  TechnipFMC</w:t>
      </w:r>
    </w:p>
    <w:p>
      <w:pPr>
        <w:pStyle w:val="Normal"/>
        <w:framePr w:w="2870" w:hAnchor="page" w:vAnchor="page" w:x="615" w:y="103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U.S. Non-Qualified Pension Plan.</w:t>
      </w:r>
    </w:p>
    <w:p>
      <w:pPr>
        <w:pStyle w:val="Normal"/>
        <w:framePr w:w="13725" w:hAnchor="page" w:vAnchor="page" w:x="615" w:y="101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iv. Unreduced benefits are first available at age 62 (for Mr. Melin, assuming continued employment with TechnipFMC until that time) under the U.S. Pension Plan and the</w:t>
      </w:r>
    </w:p>
    <w:p>
      <w:pPr>
        <w:pStyle w:val="Normal"/>
        <w:framePr w:w="766" w:hAnchor="page" w:vAnchor="page" w:x="615" w:y="99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(5.6%).</w:t>
      </w:r>
    </w:p>
    <w:p>
      <w:pPr>
        <w:pStyle w:val="Normal"/>
        <w:framePr w:w="13486" w:hAnchor="page" w:vAnchor="page" w:x="615" w:y="98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disclosure assumptions (4.0%, 417(e) 2021 for lump sums) and reflecting discounting of present value back to December 31, 2022 FASB ASC Topic 715 Interest only</w:t>
      </w:r>
    </w:p>
    <w:p>
      <w:pPr>
        <w:pStyle w:val="Normal"/>
        <w:framePr w:w="13193" w:hAnchor="page" w:vAnchor="page" w:x="615" w:y="96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iii. Present value of U.S. Non-Qualified Pension Plan benefit calculated as amount payable at first unreduced age using December 31, 2022 FASB ASC Topic 715</w:t>
      </w:r>
    </w:p>
    <w:p>
      <w:pPr>
        <w:pStyle w:val="Normal"/>
        <w:framePr w:w="2152" w:hAnchor="page" w:vAnchor="page" w:x="615" w:y="948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715 interest only (5.6%).</w:t>
      </w:r>
    </w:p>
    <w:p>
      <w:pPr>
        <w:pStyle w:val="Normal"/>
        <w:framePr w:w="13708" w:hAnchor="page" w:vAnchor="page" w:x="615" w:y="93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assumptions (5.6%, Pri-2012 adjusted with modified MP-2020 projection scale) and reflecting discounting of present value back to December 31, 2022 FASB ASC Topic</w:t>
      </w:r>
    </w:p>
    <w:p>
      <w:pPr>
        <w:pStyle w:val="Normal"/>
        <w:framePr w:w="13628" w:hAnchor="page" w:vAnchor="page" w:x="615" w:y="91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ii. Present value of U.S. Qualified Pension Plan benefit calculated as amount payable at first unreduced age using December 31, 2022 FASB ASC Topic 715 disclosure</w:t>
      </w:r>
    </w:p>
    <w:p>
      <w:pPr>
        <w:pStyle w:val="Normal"/>
        <w:framePr w:w="2992" w:hAnchor="page" w:vAnchor="page" w:x="615" w:y="897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freeze date of December 31, 2017.</w:t>
      </w:r>
    </w:p>
    <w:p>
      <w:pPr>
        <w:pStyle w:val="Normal"/>
        <w:framePr w:w="13629" w:hAnchor="page" w:vAnchor="page" w:x="615" w:y="88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i. Sum of present value of U.S. Pension Plan benefit accrued through freeze date of December 31, 2017 plus present value of non-qualified DB benefit accrued through</w:t>
      </w:r>
    </w:p>
    <w:p>
      <w:pPr>
        <w:pStyle w:val="Normal"/>
        <w:framePr w:w="10156" w:hAnchor="page" w:vAnchor="page" w:x="274" w:y="86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 The following assumptions were used to calculate the present value of accumulated benefits as of December 31, 2022:</w:t>
      </w:r>
    </w:p>
    <w:p>
      <w:pPr>
        <w:pStyle w:val="Normal"/>
        <w:framePr w:w="13099" w:hAnchor="page" w:vAnchor="page" w:x="615" w:y="84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Qualified Pension Plan. Effective December 31, 2017, future benefit accruals were frozen under the U.S. Pension Plan and the U.S. Non-Qualified Pension Plan.</w:t>
      </w:r>
    </w:p>
    <w:p>
      <w:pPr>
        <w:pStyle w:val="Normal"/>
        <w:framePr w:w="13115" w:hAnchor="page" w:vAnchor="page" w:x="615" w:y="829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officers, with less than five years of vesting service as of December 31, 2009. Accordingly, only Mr. Melin participated in the U.S. Pension Plan and the U.S. Non-</w:t>
      </w:r>
    </w:p>
    <w:p>
      <w:pPr>
        <w:pStyle w:val="Normal"/>
        <w:framePr w:w="13923" w:hAnchor="page" w:vAnchor="page" w:x="274" w:y="812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 Effective January 1, 2010, the U.S. Pension Plan and the U.S. Non-Qualified Pension Plan were closed to new entrants and frozen for employees, including executive</w:t>
      </w:r>
    </w:p>
    <w:p>
      <w:pPr>
        <w:pStyle w:val="Normal"/>
        <w:framePr w:w="3176" w:hAnchor="page" w:vAnchor="page" w:x="4184" w:y="76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U.S. Non-Qualified Pension Plan</w:t>
      </w:r>
    </w:p>
    <w:p>
      <w:pPr>
        <w:pStyle w:val="Normal"/>
        <w:framePr w:w="603" w:hAnchor="page" w:vAnchor="page" w:x="8078" w:y="76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18.7</w:t>
      </w:r>
    </w:p>
    <w:p>
      <w:pPr>
        <w:pStyle w:val="Normal"/>
        <w:framePr w:w="1058" w:hAnchor="page" w:vAnchor="page" w:x="9448" w:y="76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$476,767</w:t>
      </w:r>
    </w:p>
    <w:p>
      <w:pPr>
        <w:pStyle w:val="Normal"/>
        <w:framePr w:w="432" w:hAnchor="page" w:vAnchor="page" w:x="11720" w:y="76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$–</w:t>
      </w:r>
    </w:p>
    <w:p>
      <w:pPr>
        <w:pStyle w:val="Normal"/>
        <w:framePr w:w="1057" w:hAnchor="page" w:vAnchor="page" w:x="331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1866" w:hAnchor="page" w:vAnchor="page" w:x="5275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U.S. Pension Plan</w:t>
      </w:r>
    </w:p>
    <w:p>
      <w:pPr>
        <w:pStyle w:val="Normal"/>
        <w:framePr w:w="603" w:hAnchor="page" w:vAnchor="page" w:x="8078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18.7</w:t>
      </w:r>
    </w:p>
    <w:p>
      <w:pPr>
        <w:pStyle w:val="Normal"/>
        <w:framePr w:w="1058" w:hAnchor="page" w:vAnchor="page" w:x="9448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$497,448</w:t>
      </w:r>
    </w:p>
    <w:p>
      <w:pPr>
        <w:pStyle w:val="Normal"/>
        <w:framePr w:w="432" w:hAnchor="page" w:vAnchor="page" w:x="11719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$–</w:t>
      </w:r>
    </w:p>
    <w:p>
      <w:pPr>
        <w:pStyle w:val="Normal"/>
        <w:framePr w:w="762" w:hAnchor="page" w:vAnchor="page" w:x="331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</w:t>
      </w:r>
    </w:p>
    <w:p>
      <w:pPr>
        <w:pStyle w:val="Normal"/>
        <w:framePr w:w="1251" w:hAnchor="page" w:vAnchor="page" w:x="5691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Plan Name</w:t>
      </w:r>
    </w:p>
    <w:p>
      <w:pPr>
        <w:pStyle w:val="Normal"/>
        <w:framePr w:w="660" w:hAnchor="page" w:vAnchor="page" w:x="8031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</w:t>
      </w:r>
    </w:p>
    <w:p>
      <w:pPr>
        <w:pStyle w:val="Normal"/>
        <w:framePr w:w="967" w:hAnchor="page" w:vAnchor="page" w:x="9428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 ($)</w:t>
      </w:r>
    </w:p>
    <w:p>
      <w:pPr>
        <w:pStyle w:val="Normal"/>
        <w:framePr w:w="1764" w:hAnchor="page" w:vAnchor="page" w:x="10619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Last Fiscal Year</w:t>
      </w:r>
    </w:p>
    <w:p>
      <w:pPr>
        <w:pStyle w:val="Normal"/>
        <w:framePr w:w="320" w:hAnchor="page" w:vAnchor="page" w:x="6564" w:y="7035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1</w:t>
      </w:r>
    </w:p>
    <w:p>
      <w:pPr>
        <w:pStyle w:val="Normal"/>
        <w:framePr w:w="320" w:hAnchor="page" w:vAnchor="page" w:x="10063" w:y="7035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</w:t>
      </w:r>
    </w:p>
    <w:p>
      <w:pPr>
        <w:pStyle w:val="Normal"/>
        <w:framePr w:w="2128" w:hAnchor="page" w:vAnchor="page" w:x="6807" w:y="68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as of December 31, </w:t>
      </w:r>
    </w:p>
    <w:p>
      <w:pPr>
        <w:pStyle w:val="Normal"/>
        <w:framePr w:w="2071" w:hAnchor="page" w:vAnchor="page" w:x="8604" w:y="68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as of December 31,</w:t>
      </w:r>
    </w:p>
    <w:p>
      <w:pPr>
        <w:pStyle w:val="Normal"/>
        <w:framePr w:w="1889" w:hAnchor="page" w:vAnchor="page" w:x="10506" w:y="68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Payments During</w:t>
      </w:r>
    </w:p>
    <w:p>
      <w:pPr>
        <w:pStyle w:val="Normal"/>
        <w:framePr w:w="2071" w:hAnchor="page" w:vAnchor="page" w:x="6855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of Credited Service</w:t>
      </w:r>
    </w:p>
    <w:p>
      <w:pPr>
        <w:pStyle w:val="Normal"/>
        <w:framePr w:w="898" w:hAnchor="page" w:vAnchor="page" w:x="9581" w:y="66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Benefit</w:t>
      </w:r>
    </w:p>
    <w:p>
      <w:pPr>
        <w:pStyle w:val="Normal"/>
        <w:framePr w:w="1843" w:hAnchor="page" w:vAnchor="page" w:x="7054" w:y="64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Number of Years</w:t>
      </w:r>
    </w:p>
    <w:p>
      <w:pPr>
        <w:pStyle w:val="Normal"/>
        <w:framePr w:w="1490" w:hAnchor="page" w:vAnchor="page" w:x="9088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Accumulated</w:t>
      </w:r>
    </w:p>
    <w:p>
      <w:pPr>
        <w:pStyle w:val="Normal"/>
        <w:framePr w:w="1866" w:hAnchor="page" w:vAnchor="page" w:x="8784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Present Value of </w:t>
      </w:r>
    </w:p>
    <w:p>
      <w:pPr>
        <w:pStyle w:val="Normal"/>
        <w:framePr w:w="13571" w:hAnchor="page" w:vAnchor="page" w:x="274" w:y="57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Qualified Pension Plan value is the present value at December 31, 2022 of the lump sum payable at the first retirement date for unreduced benefits.</w:t>
      </w:r>
    </w:p>
    <w:p>
      <w:pPr>
        <w:pStyle w:val="Normal"/>
        <w:framePr w:w="13532" w:hAnchor="page" w:vAnchor="page" w:x="274" w:y="55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company. The U.S. Pension Plan values are the present value of accrued benefits at the first retirement date for unreduced benefits. The U.S. Non-</w:t>
      </w:r>
    </w:p>
    <w:p>
      <w:pPr>
        <w:pStyle w:val="Normal"/>
        <w:framePr w:w="13660" w:hAnchor="page" w:vAnchor="page" w:x="274" w:y="53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 our financial statements. Credited years of service for Mr. Melin includes years of service pre-merger with FMC Technologies and its former parent</w:t>
      </w:r>
    </w:p>
    <w:p>
      <w:pPr>
        <w:pStyle w:val="Normal"/>
        <w:framePr w:w="14071" w:hAnchor="page" w:vAnchor="page" w:x="274" w:y="51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plan. The table includes the number of years of service credited to Mr. Melin using interest rate and mortality rate assumptions consistent with those used</w:t>
      </w:r>
    </w:p>
    <w:p>
      <w:pPr>
        <w:pStyle w:val="Normal"/>
        <w:framePr w:w="13799" w:hAnchor="page" w:vAnchor="page" w:x="274" w:y="49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table below shows the present value of accumulated benefits payable to Mr. Melin who was the only NEO who participated in a Company pension</w:t>
      </w:r>
    </w:p>
    <w:p>
      <w:pPr>
        <w:pStyle w:val="Normal"/>
        <w:framePr w:w="4946" w:hAnchor="page" w:vAnchor="page" w:x="274" w:y="4486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Pension Benefits Table</w:t>
      </w:r>
    </w:p>
    <w:p>
      <w:pPr>
        <w:pStyle w:val="Normal"/>
        <w:framePr w:w="5804" w:hAnchor="page" w:vAnchor="page" w:x="274" w:y="41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The value of the vested shares does not include dividends earned.</w:t>
      </w:r>
    </w:p>
    <w:p>
      <w:pPr>
        <w:pStyle w:val="Normal"/>
        <w:framePr w:w="1547" w:hAnchor="page" w:vAnchor="page" w:x="331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Victoria Lazar</w:t>
      </w:r>
    </w:p>
    <w:p>
      <w:pPr>
        <w:pStyle w:val="Normal"/>
        <w:framePr w:w="318" w:hAnchor="page" w:vAnchor="page" w:x="6566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15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065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814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889" w:hAnchor="page" w:vAnchor="page" w:x="331" w:y="34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Jonathan Landes</w:t>
      </w:r>
    </w:p>
    <w:p>
      <w:pPr>
        <w:pStyle w:val="Normal"/>
        <w:framePr w:w="318" w:hAnchor="page" w:vAnchor="page" w:x="6566" w:y="34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15" w:y="34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638" w:y="34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12,370</w:t>
      </w:r>
    </w:p>
    <w:p>
      <w:pPr>
        <w:pStyle w:val="Normal"/>
        <w:framePr w:w="830" w:hAnchor="page" w:vAnchor="page" w:x="11387" w:y="34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97,476</w:t>
      </w:r>
    </w:p>
    <w:p>
      <w:pPr>
        <w:pStyle w:val="Normal"/>
        <w:framePr w:w="1615" w:hAnchor="page" w:vAnchor="page" w:x="331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Justin Rounce</w:t>
      </w:r>
    </w:p>
    <w:p>
      <w:pPr>
        <w:pStyle w:val="Normal"/>
        <w:framePr w:w="318" w:hAnchor="page" w:vAnchor="page" w:x="6566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15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650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66,011</w:t>
      </w:r>
    </w:p>
    <w:p>
      <w:pPr>
        <w:pStyle w:val="Normal"/>
        <w:framePr w:w="944" w:hAnchor="page" w:vAnchor="page" w:x="11292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520,167</w:t>
      </w:r>
    </w:p>
    <w:p>
      <w:pPr>
        <w:pStyle w:val="Normal"/>
        <w:framePr w:w="1057" w:hAnchor="page" w:vAnchor="page" w:x="331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318" w:hAnchor="page" w:vAnchor="page" w:x="6566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15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638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12,147</w:t>
      </w:r>
    </w:p>
    <w:p>
      <w:pPr>
        <w:pStyle w:val="Normal"/>
        <w:framePr w:w="830" w:hAnchor="page" w:vAnchor="page" w:x="11387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95,718</w:t>
      </w:r>
    </w:p>
    <w:p>
      <w:pPr>
        <w:pStyle w:val="Normal"/>
        <w:framePr w:w="2264" w:hAnchor="page" w:vAnchor="page" w:x="331" w:y="26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Douglas J. Pferdehirt</w:t>
      </w:r>
    </w:p>
    <w:p>
      <w:pPr>
        <w:pStyle w:val="Normal"/>
        <w:framePr w:w="318" w:hAnchor="page" w:vAnchor="page" w:x="6566" w:y="26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15" w:y="26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944" w:hAnchor="page" w:vAnchor="page" w:x="9543" w:y="26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304,898</w:t>
      </w:r>
    </w:p>
    <w:p>
      <w:pPr>
        <w:pStyle w:val="Normal"/>
        <w:framePr w:w="1115" w:hAnchor="page" w:vAnchor="page" w:x="11150" w:y="26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2,402,596</w:t>
      </w:r>
    </w:p>
    <w:p>
      <w:pPr>
        <w:pStyle w:val="Normal"/>
        <w:framePr w:w="2617" w:hAnchor="page" w:vAnchor="page" w:x="331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Named Executive Officer</w:t>
      </w:r>
    </w:p>
    <w:p>
      <w:pPr>
        <w:pStyle w:val="Normal"/>
        <w:framePr w:w="1661" w:hAnchor="page" w:vAnchor="page" w:x="5446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on Exercise (#)</w:t>
      </w:r>
    </w:p>
    <w:p>
      <w:pPr>
        <w:pStyle w:val="Normal"/>
        <w:framePr w:w="1354" w:hAnchor="page" w:vAnchor="page" w:x="7452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Exercise ($)</w:t>
      </w:r>
    </w:p>
    <w:p>
      <w:pPr>
        <w:pStyle w:val="Normal"/>
        <w:framePr w:w="1308" w:hAnchor="page" w:vAnchor="page" w:x="9249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 Vesting (#)</w:t>
      </w:r>
    </w:p>
    <w:p>
      <w:pPr>
        <w:pStyle w:val="Normal"/>
        <w:framePr w:w="1325" w:hAnchor="page" w:vAnchor="page" w:x="10975" w:y="23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Vesting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 xml:space="preserve">1 </w:t>
      </w: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1832" w:hAnchor="page" w:vAnchor="page" w:x="5304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Shares Acquired</w:t>
      </w:r>
    </w:p>
    <w:p>
      <w:pPr>
        <w:pStyle w:val="Normal"/>
        <w:framePr w:w="1946" w:hAnchor="page" w:vAnchor="page" w:x="6958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Value Realized on</w:t>
      </w:r>
    </w:p>
    <w:p>
      <w:pPr>
        <w:pStyle w:val="Normal"/>
        <w:framePr w:w="1399" w:hAnchor="page" w:vAnchor="page" w:x="9164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Acquired on</w:t>
      </w:r>
    </w:p>
    <w:p>
      <w:pPr>
        <w:pStyle w:val="Normal"/>
        <w:framePr w:w="1946" w:hAnchor="page" w:vAnchor="page" w:x="10468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Value Realized on</w:t>
      </w:r>
    </w:p>
    <w:p>
      <w:pPr>
        <w:pStyle w:val="Normal"/>
        <w:framePr w:w="1228" w:hAnchor="page" w:vAnchor="page" w:x="5807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Number of</w:t>
      </w:r>
    </w:p>
    <w:p>
      <w:pPr>
        <w:pStyle w:val="Normal"/>
        <w:framePr w:w="1968" w:hAnchor="page" w:vAnchor="page" w:x="8689" w:y="19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Number of Shares</w:t>
      </w:r>
    </w:p>
    <w:p>
      <w:pPr>
        <w:pStyle w:val="Normal"/>
        <w:framePr w:w="1968" w:hAnchor="page" w:vAnchor="page" w:x="5985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OPTION AWARDS</w:t>
      </w:r>
    </w:p>
    <w:p>
      <w:pPr>
        <w:pStyle w:val="Normal"/>
        <w:framePr w:w="1899" w:hAnchor="page" w:vAnchor="page" w:x="9521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STOCK AWARDS</w:t>
      </w:r>
    </w:p>
    <w:p>
      <w:pPr>
        <w:pStyle w:val="Normal"/>
        <w:framePr w:w="1593" w:hAnchor="page" w:vAnchor="page" w:x="274" w:y="12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vested in 2022.</w:t>
      </w:r>
    </w:p>
    <w:p>
      <w:pPr>
        <w:pStyle w:val="Normal"/>
        <w:framePr w:w="13980" w:hAnchor="page" w:vAnchor="page" w:x="274" w:y="10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Shown below is information for each of the NEOs with respect to options to purchase Ordinary Shares exercised in 2022 and RSU and PSU awards that</w:t>
      </w:r>
    </w:p>
    <w:p>
      <w:pPr>
        <w:pStyle w:val="Normal"/>
        <w:framePr w:w="8525" w:hAnchor="page" w:vAnchor="page" w:x="274" w:y="560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Option Exercises and Stock Vested Table</w:t>
      </w:r>
    </w:p>
    <w:p>
      <w:pPr>
        <w:pStyle w:val="Normal"/>
        <w:framePr w:w="3213" w:hAnchor="page" w:vAnchor="page" w:x="274" w:y="2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7pt;margin-top:1pt;z-index:-1676570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12.7pt;margin-top:77.1pt;z-index:-16765696;width:236pt;height:54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246.7pt;margin-top:77.1pt;z-index:-16765692;width:177.6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22.35pt;margin-top:77.1pt;z-index:-16765688;width:176.9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246.7pt;margin-top:93.45pt;z-index:-16765684;width:90.2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34.85pt;margin-top:93.45pt;z-index:-16765680;width:89.5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422.35pt;margin-top:93.45pt;z-index:-16765676;width:89.5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09.85pt;margin-top:93.45pt;z-index:-16765672;width:89.5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09.85pt;margin-top:197.3pt;z-index:-1676566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22.35pt;margin-top:197.3pt;z-index:-1676566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34.85pt;margin-top:197.3pt;z-index:-1676566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246.7pt;margin-top:197.3pt;z-index:-1676565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12.7pt;margin-top:197.3pt;z-index:-16765652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09.85pt;margin-top:183.8pt;z-index:-1676564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22.35pt;margin-top:183.8pt;z-index:-1676564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334.85pt;margin-top:183.8pt;z-index:-1676564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246.7pt;margin-top:183.8pt;z-index:-1676563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12.7pt;margin-top:183.8pt;z-index:-16765632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09.85pt;margin-top:170.25pt;z-index:-1676562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22.35pt;margin-top:170.25pt;z-index:-1676562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34.85pt;margin-top:170.25pt;z-index:-1676562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246.7pt;margin-top:170.25pt;z-index:-1676561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12.7pt;margin-top:170.25pt;z-index:-16765612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509.85pt;margin-top:156.75pt;z-index:-1676560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22.35pt;margin-top:156.75pt;z-index:-1676560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34.85pt;margin-top:156.75pt;z-index:-1676560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246.7pt;margin-top:156.75pt;z-index:-1676559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12.7pt;margin-top:156.75pt;z-index:-16765592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09.85pt;margin-top:143.25pt;z-index:-1676558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22.35pt;margin-top:143.25pt;z-index:-1676558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34.85pt;margin-top:143.25pt;z-index:-1676558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246.7pt;margin-top:143.25pt;z-index:-1676557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12.7pt;margin-top:143.25pt;z-index:-16765572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09.85pt;margin-top:93.45pt;z-index:-1676556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09.85pt;margin-top:129.75pt;z-index:-1676556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22.35pt;margin-top:129.75pt;z-index:-1676556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334.85pt;margin-top:93.45pt;z-index:-1676555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334.85pt;margin-top:129.75pt;z-index:-1676555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246.7pt;margin-top:129.75pt;z-index:-1676554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22.35pt;margin-top:77.1pt;z-index:-16765544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422.35pt;margin-top:93.45pt;z-index:-16765540;width:17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246.7pt;margin-top:77.1pt;z-index:-16765536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246.7pt;margin-top:93.45pt;z-index:-16765532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12.7pt;margin-top:77.1pt;z-index:-16765528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12.7pt;margin-top:129.75pt;z-index:-16765524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12.7pt;margin-top:307.55pt;z-index:-16765520;width:148.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159.2pt;margin-top:307.55pt;z-index:-16765516;width:177.6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334.85pt;margin-top:307.55pt;z-index:-16765512;width:89.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22.35pt;margin-top:307.55pt;z-index:-16765508;width:89.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09.85pt;margin-top:307.55pt;z-index:-16765504;width:89.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09.85pt;margin-top:392.15pt;z-index:-1676550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422.35pt;margin-top:392.15pt;z-index:-1676549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334.85pt;margin-top:392.15pt;z-index:-1676549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12.7pt;margin-top:392.15pt;z-index:-16765488;width:32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09.85pt;margin-top:378.65pt;z-index:-1676548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422.35pt;margin-top:378.65pt;z-index:-1676548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34.85pt;margin-top:378.65pt;z-index:-1676547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159.2pt;margin-top:378.65pt;z-index:-16765472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509.85pt;margin-top:307.55pt;z-index:-1676546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09.85pt;margin-top:365.15pt;z-index:-1676546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22.35pt;margin-top:307.55pt;z-index:-1676546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22.35pt;margin-top:365.15pt;z-index:-1676545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34.85pt;margin-top:307.55pt;z-index:-1676545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334.85pt;margin-top:365.15pt;z-index:-1676544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159.2pt;margin-top:307.55pt;z-index:-16765444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159.2pt;margin-top:365.15pt;z-index:-16765440;width:17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12.7pt;margin-top:307.55pt;z-index:-1676543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12.7pt;margin-top:365.15pt;z-index:-1676543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12.7pt;margin-top:565pt;z-index:-1676542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</w:p>
    <w:p>
      <w:pPr>
        <w:pStyle w:val="Normal"/>
        <w:framePr w:w="1631" w:hAnchor="page" w:vAnchor="page" w:x="274" w:y="87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87  TechnipFMC</w:t>
      </w:r>
    </w:p>
    <w:p>
      <w:pPr>
        <w:pStyle w:val="Normal"/>
        <w:framePr w:w="4281" w:hAnchor="page" w:vAnchor="page" w:x="274" w:y="79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approximately equal before and after age 62.</w:t>
      </w:r>
    </w:p>
    <w:p>
      <w:pPr>
        <w:pStyle w:val="Normal"/>
        <w:framePr w:w="13002" w:hAnchor="page" w:vAnchor="page" w:x="274" w:y="77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Security benefits begin at age 62 and reduces the benefit after age 62 so that the total of the retirement benefit and Social Security benefits is</w:t>
      </w:r>
    </w:p>
    <w:p>
      <w:pPr>
        <w:pStyle w:val="Normal"/>
        <w:framePr w:w="13658" w:hAnchor="page" w:vAnchor="page" w:x="274" w:y="75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from the normal retirement benefit for the 100% joint and survivor annuity. The level income annuity pays increased benefits to the retiree until Social</w:t>
      </w:r>
    </w:p>
    <w:p>
      <w:pPr>
        <w:pStyle w:val="Normal"/>
        <w:framePr w:w="14234" w:hAnchor="page" w:vAnchor="page" w:x="274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normal retirement benefit for the 50% joint and survivor annuity, 11.4% from the normal retirement benefit for the 75% joint and survivor annuity, and 14.7%</w:t>
      </w:r>
    </w:p>
    <w:p>
      <w:pPr>
        <w:pStyle w:val="Normal"/>
        <w:framePr w:w="13601" w:hAnchor="page" w:vAnchor="page" w:x="274" w:y="71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of the participant’s spouse for joint and survivor annuities. The actuarial reduction for a participant and spouse who are both age 62 is 7.9% from the</w:t>
      </w:r>
    </w:p>
    <w:p>
      <w:pPr>
        <w:pStyle w:val="Normal"/>
        <w:framePr w:w="14163" w:hAnchor="page" w:vAnchor="page" w:x="274" w:y="69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sum for benefits with lump sum values of $1,000 or less. The levels of annuities are actuarially determined based on the age of the participant and the age</w:t>
      </w:r>
    </w:p>
    <w:p>
      <w:pPr>
        <w:pStyle w:val="Normal"/>
        <w:framePr w:w="13809" w:hAnchor="page" w:vAnchor="page" w:x="274" w:y="67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also provides for a variety of other methods for receiving pension benefits, such as 75% and 100% joint and survivor annuities, level income, and lump</w:t>
      </w:r>
    </w:p>
    <w:p>
      <w:pPr>
        <w:pStyle w:val="Normal"/>
        <w:framePr w:w="14116" w:hAnchor="page" w:vAnchor="page" w:x="274" w:y="65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normal retirement benefit is an individual life annuity for single retirees and 50% joint and survivor annuity for married retirees. The U.S. Pension Plan</w:t>
      </w:r>
    </w:p>
    <w:p>
      <w:pPr>
        <w:pStyle w:val="Normal"/>
        <w:framePr w:w="2913" w:hAnchor="page" w:vAnchor="page" w:x="274" w:y="63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  <w:t>Payment of Pension Benefit</w:t>
      </w:r>
    </w:p>
    <w:p>
      <w:pPr>
        <w:pStyle w:val="Normal"/>
        <w:framePr w:w="9221" w:hAnchor="page" w:vAnchor="page" w:x="274" w:y="60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commencement of the participant’s early retirement benefit precedes the participant’s 65th birthday.</w:t>
      </w:r>
    </w:p>
    <w:p>
      <w:pPr>
        <w:pStyle w:val="Normal"/>
        <w:framePr w:w="13696" w:hAnchor="page" w:vAnchor="page" w:x="274" w:y="58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benefit payable after the attainment of age 55, which is equal to the normal retirement benefit reduced by one-half of 1% for each month by which the</w:t>
      </w:r>
    </w:p>
    <w:p>
      <w:pPr>
        <w:pStyle w:val="Normal"/>
        <w:framePr w:w="13999" w:hAnchor="page" w:vAnchor="page" w:x="274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birthday. A participant in the U.S. Pension Plan whose employment terminates prior to their early retirement date is entitled to receive an early retirement</w:t>
      </w:r>
    </w:p>
    <w:p>
      <w:pPr>
        <w:pStyle w:val="Normal"/>
        <w:framePr w:w="13567" w:hAnchor="page" w:vAnchor="page" w:x="274" w:y="54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reduced by one-third of 1% for each month by which the commencement of the participant’s early retirement benefit precedes the participant’s 62nd</w:t>
      </w:r>
    </w:p>
    <w:p>
      <w:pPr>
        <w:pStyle w:val="Normal"/>
        <w:framePr w:w="13854" w:hAnchor="page" w:vAnchor="page" w:x="274" w:y="52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Plan who retires on or after their “early retirement date” is entitled to receive the early retirement benefit, which is equal to the normal retirement benefit</w:t>
      </w:r>
    </w:p>
    <w:p>
      <w:pPr>
        <w:pStyle w:val="Normal"/>
        <w:framePr w:w="14052" w:hAnchor="page" w:vAnchor="page" w:x="274" w:y="50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U.S. Pension Plan’s “early retirement” eligibility is on or after the participant’s 55th birthday with 10 years of service. A participant in the U.S. Pension</w:t>
      </w:r>
    </w:p>
    <w:p>
      <w:pPr>
        <w:pStyle w:val="Normal"/>
        <w:framePr w:w="1832" w:hAnchor="page" w:vAnchor="page" w:x="274" w:y="48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  <w:t>Early Retirement</w:t>
      </w:r>
    </w:p>
    <w:p>
      <w:pPr>
        <w:pStyle w:val="Normal"/>
        <w:framePr w:w="7343" w:hAnchor="page" w:vAnchor="page" w:x="274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Plan, are not included. Eligible earnings were frozen as of December 31, 2017.</w:t>
      </w:r>
    </w:p>
    <w:p>
      <w:pPr>
        <w:pStyle w:val="Normal"/>
        <w:framePr w:w="13786" w:hAnchor="page" w:vAnchor="page" w:x="274" w:y="42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year, subject to certain IRS limits. Equity compensation, such as RSU, PSU, and stock option awards, and deferrals to the U.S. Non-Qualified Savings</w:t>
      </w:r>
    </w:p>
    <w:p>
      <w:pPr>
        <w:pStyle w:val="Normal"/>
        <w:framePr w:w="13754" w:hAnchor="page" w:vAnchor="page" w:x="274" w:y="40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Eligible earnings under the U.S. Pension Plan include the base salary and annual cash incentive paid by the Company to the executives for each plan</w:t>
      </w:r>
    </w:p>
    <w:p>
      <w:pPr>
        <w:pStyle w:val="Normal"/>
        <w:framePr w:w="1866" w:hAnchor="page" w:vAnchor="page" w:x="274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  <w:t>Eligible Earnings</w:t>
      </w:r>
    </w:p>
    <w:p>
      <w:pPr>
        <w:pStyle w:val="Normal"/>
        <w:framePr w:w="8737" w:hAnchor="page" w:vAnchor="page" w:x="544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(b) the ratio of actual years of credited service to expected years of credited service at age 65.</w:t>
      </w:r>
    </w:p>
    <w:p>
      <w:pPr>
        <w:pStyle w:val="Normal"/>
        <w:framePr w:w="2880" w:hAnchor="page" w:vAnchor="page" w:x="1085" w:y="31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years of credited service; and</w:t>
      </w:r>
    </w:p>
    <w:p>
      <w:pPr>
        <w:pStyle w:val="Normal"/>
        <w:framePr w:w="13569" w:hAnchor="page" w:vAnchor="page" w:x="814" w:y="29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ii  1.5% of the participant’s final average yearly earnings multiplied by the participant’s expected years of credited service at age 65 in excess of 35</w:t>
      </w:r>
    </w:p>
    <w:p>
      <w:pPr>
        <w:pStyle w:val="Normal"/>
        <w:framePr w:w="8903" w:hAnchor="page" w:vAnchor="page" w:x="1085" w:y="27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participant’s expected years of credited service at age 65 up to 35 years of credited service; and</w:t>
      </w:r>
    </w:p>
    <w:p>
      <w:pPr>
        <w:pStyle w:val="Normal"/>
        <w:framePr w:w="12599" w:hAnchor="page" w:vAnchor="page" w:x="1085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plus 1.5% of the participant’s final average yearly earnings in excess of the Social Security covered compensation base, multiplied by the</w:t>
      </w:r>
    </w:p>
    <w:p>
      <w:pPr>
        <w:pStyle w:val="Normal"/>
        <w:framePr w:w="12886" w:hAnchor="page" w:vAnchor="page" w:x="1085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maximum Social Security taxable wages bases for the 35-year period ending in the year in which Social Security retirement age is reached),</w:t>
      </w:r>
    </w:p>
    <w:p>
      <w:pPr>
        <w:pStyle w:val="Normal"/>
        <w:framePr w:w="12992" w:hAnchor="page" w:vAnchor="page" w:x="814" w:y="21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   1% of the participant’s final average yearly earnings up to the Social Security Covered Compensation Base (defined as the average of the</w:t>
      </w:r>
    </w:p>
    <w:p>
      <w:pPr>
        <w:pStyle w:val="Normal"/>
        <w:framePr w:w="1542" w:hAnchor="page" w:vAnchor="page" w:x="544" w:y="19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(a) the sum of:</w:t>
      </w:r>
    </w:p>
    <w:p>
      <w:pPr>
        <w:pStyle w:val="Normal"/>
        <w:framePr w:w="6739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normal annual retirement benefit is the product of (a) and (b) below:</w:t>
      </w:r>
    </w:p>
    <w:p>
      <w:pPr>
        <w:pStyle w:val="Normal"/>
        <w:framePr w:w="14049" w:hAnchor="page" w:vAnchor="page" w:x="274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highest 60 consecutive months out of the final 120 months of compensation through the date on which benefit accruals were frozen, December 31, 2017.</w:t>
      </w:r>
    </w:p>
    <w:p>
      <w:pPr>
        <w:pStyle w:val="Normal"/>
        <w:framePr w:w="13985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Years of credited service and final average yearly earnings are used to calculate the pension benefit. The final average yearly earnings are based on the</w:t>
      </w:r>
    </w:p>
    <w:p>
      <w:pPr>
        <w:pStyle w:val="Normal"/>
        <w:framePr w:w="13696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Our U.S. Pension Plan is a defined benefit plan that provides eligible employees having five or more years of service a pension benefit for retirement.</w:t>
      </w:r>
    </w:p>
    <w:p>
      <w:pPr>
        <w:pStyle w:val="Normal"/>
        <w:framePr w:w="1763" w:hAnchor="page" w:vAnchor="page" w:x="274" w:y="7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b1ec"/>
          <w:w w:val="100"/>
          <w:sz w:val="17"/>
          <w:szCs w:val="17"/>
        </w:rPr>
        <w:t>Benefit Formula</w:t>
      </w:r>
    </w:p>
    <w:p>
      <w:pPr>
        <w:pStyle w:val="Normal"/>
        <w:framePr w:w="1832" w:hAnchor="page" w:vAnchor="page" w:x="274" w:y="3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US Pension Plan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7pt;margin-top:1pt;z-index:-167654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12.7pt;margin-top:451.9pt;z-index:-167654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</w:p>
    <w:p>
      <w:pPr>
        <w:pStyle w:val="Normal"/>
        <w:framePr w:w="1631" w:hAnchor="page" w:vAnchor="page" w:x="274" w:y="69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88  TechnipFMC</w:t>
      </w:r>
    </w:p>
    <w:p>
      <w:pPr>
        <w:pStyle w:val="Normal"/>
        <w:framePr w:w="2203" w:hAnchor="page" w:vAnchor="page" w:x="615" w:y="644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and Mr. Landes $37,811.</w:t>
      </w:r>
    </w:p>
    <w:p>
      <w:pPr>
        <w:pStyle w:val="Normal"/>
        <w:framePr w:w="13997" w:hAnchor="page" w:vAnchor="page" w:x="274" w:y="627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(3)  The following amounts have been reported in the Summary Compensation table in previous years: Mr. Pferdehirt $4,647,168, Mr. Melin $37,683, Mr. Rounce $391,422</w:t>
      </w:r>
    </w:p>
    <w:p>
      <w:pPr>
        <w:pStyle w:val="Normal"/>
        <w:framePr w:w="12279" w:hAnchor="page" w:vAnchor="page" w:x="274" w:y="610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 All contributions made by the Company for the NEOs are included in All Other Compensation for the NEOs in the Summary Compensation Table.</w:t>
      </w:r>
    </w:p>
    <w:p>
      <w:pPr>
        <w:pStyle w:val="Normal"/>
        <w:framePr w:w="11996" w:hAnchor="page" w:vAnchor="page" w:x="274" w:y="593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 All amounts are included in Salary and Non-Equity Incentive Plan Compensation reported for the NEOs in the Summary Compensation Table.</w:t>
      </w:r>
    </w:p>
    <w:p>
      <w:pPr>
        <w:pStyle w:val="Normal"/>
        <w:framePr w:w="1547" w:hAnchor="page" w:vAnchor="page" w:x="331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Victoria Lazar</w:t>
      </w:r>
    </w:p>
    <w:p>
      <w:pPr>
        <w:pStyle w:val="Normal"/>
        <w:framePr w:w="830" w:hAnchor="page" w:vAnchor="page" w:x="4389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25,000</w:t>
      </w:r>
    </w:p>
    <w:p>
      <w:pPr>
        <w:pStyle w:val="Normal"/>
        <w:framePr w:w="717" w:hAnchor="page" w:vAnchor="page" w:x="6234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4,401</w:t>
      </w:r>
    </w:p>
    <w:p>
      <w:pPr>
        <w:pStyle w:val="Normal"/>
        <w:framePr w:w="853" w:hAnchor="page" w:vAnchor="page" w:x="7869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(3,737)</w:t>
      </w:r>
    </w:p>
    <w:p>
      <w:pPr>
        <w:pStyle w:val="Normal"/>
        <w:framePr w:w="830" w:hAnchor="page" w:vAnchor="page" w:x="11400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28,110</w:t>
      </w:r>
    </w:p>
    <w:p>
      <w:pPr>
        <w:pStyle w:val="Normal"/>
        <w:framePr w:w="1889" w:hAnchor="page" w:vAnchor="page" w:x="331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Jonathan Landes</w:t>
      </w:r>
    </w:p>
    <w:p>
      <w:pPr>
        <w:pStyle w:val="Normal"/>
        <w:framePr w:w="717" w:hAnchor="page" w:vAnchor="page" w:x="4484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7,553</w:t>
      </w:r>
    </w:p>
    <w:p>
      <w:pPr>
        <w:pStyle w:val="Normal"/>
        <w:framePr w:w="830" w:hAnchor="page" w:vAnchor="page" w:x="6138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31,507</w:t>
      </w:r>
    </w:p>
    <w:p>
      <w:pPr>
        <w:pStyle w:val="Normal"/>
        <w:framePr w:w="967" w:hAnchor="page" w:vAnchor="page" w:x="7774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(79,405)</w:t>
      </w:r>
    </w:p>
    <w:p>
      <w:pPr>
        <w:pStyle w:val="Normal"/>
        <w:framePr w:w="944" w:hAnchor="page" w:vAnchor="page" w:x="11292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382,544</w:t>
      </w:r>
    </w:p>
    <w:p>
      <w:pPr>
        <w:pStyle w:val="Normal"/>
        <w:framePr w:w="1615" w:hAnchor="page" w:vAnchor="page" w:x="331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Justin Rounce</w:t>
      </w:r>
    </w:p>
    <w:p>
      <w:pPr>
        <w:pStyle w:val="Normal"/>
        <w:framePr w:w="830" w:hAnchor="page" w:vAnchor="page" w:x="4389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78,450</w:t>
      </w:r>
    </w:p>
    <w:p>
      <w:pPr>
        <w:pStyle w:val="Normal"/>
        <w:framePr w:w="830" w:hAnchor="page" w:vAnchor="page" w:x="6138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63,350</w:t>
      </w:r>
    </w:p>
    <w:p>
      <w:pPr>
        <w:pStyle w:val="Normal"/>
        <w:framePr w:w="967" w:hAnchor="page" w:vAnchor="page" w:x="7774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(80,578)</w:t>
      </w:r>
    </w:p>
    <w:p>
      <w:pPr>
        <w:pStyle w:val="Normal"/>
        <w:framePr w:w="944" w:hAnchor="page" w:vAnchor="page" w:x="11292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485,495</w:t>
      </w:r>
    </w:p>
    <w:p>
      <w:pPr>
        <w:pStyle w:val="Normal"/>
        <w:framePr w:w="1057" w:hAnchor="page" w:vAnchor="page" w:x="331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830" w:hAnchor="page" w:vAnchor="page" w:x="4389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65,000</w:t>
      </w:r>
    </w:p>
    <w:p>
      <w:pPr>
        <w:pStyle w:val="Normal"/>
        <w:framePr w:w="830" w:hAnchor="page" w:vAnchor="page" w:x="6138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35,501</w:t>
      </w:r>
    </w:p>
    <w:p>
      <w:pPr>
        <w:pStyle w:val="Normal"/>
        <w:framePr w:w="1081" w:hAnchor="page" w:vAnchor="page" w:x="7692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(110,691)</w:t>
      </w:r>
    </w:p>
    <w:p>
      <w:pPr>
        <w:pStyle w:val="Normal"/>
        <w:framePr w:w="944" w:hAnchor="page" w:vAnchor="page" w:x="11292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547,601</w:t>
      </w:r>
    </w:p>
    <w:p>
      <w:pPr>
        <w:pStyle w:val="Normal"/>
        <w:framePr w:w="2264" w:hAnchor="page" w:vAnchor="page" w:x="331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Douglas J. Pferdehirt</w:t>
      </w:r>
    </w:p>
    <w:p>
      <w:pPr>
        <w:pStyle w:val="Normal"/>
        <w:framePr w:w="944" w:hAnchor="page" w:vAnchor="page" w:x="4294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393,079</w:t>
      </w:r>
    </w:p>
    <w:p>
      <w:pPr>
        <w:pStyle w:val="Normal"/>
        <w:framePr w:w="944" w:hAnchor="page" w:vAnchor="page" w:x="6044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188,032</w:t>
      </w:r>
    </w:p>
    <w:p>
      <w:pPr>
        <w:pStyle w:val="Normal"/>
        <w:framePr w:w="1081" w:hAnchor="page" w:vAnchor="page" w:x="7680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(905,403)</w:t>
      </w:r>
    </w:p>
    <w:p>
      <w:pPr>
        <w:pStyle w:val="Normal"/>
        <w:framePr w:w="1115" w:hAnchor="page" w:vAnchor="page" w:x="11150" w:y="43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4,815,731</w:t>
      </w:r>
    </w:p>
    <w:p>
      <w:pPr>
        <w:pStyle w:val="Normal"/>
        <w:framePr w:w="762" w:hAnchor="page" w:vAnchor="page" w:x="331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</w:t>
      </w:r>
    </w:p>
    <w:p>
      <w:pPr>
        <w:pStyle w:val="Normal"/>
        <w:framePr w:w="531" w:hAnchor="page" w:vAnchor="page" w:x="4624" w:y="4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1</w:t>
      </w:r>
    </w:p>
    <w:p>
      <w:pPr>
        <w:pStyle w:val="Normal"/>
        <w:framePr w:w="531" w:hAnchor="page" w:vAnchor="page" w:x="6373" w:y="4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2</w:t>
      </w:r>
    </w:p>
    <w:p>
      <w:pPr>
        <w:pStyle w:val="Normal"/>
        <w:framePr w:w="454" w:hAnchor="page" w:vAnchor="page" w:x="8202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454" w:hAnchor="page" w:vAnchor="page" w:x="9951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531" w:hAnchor="page" w:vAnchor="page" w:x="11622" w:y="40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3</w:t>
      </w:r>
    </w:p>
    <w:p>
      <w:pPr>
        <w:pStyle w:val="Normal"/>
        <w:framePr w:w="1764" w:hAnchor="page" w:vAnchor="page" w:x="3621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Last Fiscal Year</w:t>
      </w:r>
    </w:p>
    <w:p>
      <w:pPr>
        <w:pStyle w:val="Normal"/>
        <w:framePr w:w="1764" w:hAnchor="page" w:vAnchor="page" w:x="5370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Last Fiscal Year</w:t>
      </w:r>
    </w:p>
    <w:p>
      <w:pPr>
        <w:pStyle w:val="Normal"/>
        <w:framePr w:w="1286" w:hAnchor="page" w:vAnchor="page" w:x="7518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Fiscal Year</w:t>
      </w:r>
    </w:p>
    <w:p>
      <w:pPr>
        <w:pStyle w:val="Normal"/>
        <w:framePr w:w="1467" w:hAnchor="page" w:vAnchor="page" w:x="9107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Distributions</w:t>
      </w:r>
    </w:p>
    <w:p>
      <w:pPr>
        <w:pStyle w:val="Normal"/>
        <w:framePr w:w="1730" w:hAnchor="page" w:vAnchor="page" w:x="10648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Fiscal Year End</w:t>
      </w:r>
    </w:p>
    <w:p>
      <w:pPr>
        <w:pStyle w:val="Normal"/>
        <w:framePr w:w="1786" w:hAnchor="page" w:vAnchor="page" w:x="3593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Contributions in</w:t>
      </w:r>
    </w:p>
    <w:p>
      <w:pPr>
        <w:pStyle w:val="Normal"/>
        <w:framePr w:w="1786" w:hAnchor="page" w:vAnchor="page" w:x="5343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Contributions in</w:t>
      </w:r>
    </w:p>
    <w:p>
      <w:pPr>
        <w:pStyle w:val="Normal"/>
        <w:framePr w:w="1798" w:hAnchor="page" w:vAnchor="page" w:x="7082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Earnings in Last</w:t>
      </w:r>
    </w:p>
    <w:p>
      <w:pPr>
        <w:pStyle w:val="Normal"/>
        <w:framePr w:w="1467" w:hAnchor="page" w:vAnchor="page" w:x="9109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Withdrawals/</w:t>
      </w:r>
    </w:p>
    <w:p>
      <w:pPr>
        <w:pStyle w:val="Normal"/>
        <w:framePr w:w="1707" w:hAnchor="page" w:vAnchor="page" w:x="10657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Balance at Last</w:t>
      </w:r>
    </w:p>
    <w:p>
      <w:pPr>
        <w:pStyle w:val="Normal"/>
        <w:framePr w:w="1160" w:hAnchor="page" w:vAnchor="page" w:x="4114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Executive</w:t>
      </w:r>
    </w:p>
    <w:p>
      <w:pPr>
        <w:pStyle w:val="Normal"/>
        <w:framePr w:w="1217" w:hAnchor="page" w:vAnchor="page" w:x="5816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Registrant</w:t>
      </w:r>
    </w:p>
    <w:p>
      <w:pPr>
        <w:pStyle w:val="Normal"/>
        <w:framePr w:w="1217" w:hAnchor="page" w:vAnchor="page" w:x="7566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Aggregate</w:t>
      </w:r>
    </w:p>
    <w:p>
      <w:pPr>
        <w:pStyle w:val="Normal"/>
        <w:framePr w:w="1217" w:hAnchor="page" w:vAnchor="page" w:x="9316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Aggregate</w:t>
      </w:r>
    </w:p>
    <w:p>
      <w:pPr>
        <w:pStyle w:val="Normal"/>
        <w:framePr w:w="1217" w:hAnchor="page" w:vAnchor="page" w:x="11065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Aggregate</w:t>
      </w:r>
    </w:p>
    <w:p>
      <w:pPr>
        <w:pStyle w:val="Normal"/>
        <w:framePr w:w="7548" w:hAnchor="page" w:vAnchor="page" w:x="274" w:y="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being invested in any funds available under the U.S. Non-Qualified Savings Plan.</w:t>
      </w:r>
    </w:p>
    <w:p>
      <w:pPr>
        <w:pStyle w:val="Normal"/>
        <w:framePr w:w="14060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salary and annual cash incentive payments for the current year under the U.S. Non- Qualified Savings Plan, and the deferred amounts will be deemed as</w:t>
      </w:r>
    </w:p>
    <w:p>
      <w:pPr>
        <w:pStyle w:val="Normal"/>
        <w:framePr w:w="13889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contributions to the plan. In addition, the NEOs who participate in the U.S. Non-Qualified Savings Plan may elect to defer all or any portion of their base</w:t>
      </w:r>
    </w:p>
    <w:p>
      <w:pPr>
        <w:pStyle w:val="Normal"/>
        <w:framePr w:w="13816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available mutual funds. The Company’s matching contribution will be made in the same investment allocations that the participant selects for his or her</w:t>
      </w:r>
    </w:p>
    <w:p>
      <w:pPr>
        <w:pStyle w:val="Normal"/>
        <w:framePr w:w="13695" w:hAnchor="page" w:vAnchor="page" w:x="274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of each year for amounts earned (or granted with regard to incentive compensation awards) in the following year. The investment options are publicly</w:t>
      </w:r>
    </w:p>
    <w:p>
      <w:pPr>
        <w:pStyle w:val="Normal"/>
        <w:framePr w:w="14025" w:hAnchor="page" w:vAnchor="page" w:x="274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salary and annual cash incentive. For the U.S. Non-Qualified Savings Plan, deferral elections are made by eligible employees in November or December</w:t>
      </w:r>
    </w:p>
    <w:p>
      <w:pPr>
        <w:pStyle w:val="Normal"/>
        <w:framePr w:w="13737" w:hAnchor="page" w:vAnchor="page" w:x="274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Pursuant to the Company’s U.S. Non-Qualified Savings Plan, certain of our U.S.-based employees, including our NEOs, may defer up to 75% of base</w:t>
      </w:r>
    </w:p>
    <w:p>
      <w:pPr>
        <w:pStyle w:val="Normal"/>
        <w:framePr w:w="9109" w:hAnchor="page" w:vAnchor="page" w:x="274" w:y="1399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Non-Qualified Deferred Compensation Table</w:t>
      </w:r>
    </w:p>
    <w:p>
      <w:pPr>
        <w:pStyle w:val="Normal"/>
        <w:framePr w:w="6955" w:hAnchor="page" w:vAnchor="page" w:x="274" w:y="9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Treasury Rate in effect for October of the year prior to termination and 6%.</w:t>
      </w:r>
    </w:p>
    <w:p>
      <w:pPr>
        <w:pStyle w:val="Normal"/>
        <w:framePr w:w="14025" w:hAnchor="page" w:vAnchor="page" w:x="274" w:y="7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benefit in monthly installments payable over five years. The actuarial equivalence assumption for interest rates is based on the lesser of the 30-year U.S.</w:t>
      </w:r>
    </w:p>
    <w:p>
      <w:pPr>
        <w:pStyle w:val="Normal"/>
        <w:framePr w:w="13888" w:hAnchor="page" w:vAnchor="page" w:x="274" w:y="5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normal form of payment for the U.S. Non-Qualified Pension Plan is a lump sum distribution. In addition, a participant may elect to receive his or her</w:t>
      </w:r>
    </w:p>
    <w:p>
      <w:pPr>
        <w:pStyle w:val="Normal"/>
        <w:framePr w:w="3345" w:hAnchor="page" w:vAnchor="page" w:x="274" w:y="3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U.S. Non-Qualified Pension Plan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7pt;margin-top:1pt;z-index:-1676541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12.7pt;margin-top:168.85pt;z-index:-16765412;width:148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159.2pt;margin-top:168.85pt;z-index:-16765408;width:90.2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247.4pt;margin-top:168.85pt;z-index:-16765404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334.85pt;margin-top:168.85pt;z-index:-16765400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22.35pt;margin-top:168.85pt;z-index:-16765396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09.85pt;margin-top:168.85pt;z-index:-16765392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12.7pt;margin-top:228.6pt;z-index:-16765388;width:148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159.2pt;margin-top:228.6pt;z-index:-16765384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247.4pt;margin-top:228.6pt;z-index:-1676538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334.85pt;margin-top:228.6pt;z-index:-16765376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22.35pt;margin-top:228.6pt;z-index:-16765372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09.85pt;margin-top:228.6pt;z-index:-1676536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12.7pt;margin-top:242.1pt;z-index:-16765364;width:148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159.2pt;margin-top:242.1pt;z-index:-16765360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247.4pt;margin-top:242.1pt;z-index:-16765356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34.85pt;margin-top:242.1pt;z-index:-16765352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22.35pt;margin-top:242.1pt;z-index:-1676534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09.85pt;margin-top:242.1pt;z-index:-1676534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12.7pt;margin-top:255.6pt;z-index:-16765340;width:148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159.2pt;margin-top:255.6pt;z-index:-16765336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247.4pt;margin-top:255.6pt;z-index:-16765332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334.85pt;margin-top:255.6pt;z-index:-1676532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22.35pt;margin-top:255.6pt;z-index:-1676532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09.85pt;margin-top:255.6pt;z-index:-1676532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12.7pt;margin-top:269.1pt;z-index:-16765316;width:148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159.2pt;margin-top:269.1pt;z-index:-16765312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247.4pt;margin-top:269.1pt;z-index:-1676530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34.85pt;margin-top:269.1pt;z-index:-1676530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422.35pt;margin-top:269.1pt;z-index:-1676530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509.85pt;margin-top:269.1pt;z-index:-16765296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509.85pt;margin-top:282.65pt;z-index:-1676529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22.35pt;margin-top:282.65pt;z-index:-1676528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334.85pt;margin-top:282.65pt;z-index:-1676528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247.4pt;margin-top:282.65pt;z-index:-1676528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159.2pt;margin-top:282.65pt;z-index:-1676527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12.7pt;margin-top:282.65pt;z-index:-1676527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09.85pt;margin-top:269.1pt;z-index:-1676526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22.35pt;margin-top:269.1pt;z-index:-1676526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34.85pt;margin-top:269.1pt;z-index:-1676526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247.4pt;margin-top:269.1pt;z-index:-1676525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159.2pt;margin-top:269.1pt;z-index:-16765252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12.7pt;margin-top:269.1pt;z-index:-1676524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09.85pt;margin-top:255.6pt;z-index:-1676524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22.35pt;margin-top:255.6pt;z-index:-1676524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334.85pt;margin-top:255.6pt;z-index:-1676523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247.4pt;margin-top:255.6pt;z-index:-1676523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159.2pt;margin-top:255.6pt;z-index:-1676522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12.7pt;margin-top:255.6pt;z-index:-16765224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09.85pt;margin-top:242.1pt;z-index:-1676522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422.35pt;margin-top:242.1pt;z-index:-1676521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334.85pt;margin-top:242.1pt;z-index:-1676521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247.4pt;margin-top:242.1pt;z-index:-1676520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159.2pt;margin-top:242.1pt;z-index:-1676520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12.7pt;margin-top:242.1pt;z-index:-16765200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509.85pt;margin-top:228.6pt;z-index:-1676519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22.35pt;margin-top:228.6pt;z-index:-1676519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334.85pt;margin-top:228.6pt;z-index:-1676518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247.4pt;margin-top:228.6pt;z-index:-1676518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159.2pt;margin-top:228.6pt;z-index:-16765180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12.7pt;margin-top:228.6pt;z-index:-1676517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09.85pt;margin-top:168.85pt;z-index:-1676517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09.85pt;margin-top:215.05pt;z-index:-1676516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22.35pt;margin-top:168.85pt;z-index:-1676516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22.35pt;margin-top:215.05pt;z-index:-1676516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34.85pt;margin-top:168.85pt;z-index:-1676515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34.85pt;margin-top:215.05pt;z-index:-1676515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247.4pt;margin-top:168.85pt;z-index:-1676514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247.4pt;margin-top:215.05pt;z-index:-1676514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159.2pt;margin-top:168.85pt;z-index:-16765140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159.2pt;margin-top:215.05pt;z-index:-1676513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12.7pt;margin-top:168.85pt;z-index:-16765132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12.7pt;margin-top:215.05pt;z-index:-16765128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12.7pt;margin-top:362.3pt;z-index:-167651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</w:p>
    <w:p>
      <w:pPr>
        <w:pStyle w:val="Normal"/>
        <w:framePr w:w="1631" w:hAnchor="page" w:vAnchor="page" w:x="274" w:y="71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89  TechnipFMC</w:t>
      </w:r>
    </w:p>
    <w:p>
      <w:pPr>
        <w:pStyle w:val="Normal"/>
        <w:framePr w:w="3002" w:hAnchor="page" w:vAnchor="page" w:x="615" w:y="66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stock price on December 31, 2022.</w:t>
      </w:r>
    </w:p>
    <w:p>
      <w:pPr>
        <w:pStyle w:val="Normal"/>
        <w:framePr w:w="14125" w:hAnchor="page" w:vAnchor="page" w:x="274" w:y="65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 Unvested stock options vest and become exercisable in the event of death or disability. All stock options plans have an exercise price that is greater than the Company’s</w:t>
      </w:r>
    </w:p>
    <w:p>
      <w:pPr>
        <w:pStyle w:val="Normal"/>
        <w:framePr w:w="3968" w:hAnchor="page" w:vAnchor="page" w:x="274" w:y="63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 Assumes PSUs are paid at target (100%).</w:t>
      </w:r>
    </w:p>
    <w:p>
      <w:pPr>
        <w:pStyle w:val="Normal"/>
        <w:framePr w:w="1547" w:hAnchor="page" w:vAnchor="page" w:x="331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Victoria Lazar</w:t>
      </w:r>
    </w:p>
    <w:p>
      <w:pPr>
        <w:pStyle w:val="Normal"/>
        <w:framePr w:w="1115" w:hAnchor="page" w:vAnchor="page" w:x="5901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2,152,169</w:t>
      </w:r>
    </w:p>
    <w:p>
      <w:pPr>
        <w:pStyle w:val="Normal"/>
        <w:framePr w:w="318" w:hAnchor="page" w:vAnchor="page" w:x="8315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944" w:hAnchor="page" w:vAnchor="page" w:x="9543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922,332</w:t>
      </w:r>
    </w:p>
    <w:p>
      <w:pPr>
        <w:pStyle w:val="Normal"/>
        <w:framePr w:w="1115" w:hAnchor="page" w:vAnchor="page" w:x="11150" w:y="58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3,074,501</w:t>
      </w:r>
    </w:p>
    <w:p>
      <w:pPr>
        <w:pStyle w:val="Normal"/>
        <w:framePr w:w="1889" w:hAnchor="page" w:vAnchor="page" w:x="331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Jonathan Landes</w:t>
      </w:r>
    </w:p>
    <w:p>
      <w:pPr>
        <w:pStyle w:val="Normal"/>
        <w:framePr w:w="1115" w:hAnchor="page" w:vAnchor="page" w:x="5901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2,691,040</w:t>
      </w:r>
    </w:p>
    <w:p>
      <w:pPr>
        <w:pStyle w:val="Normal"/>
        <w:framePr w:w="318" w:hAnchor="page" w:vAnchor="page" w:x="8315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115" w:hAnchor="page" w:vAnchor="page" w:x="9400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1,612,579</w:t>
      </w:r>
    </w:p>
    <w:p>
      <w:pPr>
        <w:pStyle w:val="Normal"/>
        <w:framePr w:w="1115" w:hAnchor="page" w:vAnchor="page" w:x="11150" w:y="56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4,303,619</w:t>
      </w:r>
    </w:p>
    <w:p>
      <w:pPr>
        <w:pStyle w:val="Normal"/>
        <w:framePr w:w="1615" w:hAnchor="page" w:vAnchor="page" w:x="331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Justin Rounce</w:t>
      </w:r>
    </w:p>
    <w:p>
      <w:pPr>
        <w:pStyle w:val="Normal"/>
        <w:framePr w:w="1115" w:hAnchor="page" w:vAnchor="page" w:x="5901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4,675,877</w:t>
      </w:r>
    </w:p>
    <w:p>
      <w:pPr>
        <w:pStyle w:val="Normal"/>
        <w:framePr w:w="318" w:hAnchor="page" w:vAnchor="page" w:x="8315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115" w:hAnchor="page" w:vAnchor="page" w:x="9400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5,013,905</w:t>
      </w:r>
    </w:p>
    <w:p>
      <w:pPr>
        <w:pStyle w:val="Normal"/>
        <w:framePr w:w="1115" w:hAnchor="page" w:vAnchor="page" w:x="11150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9,689,782</w:t>
      </w:r>
    </w:p>
    <w:p>
      <w:pPr>
        <w:pStyle w:val="Normal"/>
        <w:framePr w:w="1057" w:hAnchor="page" w:vAnchor="page" w:x="331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1115" w:hAnchor="page" w:vAnchor="page" w:x="5901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4,196,712</w:t>
      </w:r>
    </w:p>
    <w:p>
      <w:pPr>
        <w:pStyle w:val="Normal"/>
        <w:framePr w:w="318" w:hAnchor="page" w:vAnchor="page" w:x="8315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115" w:hAnchor="page" w:vAnchor="page" w:x="9400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2,244,496</w:t>
      </w:r>
    </w:p>
    <w:p>
      <w:pPr>
        <w:pStyle w:val="Normal"/>
        <w:framePr w:w="1115" w:hAnchor="page" w:vAnchor="page" w:x="11150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6,441,208</w:t>
      </w:r>
    </w:p>
    <w:p>
      <w:pPr>
        <w:pStyle w:val="Normal"/>
        <w:framePr w:w="2264" w:hAnchor="page" w:vAnchor="page" w:x="331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Douglas J. Pferdehirt</w:t>
      </w:r>
    </w:p>
    <w:p>
      <w:pPr>
        <w:pStyle w:val="Normal"/>
        <w:framePr w:w="1229" w:hAnchor="page" w:vAnchor="page" w:x="5806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22,061,401</w:t>
      </w:r>
    </w:p>
    <w:p>
      <w:pPr>
        <w:pStyle w:val="Normal"/>
        <w:framePr w:w="318" w:hAnchor="page" w:vAnchor="page" w:x="8315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1229" w:hAnchor="page" w:vAnchor="page" w:x="9306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28,427,214</w:t>
      </w:r>
    </w:p>
    <w:p>
      <w:pPr>
        <w:pStyle w:val="Normal"/>
        <w:framePr w:w="1229" w:hAnchor="page" w:vAnchor="page" w:x="11055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50,488,615</w:t>
      </w:r>
    </w:p>
    <w:p>
      <w:pPr>
        <w:pStyle w:val="Normal"/>
        <w:framePr w:w="762" w:hAnchor="page" w:vAnchor="page" w:x="331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</w:t>
      </w:r>
    </w:p>
    <w:p>
      <w:pPr>
        <w:pStyle w:val="Normal"/>
        <w:framePr w:w="1023" w:hAnchor="page" w:vAnchor="page" w:x="5881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Units ($)</w:t>
      </w:r>
    </w:p>
    <w:p>
      <w:pPr>
        <w:pStyle w:val="Normal"/>
        <w:framePr w:w="454" w:hAnchor="page" w:vAnchor="page" w:x="8105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1673" w:hAnchor="page" w:vAnchor="page" w:x="8936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Accelerated ($)</w:t>
      </w:r>
    </w:p>
    <w:p>
      <w:pPr>
        <w:pStyle w:val="Normal"/>
        <w:framePr w:w="1001" w:hAnchor="page" w:vAnchor="page" w:x="11258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 ($)</w:t>
      </w:r>
    </w:p>
    <w:p>
      <w:pPr>
        <w:pStyle w:val="Normal"/>
        <w:framePr w:w="320" w:hAnchor="page" w:vAnchor="page" w:x="6564" w:y="4460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1</w:t>
      </w:r>
    </w:p>
    <w:p>
      <w:pPr>
        <w:pStyle w:val="Normal"/>
        <w:framePr w:w="320" w:hAnchor="page" w:vAnchor="page" w:x="8314" w:y="4460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</w:t>
      </w:r>
    </w:p>
    <w:p>
      <w:pPr>
        <w:pStyle w:val="Normal"/>
        <w:framePr w:w="1820" w:hAnchor="page" w:vAnchor="page" w:x="5314" w:y="42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Restricted Stock</w:t>
      </w:r>
    </w:p>
    <w:p>
      <w:pPr>
        <w:pStyle w:val="Normal"/>
        <w:framePr w:w="1581" w:hAnchor="page" w:vAnchor="page" w:x="7263" w:y="42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Options/SARs</w:t>
      </w:r>
    </w:p>
    <w:p>
      <w:pPr>
        <w:pStyle w:val="Normal"/>
        <w:framePr w:w="2116" w:hAnchor="page" w:vAnchor="page" w:x="8566" w:y="43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Units Unvested and</w:t>
      </w:r>
    </w:p>
    <w:p>
      <w:pPr>
        <w:pStyle w:val="Normal"/>
        <w:framePr w:w="2139" w:hAnchor="page" w:vAnchor="page" w:x="5048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Performance-Based</w:t>
      </w:r>
    </w:p>
    <w:p>
      <w:pPr>
        <w:pStyle w:val="Normal"/>
        <w:framePr w:w="762" w:hAnchor="page" w:vAnchor="page" w:x="7945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Stock</w:t>
      </w:r>
    </w:p>
    <w:p>
      <w:pPr>
        <w:pStyle w:val="Normal"/>
        <w:framePr w:w="1820" w:hAnchor="page" w:vAnchor="page" w:x="8813" w:y="41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Restricted Stock</w:t>
      </w:r>
    </w:p>
    <w:p>
      <w:pPr>
        <w:pStyle w:val="Normal"/>
        <w:framePr w:w="1411" w:hAnchor="page" w:vAnchor="page" w:x="9167" w:y="39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Time Vested</w:t>
      </w:r>
    </w:p>
    <w:p>
      <w:pPr>
        <w:pStyle w:val="Normal"/>
        <w:framePr w:w="3698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Long-Term Incentive Compensation</w:t>
      </w:r>
    </w:p>
    <w:p>
      <w:pPr>
        <w:pStyle w:val="Normal"/>
        <w:framePr w:w="9004" w:hAnchor="page" w:vAnchor="page" w:x="274" w:y="33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Executive Benefits and Payments in the Event of Death or Disability on December 31, 2022</w:t>
      </w:r>
    </w:p>
    <w:p>
      <w:pPr>
        <w:pStyle w:val="Normal"/>
        <w:framePr w:w="10599" w:hAnchor="page" w:vAnchor="page" w:x="274" w:y="29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following table shows the value to each of the NEOs if death or disability had occurred on December 31, 2022.</w:t>
      </w:r>
    </w:p>
    <w:p>
      <w:pPr>
        <w:pStyle w:val="Normal"/>
        <w:framePr w:w="4325" w:hAnchor="page" w:vAnchor="page" w:x="274" w:y="26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their pre-retirement, normal vesting schedule.</w:t>
      </w:r>
    </w:p>
    <w:p>
      <w:pPr>
        <w:pStyle w:val="Normal"/>
        <w:framePr w:w="14155" w:hAnchor="page" w:vAnchor="page" w:x="274" w:y="24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death or disability. In the event of an NEO’s retirement after reaching the age of 62, all outstanding equity awards are retained and vest in accordance with</w:t>
      </w:r>
    </w:p>
    <w:p>
      <w:pPr>
        <w:pStyle w:val="Normal"/>
        <w:framePr w:w="13749" w:hAnchor="page" w:vAnchor="page" w:x="274" w:y="22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following death or disability. This death or disability benefit also exists for any of our employees who hold an unvested equity award at the time of their</w:t>
      </w:r>
    </w:p>
    <w:p>
      <w:pPr>
        <w:pStyle w:val="Normal"/>
        <w:framePr w:w="14034" w:hAnchor="page" w:vAnchor="page" w:x="274" w:y="20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 the event of the death or disability of an NEO during active employment with the Company, all outstanding equity awards vest on the first business day</w:t>
      </w:r>
    </w:p>
    <w:p>
      <w:pPr>
        <w:pStyle w:val="Normal"/>
        <w:framePr w:w="5736" w:hAnchor="page" w:vAnchor="page" w:x="274" w:y="18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Payments in the Event of Death, Disability, or Retirement</w:t>
      </w:r>
    </w:p>
    <w:p>
      <w:pPr>
        <w:pStyle w:val="Normal"/>
        <w:framePr w:w="9084" w:hAnchor="page" w:vAnchor="page" w:x="274" w:y="14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payments are mutually exclusive, and our NEOs are not entitled to receive both forms of payment.</w:t>
      </w:r>
    </w:p>
    <w:p>
      <w:pPr>
        <w:pStyle w:val="Normal"/>
        <w:framePr w:w="13885" w:hAnchor="page" w:vAnchor="page" w:x="274" w:y="12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not-for-cause termination as discussed in this section, or, alternatively, in the event of a change-in-control. Termination payments and change-in-control</w:t>
      </w:r>
    </w:p>
    <w:p>
      <w:pPr>
        <w:pStyle w:val="Normal"/>
        <w:framePr w:w="14105" w:hAnchor="page" w:vAnchor="page" w:x="274" w:y="10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employees in those situations. Our NEOs receive additional compensation benefits either in the event of their death or disability, retirement, or involuntary</w:t>
      </w:r>
    </w:p>
    <w:p>
      <w:pPr>
        <w:pStyle w:val="Normal"/>
        <w:framePr w:w="13947" w:hAnchor="page" w:vAnchor="page" w:x="274" w:y="8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compensation and benefits payable to each of the NEOs in the event of a voluntary termination are the same as those available to all other salaried</w:t>
      </w:r>
    </w:p>
    <w:p>
      <w:pPr>
        <w:pStyle w:val="Normal"/>
        <w:framePr w:w="7746" w:hAnchor="page" w:vAnchor="page" w:x="274" w:y="389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Potential Payments upon Termination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7pt;margin-top:1pt;z-index:-1676512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12.7pt;margin-top:190.2pt;z-index:-16765116;width:236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246.7pt;margin-top:190.2pt;z-index:-16765112;width:90.2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34.85pt;margin-top:190.2pt;z-index:-16765108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22.35pt;margin-top:190.2pt;z-index:-16765104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509.85pt;margin-top:190.2pt;z-index:-16765100;width:89.5pt;height:4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12.7pt;margin-top:249.95pt;z-index:-16765096;width:23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246.7pt;margin-top:249.95pt;z-index:-16765092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334.85pt;margin-top:249.95pt;z-index:-1676508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422.35pt;margin-top:249.95pt;z-index:-1676508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09.85pt;margin-top:249.95pt;z-index:-1676508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12.7pt;margin-top:263.45pt;z-index:-16765076;width:23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246.7pt;margin-top:263.45pt;z-index:-16765072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34.85pt;margin-top:263.45pt;z-index:-1676506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422.35pt;margin-top:263.45pt;z-index:-1676506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09.85pt;margin-top:263.45pt;z-index:-1676506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12.7pt;margin-top:276.95pt;z-index:-16765056;width:23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246.7pt;margin-top:276.95pt;z-index:-16765052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334.85pt;margin-top:276.95pt;z-index:-1676504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22.35pt;margin-top:276.95pt;z-index:-1676504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509.85pt;margin-top:276.95pt;z-index:-1676504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12.7pt;margin-top:290.45pt;z-index:-16765036;width:23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246.7pt;margin-top:290.45pt;z-index:-16765032;width:90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34.85pt;margin-top:290.45pt;z-index:-1676502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22.35pt;margin-top:290.45pt;z-index:-16765024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09.85pt;margin-top:290.45pt;z-index:-1676502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09.85pt;margin-top:304pt;z-index:-1676501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422.35pt;margin-top:304pt;z-index:-1676501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334.85pt;margin-top:304pt;z-index:-1676500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246.7pt;margin-top:304pt;z-index:-1676500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12.7pt;margin-top:304pt;z-index:-1676500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09.85pt;margin-top:290.45pt;z-index:-1676499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22.35pt;margin-top:290.45pt;z-index:-1676499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334.85pt;margin-top:290.45pt;z-index:-1676498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246.7pt;margin-top:290.45pt;z-index:-1676498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12.7pt;margin-top:290.45pt;z-index:-1676498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509.85pt;margin-top:276.95pt;z-index:-1676497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422.35pt;margin-top:276.95pt;z-index:-1676497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34.85pt;margin-top:276.95pt;z-index:-1676496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246.7pt;margin-top:276.95pt;z-index:-1676496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12.7pt;margin-top:276.95pt;z-index:-1676496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09.85pt;margin-top:263.45pt;z-index:-1676495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22.35pt;margin-top:263.45pt;z-index:-1676495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334.85pt;margin-top:263.45pt;z-index:-1676494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246.7pt;margin-top:263.45pt;z-index:-1676494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12.7pt;margin-top:263.45pt;z-index:-1676494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09.85pt;margin-top:249.95pt;z-index:-1676493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422.35pt;margin-top:249.95pt;z-index:-1676493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334.85pt;margin-top:249.95pt;z-index:-1676492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246.7pt;margin-top:249.95pt;z-index:-1676492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12.7pt;margin-top:249.95pt;z-index:-1676492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09.85pt;margin-top:190.2pt;z-index:-1676491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09.85pt;margin-top:236.4pt;z-index:-1676491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422.35pt;margin-top:190.2pt;z-index:-1676490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422.35pt;margin-top:236.4pt;z-index:-1676490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34.85pt;margin-top:190.2pt;z-index:-1676490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34.85pt;margin-top:236.4pt;z-index:-1676489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246.7pt;margin-top:190.2pt;z-index:-16764892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246.7pt;margin-top:236.4pt;z-index:-1676488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12.7pt;margin-top:190.2pt;z-index:-16764884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12.7pt;margin-top:236.4pt;z-index:-16764880;width:2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12.7pt;margin-top:375.1pt;z-index:-167648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</w:p>
    <w:p>
      <w:pPr>
        <w:pStyle w:val="Normal"/>
        <w:framePr w:w="1631" w:hAnchor="page" w:vAnchor="page" w:x="274" w:y="63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90  TechnipFMC</w:t>
      </w:r>
    </w:p>
    <w:p>
      <w:pPr>
        <w:pStyle w:val="Normal"/>
        <w:framePr w:w="6758" w:hAnchor="page" w:vAnchor="page" w:x="274" w:y="56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(4)  Financial planning and tax preparation assistance for the year of termination.</w:t>
      </w:r>
    </w:p>
    <w:p>
      <w:pPr>
        <w:pStyle w:val="Normal"/>
        <w:framePr w:w="5989" w:hAnchor="page" w:vAnchor="page" w:x="274" w:y="551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(3)  18 months of medical, dental, life, and AD &amp; D benefit continuation.</w:t>
      </w:r>
    </w:p>
    <w:p>
      <w:pPr>
        <w:pStyle w:val="Normal"/>
        <w:framePr w:w="5839" w:hAnchor="page" w:vAnchor="page" w:x="274" w:y="534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 Pro-rated target annual cash incentive for the year of termination.</w:t>
      </w:r>
    </w:p>
    <w:p>
      <w:pPr>
        <w:pStyle w:val="Normal"/>
        <w:framePr w:w="7547" w:hAnchor="page" w:vAnchor="page" w:x="274" w:y="51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 Severance payment equal to 18 months’ base salary and target annual cash incentive.</w:t>
      </w:r>
    </w:p>
    <w:p>
      <w:pPr>
        <w:pStyle w:val="Normal"/>
        <w:framePr w:w="1373" w:hAnchor="page" w:vAnchor="page" w:x="331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Victoria Lazar</w:t>
      </w:r>
    </w:p>
    <w:p>
      <w:pPr>
        <w:pStyle w:val="Normal"/>
        <w:framePr w:w="989" w:hAnchor="page" w:vAnchor="page" w:x="3056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1,250,000</w:t>
      </w:r>
    </w:p>
    <w:p>
      <w:pPr>
        <w:pStyle w:val="Normal"/>
        <w:framePr w:w="838" w:hAnchor="page" w:vAnchor="page" w:x="4349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500,000</w:t>
      </w:r>
    </w:p>
    <w:p>
      <w:pPr>
        <w:pStyle w:val="Normal"/>
        <w:framePr w:w="281" w:hAnchor="page" w:vAnchor="page" w:x="5979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6766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17,844</w:t>
      </w:r>
    </w:p>
    <w:p>
      <w:pPr>
        <w:pStyle w:val="Normal"/>
        <w:framePr w:w="281" w:hAnchor="page" w:vAnchor="page" w:x="8312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9099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50,000</w:t>
      </w:r>
    </w:p>
    <w:p>
      <w:pPr>
        <w:pStyle w:val="Normal"/>
        <w:framePr w:w="483" w:hAnchor="page" w:vAnchor="page" w:x="10476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$–</w:t>
      </w:r>
    </w:p>
    <w:p>
      <w:pPr>
        <w:pStyle w:val="Normal"/>
        <w:framePr w:w="1091" w:hAnchor="page" w:vAnchor="page" w:x="11137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$1,817,844</w:t>
      </w:r>
    </w:p>
    <w:p>
      <w:pPr>
        <w:pStyle w:val="Normal"/>
        <w:framePr w:w="1676" w:hAnchor="page" w:vAnchor="page" w:x="331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Jonathan Landes</w:t>
      </w:r>
    </w:p>
    <w:p>
      <w:pPr>
        <w:pStyle w:val="Normal"/>
        <w:framePr w:w="989" w:hAnchor="page" w:vAnchor="page" w:x="3056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1,312,500</w:t>
      </w:r>
    </w:p>
    <w:p>
      <w:pPr>
        <w:pStyle w:val="Normal"/>
        <w:framePr w:w="838" w:hAnchor="page" w:vAnchor="page" w:x="4349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525,000</w:t>
      </w:r>
    </w:p>
    <w:p>
      <w:pPr>
        <w:pStyle w:val="Normal"/>
        <w:framePr w:w="281" w:hAnchor="page" w:vAnchor="page" w:x="5979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6766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22,955</w:t>
      </w:r>
    </w:p>
    <w:p>
      <w:pPr>
        <w:pStyle w:val="Normal"/>
        <w:framePr w:w="281" w:hAnchor="page" w:vAnchor="page" w:x="8312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9099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50,000</w:t>
      </w:r>
    </w:p>
    <w:p>
      <w:pPr>
        <w:pStyle w:val="Normal"/>
        <w:framePr w:w="483" w:hAnchor="page" w:vAnchor="page" w:x="10476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$–</w:t>
      </w:r>
    </w:p>
    <w:p>
      <w:pPr>
        <w:pStyle w:val="Normal"/>
        <w:framePr w:w="1091" w:hAnchor="page" w:vAnchor="page" w:x="11137" w:y="449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$1,910,455</w:t>
      </w:r>
    </w:p>
    <w:p>
      <w:pPr>
        <w:pStyle w:val="Normal"/>
        <w:framePr w:w="1434" w:hAnchor="page" w:vAnchor="page" w:x="331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Justin Rounce</w:t>
      </w:r>
    </w:p>
    <w:p>
      <w:pPr>
        <w:pStyle w:val="Normal"/>
        <w:framePr w:w="989" w:hAnchor="page" w:vAnchor="page" w:x="3056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1,500,000</w:t>
      </w:r>
    </w:p>
    <w:p>
      <w:pPr>
        <w:pStyle w:val="Normal"/>
        <w:framePr w:w="838" w:hAnchor="page" w:vAnchor="page" w:x="4349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600,000</w:t>
      </w:r>
    </w:p>
    <w:p>
      <w:pPr>
        <w:pStyle w:val="Normal"/>
        <w:framePr w:w="281" w:hAnchor="page" w:vAnchor="page" w:x="5979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6766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32,826</w:t>
      </w:r>
    </w:p>
    <w:p>
      <w:pPr>
        <w:pStyle w:val="Normal"/>
        <w:framePr w:w="281" w:hAnchor="page" w:vAnchor="page" w:x="8312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9099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50,000</w:t>
      </w:r>
    </w:p>
    <w:p>
      <w:pPr>
        <w:pStyle w:val="Normal"/>
        <w:framePr w:w="483" w:hAnchor="page" w:vAnchor="page" w:x="10476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 $–</w:t>
      </w:r>
    </w:p>
    <w:p>
      <w:pPr>
        <w:pStyle w:val="Normal"/>
        <w:framePr w:w="1091" w:hAnchor="page" w:vAnchor="page" w:x="11137" w:y="42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$2,182,826</w:t>
      </w:r>
    </w:p>
    <w:p>
      <w:pPr>
        <w:pStyle w:val="Normal"/>
        <w:framePr w:w="938" w:hAnchor="page" w:vAnchor="page" w:x="331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Alf Melin</w:t>
      </w:r>
    </w:p>
    <w:p>
      <w:pPr>
        <w:pStyle w:val="Normal"/>
        <w:framePr w:w="989" w:hAnchor="page" w:vAnchor="page" w:x="3056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1,625,000</w:t>
      </w:r>
    </w:p>
    <w:p>
      <w:pPr>
        <w:pStyle w:val="Normal"/>
        <w:framePr w:w="838" w:hAnchor="page" w:vAnchor="page" w:x="4349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650,000</w:t>
      </w:r>
    </w:p>
    <w:p>
      <w:pPr>
        <w:pStyle w:val="Normal"/>
        <w:framePr w:w="281" w:hAnchor="page" w:vAnchor="page" w:x="5979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6766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32,873</w:t>
      </w:r>
    </w:p>
    <w:p>
      <w:pPr>
        <w:pStyle w:val="Normal"/>
        <w:framePr w:w="281" w:hAnchor="page" w:vAnchor="page" w:x="8312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9099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50,000</w:t>
      </w:r>
    </w:p>
    <w:p>
      <w:pPr>
        <w:pStyle w:val="Normal"/>
        <w:framePr w:w="939" w:hAnchor="page" w:vAnchor="page" w:x="10097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$974,215</w:t>
      </w:r>
    </w:p>
    <w:p>
      <w:pPr>
        <w:pStyle w:val="Normal"/>
        <w:framePr w:w="1091" w:hAnchor="page" w:vAnchor="page" w:x="11137" w:y="40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$3,332,088</w:t>
      </w:r>
    </w:p>
    <w:p>
      <w:pPr>
        <w:pStyle w:val="Normal"/>
        <w:framePr w:w="2010" w:hAnchor="page" w:vAnchor="page" w:x="331" w:y="37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5"/>
          <w:szCs w:val="15"/>
        </w:rPr>
        <w:t>Douglas J. Pferdehirt</w:t>
      </w:r>
    </w:p>
    <w:p>
      <w:pPr>
        <w:pStyle w:val="Normal"/>
        <w:framePr w:w="989" w:hAnchor="page" w:vAnchor="page" w:x="3056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3,522,600</w:t>
      </w:r>
    </w:p>
    <w:p>
      <w:pPr>
        <w:pStyle w:val="Normal"/>
        <w:framePr w:w="989" w:hAnchor="page" w:vAnchor="page" w:x="4222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1,668,600</w:t>
      </w:r>
    </w:p>
    <w:p>
      <w:pPr>
        <w:pStyle w:val="Normal"/>
        <w:framePr w:w="281" w:hAnchor="page" w:vAnchor="page" w:x="5979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–</w:t>
      </w:r>
    </w:p>
    <w:p>
      <w:pPr>
        <w:pStyle w:val="Normal"/>
        <w:framePr w:w="737" w:hAnchor="page" w:vAnchor="page" w:x="6766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23,743</w:t>
      </w:r>
    </w:p>
    <w:p>
      <w:pPr>
        <w:pStyle w:val="Normal"/>
        <w:framePr w:w="737" w:hAnchor="page" w:vAnchor="page" w:x="7933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19,360</w:t>
      </w:r>
    </w:p>
    <w:p>
      <w:pPr>
        <w:pStyle w:val="Normal"/>
        <w:framePr w:w="737" w:hAnchor="page" w:vAnchor="page" w:x="9099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50,000</w:t>
      </w:r>
    </w:p>
    <w:p>
      <w:pPr>
        <w:pStyle w:val="Normal"/>
        <w:framePr w:w="433" w:hAnchor="page" w:vAnchor="page" w:x="10518" w:y="37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 xml:space="preserve"> $–</w:t>
      </w:r>
    </w:p>
    <w:p>
      <w:pPr>
        <w:pStyle w:val="Normal"/>
        <w:framePr w:w="1091" w:hAnchor="page" w:vAnchor="page" w:x="11137" w:y="37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$5,284,303</w:t>
      </w:r>
    </w:p>
    <w:p>
      <w:pPr>
        <w:pStyle w:val="Normal"/>
        <w:framePr w:w="676" w:hAnchor="page" w:vAnchor="page" w:x="345" w:y="34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Name</w:t>
      </w:r>
    </w:p>
    <w:p>
      <w:pPr>
        <w:pStyle w:val="Normal"/>
        <w:framePr w:w="475" w:hAnchor="page" w:vAnchor="page" w:x="3475" w:y="34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475" w:hAnchor="page" w:vAnchor="page" w:x="4642" w:y="34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2</w:t>
      </w:r>
    </w:p>
    <w:p>
      <w:pPr>
        <w:pStyle w:val="Normal"/>
        <w:framePr w:w="402" w:hAnchor="page" w:vAnchor="page" w:x="5878" w:y="34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1243" w:hAnchor="page" w:vAnchor="page" w:x="6334" w:y="34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Benefits 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3</w:t>
      </w:r>
    </w:p>
    <w:p>
      <w:pPr>
        <w:pStyle w:val="Normal"/>
        <w:framePr w:w="475" w:hAnchor="page" w:vAnchor="page" w:x="8141" w:y="34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3"/>
          <w:szCs w:val="13"/>
        </w:rPr>
        <w:t>4</w:t>
      </w:r>
    </w:p>
    <w:p>
      <w:pPr>
        <w:pStyle w:val="Normal"/>
        <w:framePr w:w="402" w:hAnchor="page" w:vAnchor="page" w:x="9377" w:y="34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1100" w:hAnchor="page" w:vAnchor="page" w:x="9962" w:y="34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Service ($)</w:t>
      </w:r>
    </w:p>
    <w:p>
      <w:pPr>
        <w:pStyle w:val="Normal"/>
        <w:framePr w:w="402" w:hAnchor="page" w:vAnchor="page" w:x="11710" w:y="349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938" w:hAnchor="page" w:vAnchor="page" w:x="3099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Payment</w:t>
      </w:r>
    </w:p>
    <w:p>
      <w:pPr>
        <w:pStyle w:val="Normal"/>
        <w:framePr w:w="969" w:hAnchor="page" w:vAnchor="page" w:x="4240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Incentive</w:t>
      </w:r>
    </w:p>
    <w:p>
      <w:pPr>
        <w:pStyle w:val="Normal"/>
        <w:framePr w:w="1272" w:hAnchor="page" w:vAnchor="page" w:x="5153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Acceleration</w:t>
      </w:r>
    </w:p>
    <w:p>
      <w:pPr>
        <w:pStyle w:val="Normal"/>
        <w:framePr w:w="989" w:hAnchor="page" w:vAnchor="page" w:x="6556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Disability</w:t>
      </w:r>
    </w:p>
    <w:p>
      <w:pPr>
        <w:pStyle w:val="Normal"/>
        <w:framePr w:w="1191" w:hAnchor="page" w:vAnchor="page" w:x="7554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 xml:space="preserve">Assistance </w:t>
      </w:r>
    </w:p>
    <w:p>
      <w:pPr>
        <w:pStyle w:val="Normal"/>
        <w:framePr w:w="929" w:hAnchor="page" w:vAnchor="page" w:x="8939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Services</w:t>
      </w:r>
    </w:p>
    <w:p>
      <w:pPr>
        <w:pStyle w:val="Normal"/>
        <w:framePr w:w="888" w:hAnchor="page" w:vAnchor="page" w:x="10139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Pension</w:t>
      </w:r>
    </w:p>
    <w:p>
      <w:pPr>
        <w:pStyle w:val="Normal"/>
        <w:framePr w:w="615" w:hAnchor="page" w:vAnchor="page" w:x="11544" w:y="33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Total</w:t>
      </w:r>
    </w:p>
    <w:p>
      <w:pPr>
        <w:pStyle w:val="Normal"/>
        <w:framePr w:w="1090" w:hAnchor="page" w:vAnchor="page" w:x="2972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Severance</w:t>
      </w:r>
    </w:p>
    <w:p>
      <w:pPr>
        <w:pStyle w:val="Normal"/>
        <w:framePr w:w="1343" w:hAnchor="page" w:vAnchor="page" w:x="3928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 xml:space="preserve">Annual Cash </w:t>
      </w:r>
    </w:p>
    <w:p>
      <w:pPr>
        <w:pStyle w:val="Normal"/>
        <w:framePr w:w="969" w:hAnchor="page" w:vAnchor="page" w:x="5406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Incentive</w:t>
      </w:r>
    </w:p>
    <w:p>
      <w:pPr>
        <w:pStyle w:val="Normal"/>
        <w:framePr w:w="554" w:hAnchor="page" w:vAnchor="page" w:x="6918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 xml:space="preserve">and </w:t>
      </w:r>
    </w:p>
    <w:p>
      <w:pPr>
        <w:pStyle w:val="Normal"/>
        <w:framePr w:w="1191" w:hAnchor="page" w:vAnchor="page" w:x="7554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Preparation</w:t>
      </w:r>
    </w:p>
    <w:p>
      <w:pPr>
        <w:pStyle w:val="Normal"/>
        <w:framePr w:w="1393" w:hAnchor="page" w:vAnchor="page" w:x="8552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Outplacement</w:t>
      </w:r>
    </w:p>
    <w:p>
      <w:pPr>
        <w:pStyle w:val="Normal"/>
        <w:framePr w:w="1069" w:hAnchor="page" w:vAnchor="page" w:x="9988" w:y="31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Additional</w:t>
      </w:r>
    </w:p>
    <w:p>
      <w:pPr>
        <w:pStyle w:val="Normal"/>
        <w:framePr w:w="787" w:hAnchor="page" w:vAnchor="page" w:x="4403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 xml:space="preserve">Target </w:t>
      </w:r>
    </w:p>
    <w:p>
      <w:pPr>
        <w:pStyle w:val="Normal"/>
        <w:framePr w:w="1130" w:hAnchor="page" w:vAnchor="page" w:x="5283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Long-Term</w:t>
      </w:r>
    </w:p>
    <w:p>
      <w:pPr>
        <w:pStyle w:val="Normal"/>
        <w:framePr w:w="1040" w:hAnchor="page" w:vAnchor="page" w:x="6514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Insurance</w:t>
      </w:r>
    </w:p>
    <w:p>
      <w:pPr>
        <w:pStyle w:val="Normal"/>
        <w:framePr w:w="868" w:hAnchor="page" w:vAnchor="page" w:x="7835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and Tax</w:t>
      </w:r>
    </w:p>
    <w:p>
      <w:pPr>
        <w:pStyle w:val="Normal"/>
        <w:framePr w:w="888" w:hAnchor="page" w:vAnchor="page" w:x="10147" w:y="29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Value of</w:t>
      </w:r>
    </w:p>
    <w:p>
      <w:pPr>
        <w:pStyle w:val="Normal"/>
        <w:framePr w:w="989" w:hAnchor="page" w:vAnchor="page" w:x="4223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Pro-rated</w:t>
      </w:r>
    </w:p>
    <w:p>
      <w:pPr>
        <w:pStyle w:val="Normal"/>
        <w:framePr w:w="1110" w:hAnchor="page" w:vAnchor="page" w:x="5291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Award and</w:t>
      </w:r>
    </w:p>
    <w:p>
      <w:pPr>
        <w:pStyle w:val="Normal"/>
        <w:framePr w:w="1161" w:hAnchor="page" w:vAnchor="page" w:x="6413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Dental, Life</w:t>
      </w:r>
    </w:p>
    <w:p>
      <w:pPr>
        <w:pStyle w:val="Normal"/>
        <w:framePr w:w="948" w:hAnchor="page" w:vAnchor="page" w:x="7756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Planning</w:t>
      </w:r>
    </w:p>
    <w:p>
      <w:pPr>
        <w:pStyle w:val="Normal"/>
        <w:framePr w:w="736" w:hAnchor="page" w:vAnchor="page" w:x="5600" w:y="26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Equity</w:t>
      </w:r>
    </w:p>
    <w:p>
      <w:pPr>
        <w:pStyle w:val="Normal"/>
        <w:framePr w:w="898" w:hAnchor="page" w:vAnchor="page" w:x="6631" w:y="26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Medical,</w:t>
      </w:r>
    </w:p>
    <w:p>
      <w:pPr>
        <w:pStyle w:val="Normal"/>
        <w:framePr w:w="969" w:hAnchor="page" w:vAnchor="page" w:x="7739" w:y="26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Financial</w:t>
      </w:r>
    </w:p>
    <w:p>
      <w:pPr>
        <w:pStyle w:val="Normal"/>
        <w:framePr w:w="1444" w:hAnchor="page" w:vAnchor="page" w:x="3268" w:y="23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Compensation</w:t>
      </w:r>
    </w:p>
    <w:p>
      <w:pPr>
        <w:pStyle w:val="Normal"/>
        <w:framePr w:w="2303" w:hAnchor="page" w:vAnchor="page" w:x="6992" w:y="23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Benefits and Perquisites</w:t>
      </w:r>
    </w:p>
    <w:p>
      <w:pPr>
        <w:pStyle w:val="Normal"/>
        <w:framePr w:w="13734" w:hAnchor="page" w:vAnchor="page" w:x="274" w:y="1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Executive Benefits and Payments for Involuntary Termination Not in Connection with a Change-in-Control Occurring on December 31, 2022</w:t>
      </w:r>
    </w:p>
    <w:p>
      <w:pPr>
        <w:pStyle w:val="Normal"/>
        <w:framePr w:w="3566" w:hAnchor="page" w:vAnchor="page" w:x="274" w:y="13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executive officer’s actual termination.</w:t>
      </w:r>
    </w:p>
    <w:p>
      <w:pPr>
        <w:pStyle w:val="Normal"/>
        <w:framePr w:w="13730" w:hAnchor="page" w:vAnchor="page" w:x="274" w:y="11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event of such a termination. The actual amounts that would be paid out if such a termination were to occur can be determined only at the time of such</w:t>
      </w:r>
    </w:p>
    <w:p>
      <w:pPr>
        <w:pStyle w:val="Normal"/>
        <w:framePr w:w="13685" w:hAnchor="page" w:vAnchor="page" w:x="274" w:y="9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2022, and, as a result, are based on amounts earned through such time and are estimates only of amounts that would be paid out to the NEOs in the</w:t>
      </w:r>
    </w:p>
    <w:p>
      <w:pPr>
        <w:pStyle w:val="Normal"/>
        <w:framePr w:w="14173" w:hAnchor="page" w:vAnchor="page" w:x="274" w:y="7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amounts shown in the table below are calculated using the assumption that an involuntary not-for-cause termination was effective as of December 31,</w:t>
      </w:r>
    </w:p>
    <w:p>
      <w:pPr>
        <w:pStyle w:val="Normal"/>
        <w:framePr w:w="4677" w:hAnchor="page" w:vAnchor="page" w:x="274" w:y="5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Payments Made in an Involuntary Termination</w:t>
      </w:r>
    </w:p>
    <w:p>
      <w:pPr>
        <w:pStyle w:val="Normal"/>
        <w:framePr w:w="3213" w:hAnchor="page" w:vAnchor="page" w:x="274" w:y="2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7pt;margin-top:1pt;z-index:-1676487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12.7pt;margin-top:112.65pt;z-index:-16764868;width:119.35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130.05pt;margin-top:112.65pt;z-index:-16764864;width:118.65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246.7pt;margin-top:112.65pt;z-index:-16764860;width:293.6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38.3pt;margin-top:112.65pt;z-index:-16764856;width:60.3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12.7pt;margin-top:126.9pt;z-index:-16764852;width:119.3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130.05pt;margin-top:126.9pt;z-index:-16764848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188.35pt;margin-top:126.9pt;z-index:-16764844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246.7pt;margin-top:126.9pt;z-index:-16764840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05pt;margin-top:126.9pt;z-index:-16764836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63.3pt;margin-top:126.9pt;z-index:-16764832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421.65pt;margin-top:126.9pt;z-index:-16764828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79.95pt;margin-top:126.9pt;z-index:-16764824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38.3pt;margin-top:126.9pt;z-index:-16764820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12.7pt;margin-top:196.6pt;z-index:-16764816;width:119.3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130.05pt;margin-top:196.6pt;z-index:-1676481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188.35pt;margin-top:196.6pt;z-index:-1676480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246.7pt;margin-top:196.6pt;z-index:-1676480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305pt;margin-top:196.6pt;z-index:-1676480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363.3pt;margin-top:196.6pt;z-index:-1676479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21.65pt;margin-top:196.6pt;z-index:-1676479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79.95pt;margin-top:196.6pt;z-index:-1676478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38.3pt;margin-top:196.6pt;z-index:-1676478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12.7pt;margin-top:208.7pt;z-index:-16764780;width:119.3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130.05pt;margin-top:208.7pt;z-index:-1676477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188.35pt;margin-top:208.7pt;z-index:-1676477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246.7pt;margin-top:208.7pt;z-index:-1676476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305pt;margin-top:208.7pt;z-index:-1676476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63.3pt;margin-top:208.7pt;z-index:-1676476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21.65pt;margin-top:208.7pt;z-index:-1676475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479.95pt;margin-top:208.7pt;z-index:-1676475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38.3pt;margin-top:208.7pt;z-index:-1676474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12.7pt;margin-top:220.75pt;z-index:-16764744;width:119.3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130.05pt;margin-top:220.75pt;z-index:-1676474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188.35pt;margin-top:220.75pt;z-index:-1676473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246.7pt;margin-top:220.75pt;z-index:-1676473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305pt;margin-top:220.75pt;z-index:-1676472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363.3pt;margin-top:220.75pt;z-index:-1676472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21.65pt;margin-top:220.75pt;z-index:-1676472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79.95pt;margin-top:220.75pt;z-index:-1676471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538.3pt;margin-top:220.75pt;z-index:-1676471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12.7pt;margin-top:232.85pt;z-index:-16764708;width:119.3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130.05pt;margin-top:232.85pt;z-index:-1676470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188.35pt;margin-top:232.85pt;z-index:-1676470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246.7pt;margin-top:232.85pt;z-index:-1676469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05pt;margin-top:232.85pt;z-index:-16764692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63.3pt;margin-top:232.85pt;z-index:-16764688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421.65pt;margin-top:232.85pt;z-index:-16764684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479.95pt;margin-top:232.85pt;z-index:-16764680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38.3pt;margin-top:232.85pt;z-index:-16764676;width:60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38.3pt;margin-top:244.95pt;z-index:-1676467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79.95pt;margin-top:244.95pt;z-index:-1676466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21.65pt;margin-top:244.95pt;z-index:-167646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363.3pt;margin-top:244.95pt;z-index:-1676466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305pt;margin-top:244.95pt;z-index:-1676465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246.7pt;margin-top:244.95pt;z-index:-1676465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188.35pt;margin-top:244.95pt;z-index:-1676464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130.05pt;margin-top:244.95pt;z-index:-167646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12.7pt;margin-top:244.95pt;z-index:-16764640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38.3pt;margin-top:232.85pt;z-index:-1676463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79.95pt;margin-top:232.85pt;z-index:-1676463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21.65pt;margin-top:232.85pt;z-index:-1676462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63.3pt;margin-top:232.85pt;z-index:-167646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05pt;margin-top:232.85pt;z-index:-167646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246.7pt;margin-top:232.85pt;z-index:-1676461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188.35pt;margin-top:232.85pt;z-index:-1676461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130.05pt;margin-top:232.85pt;z-index:-1676460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12.7pt;margin-top:232.85pt;z-index:-16764604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38.3pt;margin-top:220.75pt;z-index:-1676460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79.95pt;margin-top:220.75pt;z-index:-1676459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21.65pt;margin-top:220.75pt;z-index:-1676459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363.3pt;margin-top:220.75pt;z-index:-1676458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305pt;margin-top:220.75pt;z-index:-1676458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246.7pt;margin-top:220.75pt;z-index:-1676458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188.35pt;margin-top:220.75pt;z-index:-1676457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130.05pt;margin-top:220.75pt;z-index:-1676457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12.7pt;margin-top:220.75pt;z-index:-16764568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538.3pt;margin-top:208.65pt;z-index:-1676456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79.95pt;margin-top:208.65pt;z-index:-1676456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21.65pt;margin-top:208.65pt;z-index:-1676455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63.3pt;margin-top:208.65pt;z-index:-1676455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05pt;margin-top:208.65pt;z-index:-1676454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246.7pt;margin-top:208.65pt;z-index:-1676454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88.35pt;margin-top:208.65pt;z-index:-1676454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130.05pt;margin-top:208.65pt;z-index:-1676453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12.7pt;margin-top:208.65pt;z-index:-16764532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38.3pt;margin-top:196.6pt;z-index:-1676452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479.95pt;margin-top:196.6pt;z-index:-1676452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21.65pt;margin-top:196.6pt;z-index:-167645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63.3pt;margin-top:196.6pt;z-index:-1676451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305pt;margin-top:196.6pt;z-index:-1676451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246.7pt;margin-top:196.6pt;z-index:-1676450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188.35pt;margin-top:196.6pt;z-index:-16764504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130.05pt;margin-top:196.6pt;z-index:-1676450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12.7pt;margin-top:196.6pt;z-index:-16764496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96.6pt;margin-top:126.9pt;z-index:-16764492;width:2.7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79.95pt;margin-top:126.9pt;z-index:-1676448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79.95pt;margin-top:184.5pt;z-index:-16764484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38.3pt;margin-top:126.9pt;z-index:-16764480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21.65pt;margin-top:126.9pt;z-index:-16764476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21.65pt;margin-top:184.5pt;z-index:-1676447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479.95pt;margin-top:126.9pt;z-index:-16764468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63.3pt;margin-top:126.9pt;z-index:-16764464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363.3pt;margin-top:184.5pt;z-index:-1676446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21.65pt;margin-top:126.9pt;z-index:-1676445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305pt;margin-top:126.9pt;z-index:-1676445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305pt;margin-top:184.5pt;z-index:-1676444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363.3pt;margin-top:126.9pt;z-index:-16764444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246.7pt;margin-top:184.5pt;z-index:-1676444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05pt;margin-top:126.9pt;z-index:-1676443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188.35pt;margin-top:126.9pt;z-index:-1676443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188.35pt;margin-top:184.5pt;z-index:-1676442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246.7pt;margin-top:126.9pt;z-index:-16764424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130.05pt;margin-top:184.5pt;z-index:-1676442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188.35pt;margin-top:126.9pt;z-index:-1676441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12.7pt;margin-top:126.9pt;z-index:-16764412;width:2.7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130.05pt;margin-top:126.9pt;z-index:-16764408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96.6pt;margin-top:112.65pt;z-index:-16764404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246.7pt;margin-top:126.9pt;z-index:-16764400;width:29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38.3pt;margin-top:112.65pt;z-index:-16764396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130.05pt;margin-top:126.9pt;z-index:-16764392;width:1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246.7pt;margin-top:112.65pt;z-index:-16764388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12.7pt;margin-top:112.65pt;z-index:-16764384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130.05pt;margin-top:112.65pt;z-index:-16764380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12.7pt;margin-top:332.4pt;z-index:-167643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</w:p>
    <w:p>
      <w:pPr>
        <w:pStyle w:val="Normal"/>
        <w:framePr w:w="1631" w:hAnchor="page" w:vAnchor="page" w:x="274" w:y="89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91  TechnipFMC</w:t>
      </w:r>
    </w:p>
    <w:p>
      <w:pPr>
        <w:pStyle w:val="Normal"/>
        <w:framePr w:w="12510" w:hAnchor="page" w:vAnchor="page" w:x="274" w:y="832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(4)  Three years of benefits continuation for Mr. Pferdehirt and two years of benefits continuation for Messrs. Melin, Rounce, and Landes, and Ms. Lazar.</w:t>
      </w:r>
    </w:p>
    <w:p>
      <w:pPr>
        <w:pStyle w:val="Normal"/>
        <w:framePr w:w="3330" w:hAnchor="page" w:vAnchor="page" w:x="274" w:y="814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(3)  Assumes PSUs are paid at target.</w:t>
      </w:r>
    </w:p>
    <w:p>
      <w:pPr>
        <w:pStyle w:val="Normal"/>
        <w:framePr w:w="5839" w:hAnchor="page" w:vAnchor="page" w:x="274" w:y="797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(2)  Pro-rated target annual cash incentive for the year of termination.</w:t>
      </w:r>
    </w:p>
    <w:p>
      <w:pPr>
        <w:pStyle w:val="Normal"/>
        <w:framePr w:w="3700" w:hAnchor="page" w:vAnchor="page" w:x="615" w:y="780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Melin, Rounce, and Landes, and Ms. Lazar.</w:t>
      </w:r>
    </w:p>
    <w:p>
      <w:pPr>
        <w:pStyle w:val="Normal"/>
        <w:framePr w:w="13784" w:hAnchor="page" w:vAnchor="page" w:x="274" w:y="763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 The amount represents three times base salary and target annual cash incentive for Mr. Pferdehirt, and two times base salary and annual cash incentive for Messrs.</w:t>
      </w:r>
    </w:p>
    <w:p>
      <w:pPr>
        <w:pStyle w:val="Normal"/>
        <w:framePr w:w="739" w:hAnchor="page" w:vAnchor="page" w:x="331" w:y="71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Lazar</w:t>
      </w:r>
    </w:p>
    <w:p>
      <w:pPr>
        <w:pStyle w:val="Normal"/>
        <w:framePr w:w="1115" w:hAnchor="page" w:vAnchor="page" w:x="1748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1,500,000</w:t>
      </w:r>
    </w:p>
    <w:p>
      <w:pPr>
        <w:pStyle w:val="Normal"/>
        <w:framePr w:w="944" w:hAnchor="page" w:vAnchor="page" w:x="3028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500,000</w:t>
      </w:r>
    </w:p>
    <w:p>
      <w:pPr>
        <w:pStyle w:val="Normal"/>
        <w:framePr w:w="1115" w:hAnchor="page" w:vAnchor="page" w:x="4052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3,074,501</w:t>
      </w:r>
    </w:p>
    <w:p>
      <w:pPr>
        <w:pStyle w:val="Normal"/>
        <w:framePr w:w="318" w:hAnchor="page" w:vAnchor="page" w:x="5869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6608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23,792</w:t>
      </w:r>
    </w:p>
    <w:p>
      <w:pPr>
        <w:pStyle w:val="Normal"/>
        <w:framePr w:w="318" w:hAnchor="page" w:vAnchor="page" w:x="8201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054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50,000</w:t>
      </w:r>
    </w:p>
    <w:p>
      <w:pPr>
        <w:pStyle w:val="Normal"/>
        <w:framePr w:w="375" w:hAnchor="page" w:vAnchor="page" w:x="10586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</w:t>
      </w:r>
    </w:p>
    <w:p>
      <w:pPr>
        <w:pStyle w:val="Normal"/>
        <w:framePr w:w="1115" w:hAnchor="page" w:vAnchor="page" w:x="11136" w:y="70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5,148,293</w:t>
      </w:r>
    </w:p>
    <w:p>
      <w:pPr>
        <w:pStyle w:val="Normal"/>
        <w:framePr w:w="955" w:hAnchor="page" w:vAnchor="page" w:x="331" w:y="69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Victoria</w:t>
      </w:r>
    </w:p>
    <w:p>
      <w:pPr>
        <w:pStyle w:val="Normal"/>
        <w:framePr w:w="921" w:hAnchor="page" w:vAnchor="page" w:x="331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Landes</w:t>
      </w:r>
    </w:p>
    <w:p>
      <w:pPr>
        <w:pStyle w:val="Normal"/>
        <w:framePr w:w="1115" w:hAnchor="page" w:vAnchor="page" w:x="1748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1,575,000</w:t>
      </w:r>
    </w:p>
    <w:p>
      <w:pPr>
        <w:pStyle w:val="Normal"/>
        <w:framePr w:w="944" w:hAnchor="page" w:vAnchor="page" w:x="3028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525,000</w:t>
      </w:r>
    </w:p>
    <w:p>
      <w:pPr>
        <w:pStyle w:val="Normal"/>
        <w:framePr w:w="1115" w:hAnchor="page" w:vAnchor="page" w:x="4052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4,303,619</w:t>
      </w:r>
    </w:p>
    <w:p>
      <w:pPr>
        <w:pStyle w:val="Normal"/>
        <w:framePr w:w="375" w:hAnchor="page" w:vAnchor="page" w:x="5821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</w:t>
      </w:r>
    </w:p>
    <w:p>
      <w:pPr>
        <w:pStyle w:val="Normal"/>
        <w:framePr w:w="830" w:hAnchor="page" w:vAnchor="page" w:x="6608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30,606</w:t>
      </w:r>
    </w:p>
    <w:p>
      <w:pPr>
        <w:pStyle w:val="Normal"/>
        <w:framePr w:w="318" w:hAnchor="page" w:vAnchor="page" w:x="8201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054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50,000</w:t>
      </w:r>
    </w:p>
    <w:p>
      <w:pPr>
        <w:pStyle w:val="Normal"/>
        <w:framePr w:w="375" w:hAnchor="page" w:vAnchor="page" w:x="10586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–</w:t>
      </w:r>
    </w:p>
    <w:p>
      <w:pPr>
        <w:pStyle w:val="Normal"/>
        <w:framePr w:w="1115" w:hAnchor="page" w:vAnchor="page" w:x="11136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6,484,225</w:t>
      </w:r>
    </w:p>
    <w:p>
      <w:pPr>
        <w:pStyle w:val="Normal"/>
        <w:framePr w:w="1114" w:hAnchor="page" w:vAnchor="page" w:x="331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Jonathan</w:t>
      </w:r>
    </w:p>
    <w:p>
      <w:pPr>
        <w:pStyle w:val="Normal"/>
        <w:framePr w:w="955" w:hAnchor="page" w:vAnchor="page" w:x="331" w:y="62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Rounce</w:t>
      </w:r>
    </w:p>
    <w:p>
      <w:pPr>
        <w:pStyle w:val="Normal"/>
        <w:framePr w:w="1115" w:hAnchor="page" w:vAnchor="page" w:x="1748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1,800,000</w:t>
      </w:r>
    </w:p>
    <w:p>
      <w:pPr>
        <w:pStyle w:val="Normal"/>
        <w:framePr w:w="944" w:hAnchor="page" w:vAnchor="page" w:x="3028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600,000</w:t>
      </w:r>
    </w:p>
    <w:p>
      <w:pPr>
        <w:pStyle w:val="Normal"/>
        <w:framePr w:w="1115" w:hAnchor="page" w:vAnchor="page" w:x="4052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9,689,782</w:t>
      </w:r>
    </w:p>
    <w:p>
      <w:pPr>
        <w:pStyle w:val="Normal"/>
        <w:framePr w:w="318" w:hAnchor="page" w:vAnchor="page" w:x="5869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6608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43,768</w:t>
      </w:r>
    </w:p>
    <w:p>
      <w:pPr>
        <w:pStyle w:val="Normal"/>
        <w:framePr w:w="318" w:hAnchor="page" w:vAnchor="page" w:x="8201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054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50,000</w:t>
      </w:r>
    </w:p>
    <w:p>
      <w:pPr>
        <w:pStyle w:val="Normal"/>
        <w:framePr w:w="318" w:hAnchor="page" w:vAnchor="page" w:x="10634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1229" w:hAnchor="page" w:vAnchor="page" w:x="11041" w:y="61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12,183,551</w:t>
      </w:r>
    </w:p>
    <w:p>
      <w:pPr>
        <w:pStyle w:val="Normal"/>
        <w:framePr w:w="807" w:hAnchor="page" w:vAnchor="page" w:x="331" w:y="60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Justin</w:t>
      </w:r>
    </w:p>
    <w:p>
      <w:pPr>
        <w:pStyle w:val="Normal"/>
        <w:framePr w:w="1057" w:hAnchor="page" w:vAnchor="page" w:x="331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Alf Melin</w:t>
      </w:r>
    </w:p>
    <w:p>
      <w:pPr>
        <w:pStyle w:val="Normal"/>
        <w:framePr w:w="1115" w:hAnchor="page" w:vAnchor="page" w:x="1748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1,950,000</w:t>
      </w:r>
    </w:p>
    <w:p>
      <w:pPr>
        <w:pStyle w:val="Normal"/>
        <w:framePr w:w="944" w:hAnchor="page" w:vAnchor="page" w:x="3028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650,000</w:t>
      </w:r>
    </w:p>
    <w:p>
      <w:pPr>
        <w:pStyle w:val="Normal"/>
        <w:framePr w:w="1115" w:hAnchor="page" w:vAnchor="page" w:x="4052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6,441,208</w:t>
      </w:r>
    </w:p>
    <w:p>
      <w:pPr>
        <w:pStyle w:val="Normal"/>
        <w:framePr w:w="318" w:hAnchor="page" w:vAnchor="page" w:x="5869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6608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43,831</w:t>
      </w:r>
    </w:p>
    <w:p>
      <w:pPr>
        <w:pStyle w:val="Normal"/>
        <w:framePr w:w="318" w:hAnchor="page" w:vAnchor="page" w:x="8201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9054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50,000</w:t>
      </w:r>
    </w:p>
    <w:p>
      <w:pPr>
        <w:pStyle w:val="Normal"/>
        <w:framePr w:w="2344" w:hAnchor="page" w:vAnchor="page" w:x="10112" w:y="57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974,215    10,109,254</w:t>
      </w:r>
    </w:p>
    <w:p>
      <w:pPr>
        <w:pStyle w:val="Normal"/>
        <w:framePr w:w="1171" w:hAnchor="page" w:vAnchor="page" w:x="331" w:y="54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Pferdehirt</w:t>
      </w:r>
    </w:p>
    <w:p>
      <w:pPr>
        <w:pStyle w:val="Normal"/>
        <w:framePr w:w="1115" w:hAnchor="page" w:vAnchor="page" w:x="1748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5,376,600</w:t>
      </w:r>
    </w:p>
    <w:p>
      <w:pPr>
        <w:pStyle w:val="Normal"/>
        <w:framePr w:w="2515" w:hAnchor="page" w:vAnchor="page" w:x="2886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1,668,600    50,488,615</w:t>
      </w:r>
    </w:p>
    <w:p>
      <w:pPr>
        <w:pStyle w:val="Normal"/>
        <w:framePr w:w="318" w:hAnchor="page" w:vAnchor="page" w:x="5869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830" w:hAnchor="page" w:vAnchor="page" w:x="6608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47,786</w:t>
      </w:r>
    </w:p>
    <w:p>
      <w:pPr>
        <w:pStyle w:val="Normal"/>
        <w:framePr w:w="830" w:hAnchor="page" w:vAnchor="page" w:x="7774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19,360</w:t>
      </w:r>
    </w:p>
    <w:p>
      <w:pPr>
        <w:pStyle w:val="Normal"/>
        <w:framePr w:w="830" w:hAnchor="page" w:vAnchor="page" w:x="9054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50,000</w:t>
      </w:r>
    </w:p>
    <w:p>
      <w:pPr>
        <w:pStyle w:val="Normal"/>
        <w:framePr w:w="318" w:hAnchor="page" w:vAnchor="page" w:x="10634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1229" w:hAnchor="page" w:vAnchor="page" w:x="11041" w:y="53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57,650,661</w:t>
      </w:r>
    </w:p>
    <w:p>
      <w:pPr>
        <w:pStyle w:val="Normal"/>
        <w:framePr w:w="1240" w:hAnchor="page" w:vAnchor="page" w:x="331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Douglas J.</w:t>
      </w:r>
    </w:p>
    <w:p>
      <w:pPr>
        <w:pStyle w:val="Normal"/>
        <w:framePr w:w="762" w:hAnchor="page" w:vAnchor="page" w:x="345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</w:t>
      </w:r>
    </w:p>
    <w:p>
      <w:pPr>
        <w:pStyle w:val="Normal"/>
        <w:framePr w:w="531" w:hAnchor="page" w:vAnchor="page" w:x="2220" w:y="4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1</w:t>
      </w:r>
    </w:p>
    <w:p>
      <w:pPr>
        <w:pStyle w:val="Normal"/>
        <w:framePr w:w="531" w:hAnchor="page" w:vAnchor="page" w:x="3358" w:y="4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2</w:t>
      </w:r>
    </w:p>
    <w:p>
      <w:pPr>
        <w:pStyle w:val="Normal"/>
        <w:framePr w:w="531" w:hAnchor="page" w:vAnchor="page" w:x="4524" w:y="4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3</w:t>
      </w:r>
    </w:p>
    <w:p>
      <w:pPr>
        <w:pStyle w:val="Normal"/>
        <w:framePr w:w="454" w:hAnchor="page" w:vAnchor="page" w:x="5755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1396" w:hAnchor="page" w:vAnchor="page" w:x="6122" w:y="4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Benefits ($)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4</w:t>
      </w:r>
    </w:p>
    <w:p>
      <w:pPr>
        <w:pStyle w:val="Normal"/>
        <w:framePr w:w="454" w:hAnchor="page" w:vAnchor="page" w:x="8088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454" w:hAnchor="page" w:vAnchor="page" w:x="9368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454" w:hAnchor="page" w:vAnchor="page" w:x="10520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454" w:hAnchor="page" w:vAnchor="page" w:x="11687" w:y="50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($)</w:t>
      </w:r>
    </w:p>
    <w:p>
      <w:pPr>
        <w:pStyle w:val="Normal"/>
        <w:framePr w:w="1058" w:hAnchor="page" w:vAnchor="page" w:x="1796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Payment</w:t>
      </w:r>
    </w:p>
    <w:p>
      <w:pPr>
        <w:pStyle w:val="Normal"/>
        <w:framePr w:w="841" w:hAnchor="page" w:vAnchor="page" w:x="3114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Bonus</w:t>
      </w:r>
    </w:p>
    <w:p>
      <w:pPr>
        <w:pStyle w:val="Normal"/>
        <w:framePr w:w="1433" w:hAnchor="page" w:vAnchor="page" w:x="3787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Acceleration</w:t>
      </w:r>
    </w:p>
    <w:p>
      <w:pPr>
        <w:pStyle w:val="Normal"/>
        <w:framePr w:w="1172" w:hAnchor="page" w:vAnchor="page" w:x="5157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Payments</w:t>
      </w:r>
    </w:p>
    <w:p>
      <w:pPr>
        <w:pStyle w:val="Normal"/>
        <w:framePr w:w="1115" w:hAnchor="page" w:vAnchor="page" w:x="6371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Disability</w:t>
      </w:r>
    </w:p>
    <w:p>
      <w:pPr>
        <w:pStyle w:val="Normal"/>
        <w:framePr w:w="1343" w:hAnchor="page" w:vAnchor="page" w:x="7348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Assistance </w:t>
      </w:r>
    </w:p>
    <w:p>
      <w:pPr>
        <w:pStyle w:val="Normal"/>
        <w:framePr w:w="1047" w:hAnchor="page" w:vAnchor="page" w:x="8874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Services</w:t>
      </w:r>
    </w:p>
    <w:p>
      <w:pPr>
        <w:pStyle w:val="Normal"/>
        <w:framePr w:w="933" w:hAnchor="page" w:vAnchor="page" w:x="10121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Service</w:t>
      </w:r>
    </w:p>
    <w:p>
      <w:pPr>
        <w:pStyle w:val="Normal"/>
        <w:framePr w:w="693" w:hAnchor="page" w:vAnchor="page" w:x="11500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</w:t>
      </w:r>
    </w:p>
    <w:p>
      <w:pPr>
        <w:pStyle w:val="Normal"/>
        <w:framePr w:w="1229" w:hAnchor="page" w:vAnchor="page" w:x="1653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Severance</w:t>
      </w:r>
    </w:p>
    <w:p>
      <w:pPr>
        <w:pStyle w:val="Normal"/>
        <w:framePr w:w="1171" w:hAnchor="page" w:vAnchor="page" w:x="2839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or Agreed</w:t>
      </w:r>
    </w:p>
    <w:p>
      <w:pPr>
        <w:pStyle w:val="Normal"/>
        <w:framePr w:w="1092" w:hAnchor="page" w:vAnchor="page" w:x="4071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Incentive</w:t>
      </w:r>
    </w:p>
    <w:p>
      <w:pPr>
        <w:pStyle w:val="Normal"/>
        <w:framePr w:w="1080" w:hAnchor="page" w:vAnchor="page" w:x="5233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Compete</w:t>
      </w:r>
    </w:p>
    <w:p>
      <w:pPr>
        <w:pStyle w:val="Normal"/>
        <w:framePr w:w="568" w:hAnchor="page" w:vAnchor="page" w:x="6827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and</w:t>
      </w:r>
    </w:p>
    <w:p>
      <w:pPr>
        <w:pStyle w:val="Normal"/>
        <w:framePr w:w="1342" w:hAnchor="page" w:vAnchor="page" w:x="7348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Preparation</w:t>
      </w:r>
    </w:p>
    <w:p>
      <w:pPr>
        <w:pStyle w:val="Normal"/>
        <w:framePr w:w="1570" w:hAnchor="page" w:vAnchor="page" w:x="8438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Outplacement</w:t>
      </w:r>
    </w:p>
    <w:p>
      <w:pPr>
        <w:pStyle w:val="Normal"/>
        <w:framePr w:w="1001" w:hAnchor="page" w:vAnchor="page" w:x="10065" w:y="46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Pension</w:t>
      </w:r>
    </w:p>
    <w:p>
      <w:pPr>
        <w:pStyle w:val="Normal"/>
        <w:framePr w:w="1092" w:hAnchor="page" w:vAnchor="page" w:x="2905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Incentive</w:t>
      </w:r>
    </w:p>
    <w:p>
      <w:pPr>
        <w:pStyle w:val="Normal"/>
        <w:framePr w:w="1274" w:hAnchor="page" w:vAnchor="page" w:x="3933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Long-Term</w:t>
      </w:r>
    </w:p>
    <w:p>
      <w:pPr>
        <w:pStyle w:val="Normal"/>
        <w:framePr w:w="670" w:hAnchor="page" w:vAnchor="page" w:x="5575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Non-</w:t>
      </w:r>
    </w:p>
    <w:p>
      <w:pPr>
        <w:pStyle w:val="Normal"/>
        <w:framePr w:w="1229" w:hAnchor="page" w:vAnchor="page" w:x="6276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Insurance,</w:t>
      </w:r>
    </w:p>
    <w:p>
      <w:pPr>
        <w:pStyle w:val="Normal"/>
        <w:framePr w:w="1035" w:hAnchor="page" w:vAnchor="page" w:x="7617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and Tax </w:t>
      </w:r>
    </w:p>
    <w:p>
      <w:pPr>
        <w:pStyle w:val="Normal"/>
        <w:framePr w:w="1205" w:hAnchor="page" w:vAnchor="page" w:x="9894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Additional</w:t>
      </w:r>
    </w:p>
    <w:p>
      <w:pPr>
        <w:pStyle w:val="Normal"/>
        <w:framePr w:w="705" w:hAnchor="page" w:vAnchor="page" w:x="3228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Cash</w:t>
      </w:r>
    </w:p>
    <w:p>
      <w:pPr>
        <w:pStyle w:val="Normal"/>
        <w:framePr w:w="1251" w:hAnchor="page" w:vAnchor="page" w:x="3942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Award and</w:t>
      </w:r>
    </w:p>
    <w:p>
      <w:pPr>
        <w:pStyle w:val="Normal"/>
        <w:framePr w:w="1308" w:hAnchor="page" w:vAnchor="page" w:x="6210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Dental, Life</w:t>
      </w:r>
    </w:p>
    <w:p>
      <w:pPr>
        <w:pStyle w:val="Normal"/>
        <w:framePr w:w="1126" w:hAnchor="page" w:vAnchor="page" w:x="7528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Planning </w:t>
      </w:r>
    </w:p>
    <w:p>
      <w:pPr>
        <w:pStyle w:val="Normal"/>
        <w:framePr w:w="1001" w:hAnchor="page" w:vAnchor="page" w:x="10074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Value of</w:t>
      </w:r>
    </w:p>
    <w:p>
      <w:pPr>
        <w:pStyle w:val="Normal"/>
        <w:framePr w:w="898" w:hAnchor="page" w:vAnchor="page" w:x="3067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Annual</w:t>
      </w:r>
    </w:p>
    <w:p>
      <w:pPr>
        <w:pStyle w:val="Normal"/>
        <w:framePr w:w="830" w:hAnchor="page" w:vAnchor="page" w:x="4290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Equity</w:t>
      </w:r>
    </w:p>
    <w:p>
      <w:pPr>
        <w:pStyle w:val="Normal"/>
        <w:framePr w:w="1012" w:hAnchor="page" w:vAnchor="page" w:x="6456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Medical,</w:t>
      </w:r>
    </w:p>
    <w:p>
      <w:pPr>
        <w:pStyle w:val="Normal"/>
        <w:framePr w:w="1092" w:hAnchor="page" w:vAnchor="page" w:x="7557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Financial</w:t>
      </w:r>
    </w:p>
    <w:p>
      <w:pPr>
        <w:pStyle w:val="Normal"/>
        <w:framePr w:w="887" w:hAnchor="page" w:vAnchor="page" w:x="3089" w:y="38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Target </w:t>
      </w:r>
    </w:p>
    <w:p>
      <w:pPr>
        <w:pStyle w:val="Normal"/>
        <w:framePr w:w="1115" w:hAnchor="page" w:vAnchor="page" w:x="2886" w:y="36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Pro-rated</w:t>
      </w:r>
    </w:p>
    <w:p>
      <w:pPr>
        <w:pStyle w:val="Normal"/>
        <w:framePr w:w="1627" w:hAnchor="page" w:vAnchor="page" w:x="3130" w:y="32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Compensation</w:t>
      </w:r>
    </w:p>
    <w:p>
      <w:pPr>
        <w:pStyle w:val="Normal"/>
        <w:framePr w:w="2594" w:hAnchor="page" w:vAnchor="page" w:x="7414" w:y="32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Benefits and Perquisites</w:t>
      </w:r>
    </w:p>
    <w:p>
      <w:pPr>
        <w:pStyle w:val="Normal"/>
        <w:framePr w:w="11867" w:hAnchor="page" w:vAnchor="page" w:x="274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Executive Benefits and Payments for a Qualifying Termination upon Change-in-Control occurring on December 31, 2022</w:t>
      </w:r>
    </w:p>
    <w:p>
      <w:pPr>
        <w:pStyle w:val="Normal"/>
        <w:framePr w:w="6443" w:hAnchor="page" w:vAnchor="page" w:x="274" w:y="24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can only be determined at the time of such NEO’s actual termination.</w:t>
      </w:r>
    </w:p>
    <w:p>
      <w:pPr>
        <w:pStyle w:val="Normal"/>
        <w:framePr w:w="14106" w:hAnchor="page" w:vAnchor="page" w:x="274" w:y="22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amounts that would be paid out to the NEOs in the event of such a termination. The actual amounts that would be paid if such a termination were to occur</w:t>
      </w:r>
    </w:p>
    <w:p>
      <w:pPr>
        <w:pStyle w:val="Normal"/>
        <w:framePr w:w="13988" w:hAnchor="page" w:vAnchor="page" w:x="274" w:y="20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event that was effective as of December 31, 2022. As a result, such amounts are based on amounts earned through such time and are only estimates of</w:t>
      </w:r>
    </w:p>
    <w:p>
      <w:pPr>
        <w:pStyle w:val="Normal"/>
        <w:framePr w:w="13821" w:hAnchor="page" w:vAnchor="page" w:x="274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amounts shown in the table below are calculated using the assumption that each NEO incurred a Qualifying Termination upon a change-in-control</w:t>
      </w:r>
    </w:p>
    <w:p>
      <w:pPr>
        <w:pStyle w:val="Normal"/>
        <w:framePr w:w="2402" w:hAnchor="page" w:vAnchor="page" w:x="274" w:y="15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change-in-control event.</w:t>
      </w:r>
    </w:p>
    <w:p>
      <w:pPr>
        <w:pStyle w:val="Normal"/>
        <w:framePr w:w="14205" w:hAnchor="page" w:vAnchor="page" w:x="274" w:y="13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Company for reasons other than cause, disability, or death, or a voluntary resignation for good reason, in each case during the 24-month period following a</w:t>
      </w:r>
    </w:p>
    <w:p>
      <w:pPr>
        <w:pStyle w:val="Normal"/>
        <w:framePr w:w="14162" w:hAnchor="page" w:vAnchor="page" w:x="274" w:y="11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Termination within 24 months following a change-in-control event. A “Qualifying Termination” is an involuntary termination of the NEO’s employment by the</w:t>
      </w:r>
    </w:p>
    <w:p>
      <w:pPr>
        <w:pStyle w:val="Normal"/>
        <w:framePr w:w="13570" w:hAnchor="page" w:vAnchor="page" w:x="274" w:y="9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Under the terms of our NEOs’ executive severance agreements, our NEOs are entitled to receive severance benefits if they experience a Qualifying</w:t>
      </w:r>
    </w:p>
    <w:p>
      <w:pPr>
        <w:pStyle w:val="Normal"/>
        <w:framePr w:w="8262" w:hAnchor="page" w:vAnchor="page" w:x="274" w:y="7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Payments Made in the Event of a Qualifying Termination upon a Change-in-Control</w:t>
      </w:r>
    </w:p>
    <w:p>
      <w:pPr>
        <w:pStyle w:val="Normal"/>
        <w:framePr w:w="3213" w:hAnchor="page" w:vAnchor="page" w:x="274" w:y="2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7pt;margin-top:1pt;z-index:-1676437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12.7pt;margin-top:159.6pt;z-index:-16764368;width:58.9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69.6pt;margin-top:159.6pt;z-index:-16764364;width:232.4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00pt;margin-top:159.6pt;z-index:-16764360;width:240.2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38.3pt;margin-top:159.6pt;z-index:-16764356;width:60.3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12.7pt;margin-top:175.25pt;z-index:-16764352;width:58.9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69.6pt;margin-top:175.25pt;z-index:-16764348;width:59.6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127.2pt;margin-top:175.25pt;z-index:-16764344;width:58.9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184.1pt;margin-top:175.25pt;z-index:-16764340;width:60.3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242.4pt;margin-top:175.25pt;z-index:-16764336;width:59.6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300pt;margin-top:175.25pt;z-index:-16764332;width:60.3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358.35pt;margin-top:175.25pt;z-index:-16764328;width:60.3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416.65pt;margin-top:175.25pt;z-index:-16764324;width:66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80.65pt;margin-top:175.25pt;z-index:-16764320;width:59.6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38.3pt;margin-top:175.25pt;z-index:-16764316;width:60.3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12.7pt;margin-top:284.05pt;z-index:-16764312;width:58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69.6pt;margin-top:284.05pt;z-index:-16764308;width:59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127.2pt;margin-top:284.05pt;z-index:-16764304;width:58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184.1pt;margin-top:284.05pt;z-index:-16764300;width:6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242.4pt;margin-top:284.05pt;z-index:-16764296;width:59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300pt;margin-top:284.05pt;z-index:-16764292;width:6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358.35pt;margin-top:284.05pt;z-index:-16764288;width:6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16.65pt;margin-top:284.05pt;z-index:-16764284;width:6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80.65pt;margin-top:284.05pt;z-index:-16764280;width:59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38.3pt;margin-top:284.05pt;z-index:-16764276;width:6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12.7pt;margin-top:297.6pt;z-index:-16764272;width:58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69.6pt;margin-top:297.6pt;z-index:-16764268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127.2pt;margin-top:297.6pt;z-index:-16764264;width:58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184.1pt;margin-top:297.6pt;z-index:-16764260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242.4pt;margin-top:297.6pt;z-index:-16764256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00pt;margin-top:297.6pt;z-index:-16764252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58.35pt;margin-top:297.6pt;z-index:-16764248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416.65pt;margin-top:297.6pt;z-index:-16764244;width:6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80.65pt;margin-top:297.6pt;z-index:-16764240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538.3pt;margin-top:297.6pt;z-index:-16764236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12.7pt;margin-top:321.05pt;z-index:-16764232;width:58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69.6pt;margin-top:321.05pt;z-index:-16764228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127.2pt;margin-top:321.05pt;z-index:-16764224;width:58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184.1pt;margin-top:321.05pt;z-index:-16764220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242.4pt;margin-top:321.05pt;z-index:-16764216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300pt;margin-top:321.05pt;z-index:-16764212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358.35pt;margin-top:321.05pt;z-index:-16764208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416.65pt;margin-top:321.05pt;z-index:-16764204;width:6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480.65pt;margin-top:321.05pt;z-index:-16764200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38.3pt;margin-top:321.05pt;z-index:-16764196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12.7pt;margin-top:344.5pt;z-index:-16764192;width:58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69.6pt;margin-top:344.5pt;z-index:-16764188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127.2pt;margin-top:344.5pt;z-index:-16764184;width:58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184.1pt;margin-top:344.5pt;z-index:-16764180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242.4pt;margin-top:344.5pt;z-index:-16764176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300pt;margin-top:344.5pt;z-index:-16764172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358.35pt;margin-top:344.5pt;z-index:-16764168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416.65pt;margin-top:344.5pt;z-index:-16764164;width:6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480.65pt;margin-top:344.5pt;z-index:-16764160;width:59.6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38.3pt;margin-top:344.5pt;z-index:-16764156;width:60.3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38.3pt;margin-top:368pt;z-index:-1676415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80.65pt;margin-top:368pt;z-index:-1676414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16.65pt;margin-top:368pt;z-index:-1676414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58.35pt;margin-top:368pt;z-index:-1676414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300pt;margin-top:368pt;z-index:-1676413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242.4pt;margin-top:368pt;z-index:-1676413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184.1pt;margin-top:368pt;z-index:-1676412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127.2pt;margin-top:368pt;z-index:-16764124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69.6pt;margin-top:368pt;z-index:-1676412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12.7pt;margin-top:368pt;z-index:-16764116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38.3pt;margin-top:344.5pt;z-index:-1676411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480.65pt;margin-top:344.5pt;z-index:-1676410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416.65pt;margin-top:344.5pt;z-index:-1676410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58.35pt;margin-top:344.5pt;z-index:-1676410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300pt;margin-top:344.5pt;z-index:-1676409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242.4pt;margin-top:344.5pt;z-index:-1676409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184.1pt;margin-top:344.5pt;z-index:-1676408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127.2pt;margin-top:344.5pt;z-index:-16764084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69.6pt;margin-top:344.5pt;z-index:-1676408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12.7pt;margin-top:344.5pt;z-index:-16764076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38.3pt;margin-top:321.05pt;z-index:-1676407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80.65pt;margin-top:321.05pt;z-index:-1676406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416.65pt;margin-top:321.05pt;z-index:-1676406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358.35pt;margin-top:321.05pt;z-index:-1676406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300pt;margin-top:321.05pt;z-index:-1676405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242.4pt;margin-top:321.05pt;z-index:-1676405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184.1pt;margin-top:321.05pt;z-index:-1676404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127.2pt;margin-top:321.05pt;z-index:-16764044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69.6pt;margin-top:321.05pt;z-index:-1676404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12.7pt;margin-top:321.05pt;z-index:-16764036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38.3pt;margin-top:297.6pt;z-index:-1676403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480.65pt;margin-top:297.6pt;z-index:-1676402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416.65pt;margin-top:297.6pt;z-index:-1676402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358.35pt;margin-top:297.6pt;z-index:-167640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300pt;margin-top:297.6pt;z-index:-1676401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242.4pt;margin-top:297.6pt;z-index:-1676401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184.1pt;margin-top:297.6pt;z-index:-1676400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127.2pt;margin-top:297.6pt;z-index:-16764004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69.6pt;margin-top:297.6pt;z-index:-1676400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12.7pt;margin-top:297.6pt;z-index:-16763996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538.3pt;margin-top:284.05pt;z-index:-16763992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480.65pt;margin-top:284.05pt;z-index:-16763988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416.65pt;margin-top:284.05pt;z-index:-1676398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58.35pt;margin-top:284.05pt;z-index:-1676398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00pt;margin-top:284.05pt;z-index:-16763976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242.4pt;margin-top:284.05pt;z-index:-16763972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184.1pt;margin-top:284.05pt;z-index:-1676396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127.2pt;margin-top:284.05pt;z-index:-16763964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69.6pt;margin-top:284.05pt;z-index:-16763960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12.7pt;margin-top:284.05pt;z-index:-16763956;width: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96.6pt;margin-top:175.25pt;z-index:-16763952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480.65pt;margin-top:175.25pt;z-index:-16763948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38.3pt;margin-top:175.25pt;z-index:-16763944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16.65pt;margin-top:175.25pt;z-index:-1676394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80.65pt;margin-top:175.25pt;z-index:-16763936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358.35pt;margin-top:175.25pt;z-index:-1676393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16.65pt;margin-top:175.25pt;z-index:-16763928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358.35pt;margin-top:175.25pt;z-index:-16763924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242.4pt;margin-top:175.25pt;z-index:-16763920;width:6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300pt;margin-top:175.25pt;z-index:-16763916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184.1pt;margin-top:175.25pt;z-index:-1676391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242.4pt;margin-top:175.25pt;z-index:-16763908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127.2pt;margin-top:175.25pt;z-index:-16763904;width:5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84.1pt;margin-top:175.25pt;z-index:-16763900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127.2pt;margin-top:175.25pt;z-index:-16763896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12.7pt;margin-top:175.25pt;z-index:-16763892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69.6pt;margin-top:175.25pt;z-index:-16763888;width:2.7pt;height:8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596.6pt;margin-top:159.6pt;z-index:-16763884;width:2.7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300pt;margin-top:175.25pt;z-index:-16763880;width:24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38.3pt;margin-top:159.6pt;z-index:-16763876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69.6pt;margin-top:175.25pt;z-index:-16763872;width:233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300pt;margin-top:159.6pt;z-index:-16763868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12.7pt;margin-top:159.6pt;z-index:-16763864;width:2.7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69.6pt;margin-top:159.6pt;z-index:-16763860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12.7pt;margin-top:463.3pt;z-index:-1676385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</w:p>
    <w:p>
      <w:pPr>
        <w:pStyle w:val="Normal"/>
        <w:framePr w:w="1631" w:hAnchor="page" w:vAnchor="page" w:x="274" w:y="809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92  TechnipFMC</w:t>
      </w:r>
    </w:p>
    <w:p>
      <w:pPr>
        <w:pStyle w:val="Normal"/>
        <w:framePr w:w="4485" w:hAnchor="page" w:vAnchor="page" w:x="274" w:y="73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assumptions in calculating their own pay ratios.</w:t>
      </w:r>
    </w:p>
    <w:p>
      <w:pPr>
        <w:pStyle w:val="Normal"/>
        <w:framePr w:w="14193" w:hAnchor="page" w:vAnchor="page" w:x="274" w:y="71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as other companies have different employee populations and compensation practices, and likely utilize different methodologies, exclusions, estimates, and</w:t>
      </w:r>
    </w:p>
    <w:p>
      <w:pPr>
        <w:pStyle w:val="Normal"/>
        <w:framePr w:w="14186" w:hAnchor="page" w:vAnchor="page" w:x="274" w:y="69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populations and compensation practices. As a result, the pay ratios reported by other companies are likely not comparable to the pay ratio reported above,</w:t>
      </w:r>
    </w:p>
    <w:p>
      <w:pPr>
        <w:pStyle w:val="Normal"/>
        <w:framePr w:w="14219" w:hAnchor="page" w:vAnchor="page" w:x="274" w:y="67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companies to adopt a variety of methodologies, to apply certain exclusions, and to make reasonable estimates and assumptions that reflect their employee</w:t>
      </w:r>
    </w:p>
    <w:p>
      <w:pPr>
        <w:pStyle w:val="Normal"/>
        <w:framePr w:w="14227" w:hAnchor="page" w:vAnchor="page" w:x="274" w:y="65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The SEC’s rules for identifying the median compensated employee and calculating the pay ratio based on that employee’s annual total compensation allow</w:t>
      </w:r>
    </w:p>
    <w:p>
      <w:pPr>
        <w:pStyle w:val="Normal"/>
        <w:framePr w:w="4086" w:hAnchor="page" w:vAnchor="page" w:x="274" w:y="61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median employee was approximately 93:1.</w:t>
      </w:r>
    </w:p>
    <w:p>
      <w:pPr>
        <w:pStyle w:val="Normal"/>
        <w:framePr w:w="13651" w:hAnchor="page" w:vAnchor="page" w:x="274" w:y="5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median employee was $143,176. As a result, for 2022, the ratio of the annual total compensation of our CEO to the total annual compensation of our</w:t>
      </w:r>
    </w:p>
    <w:p>
      <w:pPr>
        <w:pStyle w:val="Normal"/>
        <w:framePr w:w="14073" w:hAnchor="page" w:vAnchor="page" w:x="274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For 2022, the annual total compensation of our CEO for purposes of determining the pay ratio was $13,283,596 and the annual total compensation of our</w:t>
      </w:r>
    </w:p>
    <w:p>
      <w:pPr>
        <w:pStyle w:val="Normal"/>
        <w:framePr w:w="2731" w:hAnchor="page" w:vAnchor="page" w:x="274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Calculated CEO Pay Ratio</w:t>
      </w:r>
    </w:p>
    <w:p>
      <w:pPr>
        <w:pStyle w:val="Normal"/>
        <w:framePr w:w="11426" w:hAnchor="page" w:vAnchor="page" w:x="274" w:y="52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Using this methodology, we determined that the median employee was a non-exempt, full-time employee located in the U.S.</w:t>
      </w:r>
    </w:p>
    <w:p>
      <w:pPr>
        <w:pStyle w:val="Normal"/>
        <w:framePr w:w="1547" w:hAnchor="page" w:vAnchor="page" w:x="274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to U.S. dollars.</w:t>
      </w:r>
    </w:p>
    <w:p>
      <w:pPr>
        <w:pStyle w:val="Normal"/>
        <w:framePr w:w="14038" w:hAnchor="page" w:vAnchor="page" w:x="274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recently completed taxable year as permitted by SEC rules and applied an exchange rate as of December 31, 2021 to convert all international currencies</w:t>
      </w:r>
    </w:p>
    <w:p>
      <w:pPr>
        <w:pStyle w:val="Normal"/>
        <w:framePr w:w="13479" w:hAnchor="page" w:vAnchor="page" w:x="274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This population was further refined into the most represented job classifications. From this subset, we computed total taxable earnings for the most</w:t>
      </w:r>
    </w:p>
    <w:p>
      <w:pPr>
        <w:pStyle w:val="Normal"/>
        <w:framePr w:w="14004" w:hAnchor="page" w:vAnchor="page" w:x="274" w:y="42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 identifying the median employee, we identified a median base salary using annualized 2021 base salary for the October 1, 2021 employee population.</w:t>
      </w:r>
    </w:p>
    <w:p>
      <w:pPr>
        <w:pStyle w:val="Normal"/>
        <w:framePr w:w="13878" w:hAnchor="page" w:vAnchor="page" w:x="274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(159), Tunisia (5), and Vietnam (4). After these exclusions, our employee population used in determining our median employee was 19,063 employees.</w:t>
      </w:r>
    </w:p>
    <w:p>
      <w:pPr>
        <w:pStyle w:val="Normal"/>
        <w:framePr w:w="14162" w:hAnchor="page" w:vAnchor="page" w:x="274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(1), Cameroon (26), China (41), Congo-Brazzaville (1), Equatorial Guinea (12), Gabon (2), Guyana (59), Kazakhstan (21), Mozambique (26), Saudi Arabia</w:t>
      </w:r>
    </w:p>
    <w:p>
      <w:pPr>
        <w:pStyle w:val="Normal"/>
        <w:framePr w:w="13927" w:hAnchor="page" w:vAnchor="page" w:x="274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globally, with 3,285 employees being in the United States. As permitted under the SEC’s 5% “de minimis exemption,” we excluded employees in Algeria</w:t>
      </w:r>
    </w:p>
    <w:p>
      <w:pPr>
        <w:pStyle w:val="Normal"/>
        <w:framePr w:w="13775" w:hAnchor="page" w:vAnchor="page" w:x="274" w:y="32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 2021, we identified our median employee from our employee population as of October 1, 2021, which consisted of approximately 19,420 individuals</w:t>
      </w:r>
    </w:p>
    <w:p>
      <w:pPr>
        <w:pStyle w:val="Normal"/>
        <w:framePr w:w="3266" w:hAnchor="page" w:vAnchor="page" w:x="274" w:y="30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Identified the Median Employee</w:t>
      </w:r>
    </w:p>
    <w:p>
      <w:pPr>
        <w:pStyle w:val="Normal"/>
        <w:framePr w:w="10405" w:hAnchor="page" w:vAnchor="page" w:x="274" w:y="27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elected to utilize the same median employee that we had identified for 2021 to calculate our 2022 CEO pay ratio.</w:t>
      </w:r>
    </w:p>
    <w:p>
      <w:pPr>
        <w:pStyle w:val="Normal"/>
        <w:framePr w:w="13889" w:hAnchor="page" w:vAnchor="page" w:x="274" w:y="25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compensation arrangements in the past fiscal year that we reasonably believed would result in a significant change to our CEO pay ratio disclosure, we</w:t>
      </w:r>
    </w:p>
    <w:p>
      <w:pPr>
        <w:pStyle w:val="Normal"/>
        <w:framePr w:w="13116" w:hAnchor="page" w:vAnchor="page" w:x="274" w:y="23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 accordance with Instruction 2 to Item 402(u) of Regulation S-K, because there had been no change in our employee population or employee</w:t>
      </w:r>
    </w:p>
    <w:p>
      <w:pPr>
        <w:pStyle w:val="Normal"/>
        <w:framePr w:w="1962" w:hAnchor="page" w:vAnchor="page" w:x="274" w:y="185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25"/>
          <w:szCs w:val="25"/>
        </w:rPr>
        <w:t>Methodology</w:t>
      </w:r>
    </w:p>
    <w:p>
      <w:pPr>
        <w:pStyle w:val="Normal"/>
        <w:framePr w:w="1752" w:hAnchor="page" w:vAnchor="page" w:x="274" w:y="14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fiscal year, 2022.</w:t>
      </w:r>
    </w:p>
    <w:p>
      <w:pPr>
        <w:pStyle w:val="Normal"/>
        <w:framePr w:w="13981" w:hAnchor="page" w:vAnchor="page" w:x="274" w:y="12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information about the ratio of the total annual compensation of our CEO to the total annual compensation of our median employee for our last completed</w:t>
      </w:r>
    </w:p>
    <w:p>
      <w:pPr>
        <w:pStyle w:val="Normal"/>
        <w:framePr w:w="13240" w:hAnchor="page" w:vAnchor="page" w:x="274" w:y="10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Pursuant to Section 953(b) of the Dodd-Frank Act and Item 402(u) of Regulation S-K as promulgated by the SEC, we are providing the following</w:t>
      </w:r>
    </w:p>
    <w:p>
      <w:pPr>
        <w:pStyle w:val="Normal"/>
        <w:framePr w:w="3411" w:hAnchor="page" w:vAnchor="page" w:x="274" w:y="560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f6e"/>
          <w:w w:val="100"/>
          <w:sz w:val="40"/>
          <w:szCs w:val="40"/>
        </w:rPr>
        <w:t>CEO Pay Ratio</w:t>
      </w:r>
    </w:p>
    <w:p>
      <w:pPr>
        <w:pStyle w:val="Normal"/>
        <w:framePr w:w="3213" w:hAnchor="page" w:vAnchor="page" w:x="274" w:y="21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7pt;margin-top:1pt;z-index:-1676385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12.7pt;margin-top:420.6pt;z-index:-1676384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</w:p>
    <w:p>
      <w:pPr>
        <w:pStyle w:val="Normal"/>
        <w:framePr w:w="1631" w:hAnchor="page" w:vAnchor="page" w:x="274" w:y="85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93  TechnipFMC</w:t>
      </w:r>
    </w:p>
    <w:p>
      <w:pPr>
        <w:pStyle w:val="Normal"/>
        <w:framePr w:w="8603" w:hAnchor="page" w:vAnchor="page" w:x="615" w:y="81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measures, please refer to “Appendix A – Reconciliation of Non-GAAP Measures” in this Proxy Statement</w:t>
      </w:r>
    </w:p>
    <w:p>
      <w:pPr>
        <w:pStyle w:val="Normal"/>
        <w:framePr w:w="13243" w:hAnchor="page" w:vAnchor="page" w:x="615" w:y="799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charges credits and foreign currency as a percentage of revenue. For reconciliation of adjusted EBITDA margin to their respective most directly comparable GAAP</w:t>
      </w:r>
    </w:p>
    <w:p>
      <w:pPr>
        <w:pStyle w:val="Normal"/>
        <w:framePr w:w="13795" w:hAnchor="page" w:vAnchor="page" w:x="274" w:y="78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(3)  Adjusted EBITDA Margin % is a non-GAAP measure and is defined as earnings before net interest expense, income taxes, depreciation and amortization, excluding</w:t>
      </w:r>
    </w:p>
    <w:p>
      <w:pPr>
        <w:pStyle w:val="Normal"/>
        <w:framePr w:w="4549" w:hAnchor="page" w:vAnchor="page" w:x="615" w:y="76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Annual Report on Form 10-K for each respective year.</w:t>
      </w:r>
    </w:p>
    <w:p>
      <w:pPr>
        <w:pStyle w:val="Normal"/>
        <w:framePr w:w="13703" w:hAnchor="page" w:vAnchor="page" w:x="274" w:y="74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  For the relevant fiscal year, represents the cumulative TSR of the Philadelphia Oil Services Sector (OSX) index for the applicable five-year period as set forth in our</w:t>
      </w:r>
    </w:p>
    <w:p>
      <w:pPr>
        <w:pStyle w:val="Normal"/>
        <w:framePr w:w="2605" w:hAnchor="page" w:vAnchor="page" w:x="788" w:y="711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2020    Douglas J. Pferdehirt</w:t>
      </w:r>
    </w:p>
    <w:p>
      <w:pPr>
        <w:pStyle w:val="Normal"/>
        <w:framePr w:w="8957" w:hAnchor="page" w:vAnchor="page" w:x="3327" w:y="711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Maryann Mannen, Justin Rounce, Barry Glickman, Arnaud Pieton, Catherine MacGregor, and Nello Uccelletti</w:t>
      </w:r>
    </w:p>
    <w:p>
      <w:pPr>
        <w:pStyle w:val="Normal"/>
        <w:framePr w:w="2605" w:hAnchor="page" w:vAnchor="page" w:x="788" w:y="68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2021    Douglas J. Pferdehirt</w:t>
      </w:r>
    </w:p>
    <w:p>
      <w:pPr>
        <w:pStyle w:val="Normal"/>
        <w:framePr w:w="6844" w:hAnchor="page" w:vAnchor="page" w:x="3327" w:y="68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Alf Melin, Justin Rounce, Jonathan Landes, Barry Glickman, and Maryann Mannen</w:t>
      </w:r>
    </w:p>
    <w:p>
      <w:pPr>
        <w:pStyle w:val="Normal"/>
        <w:framePr w:w="2605" w:hAnchor="page" w:vAnchor="page" w:x="788" w:y="66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2022    Douglas J. Pferdehirt</w:t>
      </w:r>
    </w:p>
    <w:p>
      <w:pPr>
        <w:pStyle w:val="Normal"/>
        <w:framePr w:w="5197" w:hAnchor="page" w:vAnchor="page" w:x="3327" w:y="66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Alf Melin, Justin Rounce, Jonathan Landes, and Victoria Lazar</w:t>
      </w:r>
    </w:p>
    <w:p>
      <w:pPr>
        <w:pStyle w:val="Normal"/>
        <w:framePr w:w="1297" w:hAnchor="page" w:vAnchor="page" w:x="796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Year    PEO</w:t>
      </w:r>
    </w:p>
    <w:p>
      <w:pPr>
        <w:pStyle w:val="Normal"/>
        <w:framePr w:w="1525" w:hAnchor="page" w:vAnchor="page" w:x="3341" w:y="645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Non-PEO NEOs</w:t>
      </w:r>
    </w:p>
    <w:p>
      <w:pPr>
        <w:pStyle w:val="Normal"/>
        <w:framePr w:w="8087" w:hAnchor="page" w:vAnchor="page" w:x="615" w:y="59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Non-PEO NEOs referenced in the table above are indicated in the table below for each fiscal year:</w:t>
      </w:r>
    </w:p>
    <w:p>
      <w:pPr>
        <w:pStyle w:val="Normal"/>
        <w:framePr w:w="13588" w:hAnchor="page" w:vAnchor="page" w:x="615" w:y="58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the prior year, measured through the date the awards vested or were forfeited, or through the end of the reported fiscal year, and (iii) certain pension-related costs. The</w:t>
      </w:r>
    </w:p>
    <w:p>
      <w:pPr>
        <w:pStyle w:val="Normal"/>
        <w:framePr w:w="13988" w:hAnchor="page" w:vAnchor="page" w:x="274" w:y="56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Amounts include (i) the year-end value of equity awards granted during the reported year, (ii) the change in the value of equity awards that were unvested at the end of</w:t>
      </w:r>
    </w:p>
    <w:p>
      <w:pPr>
        <w:pStyle w:val="Normal"/>
        <w:framePr w:w="5261" w:hAnchor="page" w:vAnchor="page" w:x="274" w:y="53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7"/>
          <w:szCs w:val="17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7"/>
          <w:szCs w:val="17"/>
        </w:rPr>
        <w:t>$5.92 at December 31, 2021 to $12.19 at December 31, 2022.</w:t>
      </w:r>
    </w:p>
    <w:p>
      <w:pPr>
        <w:pStyle w:val="Normal"/>
        <w:framePr w:w="13924" w:hAnchor="page" w:vAnchor="page" w:x="274" w:y="51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7"/>
          <w:szCs w:val="17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7"/>
          <w:szCs w:val="17"/>
        </w:rPr>
        <w:t>The increase in “compensation actually paid” in 2022 is driven primarily by the increase in the fair value of performance awards due to the increase in share price from</w:t>
      </w:r>
    </w:p>
    <w:p>
      <w:pPr>
        <w:pStyle w:val="Normal"/>
        <w:framePr w:w="2789" w:hAnchor="page" w:vAnchor="page" w:x="293" w:y="470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PEO: Principal Executive Officer</w:t>
      </w:r>
    </w:p>
    <w:p>
      <w:pPr>
        <w:pStyle w:val="Normal"/>
        <w:framePr w:w="585" w:hAnchor="page" w:vAnchor="page" w:x="518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091" w:hAnchor="page" w:vAnchor="page" w:x="1367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12,920,601</w:t>
      </w:r>
    </w:p>
    <w:p>
      <w:pPr>
        <w:pStyle w:val="Normal"/>
        <w:framePr w:w="989" w:hAnchor="page" w:vAnchor="page" w:x="2703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2,368,276</w:t>
      </w:r>
    </w:p>
    <w:p>
      <w:pPr>
        <w:pStyle w:val="Normal"/>
        <w:framePr w:w="989" w:hAnchor="page" w:vAnchor="page" w:x="3998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3,191,983</w:t>
      </w:r>
    </w:p>
    <w:p>
      <w:pPr>
        <w:pStyle w:val="Normal"/>
        <w:framePr w:w="989" w:hAnchor="page" w:vAnchor="page" w:x="5342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1,734,567</w:t>
      </w:r>
    </w:p>
    <w:p>
      <w:pPr>
        <w:pStyle w:val="Normal"/>
        <w:framePr w:w="635" w:hAnchor="page" w:vAnchor="page" w:x="6770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28.03</w:t>
      </w:r>
    </w:p>
    <w:p>
      <w:pPr>
        <w:pStyle w:val="Normal"/>
        <w:framePr w:w="635" w:hAnchor="page" w:vAnchor="page" w:x="7936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25.88</w:t>
      </w:r>
    </w:p>
    <w:p>
      <w:pPr>
        <w:pStyle w:val="Normal"/>
        <w:framePr w:w="1465" w:hAnchor="page" w:vAnchor="page" w:x="9283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(3,287,395,821)</w:t>
      </w:r>
    </w:p>
    <w:p>
      <w:pPr>
        <w:pStyle w:val="Normal"/>
        <w:framePr w:w="595" w:hAnchor="page" w:vAnchor="page" w:x="11274" w:y="439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6.7%</w:t>
      </w:r>
    </w:p>
    <w:p>
      <w:pPr>
        <w:pStyle w:val="Normal"/>
        <w:framePr w:w="585" w:hAnchor="page" w:vAnchor="page" w:x="518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2021</w:t>
      </w:r>
    </w:p>
    <w:p>
      <w:pPr>
        <w:pStyle w:val="Normal"/>
        <w:framePr w:w="1091" w:hAnchor="page" w:vAnchor="page" w:x="1367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21,933,683</w:t>
      </w:r>
    </w:p>
    <w:p>
      <w:pPr>
        <w:pStyle w:val="Normal"/>
        <w:framePr w:w="1091" w:hAnchor="page" w:vAnchor="page" w:x="2661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15,255,127</w:t>
      </w:r>
    </w:p>
    <w:p>
      <w:pPr>
        <w:pStyle w:val="Normal"/>
        <w:framePr w:w="989" w:hAnchor="page" w:vAnchor="page" w:x="3998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3,203,031</w:t>
      </w:r>
    </w:p>
    <w:p>
      <w:pPr>
        <w:pStyle w:val="Normal"/>
        <w:framePr w:w="989" w:hAnchor="page" w:vAnchor="page" w:x="5342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1,562,750</w:t>
      </w:r>
    </w:p>
    <w:p>
      <w:pPr>
        <w:pStyle w:val="Normal"/>
        <w:framePr w:w="635" w:hAnchor="page" w:vAnchor="page" w:x="6770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23.73</w:t>
      </w:r>
    </w:p>
    <w:p>
      <w:pPr>
        <w:pStyle w:val="Normal"/>
        <w:framePr w:w="635" w:hAnchor="page" w:vAnchor="page" w:x="7936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31.25</w:t>
      </w:r>
    </w:p>
    <w:p>
      <w:pPr>
        <w:pStyle w:val="Normal"/>
        <w:framePr w:w="1091" w:hAnchor="page" w:vAnchor="page" w:x="9439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13,344,828</w:t>
      </w:r>
    </w:p>
    <w:p>
      <w:pPr>
        <w:pStyle w:val="Normal"/>
        <w:framePr w:w="595" w:hAnchor="page" w:vAnchor="page" w:x="11274" w:y="41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8.8%</w:t>
      </w:r>
    </w:p>
    <w:p>
      <w:pPr>
        <w:pStyle w:val="Normal"/>
        <w:framePr w:w="585" w:hAnchor="page" w:vAnchor="page" w:x="518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2022</w:t>
      </w:r>
    </w:p>
    <w:p>
      <w:pPr>
        <w:pStyle w:val="Normal"/>
        <w:framePr w:w="1091" w:hAnchor="page" w:vAnchor="page" w:x="1367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13,283,596</w:t>
      </w:r>
    </w:p>
    <w:p>
      <w:pPr>
        <w:pStyle w:val="Normal"/>
        <w:framePr w:w="1091" w:hAnchor="page" w:vAnchor="page" w:x="2661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52,760,476</w:t>
      </w:r>
    </w:p>
    <w:p>
      <w:pPr>
        <w:pStyle w:val="Normal"/>
        <w:framePr w:w="989" w:hAnchor="page" w:vAnchor="page" w:x="3998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2,756,454</w:t>
      </w:r>
    </w:p>
    <w:p>
      <w:pPr>
        <w:pStyle w:val="Normal"/>
        <w:framePr w:w="989" w:hAnchor="page" w:vAnchor="page" w:x="5342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7,539,426</w:t>
      </w:r>
    </w:p>
    <w:p>
      <w:pPr>
        <w:pStyle w:val="Normal"/>
        <w:framePr w:w="635" w:hAnchor="page" w:vAnchor="page" w:x="6770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55.67</w:t>
      </w:r>
    </w:p>
    <w:p>
      <w:pPr>
        <w:pStyle w:val="Normal"/>
        <w:framePr w:w="635" w:hAnchor="page" w:vAnchor="page" w:x="7936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61.53</w:t>
      </w:r>
    </w:p>
    <w:p>
      <w:pPr>
        <w:pStyle w:val="Normal"/>
        <w:framePr w:w="1313" w:hAnchor="page" w:vAnchor="page" w:x="9347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(107,307,795)</w:t>
      </w:r>
    </w:p>
    <w:p>
      <w:pPr>
        <w:pStyle w:val="Normal"/>
        <w:framePr w:w="696" w:hAnchor="page" w:vAnchor="page" w:x="11232" w:y="39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10.0%</w:t>
      </w:r>
    </w:p>
    <w:p>
      <w:pPr>
        <w:pStyle w:val="Normal"/>
        <w:framePr w:w="575" w:hAnchor="page" w:vAnchor="page" w:x="526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Year</w:t>
      </w:r>
    </w:p>
    <w:p>
      <w:pPr>
        <w:pStyle w:val="Normal"/>
        <w:framePr w:w="402" w:hAnchor="page" w:vAnchor="page" w:x="1660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625" w:hAnchor="page" w:vAnchor="page" w:x="2862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($)(1)</w:t>
      </w:r>
    </w:p>
    <w:p>
      <w:pPr>
        <w:pStyle w:val="Normal"/>
        <w:framePr w:w="948" w:hAnchor="page" w:vAnchor="page" w:x="4022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NEOs ($)</w:t>
      </w:r>
    </w:p>
    <w:p>
      <w:pPr>
        <w:pStyle w:val="Normal"/>
        <w:framePr w:w="1171" w:hAnchor="page" w:vAnchor="page" w:x="5273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NEOs ($)(1)</w:t>
      </w:r>
    </w:p>
    <w:p>
      <w:pPr>
        <w:pStyle w:val="Normal"/>
        <w:framePr w:w="402" w:hAnchor="page" w:vAnchor="page" w:x="6874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625" w:hAnchor="page" w:vAnchor="page" w:x="7947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($)(2)</w:t>
      </w:r>
    </w:p>
    <w:p>
      <w:pPr>
        <w:pStyle w:val="Normal"/>
        <w:framePr w:w="402" w:hAnchor="page" w:vAnchor="page" w:x="9733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($)</w:t>
      </w:r>
    </w:p>
    <w:p>
      <w:pPr>
        <w:pStyle w:val="Normal"/>
        <w:framePr w:w="402" w:hAnchor="page" w:vAnchor="page" w:x="11361" w:y="37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(3)</w:t>
      </w:r>
    </w:p>
    <w:p>
      <w:pPr>
        <w:pStyle w:val="Normal"/>
        <w:framePr w:w="857" w:hAnchor="page" w:vAnchor="page" w:x="1471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for PEO</w:t>
      </w:r>
    </w:p>
    <w:p>
      <w:pPr>
        <w:pStyle w:val="Normal"/>
        <w:framePr w:w="787" w:hAnchor="page" w:vAnchor="page" w:x="2795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to PEO</w:t>
      </w:r>
    </w:p>
    <w:p>
      <w:pPr>
        <w:pStyle w:val="Normal"/>
        <w:framePr w:w="1272" w:hAnchor="page" w:vAnchor="page" w:x="3887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for Non-PEO</w:t>
      </w:r>
    </w:p>
    <w:p>
      <w:pPr>
        <w:pStyle w:val="Normal"/>
        <w:framePr w:w="1201" w:hAnchor="page" w:vAnchor="page" w:x="5261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to Non-PEO</w:t>
      </w:r>
    </w:p>
    <w:p>
      <w:pPr>
        <w:pStyle w:val="Normal"/>
        <w:framePr w:w="766" w:hAnchor="page" w:vAnchor="page" w:x="6722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Return</w:t>
      </w:r>
    </w:p>
    <w:p>
      <w:pPr>
        <w:pStyle w:val="Normal"/>
        <w:framePr w:w="766" w:hAnchor="page" w:vAnchor="page" w:x="7888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Return</w:t>
      </w:r>
    </w:p>
    <w:p>
      <w:pPr>
        <w:pStyle w:val="Normal"/>
        <w:framePr w:w="1161" w:hAnchor="page" w:vAnchor="page" w:x="9417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Net Income</w:t>
      </w:r>
    </w:p>
    <w:p>
      <w:pPr>
        <w:pStyle w:val="Normal"/>
        <w:framePr w:w="989" w:hAnchor="page" w:vAnchor="page" w:x="11117" w:y="356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Margin %</w:t>
      </w:r>
    </w:p>
    <w:p>
      <w:pPr>
        <w:pStyle w:val="Normal"/>
        <w:framePr w:w="857" w:hAnchor="page" w:vAnchor="page" w:x="11172" w:y="339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EBITDA</w:t>
      </w:r>
    </w:p>
    <w:p>
      <w:pPr>
        <w:pStyle w:val="Normal"/>
        <w:framePr w:w="958" w:hAnchor="page" w:vAnchor="page" w:x="11130" w:y="32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Adjusted</w:t>
      </w:r>
    </w:p>
    <w:p>
      <w:pPr>
        <w:pStyle w:val="Normal"/>
        <w:framePr w:w="1140" w:hAnchor="page" w:vAnchor="page" w:x="1364" w:y="30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Table Total</w:t>
      </w:r>
    </w:p>
    <w:p>
      <w:pPr>
        <w:pStyle w:val="Normal"/>
        <w:framePr w:w="1323" w:hAnchor="page" w:vAnchor="page" w:x="2572" w:y="30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Actually Paid</w:t>
      </w:r>
    </w:p>
    <w:p>
      <w:pPr>
        <w:pStyle w:val="Normal"/>
        <w:framePr w:w="1140" w:hAnchor="page" w:vAnchor="page" w:x="3953" w:y="30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Table Total</w:t>
      </w:r>
    </w:p>
    <w:p>
      <w:pPr>
        <w:pStyle w:val="Normal"/>
        <w:framePr w:w="1323" w:hAnchor="page" w:vAnchor="page" w:x="5210" w:y="30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Actually Paid</w:t>
      </w:r>
    </w:p>
    <w:p>
      <w:pPr>
        <w:pStyle w:val="Normal"/>
        <w:framePr w:w="2641" w:hAnchor="page" w:vAnchor="page" w:x="6524" w:y="30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Shareholder    Shareholder</w:t>
      </w:r>
    </w:p>
    <w:p>
      <w:pPr>
        <w:pStyle w:val="Normal"/>
        <w:framePr w:w="6163" w:hAnchor="page" w:vAnchor="page" w:x="1227" w:y="288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Compensation   Compensation   Compensation    Compensation</w:t>
      </w:r>
    </w:p>
    <w:p>
      <w:pPr>
        <w:pStyle w:val="Normal"/>
        <w:framePr w:w="938" w:hAnchor="page" w:vAnchor="page" w:x="6656" w:y="288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FTI Total</w:t>
      </w:r>
    </w:p>
    <w:p>
      <w:pPr>
        <w:pStyle w:val="Normal"/>
        <w:framePr w:w="1049" w:hAnchor="page" w:vAnchor="page" w:x="7776" w:y="288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OSX Total</w:t>
      </w:r>
    </w:p>
    <w:p>
      <w:pPr>
        <w:pStyle w:val="Normal"/>
        <w:framePr w:w="1009" w:hAnchor="page" w:vAnchor="page" w:x="1408" w:y="27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Summary</w:t>
      </w:r>
    </w:p>
    <w:p>
      <w:pPr>
        <w:pStyle w:val="Normal"/>
        <w:framePr w:w="1009" w:hAnchor="page" w:vAnchor="page" w:x="3997" w:y="27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Summary</w:t>
      </w:r>
    </w:p>
    <w:p>
      <w:pPr>
        <w:pStyle w:val="Normal"/>
        <w:framePr w:w="898" w:hAnchor="page" w:vAnchor="page" w:x="5390" w:y="27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Average</w:t>
      </w:r>
    </w:p>
    <w:p>
      <w:pPr>
        <w:pStyle w:val="Normal"/>
        <w:framePr w:w="898" w:hAnchor="page" w:vAnchor="page" w:x="4046" w:y="25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Average</w:t>
      </w:r>
    </w:p>
    <w:p>
      <w:pPr>
        <w:pStyle w:val="Normal"/>
        <w:framePr w:w="2071" w:hAnchor="page" w:vAnchor="page" w:x="6762" w:y="25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Investment Based on:</w:t>
      </w:r>
    </w:p>
    <w:p>
      <w:pPr>
        <w:pStyle w:val="Normal"/>
        <w:framePr w:w="2395" w:hAnchor="page" w:vAnchor="page" w:x="6631" w:y="237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Value of Initial Fixed $100</w:t>
      </w:r>
    </w:p>
    <w:p>
      <w:pPr>
        <w:pStyle w:val="Normal"/>
        <w:framePr w:w="5738" w:hAnchor="page" w:vAnchor="page" w:x="293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footnote (1) and the explanations below for more information:</w:t>
      </w:r>
    </w:p>
    <w:p>
      <w:pPr>
        <w:pStyle w:val="Normal"/>
        <w:framePr w:w="13980" w:hAnchor="page" w:vAnchor="page" w:x="293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accordance with SEC rules. The amounts do not reflect the actual compensation paid to our PEO and other NEOs during the applicable year. See</w:t>
      </w:r>
    </w:p>
    <w:p>
      <w:pPr>
        <w:pStyle w:val="Normal"/>
        <w:framePr w:w="13969" w:hAnchor="page" w:vAnchor="page" w:x="293" w:y="15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2022,  and  our  financial  performance  for  each  such  fiscal  year.  The  amounts  represented  under  “compensation  actually  paid”  were  computed  in</w:t>
      </w:r>
    </w:p>
    <w:p>
      <w:pPr>
        <w:pStyle w:val="Normal"/>
        <w:framePr w:w="13969" w:hAnchor="page" w:vAnchor="page" w:x="293" w:y="13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table sets forth information concerning the compensation of our NEOs for each of the fiscal years ended December 31, 2020, 2021 and</w:t>
      </w:r>
    </w:p>
    <w:p>
      <w:pPr>
        <w:pStyle w:val="Normal"/>
        <w:framePr w:w="3210" w:hAnchor="page" w:vAnchor="page" w:x="293" w:y="11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Pay Versus Performance Table</w:t>
      </w:r>
    </w:p>
    <w:p>
      <w:pPr>
        <w:pStyle w:val="Normal"/>
        <w:framePr w:w="4548" w:hAnchor="page" w:vAnchor="page" w:x="293" w:y="664"/>
        <w:widowControl w:val="off"/>
        <w:autoSpaceDE w:val="off"/>
        <w:autoSpaceDN w:val="off"/>
        <w:spacing w:before="0" w:after="0" w:line="356" w:lineRule="exact"/>
        <w:ind w:left="0" w:right="0" w:first-line="0"/>
        <w:jc w:val="left"/>
        <w:rPr>
          <w:rFonts w:ascii="TYIFDT+ArialMT" w:hAnsi="TYIFDT+ArialMT" w:fareast="TYIFDT+ArialMT" w:cs="TYIFDT+ArialMT"/>
          <w:color w:val="461f6f"/>
          <w:w w:val="100"/>
          <w:sz w:val="34"/>
          <w:szCs w:val="34"/>
        </w:rPr>
      </w:pPr>
      <w:r>
        <w:rPr>
          <w:rFonts w:ascii="TYIFDT+ArialMT" w:hAnsi="TYIFDT+ArialMT" w:fareast="TYIFDT+ArialMT" w:cs="TYIFDT+ArialMT"/>
          <w:color w:val="461f6f"/>
          <w:w w:val="100"/>
          <w:sz w:val="34"/>
          <w:szCs w:val="34"/>
        </w:rPr>
        <w:t>Pay Versus Performance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7pt;margin-top:1pt;z-index:-1676384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12.7pt;margin-top:115.5pt;z-index:-16763840;width:43.2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3.95pt;margin-top:115.5pt;z-index:-16763836;width:66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118.65pt;margin-top:115.5pt;z-index:-16763832;width:66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183.4pt;margin-top:115.5pt;z-index:-16763828;width:66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248.1pt;margin-top:115.5pt;z-index:-16763824;width:71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317.8pt;margin-top:115.5pt;z-index:-16763820;width:118.6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434.45pt;margin-top:115.5pt;z-index:-16763816;width:112.95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45.4pt;margin-top:115.5pt;z-index:-16763812;width:53.9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12.7pt;margin-top:125.45pt;z-index:-16763808;width:43.2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53.95pt;margin-top:125.45pt;z-index:-16763804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118.65pt;margin-top:125.45pt;z-index:-16763800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183.4pt;margin-top:125.45pt;z-index:-16763796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248.1pt;margin-top:125.45pt;z-index:-16763792;width:71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17.8pt;margin-top:125.45pt;z-index:-16763788;width:118.6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434.45pt;margin-top:125.45pt;z-index:-16763784;width:112.9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45.4pt;margin-top:125.45pt;z-index:-16763780;width:53.9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12.7pt;margin-top:134pt;z-index:-16763776;width:43.2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3.95pt;margin-top:134pt;z-index:-16763772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118.65pt;margin-top:134pt;z-index:-16763768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183.4pt;margin-top:134pt;z-index:-16763764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248.1pt;margin-top:134pt;z-index:-16763760;width:71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317.8pt;margin-top:134pt;z-index:-16763756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376.1pt;margin-top:134pt;z-index:-16763752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34.45pt;margin-top:134pt;z-index:-16763748;width:112.9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45.4pt;margin-top:134pt;z-index:-16763744;width:53.9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12.7pt;margin-top:142.55pt;z-index:-16763740;width:43.2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53.95pt;margin-top:142.55pt;z-index:-16763736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118.65pt;margin-top:142.55pt;z-index:-16763732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183.4pt;margin-top:142.55pt;z-index:-16763728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248.1pt;margin-top:142.55pt;z-index:-16763724;width:71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317.8pt;margin-top:142.55pt;z-index:-16763720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376.1pt;margin-top:142.55pt;z-index:-16763716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434.45pt;margin-top:142.55pt;z-index:-16763712;width:112.9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45.4pt;margin-top:142.55pt;z-index:-16763708;width:53.9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12.7pt;margin-top:151.1pt;z-index:-16763704;width:43.2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3.95pt;margin-top:151.1pt;z-index:-16763700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118.65pt;margin-top:151.1pt;z-index:-16763696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183.4pt;margin-top:151.1pt;z-index:-16763692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248.1pt;margin-top:151.1pt;z-index:-16763688;width:71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317.8pt;margin-top:151.1pt;z-index:-16763684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376.1pt;margin-top:151.1pt;z-index:-16763680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34.45pt;margin-top:151.1pt;z-index:-16763676;width:112.9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545.4pt;margin-top:151.1pt;z-index:-16763672;width:53.9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12.7pt;margin-top:159.6pt;z-index:-16763668;width:43.25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53.95pt;margin-top:159.6pt;z-index:-16763664;width:66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118.65pt;margin-top:159.6pt;z-index:-16763660;width:66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183.4pt;margin-top:159.6pt;z-index:-16763656;width:66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248.1pt;margin-top:159.6pt;z-index:-16763652;width:71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317.8pt;margin-top:159.6pt;z-index:-16763648;width:60.3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376.1pt;margin-top:159.6pt;z-index:-16763644;width:60.3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434.45pt;margin-top:159.6pt;z-index:-16763640;width:112.95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545.4pt;margin-top:159.6pt;z-index:-16763636;width:53.9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12.7pt;margin-top:185.2pt;z-index:-16763632;width:43.2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53.95pt;margin-top:185.2pt;z-index:-16763628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118.65pt;margin-top:185.2pt;z-index:-16763624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183.4pt;margin-top:185.2pt;z-index:-16763620;width:66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48.1pt;margin-top:185.2pt;z-index:-16763616;width:71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317.8pt;margin-top:185.2pt;z-index:-16763612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376.1pt;margin-top:185.2pt;z-index:-16763608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434.45pt;margin-top:185.2pt;z-index:-16763604;width:112.9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45.4pt;margin-top:185.2pt;z-index:-16763600;width:53.9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12.7pt;margin-top:193.75pt;z-index:-16763596;width:43.2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53.95pt;margin-top:193.75pt;z-index:-16763592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118.65pt;margin-top:193.75pt;z-index:-16763588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183.4pt;margin-top:193.75pt;z-index:-16763584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248.1pt;margin-top:193.75pt;z-index:-16763580;width:71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317.8pt;margin-top:193.75pt;z-index:-16763576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376.1pt;margin-top:193.75pt;z-index:-16763572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34.45pt;margin-top:193.75pt;z-index:-16763568;width:112.9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45.4pt;margin-top:193.75pt;z-index:-16763564;width:53.9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12.7pt;margin-top:205.1pt;z-index:-16763560;width:43.2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3.95pt;margin-top:205.1pt;z-index:-16763556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118.65pt;margin-top:205.1pt;z-index:-16763552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183.4pt;margin-top:205.1pt;z-index:-16763548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248.1pt;margin-top:205.1pt;z-index:-16763544;width:71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317.8pt;margin-top:205.1pt;z-index:-16763540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376.1pt;margin-top:205.1pt;z-index:-16763536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34.45pt;margin-top:205.1pt;z-index:-16763532;width:112.9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45.4pt;margin-top:205.1pt;z-index:-16763528;width:53.9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12.7pt;margin-top:216.5pt;z-index:-16763524;width:43.2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53.95pt;margin-top:216.5pt;z-index:-16763520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118.65pt;margin-top:216.5pt;z-index:-16763516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183.4pt;margin-top:216.5pt;z-index:-16763512;width:66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248.1pt;margin-top:216.5pt;z-index:-16763508;width:71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317.8pt;margin-top:216.5pt;z-index:-16763504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376.1pt;margin-top:216.5pt;z-index:-16763500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34.45pt;margin-top:216.5pt;z-index:-16763496;width:112.9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45.4pt;margin-top:216.5pt;z-index:-16763492;width:53.9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545.4pt;margin-top:185.2pt;z-index:-1676348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434.45pt;margin-top:185.2pt;z-index:-1676348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76.1pt;margin-top:185.2pt;z-index:-1676348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317.8pt;margin-top:185.2pt;z-index:-1676347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248.1pt;margin-top:185.2pt;z-index:-1676347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183.4pt;margin-top:185.2pt;z-index:-1676346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118.65pt;margin-top:185.2pt;z-index:-1676346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3.95pt;margin-top:185.2pt;z-index:-1676346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545.4pt;margin-top:159.6pt;z-index:-16763456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434.45pt;margin-top:159.6pt;z-index:-16763452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76.1pt;margin-top:159.6pt;z-index:-16763448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17.8pt;margin-top:159.6pt;z-index:-16763444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248.1pt;margin-top:159.6pt;z-index:-16763440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183.4pt;margin-top:159.6pt;z-index:-16763436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118.65pt;margin-top:159.6pt;z-index:-16763432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3.95pt;margin-top:159.6pt;z-index:-16763428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45.4pt;margin-top:151.1pt;z-index:-1676342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34.45pt;margin-top:151.1pt;z-index:-1676342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376.1pt;margin-top:151.1pt;z-index:-1676341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317.8pt;margin-top:151.1pt;z-index:-1676341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248.1pt;margin-top:151.1pt;z-index:-1676340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183.4pt;margin-top:151.1pt;z-index:-1676340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118.65pt;margin-top:151.1pt;z-index:-1676340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3.95pt;margin-top:151.1pt;z-index:-1676339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545.4pt;margin-top:142.55pt;z-index:-1676339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34.45pt;margin-top:142.55pt;z-index:-1676338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376.1pt;margin-top:142.55pt;z-index:-1676338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317.8pt;margin-top:142.55pt;z-index:-1676338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248.1pt;margin-top:142.55pt;z-index:-1676337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183.4pt;margin-top:142.55pt;z-index:-1676337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118.65pt;margin-top:142.55pt;z-index:-1676336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3.95pt;margin-top:142.55pt;z-index:-1676336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45.4pt;margin-top:134pt;z-index:-1676336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434.45pt;margin-top:134pt;z-index:-1676335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376.1pt;margin-top:134pt;z-index:-1676335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317.8pt;margin-top:134pt;z-index:-1676334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248.1pt;margin-top:134pt;z-index:-1676334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183.4pt;margin-top:134pt;z-index:-1676334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118.65pt;margin-top:134pt;z-index:-1676333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53.95pt;margin-top:134pt;z-index:-1676333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545.4pt;margin-top:125.45pt;z-index:-1676332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434.45pt;margin-top:125.45pt;z-index:-1676332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317.8pt;margin-top:125.45pt;z-index:-1676332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248.1pt;margin-top:125.45pt;z-index:-1676331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183.4pt;margin-top:125.45pt;z-index:-1676331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118.65pt;margin-top:125.45pt;z-index:-1676330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3.95pt;margin-top:125.45pt;z-index:-1676330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45.4pt;margin-top:115.5pt;z-index:-16763300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34.45pt;margin-top:115.5pt;z-index:-16763296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317.8pt;margin-top:115.5pt;z-index:-16763292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248.1pt;margin-top:115.5pt;z-index:-16763288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183.4pt;margin-top:115.5pt;z-index:-16763284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118.65pt;margin-top:115.5pt;z-index:-16763280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53.95pt;margin-top:115.5pt;z-index:-16763276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29.75pt;margin-top:313.95pt;z-index:-16763272;width:36.1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63.9pt;margin-top:313.95pt;z-index:-16763268;width:98.75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160.6pt;margin-top:313.95pt;z-index:-16763264;width:438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29.75pt;margin-top:329.6pt;z-index:-16763260;width:36.1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63.9pt;margin-top:329.6pt;z-index:-16763256;width:98.7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160.6pt;margin-top:329.6pt;z-index:-16763252;width:438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29.75pt;margin-top:340.95pt;z-index:-16763248;width:36.1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63.9pt;margin-top:340.95pt;z-index:-16763244;width:98.7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160.6pt;margin-top:340.95pt;z-index:-16763240;width:438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29.75pt;margin-top:352.35pt;z-index:-16763236;width:36.1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63.9pt;margin-top:352.35pt;z-index:-16763232;width:98.7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160.6pt;margin-top:352.35pt;z-index:-16763228;width:438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160.6pt;margin-top:313.95pt;z-index:-16763224;width:2.7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63.9pt;margin-top:313.95pt;z-index:-16763220;width:2.7pt;height:1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12.7pt;margin-top:442.65pt;z-index:-1676321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</w:p>
    <w:p>
      <w:pPr>
        <w:pStyle w:val="Normal"/>
        <w:framePr w:w="1631" w:hAnchor="page" w:vAnchor="page" w:x="274" w:y="74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94  TechnipFMC</w:t>
      </w:r>
    </w:p>
    <w:p>
      <w:pPr>
        <w:pStyle w:val="Normal"/>
        <w:framePr w:w="2100" w:hAnchor="page" w:vAnchor="page" w:x="10386" w:y="70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Continued overleaf &gt;</w:t>
      </w:r>
    </w:p>
    <w:p>
      <w:pPr>
        <w:pStyle w:val="Normal"/>
        <w:framePr w:w="1222" w:hAnchor="page" w:vAnchor="page" w:x="383" w:y="65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Vesting Date</w:t>
      </w:r>
    </w:p>
    <w:p>
      <w:pPr>
        <w:pStyle w:val="Normal"/>
        <w:framePr w:w="3689" w:hAnchor="page" w:vAnchor="page" w:x="383" w:y="639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 ASC 718 Fair Value from Prior FY End to</w:t>
      </w:r>
    </w:p>
    <w:p>
      <w:pPr>
        <w:pStyle w:val="Normal"/>
        <w:framePr w:w="3761" w:hAnchor="page" w:vAnchor="page" w:x="383" w:y="622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Applicable FY, determined based on change</w:t>
      </w:r>
    </w:p>
    <w:p>
      <w:pPr>
        <w:pStyle w:val="Normal"/>
        <w:framePr w:w="2961" w:hAnchor="page" w:vAnchor="page" w:x="383" w:y="605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during Prior FY that Vested During</w:t>
      </w:r>
    </w:p>
    <w:p>
      <w:pPr>
        <w:pStyle w:val="Normal"/>
        <w:framePr w:w="3346" w:hAnchor="page" w:vAnchor="page" w:x="383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Increase/deduction for Awards Granted</w:t>
      </w:r>
    </w:p>
    <w:p>
      <w:pPr>
        <w:pStyle w:val="Normal"/>
        <w:framePr w:w="989" w:hAnchor="page" w:vAnchor="page" w:x="3701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1,855,743</w:t>
      </w:r>
    </w:p>
    <w:p>
      <w:pPr>
        <w:pStyle w:val="Normal"/>
        <w:framePr w:w="838" w:hAnchor="page" w:vAnchor="page" w:x="5271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116,084</w:t>
      </w:r>
    </w:p>
    <w:p>
      <w:pPr>
        <w:pStyle w:val="Normal"/>
        <w:framePr w:w="989" w:hAnchor="page" w:vAnchor="page" w:x="6892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2,495,429</w:t>
      </w:r>
    </w:p>
    <w:p>
      <w:pPr>
        <w:pStyle w:val="Normal"/>
        <w:framePr w:w="737" w:hAnchor="page" w:vAnchor="page" w:x="8456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97,134</w:t>
      </w:r>
    </w:p>
    <w:p>
      <w:pPr>
        <w:pStyle w:val="Normal"/>
        <w:framePr w:w="989" w:hAnchor="page" w:vAnchor="page" w:x="9583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3,924,491</w:t>
      </w:r>
    </w:p>
    <w:p>
      <w:pPr>
        <w:pStyle w:val="Normal"/>
        <w:framePr w:w="838" w:hAnchor="page" w:vAnchor="page" w:x="11059" w:y="588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337,375</w:t>
      </w:r>
    </w:p>
    <w:p>
      <w:pPr>
        <w:pStyle w:val="Normal"/>
        <w:framePr w:w="787" w:hAnchor="page" w:vAnchor="page" w:x="383" w:y="55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FY End</w:t>
      </w:r>
    </w:p>
    <w:p>
      <w:pPr>
        <w:pStyle w:val="Normal"/>
        <w:framePr w:w="3608" w:hAnchor="page" w:vAnchor="page" w:x="383" w:y="541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Fair Value from Prior FY End to Applicable</w:t>
      </w:r>
    </w:p>
    <w:p>
      <w:pPr>
        <w:pStyle w:val="Normal"/>
        <w:framePr w:w="3508" w:hAnchor="page" w:vAnchor="page" w:x="383" w:y="524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determined based on change in ASC 718</w:t>
      </w:r>
    </w:p>
    <w:p>
      <w:pPr>
        <w:pStyle w:val="Normal"/>
        <w:framePr w:w="2992" w:hAnchor="page" w:vAnchor="page" w:x="383" w:y="507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Unvested as of Applicable FY End,</w:t>
      </w:r>
    </w:p>
    <w:p>
      <w:pPr>
        <w:pStyle w:val="Normal"/>
        <w:framePr w:w="3589" w:hAnchor="page" w:vAnchor="page" w:x="383" w:y="490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during Prior FY that were Outstanding and</w:t>
      </w:r>
    </w:p>
    <w:p>
      <w:pPr>
        <w:pStyle w:val="Normal"/>
        <w:framePr w:w="3346" w:hAnchor="page" w:vAnchor="page" w:x="383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Increase/deduction for Awards Granted</w:t>
      </w:r>
    </w:p>
    <w:p>
      <w:pPr>
        <w:pStyle w:val="Normal"/>
        <w:framePr w:w="1111" w:hAnchor="page" w:vAnchor="page" w:x="3651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(9,876,567)</w:t>
      </w:r>
    </w:p>
    <w:p>
      <w:pPr>
        <w:pStyle w:val="Normal"/>
        <w:framePr w:w="1111" w:hAnchor="page" w:vAnchor="page" w:x="5151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(1,258,436)</w:t>
      </w:r>
    </w:p>
    <w:p>
      <w:pPr>
        <w:pStyle w:val="Normal"/>
        <w:framePr w:w="838" w:hAnchor="page" w:vAnchor="page" w:x="6955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335,348</w:t>
      </w:r>
    </w:p>
    <w:p>
      <w:pPr>
        <w:pStyle w:val="Normal"/>
        <w:framePr w:w="737" w:hAnchor="page" w:vAnchor="page" w:x="8456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25,645</w:t>
      </w:r>
    </w:p>
    <w:p>
      <w:pPr>
        <w:pStyle w:val="Normal"/>
        <w:framePr w:w="1091" w:hAnchor="page" w:vAnchor="page" w:x="9546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26,110,894</w:t>
      </w:r>
    </w:p>
    <w:p>
      <w:pPr>
        <w:pStyle w:val="Normal"/>
        <w:framePr w:w="989" w:hAnchor="page" w:vAnchor="page" w:x="10996" w:y="473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3,032,829</w:t>
      </w:r>
    </w:p>
    <w:p>
      <w:pPr>
        <w:pStyle w:val="Normal"/>
        <w:framePr w:w="1424" w:hAnchor="page" w:vAnchor="page" w:x="383" w:y="443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of Vesting Date</w:t>
      </w:r>
    </w:p>
    <w:p>
      <w:pPr>
        <w:pStyle w:val="Normal"/>
        <w:framePr w:w="3730" w:hAnchor="page" w:vAnchor="page" w:x="383" w:y="426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Vested during Applicable FY, determined as</w:t>
      </w:r>
    </w:p>
    <w:p>
      <w:pPr>
        <w:pStyle w:val="Normal"/>
        <w:framePr w:w="3578" w:hAnchor="page" w:vAnchor="page" w:x="383" w:y="409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Awards Granted during Applicable FY that</w:t>
      </w:r>
    </w:p>
    <w:p>
      <w:pPr>
        <w:pStyle w:val="Normal"/>
        <w:framePr w:w="3538" w:hAnchor="page" w:vAnchor="page" w:x="383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Increase based on ASC 718 Fair Value of</w:t>
      </w:r>
    </w:p>
    <w:p>
      <w:pPr>
        <w:pStyle w:val="Normal"/>
        <w:framePr w:w="281" w:hAnchor="page" w:vAnchor="page" w:x="4006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5487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7187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8645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9868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–</w:t>
      </w:r>
    </w:p>
    <w:p>
      <w:pPr>
        <w:pStyle w:val="Normal"/>
        <w:framePr w:w="281" w:hAnchor="page" w:vAnchor="page" w:x="11301" w:y="39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–</w:t>
      </w:r>
    </w:p>
    <w:p>
      <w:pPr>
        <w:pStyle w:val="Normal"/>
        <w:framePr w:w="3083" w:hAnchor="page" w:vAnchor="page" w:x="383" w:y="362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determined as of Applicable FY End</w:t>
      </w:r>
    </w:p>
    <w:p>
      <w:pPr>
        <w:pStyle w:val="Normal"/>
        <w:framePr w:w="3669" w:hAnchor="page" w:vAnchor="page" w:x="383" w:y="34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Remain Unvested as of Applicable FY End,</w:t>
      </w:r>
    </w:p>
    <w:p>
      <w:pPr>
        <w:pStyle w:val="Normal"/>
        <w:framePr w:w="3578" w:hAnchor="page" w:vAnchor="page" w:x="383" w:y="328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Awards Granted during Applicable FY that</w:t>
      </w:r>
    </w:p>
    <w:p>
      <w:pPr>
        <w:pStyle w:val="Normal"/>
        <w:framePr w:w="3538" w:hAnchor="page" w:vAnchor="page" w:x="383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Increase based on ASC 718 Fair Value of</w:t>
      </w:r>
    </w:p>
    <w:p>
      <w:pPr>
        <w:pStyle w:val="Normal"/>
        <w:framePr w:w="989" w:hAnchor="page" w:vAnchor="page" w:x="3701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7,435,271</w:t>
      </w:r>
    </w:p>
    <w:p>
      <w:pPr>
        <w:pStyle w:val="Normal"/>
        <w:framePr w:w="989" w:hAnchor="page" w:vAnchor="page" w:x="5202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1,145,923</w:t>
      </w:r>
    </w:p>
    <w:p>
      <w:pPr>
        <w:pStyle w:val="Normal"/>
        <w:framePr w:w="1091" w:hAnchor="page" w:vAnchor="page" w:x="6850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10,615,778</w:t>
      </w:r>
    </w:p>
    <w:p>
      <w:pPr>
        <w:pStyle w:val="Normal"/>
        <w:framePr w:w="989" w:hAnchor="page" w:vAnchor="page" w:x="8350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1,206,646</w:t>
      </w:r>
    </w:p>
    <w:p>
      <w:pPr>
        <w:pStyle w:val="Normal"/>
        <w:framePr w:w="1091" w:hAnchor="page" w:vAnchor="page" w:x="9541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19,141,491</w:t>
      </w:r>
    </w:p>
    <w:p>
      <w:pPr>
        <w:pStyle w:val="Normal"/>
        <w:framePr w:w="989" w:hAnchor="page" w:vAnchor="page" w:x="11006" w:y="31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2,990,851</w:t>
      </w:r>
    </w:p>
    <w:p>
      <w:pPr>
        <w:pStyle w:val="Normal"/>
        <w:framePr w:w="2071" w:hAnchor="page" w:vAnchor="page" w:x="383" w:y="281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Table for Applicable FY</w:t>
      </w:r>
    </w:p>
    <w:p>
      <w:pPr>
        <w:pStyle w:val="Normal"/>
        <w:framePr w:w="3447" w:hAnchor="page" w:vAnchor="page" w:x="383" w:y="26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Columns in the Summary Compensation</w:t>
      </w:r>
    </w:p>
    <w:p>
      <w:pPr>
        <w:pStyle w:val="Normal"/>
        <w:framePr w:w="3133" w:hAnchor="page" w:vAnchor="page" w:x="383" w:y="247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“Stock Awards” and “Option Awards”</w:t>
      </w:r>
    </w:p>
    <w:p>
      <w:pPr>
        <w:pStyle w:val="Normal"/>
        <w:framePr w:w="3649" w:hAnchor="page" w:vAnchor="page" w:x="383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Deduction for Amounts Reported under the</w:t>
      </w:r>
    </w:p>
    <w:p>
      <w:pPr>
        <w:pStyle w:val="Normal"/>
        <w:framePr w:w="1111" w:hAnchor="page" w:vAnchor="page" w:x="3651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(9,966,772)</w:t>
      </w:r>
    </w:p>
    <w:p>
      <w:pPr>
        <w:pStyle w:val="Normal"/>
        <w:framePr w:w="1111" w:hAnchor="page" w:vAnchor="page" w:x="5142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(1,609,745)</w:t>
      </w:r>
    </w:p>
    <w:p>
      <w:pPr>
        <w:pStyle w:val="Normal"/>
        <w:framePr w:w="1212" w:hAnchor="page" w:vAnchor="page" w:x="6800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(17,629,477)</w:t>
      </w:r>
    </w:p>
    <w:p>
      <w:pPr>
        <w:pStyle w:val="Normal"/>
        <w:framePr w:w="1111" w:hAnchor="page" w:vAnchor="page" w:x="8300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(1,962,340)</w:t>
      </w:r>
    </w:p>
    <w:p>
      <w:pPr>
        <w:pStyle w:val="Normal"/>
        <w:framePr w:w="1111" w:hAnchor="page" w:vAnchor="page" w:x="9532" w:y="230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(9,699,996)</w:t>
      </w:r>
    </w:p>
    <w:p>
      <w:pPr>
        <w:pStyle w:val="Normal"/>
        <w:framePr w:w="1111" w:hAnchor="page" w:vAnchor="page" w:x="10955" w:y="228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(1,515,620)</w:t>
      </w:r>
    </w:p>
    <w:p>
      <w:pPr>
        <w:pStyle w:val="Normal"/>
        <w:framePr w:w="1282" w:hAnchor="page" w:vAnchor="page" w:x="368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Adjustments</w:t>
      </w:r>
    </w:p>
    <w:p>
      <w:pPr>
        <w:pStyle w:val="Normal"/>
        <w:framePr w:w="564" w:hAnchor="page" w:vAnchor="page" w:x="3869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PEO</w:t>
      </w:r>
    </w:p>
    <w:p>
      <w:pPr>
        <w:pStyle w:val="Normal"/>
        <w:framePr w:w="675" w:hAnchor="page" w:vAnchor="page" w:x="5295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NEOs</w:t>
      </w:r>
    </w:p>
    <w:p>
      <w:pPr>
        <w:pStyle w:val="Normal"/>
        <w:framePr w:w="564" w:hAnchor="page" w:vAnchor="page" w:x="7098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PEO</w:t>
      </w:r>
    </w:p>
    <w:p>
      <w:pPr>
        <w:pStyle w:val="Normal"/>
        <w:framePr w:w="675" w:hAnchor="page" w:vAnchor="page" w:x="8509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NEOs</w:t>
      </w:r>
    </w:p>
    <w:p>
      <w:pPr>
        <w:pStyle w:val="Normal"/>
        <w:framePr w:w="564" w:hAnchor="page" w:vAnchor="page" w:x="9722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PEO</w:t>
      </w:r>
    </w:p>
    <w:p>
      <w:pPr>
        <w:pStyle w:val="Normal"/>
        <w:framePr w:w="675" w:hAnchor="page" w:vAnchor="page" w:x="11013" w:y="20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NEOs</w:t>
      </w:r>
    </w:p>
    <w:p>
      <w:pPr>
        <w:pStyle w:val="Normal"/>
        <w:framePr w:w="958" w:hAnchor="page" w:vAnchor="page" w:x="5177" w:y="18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non-PEO</w:t>
      </w:r>
    </w:p>
    <w:p>
      <w:pPr>
        <w:pStyle w:val="Normal"/>
        <w:framePr w:w="958" w:hAnchor="page" w:vAnchor="page" w:x="8392" w:y="18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non-PEO</w:t>
      </w:r>
    </w:p>
    <w:p>
      <w:pPr>
        <w:pStyle w:val="Normal"/>
        <w:framePr w:w="958" w:hAnchor="page" w:vAnchor="page" w:x="10895" w:y="183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non-PEO</w:t>
      </w:r>
    </w:p>
    <w:p>
      <w:pPr>
        <w:pStyle w:val="Normal"/>
        <w:framePr w:w="898" w:hAnchor="page" w:vAnchor="page" w:x="5205" w:y="16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Average</w:t>
      </w:r>
    </w:p>
    <w:p>
      <w:pPr>
        <w:pStyle w:val="Normal"/>
        <w:framePr w:w="898" w:hAnchor="page" w:vAnchor="page" w:x="8420" w:y="16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Average</w:t>
      </w:r>
    </w:p>
    <w:p>
      <w:pPr>
        <w:pStyle w:val="Normal"/>
        <w:framePr w:w="898" w:hAnchor="page" w:vAnchor="page" w:x="10923" w:y="16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Average</w:t>
      </w:r>
    </w:p>
    <w:p>
      <w:pPr>
        <w:pStyle w:val="Normal"/>
        <w:framePr w:w="585" w:hAnchor="page" w:vAnchor="page" w:x="4714" w:y="12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2020</w:t>
      </w:r>
    </w:p>
    <w:p>
      <w:pPr>
        <w:pStyle w:val="Normal"/>
        <w:framePr w:w="585" w:hAnchor="page" w:vAnchor="page" w:x="7644" w:y="12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2021</w:t>
      </w:r>
    </w:p>
    <w:p>
      <w:pPr>
        <w:pStyle w:val="Normal"/>
        <w:framePr w:w="585" w:hAnchor="page" w:vAnchor="page" w:x="10439" w:y="12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5"/>
          <w:szCs w:val="15"/>
        </w:rPr>
        <w:t>2022</w:t>
      </w:r>
    </w:p>
    <w:p>
      <w:pPr>
        <w:pStyle w:val="Normal"/>
        <w:framePr w:w="8390" w:hAnchor="page" w:vAnchor="page" w:x="274" w:y="8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reported in the Summary Compensation Table for the applicable fiscal year:</w:t>
      </w:r>
    </w:p>
    <w:p>
      <w:pPr>
        <w:pStyle w:val="Normal"/>
        <w:framePr w:w="14254" w:hAnchor="page" w:vAnchor="page" w:x="274" w:y="6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calculate the “compensation actually paid” in the table above, the following amounts were deducted from and added to (as applicable) our NEO’s “Total”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7pt;margin-top:1pt;z-index:-1676321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12.7pt;margin-top:59.3pt;z-index:-16763208;width:159.9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170.6pt;margin-top:59.3pt;z-index:-16763204;width:149.2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317.8pt;margin-top:59.3pt;z-index:-16763200;width:147.8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463.6pt;margin-top:59.3pt;z-index:-16763196;width:135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12.7pt;margin-top:73.55pt;z-index:-16763192;width:159.9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170.6pt;margin-top:73.55pt;z-index:-16763188;width:61.0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229.6pt;margin-top:73.55pt;z-index:-16763184;width:90.2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17.8pt;margin-top:73.55pt;z-index:-16763180;width:89.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405.3pt;margin-top:73.55pt;z-index:-16763176;width:60.3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63.6pt;margin-top:73.55pt;z-index:-16763172;width:60.3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521.9pt;margin-top:73.55pt;z-index:-16763168;width:77.4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12.7pt;margin-top:89.9pt;z-index:-16763164;width:159.9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170.6pt;margin-top:89.9pt;z-index:-16763160;width:61.0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229.6pt;margin-top:89.9pt;z-index:-16763156;width:90.2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317.8pt;margin-top:89.9pt;z-index:-16763152;width:89.5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05.3pt;margin-top:89.9pt;z-index:-16763148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463.6pt;margin-top:89.9pt;z-index:-16763144;width:60.3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521.9pt;margin-top:89.9pt;z-index:-16763140;width:77.4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12.7pt;margin-top:98.45pt;z-index:-16763136;width:159.9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170.6pt;margin-top:98.45pt;z-index:-16763132;width:61.0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229.6pt;margin-top:98.45pt;z-index:-16763128;width:90.2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317.8pt;margin-top:98.45pt;z-index:-16763124;width:89.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05.3pt;margin-top:98.45pt;z-index:-16763120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463.6pt;margin-top:98.45pt;z-index:-16763116;width:60.3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21.9pt;margin-top:98.45pt;z-index:-16763112;width:77.4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12.7pt;margin-top:109.8pt;z-index:-16763108;width:159.9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170.6pt;margin-top:109.8pt;z-index:-16763104;width:61.0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229.6pt;margin-top:109.8pt;z-index:-16763100;width:90.2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317.8pt;margin-top:109.8pt;z-index:-16763096;width:89.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05.3pt;margin-top:109.8pt;z-index:-16763092;width:6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463.6pt;margin-top:109.8pt;z-index:-16763088;width:6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21.9pt;margin-top:109.8pt;z-index:-16763084;width:77.4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12.7pt;margin-top:150.35pt;z-index:-16763080;width:159.9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170.6pt;margin-top:150.35pt;z-index:-16763076;width:61.0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229.6pt;margin-top:150.35pt;z-index:-16763072;width:90.2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317.8pt;margin-top:150.35pt;z-index:-16763068;width:89.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405.3pt;margin-top:150.35pt;z-index:-16763064;width:6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463.6pt;margin-top:150.35pt;z-index:-16763060;width:6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21.9pt;margin-top:150.35pt;z-index:-16763056;width:77.4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12.7pt;margin-top:190.9pt;z-index:-16763052;width:159.9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170.6pt;margin-top:190.9pt;z-index:-16763048;width:61.0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229.6pt;margin-top:190.9pt;z-index:-16763044;width:90.2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317.8pt;margin-top:190.9pt;z-index:-16763040;width:89.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405.3pt;margin-top:190.9pt;z-index:-16763036;width:6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463.6pt;margin-top:190.9pt;z-index:-16763032;width:6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521.9pt;margin-top:190.9pt;z-index:-16763028;width:77.4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12.7pt;margin-top:231.45pt;z-index:-16763024;width:159.9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170.6pt;margin-top:231.45pt;z-index:-16763020;width:61.0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229.6pt;margin-top:231.45pt;z-index:-16763016;width:90.2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317.8pt;margin-top:231.45pt;z-index:-16763012;width:89.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05.3pt;margin-top:231.45pt;z-index:-16763008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463.6pt;margin-top:231.45pt;z-index:-16763004;width:60.3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21.9pt;margin-top:231.45pt;z-index:-16763000;width:77.4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12.7pt;margin-top:289.05pt;z-index:-16762996;width:159.9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70.6pt;margin-top:289.05pt;z-index:-16762992;width:61.05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229.6pt;margin-top:289.05pt;z-index:-16762988;width:90.2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17.8pt;margin-top:289.05pt;z-index:-16762984;width:89.5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405.3pt;margin-top:289.05pt;z-index:-16762980;width:60.3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463.6pt;margin-top:289.05pt;z-index:-16762976;width:60.3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521.9pt;margin-top:289.05pt;z-index:-16762972;width:77.4pt;height:5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521.9pt;margin-top:338.1pt;z-index:-1676296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597.3pt;margin-top:289.05pt;z-index:-16762964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463.6pt;margin-top:338.1pt;z-index:-1676296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521.9pt;margin-top:289.05pt;z-index:-16762956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405.3pt;margin-top:338.1pt;z-index:-1676295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463.6pt;margin-top:289.05pt;z-index:-16762948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317.8pt;margin-top:338.1pt;z-index:-1676294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405.3pt;margin-top:289.05pt;z-index:-16762940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229.6pt;margin-top:338.1pt;z-index:-1676293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317.8pt;margin-top:289.05pt;z-index:-16762932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170.6pt;margin-top:338.1pt;z-index:-16762928;width:6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229.6pt;margin-top:289.05pt;z-index:-16762924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12.7pt;margin-top:338.1pt;z-index:-16762920;width:1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12.7pt;margin-top:289.05pt;z-index:-16762916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170.6pt;margin-top:289.05pt;z-index:-16762912;width:2.7pt;height:5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21.9pt;margin-top:289.05pt;z-index:-1676290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97.3pt;margin-top:231.45pt;z-index:-16762904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463.6pt;margin-top:289.05pt;z-index:-1676290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21.9pt;margin-top:231.45pt;z-index:-1676289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05.3pt;margin-top:289.05pt;z-index:-1676289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463.6pt;margin-top:231.45pt;z-index:-16762888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317.8pt;margin-top:289.05pt;z-index:-1676288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05.3pt;margin-top:231.45pt;z-index:-16762880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229.6pt;margin-top:289.05pt;z-index:-1676287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317.8pt;margin-top:231.45pt;z-index:-16762872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170.6pt;margin-top:289.05pt;z-index:-16762868;width:6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229.6pt;margin-top:231.45pt;z-index:-16762864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12.7pt;margin-top:289.05pt;z-index:-16762860;width:1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12.7pt;margin-top:231.45pt;z-index:-16762856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170.6pt;margin-top:231.45pt;z-index:-16762852;width:2.7pt;height:60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21.9pt;margin-top:231.45pt;z-index:-1676284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97.3pt;margin-top:190.9pt;z-index:-16762844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463.6pt;margin-top:231.45pt;z-index:-1676284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521.9pt;margin-top:190.9pt;z-index:-16762836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405.3pt;margin-top:231.45pt;z-index:-1676283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463.6pt;margin-top:190.9pt;z-index:-16762828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317.8pt;margin-top:231.45pt;z-index:-1676282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405.3pt;margin-top:190.9pt;z-index:-16762820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229.6pt;margin-top:231.45pt;z-index:-1676281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317.8pt;margin-top:190.9pt;z-index:-16762812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170.6pt;margin-top:231.45pt;z-index:-16762808;width:6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229.6pt;margin-top:190.9pt;z-index:-16762804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12.7pt;margin-top:231.45pt;z-index:-16762800;width:1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12.7pt;margin-top:190.9pt;z-index:-16762796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170.6pt;margin-top:190.9pt;z-index:-16762792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521.9pt;margin-top:190.9pt;z-index:-1676278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597.3pt;margin-top:150.35pt;z-index:-16762784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463.6pt;margin-top:190.9pt;z-index:-1676278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21.9pt;margin-top:150.35pt;z-index:-16762776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405.3pt;margin-top:190.9pt;z-index:-1676277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463.6pt;margin-top:150.35pt;z-index:-16762768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317.8pt;margin-top:190.9pt;z-index:-1676276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05.3pt;margin-top:150.35pt;z-index:-16762760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229.6pt;margin-top:190.9pt;z-index:-1676275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317.8pt;margin-top:150.35pt;z-index:-16762752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170.6pt;margin-top:190.9pt;z-index:-16762748;width:6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229.6pt;margin-top:150.35pt;z-index:-16762744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12.7pt;margin-top:190.9pt;z-index:-16762740;width:1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12.7pt;margin-top:150.35pt;z-index:-16762736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170.6pt;margin-top:150.35pt;z-index:-16762732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21.9pt;margin-top:150.35pt;z-index:-16762728;width: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597.3pt;margin-top:109.8pt;z-index:-16762724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463.6pt;margin-top:150.35pt;z-index:-1676272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521.9pt;margin-top:109.8pt;z-index:-16762716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405.3pt;margin-top:150.35pt;z-index:-16762712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463.6pt;margin-top:109.8pt;z-index:-16762708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317.8pt;margin-top:150.35pt;z-index:-1676270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405.3pt;margin-top:109.8pt;z-index:-16762700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229.6pt;margin-top:150.35pt;z-index:-1676269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317.8pt;margin-top:109.8pt;z-index:-16762692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170.6pt;margin-top:150.35pt;z-index:-16762688;width:6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229.6pt;margin-top:109.8pt;z-index:-16762684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12.7pt;margin-top:150.35pt;z-index:-16762680;width:1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12.7pt;margin-top:109.8pt;z-index:-16762676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170.6pt;margin-top:109.8pt;z-index:-16762672;width:2.7pt;height: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463.6pt;margin-top:109.8pt;z-index:-1676266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21.9pt;margin-top:98.45pt;z-index:-1676266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405.3pt;margin-top:109.8pt;z-index:-16762660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463.6pt;margin-top:98.45pt;z-index:-1676265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317.8pt;margin-top:109.8pt;z-index:-16762652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405.3pt;margin-top:98.45pt;z-index:-16762648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229.6pt;margin-top:109.8pt;z-index:-16762644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317.8pt;margin-top:98.45pt;z-index:-16762640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170.6pt;margin-top:109.8pt;z-index:-16762636;width:6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229.6pt;margin-top:98.45pt;z-index:-16762632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12.7pt;margin-top:109.8pt;z-index:-16762628;width:1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170.6pt;margin-top:98.45pt;z-index:-1676262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21.9pt;margin-top:89.9pt;z-index:-1676262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63.6pt;margin-top:89.9pt;z-index:-16762616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05.3pt;margin-top:89.9pt;z-index:-16762612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317.8pt;margin-top:89.9pt;z-index:-16762608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229.6pt;margin-top:89.9pt;z-index:-16762604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170.6pt;margin-top:89.9pt;z-index:-16762600;width:2.7pt;height:1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21.9pt;margin-top:73.55pt;z-index:-16762596;width: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21.9pt;margin-top:73.55pt;z-index:-16762592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405.3pt;margin-top:73.55pt;z-index:-16762588;width:6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463.6pt;margin-top:73.55pt;z-index:-16762584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05.3pt;margin-top:73.55pt;z-index:-16762580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229.6pt;margin-top:73.55pt;z-index:-16762576;width:9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317.8pt;margin-top:73.55pt;z-index:-16762572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229.6pt;margin-top:73.55pt;z-index:-16762568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170.6pt;margin-top:73.55pt;z-index:-16762564;width:2.7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463.6pt;margin-top:73.55pt;z-index:-16762560;width:13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317.8pt;margin-top:73.55pt;z-index:-16762556;width:14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463.6pt;margin-top:59.3pt;z-index:-16762552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170.6pt;margin-top:73.55pt;z-index:-16762548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317.8pt;margin-top:59.3pt;z-index:-16762544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170.6pt;margin-top:59.3pt;z-index:-16762540;width:2.7pt;height:1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12.7pt;margin-top:387.9pt;z-index:-1676253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</w:p>
    <w:p>
      <w:pPr>
        <w:pStyle w:val="Normal"/>
        <w:framePr w:w="1631" w:hAnchor="page" w:vAnchor="page" w:x="274" w:y="712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95  TechnipFMC</w:t>
      </w:r>
    </w:p>
    <w:p>
      <w:pPr>
        <w:pStyle w:val="Normal"/>
        <w:framePr w:w="1206" w:hAnchor="page" w:vAnchor="page" w:x="274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reinvested.</w:t>
      </w:r>
    </w:p>
    <w:p>
      <w:pPr>
        <w:pStyle w:val="Normal"/>
        <w:framePr w:w="13867" w:hAnchor="page" w:vAnchor="page" w:x="274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December 31, 2020, 2021 and 2022. TSR amounts reported in the graph assume an initial fixed investment of $100, and that all dividends, if any, were</w:t>
      </w:r>
    </w:p>
    <w:p>
      <w:pPr>
        <w:pStyle w:val="Normal"/>
        <w:framePr w:w="13649" w:hAnchor="page" w:vAnchor="page" w:x="274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paid to our remaining NEOs, with our cumulative TSR, OSX TSR, our Net Income, and our Adjusted EBITDA margin % for the fiscal years ending on</w:t>
      </w:r>
    </w:p>
    <w:p>
      <w:pPr>
        <w:pStyle w:val="Normal"/>
        <w:framePr w:w="13923" w:hAnchor="page" w:vAnchor="page" w:x="274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line graphs and narrative below illustrate a comparison of the compensation actually paid to our PEO and the average of the compensation actually</w:t>
      </w:r>
    </w:p>
    <w:p>
      <w:pPr>
        <w:pStyle w:val="Normal"/>
        <w:framePr w:w="5588" w:hAnchor="page" w:vAnchor="page" w:x="274" w:y="58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Relationship Between Financial Performance Measures</w:t>
      </w:r>
    </w:p>
    <w:p>
      <w:pPr>
        <w:pStyle w:val="Normal"/>
        <w:framePr w:w="5509" w:hAnchor="page" w:vAnchor="page" w:x="274" w:y="55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Narrative Disclosure to Pay Versus Performance Table</w:t>
      </w:r>
    </w:p>
    <w:p>
      <w:pPr>
        <w:pStyle w:val="Normal"/>
        <w:framePr w:w="2480" w:hAnchor="page" w:vAnchor="page" w:x="1570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TOTAL ADJUSTMENTS</w:t>
      </w:r>
    </w:p>
    <w:p>
      <w:pPr>
        <w:pStyle w:val="Normal"/>
        <w:framePr w:w="2816" w:hAnchor="page" w:vAnchor="page" w:x="3962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(10,552,325)    (1,457,416)</w:t>
      </w:r>
    </w:p>
    <w:p>
      <w:pPr>
        <w:pStyle w:val="Normal"/>
        <w:framePr w:w="1252" w:hAnchor="page" w:vAnchor="page" w:x="6637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(6,678,556)</w:t>
      </w:r>
    </w:p>
    <w:p>
      <w:pPr>
        <w:pStyle w:val="Normal"/>
        <w:framePr w:w="1252" w:hAnchor="page" w:vAnchor="page" w:x="7990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(1,640,281)</w:t>
      </w:r>
    </w:p>
    <w:p>
      <w:pPr>
        <w:pStyle w:val="Normal"/>
        <w:framePr w:w="1229" w:hAnchor="page" w:vAnchor="page" w:x="9640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39,476,880</w:t>
      </w:r>
    </w:p>
    <w:p>
      <w:pPr>
        <w:pStyle w:val="Normal"/>
        <w:framePr w:w="1115" w:hAnchor="page" w:vAnchor="page" w:x="11072" w:y="51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4,782,972</w:t>
      </w:r>
    </w:p>
    <w:p>
      <w:pPr>
        <w:pStyle w:val="Normal"/>
        <w:framePr w:w="1513" w:hAnchor="page" w:vAnchor="page" w:x="383" w:y="47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Pension Plans</w:t>
      </w:r>
    </w:p>
    <w:p>
      <w:pPr>
        <w:pStyle w:val="Normal"/>
        <w:framePr w:w="3187" w:hAnchor="page" w:vAnchor="page" w:x="383" w:y="45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applicable, Prior Service Cost for</w:t>
      </w:r>
    </w:p>
    <w:p>
      <w:pPr>
        <w:pStyle w:val="Normal"/>
        <w:framePr w:w="3118" w:hAnchor="page" w:vAnchor="page" w:x="383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Increase for Service Cost and, if</w:t>
      </w:r>
    </w:p>
    <w:p>
      <w:pPr>
        <w:pStyle w:val="Normal"/>
        <w:framePr w:w="318" w:hAnchor="page" w:vAnchor="page" w:x="4399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5655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7025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79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020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404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711" w:hAnchor="page" w:vAnchor="page" w:x="383" w:y="40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Table for Applicable FY</w:t>
      </w:r>
    </w:p>
    <w:p>
      <w:pPr>
        <w:pStyle w:val="Normal"/>
        <w:framePr w:w="3346" w:hAnchor="page" w:vAnchor="page" w:x="383" w:y="38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Earnings” Column of the Summary</w:t>
      </w:r>
    </w:p>
    <w:p>
      <w:pPr>
        <w:pStyle w:val="Normal"/>
        <w:framePr w:w="3574" w:hAnchor="page" w:vAnchor="page" w:x="383" w:y="36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Nonqualified Deferred Compensation</w:t>
      </w:r>
    </w:p>
    <w:p>
      <w:pPr>
        <w:pStyle w:val="Normal"/>
        <w:framePr w:w="2983" w:hAnchor="page" w:vAnchor="page" w:x="383" w:y="34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“Change in Pension Value and</w:t>
      </w:r>
    </w:p>
    <w:p>
      <w:pPr>
        <w:pStyle w:val="Normal"/>
        <w:framePr w:w="3335" w:hAnchor="page" w:vAnchor="page" w:x="383" w:y="32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Present Values reported under the</w:t>
      </w:r>
    </w:p>
    <w:p>
      <w:pPr>
        <w:pStyle w:val="Normal"/>
        <w:framePr w:w="3609" w:hAnchor="page" w:vAnchor="page" w:x="383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Deduction for Change in the Actuarial</w:t>
      </w:r>
    </w:p>
    <w:p>
      <w:pPr>
        <w:pStyle w:val="Normal"/>
        <w:framePr w:w="318" w:hAnchor="page" w:vAnchor="page" w:x="4399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944" w:hAnchor="page" w:vAnchor="page" w:x="5394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148,758</w:t>
      </w:r>
    </w:p>
    <w:p>
      <w:pPr>
        <w:pStyle w:val="Normal"/>
        <w:framePr w:w="318" w:hAnchor="page" w:vAnchor="page" w:x="7025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853" w:hAnchor="page" w:vAnchor="page" w:x="8157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(1,725)</w:t>
      </w:r>
    </w:p>
    <w:p>
      <w:pPr>
        <w:pStyle w:val="Normal"/>
        <w:framePr w:w="318" w:hAnchor="page" w:vAnchor="page" w:x="10020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967" w:hAnchor="page" w:vAnchor="page" w:x="11125" w:y="306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(62,462)</w:t>
      </w:r>
    </w:p>
    <w:p>
      <w:pPr>
        <w:pStyle w:val="Normal"/>
        <w:framePr w:w="2925" w:hAnchor="page" w:vAnchor="page" w:x="383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Modified during Applicable FY</w:t>
      </w:r>
    </w:p>
    <w:p>
      <w:pPr>
        <w:pStyle w:val="Normal"/>
        <w:framePr w:w="3836" w:hAnchor="page" w:vAnchor="page" w:x="383" w:y="2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Incremental Fair Value of Options/SARs</w:t>
      </w:r>
    </w:p>
    <w:p>
      <w:pPr>
        <w:pStyle w:val="Normal"/>
        <w:framePr w:w="2823" w:hAnchor="page" w:vAnchor="page" w:x="383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Increase/Decrease based on</w:t>
      </w:r>
    </w:p>
    <w:p>
      <w:pPr>
        <w:pStyle w:val="Normal"/>
        <w:framePr w:w="318" w:hAnchor="page" w:vAnchor="page" w:x="4399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5655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1252" w:hAnchor="page" w:vAnchor="page" w:x="6637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(2,495,633)</w:t>
      </w:r>
    </w:p>
    <w:p>
      <w:pPr>
        <w:pStyle w:val="Normal"/>
        <w:framePr w:w="1081" w:hAnchor="page" w:vAnchor="page" w:x="8062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(178,640)</w:t>
      </w:r>
    </w:p>
    <w:p>
      <w:pPr>
        <w:pStyle w:val="Normal"/>
        <w:framePr w:w="318" w:hAnchor="page" w:vAnchor="page" w:x="10020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404" w:y="23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2071" w:hAnchor="page" w:vAnchor="page" w:x="383" w:y="201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prior to Vesting Date</w:t>
      </w:r>
    </w:p>
    <w:p>
      <w:pPr>
        <w:pStyle w:val="Normal"/>
        <w:framePr w:w="3426" w:hAnchor="page" w:vAnchor="page" w:x="383" w:y="181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Earnings Paid during Applicable FY</w:t>
      </w:r>
    </w:p>
    <w:p>
      <w:pPr>
        <w:pStyle w:val="Normal"/>
        <w:framePr w:w="3654" w:hAnchor="page" w:vAnchor="page" w:x="383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Increase based on Dividends or Other</w:t>
      </w:r>
    </w:p>
    <w:p>
      <w:pPr>
        <w:pStyle w:val="Normal"/>
        <w:framePr w:w="318" w:hAnchor="page" w:vAnchor="page" w:x="4399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5655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7025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8379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0020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404" w:y="16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2959" w:hAnchor="page" w:vAnchor="page" w:x="383" w:y="12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determined as of Prior FY End</w:t>
      </w:r>
    </w:p>
    <w:p>
      <w:pPr>
        <w:pStyle w:val="Normal"/>
        <w:framePr w:w="3517" w:hAnchor="page" w:vAnchor="page" w:x="383" w:y="10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were Forfeited during Applicable FY,</w:t>
      </w:r>
    </w:p>
    <w:p>
      <w:pPr>
        <w:pStyle w:val="Normal"/>
        <w:framePr w:w="3517" w:hAnchor="page" w:vAnchor="page" w:x="383" w:y="8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Awards Granted during Prior FY that</w:t>
      </w:r>
    </w:p>
    <w:p>
      <w:pPr>
        <w:pStyle w:val="Normal"/>
        <w:framePr w:w="3449" w:hAnchor="page" w:vAnchor="page" w:x="383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Deduction of ASC 718 Fair Value of</w:t>
      </w:r>
    </w:p>
    <w:p>
      <w:pPr>
        <w:pStyle w:val="Normal"/>
        <w:framePr w:w="318" w:hAnchor="page" w:vAnchor="page" w:x="4399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5655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7025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1081" w:hAnchor="page" w:vAnchor="page" w:x="8062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(827,001)</w:t>
      </w:r>
    </w:p>
    <w:p>
      <w:pPr>
        <w:pStyle w:val="Normal"/>
        <w:framePr w:w="318" w:hAnchor="page" w:vAnchor="page" w:x="10020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18" w:hAnchor="page" w:vAnchor="page" w:x="11404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–</w:t>
      </w:r>
    </w:p>
    <w:p>
      <w:pPr>
        <w:pStyle w:val="Normal"/>
        <w:framePr w:w="3213" w:hAnchor="page" w:vAnchor="page" w:x="274" w:y="25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7pt;margin-top:1pt;z-index:-1676253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12.7pt;margin-top:29.45pt;z-index:-16762528;width:586.6pt;height:24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526.9pt;margin-top:267pt;z-index:-1676252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96.6pt;margin-top:250.65pt;z-index:-16762520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457.2pt;margin-top:267pt;z-index:-1676251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526.9pt;margin-top:250.65pt;z-index:-16762512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387.5pt;margin-top:267pt;z-index:-1676250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457.2pt;margin-top:250.65pt;z-index:-16762504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317.1pt;margin-top:267pt;z-index:-1676250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387.5pt;margin-top:250.65pt;z-index:-16762496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246.7pt;margin-top:267pt;z-index:-1676249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317.1pt;margin-top:250.65pt;z-index:-16762488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176.25pt;margin-top:267pt;z-index:-1676248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246.7pt;margin-top:250.65pt;z-index:-16762480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12.7pt;margin-top:267pt;z-index:-16762476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12.7pt;margin-top:250.65pt;z-index:-16762472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176.25pt;margin-top:250.65pt;z-index:-16762468;width:2.7pt;height:1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526.9pt;margin-top:250.65pt;z-index:-1676246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596.6pt;margin-top:214.35pt;z-index:-1676246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457.2pt;margin-top:250.65pt;z-index:-1676245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526.9pt;margin-top:214.35pt;z-index:-16762452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87.5pt;margin-top:250.65pt;z-index:-1676244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457.2pt;margin-top:214.35pt;z-index:-16762444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17.1pt;margin-top:250.65pt;z-index:-1676244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387.5pt;margin-top:214.35pt;z-index:-16762436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246.7pt;margin-top:250.65pt;z-index:-1676243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317.1pt;margin-top:214.35pt;z-index:-1676242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176.25pt;margin-top:250.65pt;z-index:-1676242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246.7pt;margin-top:214.35pt;z-index:-1676242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12.7pt;margin-top:250.65pt;z-index:-16762416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12.7pt;margin-top:214.35pt;z-index:-16762412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176.25pt;margin-top:214.35pt;z-index:-1676240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26.9pt;margin-top:214.35pt;z-index:-1676240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596.6pt;margin-top:148.2pt;z-index:-16762400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457.2pt;margin-top:214.35pt;z-index:-1676239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526.9pt;margin-top:148.2pt;z-index:-16762392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87.5pt;margin-top:214.35pt;z-index:-1676238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457.2pt;margin-top:148.2pt;z-index:-16762384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317.1pt;margin-top:214.35pt;z-index:-1676238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387.5pt;margin-top:148.2pt;z-index:-16762376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246.7pt;margin-top:214.35pt;z-index:-1676237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317.1pt;margin-top:148.2pt;z-index:-16762368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176.25pt;margin-top:214.35pt;z-index:-1676236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246.7pt;margin-top:148.2pt;z-index:-16762360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12.7pt;margin-top:214.35pt;z-index:-16762356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12.7pt;margin-top:148.2pt;z-index:-16762352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176.25pt;margin-top:148.2pt;z-index:-16762348;width:2.7pt;height:6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526.9pt;margin-top:148.2pt;z-index:-1676234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596.6pt;margin-top:111.95pt;z-index:-1676234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457.2pt;margin-top:148.2pt;z-index:-1676233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526.9pt;margin-top:111.95pt;z-index:-16762332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87.5pt;margin-top:148.2pt;z-index:-1676232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457.2pt;margin-top:111.95pt;z-index:-16762324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317.1pt;margin-top:148.2pt;z-index:-1676232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387.5pt;margin-top:111.95pt;z-index:-16762316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246.7pt;margin-top:148.2pt;z-index:-1676231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317.1pt;margin-top:111.95pt;z-index:-1676230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176.25pt;margin-top:148.2pt;z-index:-1676230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246.7pt;margin-top:111.95pt;z-index:-1676230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12.7pt;margin-top:148.2pt;z-index:-16762296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12.7pt;margin-top:111.95pt;z-index:-16762292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176.25pt;margin-top:111.95pt;z-index:-1676228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526.9pt;margin-top:111.95pt;z-index:-1676228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596.6pt;margin-top:75.65pt;z-index:-1676228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57.2pt;margin-top:111.95pt;z-index:-1676227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526.9pt;margin-top:75.65pt;z-index:-16762272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387.5pt;margin-top:111.95pt;z-index:-1676226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457.2pt;margin-top:75.65pt;z-index:-16762264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317.1pt;margin-top:111.95pt;z-index:-1676226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387.5pt;margin-top:75.65pt;z-index:-16762256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246.7pt;margin-top:111.95pt;z-index:-1676225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17.1pt;margin-top:75.65pt;z-index:-1676224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176.25pt;margin-top:111.95pt;z-index:-1676224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246.7pt;margin-top:75.65pt;z-index:-1676224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12.7pt;margin-top:111.95pt;z-index:-16762236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12.7pt;margin-top:75.65pt;z-index:-16762232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176.25pt;margin-top:75.65pt;z-index:-1676222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26.9pt;margin-top:29.45pt;z-index:-1676222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26.9pt;margin-top:75.65pt;z-index:-1676222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596.6pt;margin-top:29.45pt;z-index:-16762216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457.2pt;margin-top:29.45pt;z-index:-16762212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457.2pt;margin-top:75.65pt;z-index:-1676220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526.9pt;margin-top:29.45pt;z-index:-16762204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387.5pt;margin-top:29.45pt;z-index:-1676220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87.5pt;margin-top:75.65pt;z-index:-1676219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457.2pt;margin-top:29.45pt;z-index:-16762192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317.1pt;margin-top:29.45pt;z-index:-16762188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317.1pt;margin-top:75.65pt;z-index:-1676218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387.5pt;margin-top:29.45pt;z-index:-16762180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246.7pt;margin-top:29.45pt;z-index:-16762176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246.7pt;margin-top:75.65pt;z-index:-1676217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317.1pt;margin-top:29.45pt;z-index:-16762168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176.25pt;margin-top:29.45pt;z-index:-1676216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176.25pt;margin-top:75.65pt;z-index:-1676216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246.7pt;margin-top:29.45pt;z-index:-16762156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12.7pt;margin-top:29.45pt;z-index:-16762152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12.7pt;margin-top:75.65pt;z-index:-16762148;width:16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12.7pt;margin-top:29.45pt;z-index:-16762144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176.25pt;margin-top:29.45pt;z-index:-16762140;width:2.7pt;height:48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12.7pt;margin-top:372.25pt;z-index:-1676213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</w:p>
    <w:p>
      <w:pPr>
        <w:pStyle w:val="Normal"/>
        <w:framePr w:w="1631" w:hAnchor="page" w:vAnchor="page" w:x="274" w:y="140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96  TechnipFMC</w:t>
      </w:r>
    </w:p>
    <w:p>
      <w:pPr>
        <w:pStyle w:val="Normal"/>
        <w:framePr w:w="3186" w:hAnchor="page" w:vAnchor="page" w:x="274" w:y="722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00"/>
          <w:w w:val="100"/>
          <w:sz w:val="19"/>
          <w:szCs w:val="19"/>
        </w:rPr>
      </w:pP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9"/>
          <w:szCs w:val="19"/>
        </w:rPr>
        <w:t>Adjusted EBITDA Margin %</w:t>
      </w:r>
    </w:p>
    <w:p>
      <w:pPr>
        <w:pStyle w:val="Normal"/>
        <w:framePr w:w="2959" w:hAnchor="page" w:vAnchor="page" w:x="274" w:y="43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00"/>
          <w:w w:val="100"/>
          <w:sz w:val="19"/>
          <w:szCs w:val="19"/>
        </w:rPr>
      </w:pP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9"/>
          <w:szCs w:val="19"/>
        </w:rPr>
        <w:t>Total Shareholder Return</w:t>
      </w:r>
    </w:p>
    <w:p>
      <w:pPr>
        <w:pStyle w:val="Normal"/>
        <w:framePr w:w="3213" w:hAnchor="page" w:vAnchor="page" w:x="274" w:y="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7pt;margin-top:1pt;z-index:-1676213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12.7pt;margin-top:720.05pt;z-index:-1676212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13.7pt;margin-top:53.2pt;z-index:-16762124;width:497.85pt;height:271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13.7pt;margin-top:403.1pt;z-index:-16762120;width:497.85pt;height:27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</w:p>
    <w:p>
      <w:pPr>
        <w:pStyle w:val="Normal"/>
        <w:framePr w:w="1631" w:hAnchor="page" w:vAnchor="page" w:x="274" w:y="526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97  TechnipFMC</w:t>
      </w:r>
    </w:p>
    <w:p>
      <w:pPr>
        <w:pStyle w:val="Normal"/>
        <w:framePr w:w="1001" w:hAnchor="page" w:vAnchor="page" w:x="444" w:y="46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d. ROIC.</w:t>
      </w:r>
    </w:p>
    <w:p>
      <w:pPr>
        <w:pStyle w:val="Normal"/>
        <w:framePr w:w="2082" w:hAnchor="page" w:vAnchor="page" w:x="44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c. Relative TSR; and</w:t>
      </w:r>
    </w:p>
    <w:p>
      <w:pPr>
        <w:pStyle w:val="Normal"/>
        <w:framePr w:w="1934" w:hAnchor="page" w:vAnchor="page" w:x="444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b. Free Cash Flow;</w:t>
      </w:r>
    </w:p>
    <w:p>
      <w:pPr>
        <w:pStyle w:val="Normal"/>
        <w:framePr w:w="3005" w:hAnchor="page" w:vAnchor="page" w:x="44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a. Adjusted EBITDA Margin %;</w:t>
      </w:r>
    </w:p>
    <w:p>
      <w:pPr>
        <w:pStyle w:val="Normal"/>
        <w:framePr w:w="5931" w:hAnchor="page" w:vAnchor="page" w:x="274" w:y="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paid to our NEOs for the fiscal year ended December 31, 2022:</w:t>
      </w:r>
    </w:p>
    <w:p>
      <w:pPr>
        <w:pStyle w:val="Normal"/>
        <w:framePr w:w="13942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believe the following performance measures represent the most important financial performance measures used by us to link compensation actually</w:t>
      </w:r>
    </w:p>
    <w:p>
      <w:pPr>
        <w:pStyle w:val="Normal"/>
        <w:framePr w:w="3995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Pay Versus Performance Tabular List</w:t>
      </w:r>
    </w:p>
    <w:p>
      <w:pPr>
        <w:pStyle w:val="Normal"/>
        <w:framePr w:w="9470" w:hAnchor="page" w:vAnchor="page" w:x="274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over-period. Net Income in 2020 was primarily impacted by the $3.4 billion impairment during the year.</w:t>
      </w:r>
    </w:p>
    <w:p>
      <w:pPr>
        <w:pStyle w:val="Normal"/>
        <w:framePr w:w="13700" w:hAnchor="page" w:vAnchor="page" w:x="274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believe that the exclusion of certain charges and credits from Net Income enable a more effective evaluation of our results and operations period-</w:t>
      </w:r>
    </w:p>
    <w:p>
      <w:pPr>
        <w:pStyle w:val="Normal"/>
        <w:framePr w:w="3859" w:hAnchor="page" w:vAnchor="page" w:x="274" w:y="16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evaluating “compensation actually paid”.</w:t>
      </w:r>
    </w:p>
    <w:p>
      <w:pPr>
        <w:pStyle w:val="Normal"/>
        <w:framePr w:w="13786" w:hAnchor="page" w:vAnchor="page" w:x="274" w:y="14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not directly use Net Income to determine compensation levels or long-term incentive plan payouts. Net income is not a measure that is directly used in</w:t>
      </w:r>
    </w:p>
    <w:p>
      <w:pPr>
        <w:pStyle w:val="Normal"/>
        <w:framePr w:w="13923" w:hAnchor="page" w:vAnchor="page" w:x="274" w:y="12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stock price on “compensation actually paid,” as the calculation of the value of “compensation actually paid” is more directly tied to stock price and we do</w:t>
      </w:r>
    </w:p>
    <w:p>
      <w:pPr>
        <w:pStyle w:val="Normal"/>
        <w:framePr w:w="14151" w:hAnchor="page" w:vAnchor="page" w:x="274" w:y="10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increased over the same periods. The correlation between “compensation actually paid” and Net Income is overshadowed by the impact of changes in our</w:t>
      </w:r>
    </w:p>
    <w:p>
      <w:pPr>
        <w:pStyle w:val="Normal"/>
        <w:framePr w:w="13851" w:hAnchor="page" w:vAnchor="page" w:x="274" w:y="8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Company’s net income increased significantly from 2020 to 2021 and decreased from 2021 to 2022, while our NEO’s “compensation actually paid”</w:t>
      </w:r>
    </w:p>
    <w:p>
      <w:pPr>
        <w:pStyle w:val="Normal"/>
        <w:framePr w:w="1308" w:hAnchor="page" w:vAnchor="page" w:x="274" w:y="6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Net Income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7pt;margin-top:1pt;z-index:-1676211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12.7pt;margin-top:279.05pt;z-index:-1676211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</w:p>
    <w:p>
      <w:pPr>
        <w:pStyle w:val="Normal"/>
        <w:framePr w:w="1631" w:hAnchor="page" w:vAnchor="page" w:x="274" w:y="484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98  TechnipFMC</w:t>
      </w:r>
    </w:p>
    <w:p>
      <w:pPr>
        <w:pStyle w:val="Normal"/>
        <w:framePr w:w="1627" w:hAnchor="page" w:vAnchor="page" w:x="444" w:y="44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Yearwood</w:t>
      </w:r>
    </w:p>
    <w:p>
      <w:pPr>
        <w:pStyle w:val="Normal"/>
        <w:framePr w:w="1615" w:hAnchor="page" w:vAnchor="page" w:x="444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Claire S. Farley</w:t>
      </w:r>
    </w:p>
    <w:p>
      <w:pPr>
        <w:pStyle w:val="Normal"/>
        <w:framePr w:w="2026" w:hAnchor="page" w:vAnchor="page" w:x="44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John O’Leary, Chair</w:t>
      </w:r>
    </w:p>
    <w:p>
      <w:pPr>
        <w:pStyle w:val="Normal"/>
        <w:framePr w:w="7525" w:hAnchor="page" w:vAnchor="page" w:x="274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Submitted by the Compensation and Talent Committee of the Board of Directors:</w:t>
      </w:r>
    </w:p>
    <w:p>
      <w:pPr>
        <w:pStyle w:val="Normal"/>
        <w:framePr w:w="12147" w:hAnchor="page" w:vAnchor="page" w:x="274" w:y="28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this Proxy Statement and incorporated by reference into our Annual Report on Form 10-K for the year ended December 31, 2022.</w:t>
      </w:r>
    </w:p>
    <w:p>
      <w:pPr>
        <w:pStyle w:val="Normal"/>
        <w:framePr w:w="14025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Based on its review and discussions, the committee recommended to the Board of Directors that the Compensation Discussion and Analysis be included</w:t>
      </w:r>
    </w:p>
    <w:p>
      <w:pPr>
        <w:pStyle w:val="Normal"/>
        <w:framePr w:w="13832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Compensation and Talent Committee has reviewed and discussed with management the Compensation Discussion and Analysis of the Company.</w:t>
      </w:r>
    </w:p>
    <w:p>
      <w:pPr>
        <w:pStyle w:val="Normal"/>
        <w:framePr w:w="6842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Committee Report</w:t>
      </w:r>
    </w:p>
    <w:p>
      <w:pPr>
        <w:pStyle w:val="Normal"/>
        <w:framePr w:w="9349" w:hAnchor="page" w:vAnchor="page" w:x="274" w:y="706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Compensation and Talent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7pt;margin-top:1pt;z-index:-1676210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12.7pt;margin-top:258.45pt;z-index:-167621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</w:p>
    <w:p>
      <w:pPr>
        <w:pStyle w:val="Normal"/>
        <w:framePr w:w="1631" w:hAnchor="page" w:vAnchor="page" w:x="274" w:y="799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99  TechnipFMC</w:t>
      </w:r>
    </w:p>
    <w:p>
      <w:pPr>
        <w:pStyle w:val="Normal"/>
        <w:framePr w:w="2385" w:hAnchor="page" w:vAnchor="page" w:x="615" w:y="739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ended December 31, 2022.</w:t>
      </w:r>
    </w:p>
    <w:p>
      <w:pPr>
        <w:pStyle w:val="Normal"/>
        <w:framePr w:w="13798" w:hAnchor="page" w:vAnchor="page" w:x="615" w:y="722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on which the Audit Committee recommended to the Board of Directors that the audited financial statements be included in our Annual Report on Form 10-K for the year</w:t>
      </w:r>
    </w:p>
    <w:p>
      <w:pPr>
        <w:pStyle w:val="Normal"/>
        <w:framePr w:w="14205" w:hAnchor="page" w:vAnchor="page" w:x="274" w:y="705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  Mr. Gwin became a member of the Audit Committee on February 21, 2023. The composition of the Audit Committee as set forth here is as of February 20, 2023, the date</w:t>
      </w:r>
    </w:p>
    <w:p>
      <w:pPr>
        <w:pStyle w:val="Normal"/>
        <w:framePr w:w="1810" w:hAnchor="page" w:vAnchor="page" w:x="444" w:y="66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Sophie Zurquiyah</w:t>
      </w:r>
    </w:p>
    <w:p>
      <w:pPr>
        <w:pStyle w:val="Normal"/>
        <w:framePr w:w="2561" w:hAnchor="page" w:vAnchor="page" w:x="444" w:y="62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Eleazar de Carvalho Filho</w:t>
      </w:r>
    </w:p>
    <w:p>
      <w:pPr>
        <w:pStyle w:val="Normal"/>
        <w:framePr w:w="2162" w:hAnchor="page" w:vAnchor="page" w:x="444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Kay G. Priestly, Chair</w:t>
      </w:r>
    </w:p>
    <w:p>
      <w:pPr>
        <w:pStyle w:val="Normal"/>
        <w:framePr w:w="5760" w:hAnchor="page" w:vAnchor="page" w:x="274" w:y="54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Submitted by the Audit Committee of the Board of Directors1:</w:t>
      </w:r>
    </w:p>
    <w:p>
      <w:pPr>
        <w:pStyle w:val="Normal"/>
        <w:framePr w:w="9188" w:hAnchor="page" w:vAnchor="page" w:x="274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statements be included in our Annual Report on Form 10-K for the year ended December 31, 2022.</w:t>
      </w:r>
    </w:p>
    <w:p>
      <w:pPr>
        <w:pStyle w:val="Normal"/>
        <w:framePr w:w="13673" w:hAnchor="page" w:vAnchor="page" w:x="274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reliance upon the review and discussions referred to above, the Audit Committee recommended to the Board of Directors that the audited financial</w:t>
      </w:r>
    </w:p>
    <w:p>
      <w:pPr>
        <w:pStyle w:val="Normal"/>
        <w:framePr w:w="10143" w:hAnchor="page" w:vAnchor="page" w:x="786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Audit Committee concerning independence and discussed with PwC its independence from the Company.</w:t>
      </w:r>
    </w:p>
    <w:p>
      <w:pPr>
        <w:pStyle w:val="Normal"/>
        <w:framePr w:w="13821" w:hAnchor="page" w:vAnchor="page" w:x="615" w:y="42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received the written disclosures and the letter from PwC required by applicable requirements of the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PCAOB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regarding PwC’s communications with</w:t>
      </w:r>
    </w:p>
    <w:p>
      <w:pPr>
        <w:pStyle w:val="Normal"/>
        <w:framePr w:w="3210" w:hAnchor="page" w:vAnchor="page" w:x="786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(the “PCAOB”) and the SEC; and</w:t>
      </w:r>
    </w:p>
    <w:p>
      <w:pPr>
        <w:pStyle w:val="Normal"/>
        <w:framePr w:w="13172" w:hAnchor="page" w:vAnchor="page" w:x="615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discussed with PwC the matters required to be discussed by the applicable requirements of the Public Company Accounting Oversight Board</w:t>
      </w:r>
    </w:p>
    <w:p>
      <w:pPr>
        <w:pStyle w:val="Normal"/>
        <w:framePr w:w="5305" w:hAnchor="page" w:vAnchor="page" w:x="786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evaluation of our internal control over financial reporting;</w:t>
      </w:r>
    </w:p>
    <w:p>
      <w:pPr>
        <w:pStyle w:val="Normal"/>
        <w:framePr w:w="12762" w:hAnchor="page" w:vAnchor="page" w:x="615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reviewed and discussed with management and PwC the audited financial statements for the year ended December 31, 2022, and PwC’s</w:t>
      </w:r>
    </w:p>
    <w:p>
      <w:pPr>
        <w:pStyle w:val="Normal"/>
        <w:framePr w:w="4849" w:hAnchor="page" w:vAnchor="page" w:x="274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Audit Committee of the Board of Directors has:</w:t>
      </w:r>
    </w:p>
    <w:p>
      <w:pPr>
        <w:pStyle w:val="Normal"/>
        <w:framePr w:w="3677" w:hAnchor="page" w:vAnchor="page" w:x="274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monitor and oversee these processes.</w:t>
      </w:r>
    </w:p>
    <w:p>
      <w:pPr>
        <w:pStyle w:val="Normal"/>
        <w:framePr w:w="14150" w:hAnchor="page" w:vAnchor="page" w:x="27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financial statements in accordance with generally accepted auditing standards, and issuing a report thereon. The Audit Committee’s responsibility is to</w:t>
      </w:r>
    </w:p>
    <w:p>
      <w:pPr>
        <w:pStyle w:val="Normal"/>
        <w:framePr w:w="13821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disclosure controls and procedures. PwC, our independent registered public accounting firm, is responsible for performing an independent audit of</w:t>
      </w:r>
    </w:p>
    <w:p>
      <w:pPr>
        <w:pStyle w:val="Normal"/>
        <w:framePr w:w="14105" w:hAnchor="page" w:vAnchor="page" w:x="27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Management is responsible for the preparation of our financial statements and our financial reporting processes, including the systems of internal controls</w:t>
      </w:r>
    </w:p>
    <w:p>
      <w:pPr>
        <w:pStyle w:val="Normal"/>
        <w:framePr w:w="8762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Audit Committee Report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7pt;margin-top:1pt;z-index:-1676210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12.7pt;margin-top:415.65pt;z-index:-1676209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</w:p>
    <w:p>
      <w:pPr>
        <w:pStyle w:val="Normal"/>
        <w:framePr w:w="1631" w:hAnchor="page" w:vAnchor="page" w:x="274" w:y="627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100 TechnipFMC</w:t>
      </w:r>
    </w:p>
    <w:p>
      <w:pPr>
        <w:pStyle w:val="Normal"/>
        <w:framePr w:w="3335" w:hAnchor="page" w:vAnchor="page" w:x="2715" w:y="4451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4096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357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3950" w:hAnchor="page" w:vAnchor="page" w:x="274" w:y="30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Report and Accounts and related reports.</w:t>
      </w:r>
    </w:p>
    <w:p>
      <w:pPr>
        <w:pStyle w:val="Normal"/>
        <w:framePr w:w="13707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year ended December 31, 2022. Under the applicable U.K. regulation, the Companies Act, our shareholders must vote to receive the U.K. Annual</w:t>
      </w:r>
    </w:p>
    <w:p>
      <w:pPr>
        <w:pStyle w:val="Normal"/>
        <w:framePr w:w="13919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Along with this Proxy Statement, the Company is providing its U.K. Annual Report and Accounts, including the related directors’ and auditor’s report, for</w:t>
      </w:r>
    </w:p>
    <w:p>
      <w:pPr>
        <w:pStyle w:val="Normal"/>
        <w:framePr w:w="2275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10309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Annual Report and Accounts</w:t>
      </w:r>
    </w:p>
    <w:p>
      <w:pPr>
        <w:pStyle w:val="Normal"/>
        <w:framePr w:w="10558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4 — Receipt of U.K.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7pt;margin-top:1pt;z-index:-167620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12.7pt;margin-top:170.95pt;z-index:-16762088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130.05pt;margin-top:170.95pt;z-index:-16762084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130.05pt;margin-top:194.45pt;z-index:-16762080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12.7pt;margin-top:329.55pt;z-index:-167620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4.25pt;margin-top:176.25pt;z-index:-16762072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</w:p>
    <w:p>
      <w:pPr>
        <w:pStyle w:val="Normal"/>
        <w:framePr w:w="1631" w:hAnchor="page" w:vAnchor="page" w:x="274" w:y="866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101 TechnipFMC</w:t>
      </w:r>
    </w:p>
    <w:p>
      <w:pPr>
        <w:pStyle w:val="Normal"/>
        <w:framePr w:w="9983" w:hAnchor="page" w:vAnchor="page" w:x="274" w:y="80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Fees” includes fees for other services, including fees for services of expat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riates and miscellaneous services.</w:t>
      </w:r>
    </w:p>
    <w:p>
      <w:pPr>
        <w:pStyle w:val="Normal"/>
        <w:framePr w:w="13684" w:hAnchor="page" w:vAnchor="page" w:x="274" w:y="78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fees for tax services, consisting of tax compliance services and tax planning and consultation with r</w:t>
      </w:r>
      <w:r>
        <w:rPr>
          <w:rFonts w:ascii="TYIFDT+ArialMT" w:hAnsi="TYIFDT+ArialMT" w:fareast="TYIFDT+ArialMT" w:cs="TYIFDT+ArialMT"/>
          <w:color w:val="333740"/>
          <w:w w:val="100"/>
          <w:sz w:val="17"/>
          <w:szCs w:val="17"/>
        </w:rPr>
        <w:t>espect to various corporate tax matters. “All Other</w:t>
      </w:r>
    </w:p>
    <w:p>
      <w:pPr>
        <w:pStyle w:val="Normal"/>
        <w:framePr w:w="14011" w:hAnchor="page" w:vAnchor="page" w:x="274" w:y="76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consist of transactional services associated with the Spin-off in 2021 and consultation on financial reporting standards in 2021-2022. “Tax Fees” includes</w:t>
      </w:r>
    </w:p>
    <w:p>
      <w:pPr>
        <w:pStyle w:val="Normal"/>
        <w:framePr w:w="13915" w:hAnchor="page" w:vAnchor="page" w:x="274" w:y="73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reviews of interim financial statements in Quarterly Reports on Form 10-Q. “Audit-Related Fees” includes fees for audit-related services, which primarily</w:t>
      </w:r>
    </w:p>
    <w:p>
      <w:pPr>
        <w:pStyle w:val="Normal"/>
        <w:framePr w:w="14038" w:hAnchor="page" w:vAnchor="page" w:x="274" w:y="71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“Audit Fees” includes fees for audit services, which relate to the annual integrated audit of consolidated financial statements, foreign statutory audits, and</w:t>
      </w:r>
    </w:p>
    <w:p>
      <w:pPr>
        <w:pStyle w:val="Normal"/>
        <w:framePr w:w="693" w:hAnchor="page" w:vAnchor="page" w:x="376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Total</w:t>
      </w:r>
    </w:p>
    <w:p>
      <w:pPr>
        <w:pStyle w:val="Normal"/>
        <w:framePr w:w="830" w:hAnchor="page" w:vAnchor="page" w:x="9592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$12.84</w:t>
      </w:r>
    </w:p>
    <w:p>
      <w:pPr>
        <w:pStyle w:val="Normal"/>
        <w:framePr w:w="830" w:hAnchor="page" w:vAnchor="page" w:x="11342" w:y="67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32373f"/>
          <w:w w:val="100"/>
          <w:sz w:val="17"/>
          <w:szCs w:val="17"/>
        </w:rPr>
        <w:t>$12.34</w:t>
      </w:r>
    </w:p>
    <w:p>
      <w:pPr>
        <w:pStyle w:val="Normal"/>
        <w:framePr w:w="1513" w:hAnchor="page" w:vAnchor="page" w:x="376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All Other Fees</w:t>
      </w:r>
    </w:p>
    <w:p>
      <w:pPr>
        <w:pStyle w:val="Normal"/>
        <w:framePr w:w="717" w:hAnchor="page" w:vAnchor="page" w:x="9687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$0.02</w:t>
      </w:r>
    </w:p>
    <w:p>
      <w:pPr>
        <w:pStyle w:val="Normal"/>
        <w:framePr w:w="836" w:hAnchor="page" w:vAnchor="page" w:x="11337" w:y="64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&lt;$0.01</w:t>
      </w:r>
    </w:p>
    <w:p>
      <w:pPr>
        <w:pStyle w:val="Normal"/>
        <w:framePr w:w="1058" w:hAnchor="page" w:vAnchor="page" w:x="376" w:y="62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Tax Fees</w:t>
      </w:r>
    </w:p>
    <w:p>
      <w:pPr>
        <w:pStyle w:val="Normal"/>
        <w:framePr w:w="717" w:hAnchor="page" w:vAnchor="page" w:x="9687" w:y="62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$0.08</w:t>
      </w:r>
    </w:p>
    <w:p>
      <w:pPr>
        <w:pStyle w:val="Normal"/>
        <w:framePr w:w="717" w:hAnchor="page" w:vAnchor="page" w:x="11437" w:y="62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$0.10</w:t>
      </w:r>
    </w:p>
    <w:p>
      <w:pPr>
        <w:pStyle w:val="Normal"/>
        <w:framePr w:w="1957" w:hAnchor="page" w:vAnchor="page" w:x="376" w:y="59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Audit-Related Fees</w:t>
      </w:r>
    </w:p>
    <w:p>
      <w:pPr>
        <w:pStyle w:val="Normal"/>
        <w:framePr w:w="830" w:hAnchor="page" w:vAnchor="page" w:x="9592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$12.74</w:t>
      </w:r>
    </w:p>
    <w:p>
      <w:pPr>
        <w:pStyle w:val="Normal"/>
        <w:framePr w:w="830" w:hAnchor="page" w:vAnchor="page" w:x="11342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$12.24</w:t>
      </w:r>
    </w:p>
    <w:p>
      <w:pPr>
        <w:pStyle w:val="Normal"/>
        <w:framePr w:w="1183" w:hAnchor="page" w:vAnchor="page" w:x="376" w:y="57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Audit Fees</w:t>
      </w:r>
    </w:p>
    <w:p>
      <w:pPr>
        <w:pStyle w:val="Normal"/>
        <w:framePr w:w="1456" w:hAnchor="page" w:vAnchor="page" w:x="376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Type of Fees</w:t>
      </w:r>
    </w:p>
    <w:p>
      <w:pPr>
        <w:pStyle w:val="Normal"/>
        <w:framePr w:w="1354" w:hAnchor="page" w:vAnchor="page" w:x="9157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(in millions)</w:t>
      </w:r>
    </w:p>
    <w:p>
      <w:pPr>
        <w:pStyle w:val="Normal"/>
        <w:framePr w:w="1354" w:hAnchor="page" w:vAnchor="page" w:x="10906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(in millions)</w:t>
      </w:r>
    </w:p>
    <w:p>
      <w:pPr>
        <w:pStyle w:val="Normal"/>
        <w:framePr w:w="717" w:hAnchor="page" w:vAnchor="page" w:x="9687" w:y="5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 xml:space="preserve">2022 </w:t>
      </w:r>
    </w:p>
    <w:p>
      <w:pPr>
        <w:pStyle w:val="Normal"/>
        <w:framePr w:w="660" w:hAnchor="page" w:vAnchor="page" w:x="11484" w:y="5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2021</w:t>
      </w:r>
    </w:p>
    <w:p>
      <w:pPr>
        <w:pStyle w:val="Normal"/>
        <w:framePr w:w="9843" w:hAnchor="page" w:vAnchor="page" w:x="274" w:y="48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Set forth below is summary information with respect to PwC’s fees for services provided in 2022 and 2021.</w:t>
      </w:r>
    </w:p>
    <w:p>
      <w:pPr>
        <w:pStyle w:val="Normal"/>
        <w:framePr w:w="9003" w:hAnchor="page" w:vAnchor="page" w:x="274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How much was the independent registered public accounting firm paid for 2022 and 2021?</w:t>
      </w:r>
    </w:p>
    <w:p>
      <w:pPr>
        <w:pStyle w:val="Normal"/>
        <w:framePr w:w="4975" w:hAnchor="page" w:vAnchor="page" w:x="27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will be available to respond to appropriate questions.</w:t>
      </w:r>
    </w:p>
    <w:p>
      <w:pPr>
        <w:pStyle w:val="Normal"/>
        <w:framePr w:w="13514" w:hAnchor="page" w:vAnchor="page" w:x="274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Representatives of PwC are expected to be present at the Annual Meeting. They will have an opportunity to make a statement if they so desire and</w:t>
      </w:r>
    </w:p>
    <w:p>
      <w:pPr>
        <w:pStyle w:val="Normal"/>
        <w:framePr w:w="12625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this proposal is not approved, the Audit Committee will reconsider the appointment, but may decide to maintain its appointment of PwC.</w:t>
      </w:r>
    </w:p>
    <w:p>
      <w:pPr>
        <w:pStyle w:val="Normal"/>
        <w:framePr w:w="5863" w:hAnchor="page" w:vAnchor="page" w:x="274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public accounting firm for the year ending December 31, 2023.</w:t>
      </w:r>
    </w:p>
    <w:p>
      <w:pPr>
        <w:pStyle w:val="Normal"/>
        <w:framePr w:w="14038" w:hAnchor="page" w:vAnchor="page" w:x="274" w:y="30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shareholders, the Board believes it appropriate as a matter of policy to request that the shareholders ratify the appointment of the independent registered</w:t>
      </w:r>
    </w:p>
    <w:p>
      <w:pPr>
        <w:pStyle w:val="Normal"/>
        <w:framePr w:w="13840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2023, subject to ratification by the Company’s shareholders. Although the ratification of this appointment is not required to be submitted to a vote of the</w:t>
      </w:r>
    </w:p>
    <w:p>
      <w:pPr>
        <w:pStyle w:val="Normal"/>
        <w:framePr w:w="13931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Audit Committee has appointed PwC as the Company’s U.S. independent registered public accounting firm for the fiscal year ending December 31,</w:t>
      </w:r>
    </w:p>
    <w:p>
      <w:pPr>
        <w:pStyle w:val="Normal"/>
        <w:framePr w:w="2275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9556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Ratification of U.S. Auditor</w:t>
      </w:r>
    </w:p>
    <w:p>
      <w:pPr>
        <w:pStyle w:val="Normal"/>
        <w:framePr w:w="5298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5 —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7pt;margin-top:1pt;z-index:-1676206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12.7pt;margin-top:259.9pt;z-index:-16762064;width:411.65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422.35pt;margin-top:259.9pt;z-index:-16762060;width:89.5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509.85pt;margin-top:259.9pt;z-index:-16762056;width:89.5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12.7pt;margin-top:282.65pt;z-index:-16762052;width:411.65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422.35pt;margin-top:282.65pt;z-index:-16762048;width:89.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509.85pt;margin-top:282.65pt;z-index:-16762044;width:89.5pt;height:26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12.7pt;margin-top:294pt;z-index:-16762040;width:411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12.7pt;margin-top:307.55pt;z-index:-16762036;width:411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422.35pt;margin-top:307.55pt;z-index:-16762032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09.85pt;margin-top:307.55pt;z-index:-16762028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12.7pt;margin-top:321.05pt;z-index:-16762024;width:411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422.35pt;margin-top:321.05pt;z-index:-16762020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509.85pt;margin-top:321.05pt;z-index:-16762016;width:8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12.7pt;margin-top:334.55pt;z-index:-16762012;width:411.6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422.35pt;margin-top:334.55pt;z-index:-16762008;width:89.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509.85pt;margin-top:334.55pt;z-index:-16762004;width:89.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509.85pt;margin-top:334.55pt;z-index:-16762000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422.35pt;margin-top:334.55pt;z-index:-1676199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509.85pt;margin-top:334.55pt;z-index:-1676199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422.35pt;margin-top:334.55pt;z-index:-1676198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509.85pt;margin-top:321.05pt;z-index:-16761984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12.7pt;margin-top:334.55pt;z-index:-16761980;width:412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422.35pt;margin-top:321.05pt;z-index:-16761976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509.85pt;margin-top:321.05pt;z-index:-1676197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422.35pt;margin-top:321.05pt;z-index:-1676196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509.85pt;margin-top:307.55pt;z-index:-16761964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12.7pt;margin-top:321.05pt;z-index:-16761960;width:412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22.35pt;margin-top:307.55pt;z-index:-16761956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12.7pt;margin-top:307.55pt;z-index:-16761952;width:412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422.35pt;margin-top:294pt;z-index:-16761948;width:2.7pt;height:1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09.85pt;margin-top:307.55pt;z-index:-1676194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422.35pt;margin-top:307.55pt;z-index:-16761940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422.35pt;margin-top:282.65pt;z-index:-16761936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509.85pt;margin-top:282.65pt;z-index:-16761932;width:2.7pt;height:2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12.7pt;margin-top:294pt;z-index:-16761928;width:412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422.35pt;margin-top:282.65pt;z-index:-1676192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09.85pt;margin-top:259.9pt;z-index:-16761920;width:2.7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422.35pt;margin-top:259.9pt;z-index:-16761916;width:2.7pt;height:2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12.7pt;margin-top:449.05pt;z-index:-1676191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</w:p>
    <w:p>
      <w:pPr>
        <w:pStyle w:val="Normal"/>
        <w:framePr w:w="1631" w:hAnchor="page" w:vAnchor="page" w:x="274" w:y="573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102 TechnipFMC</w:t>
      </w:r>
    </w:p>
    <w:p>
      <w:pPr>
        <w:pStyle w:val="Normal"/>
        <w:framePr w:w="3335" w:hAnchor="page" w:vAnchor="page" w:x="2715" w:y="3911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3555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303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1012" w:hAnchor="page" w:vAnchor="page" w:x="274" w:y="25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services.</w:t>
      </w:r>
    </w:p>
    <w:p>
      <w:pPr>
        <w:pStyle w:val="Normal"/>
        <w:framePr w:w="13934" w:hAnchor="page" w:vAnchor="page" w:x="274" w:y="22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Audit Committee pre-approved all audit, audit-related, tax, and other services provided by PwC for 2022 and 2021 and the estimated costs of those</w:t>
      </w:r>
    </w:p>
    <w:p>
      <w:pPr>
        <w:pStyle w:val="Normal"/>
        <w:framePr w:w="5886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registered public accounting firm’s independence.</w:t>
      </w:r>
    </w:p>
    <w:p>
      <w:pPr>
        <w:pStyle w:val="Normal"/>
        <w:framePr w:w="13877" w:hAnchor="page" w:vAnchor="page" w:x="27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accounting firm. The Audit Committee reviews all relationships between us and our independent registered public accounting firm that may relate to the</w:t>
      </w:r>
    </w:p>
    <w:p>
      <w:pPr>
        <w:pStyle w:val="Normal"/>
        <w:framePr w:w="13959" w:hAnchor="page" w:vAnchor="page" w:x="274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 for approval, at its regularly scheduled meetings, all audit and non-audit services proposed to be provided by our independent registered public</w:t>
      </w:r>
    </w:p>
    <w:p>
      <w:pPr>
        <w:pStyle w:val="Normal"/>
        <w:framePr w:w="13740" w:hAnchor="page" w:vAnchor="page" w:x="274" w:y="12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render audit or non-audit services unless the service is specifically approved in advance by the Audit Committee. The Audit Committee’s practice is to</w:t>
      </w:r>
    </w:p>
    <w:p>
      <w:pPr>
        <w:pStyle w:val="Normal"/>
        <w:framePr w:w="14048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independent registered public accounting firm. This policy generally provides that we will not engage our independent registered public accounting firm to</w:t>
      </w:r>
    </w:p>
    <w:p>
      <w:pPr>
        <w:pStyle w:val="Normal"/>
        <w:framePr w:w="13662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Audit Committee has adopted policies and procedures relating to the approval of all audit and non-audit services that are to be performed by our</w:t>
      </w:r>
    </w:p>
    <w:p>
      <w:pPr>
        <w:pStyle w:val="Normal"/>
        <w:framePr w:w="6430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are the Company’s pre-approval policies and procedures?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7pt;margin-top:1pt;z-index:-1676190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12.7pt;margin-top:143.95pt;z-index:-16761904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130.05pt;margin-top:143.95pt;z-index:-16761900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130.05pt;margin-top:167.4pt;z-index:-16761896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12.7pt;margin-top:302.55pt;z-index:-1676189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44.25pt;margin-top:149.2pt;z-index:-16761888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</w:p>
    <w:p>
      <w:pPr>
        <w:pStyle w:val="Normal"/>
        <w:framePr w:w="1631" w:hAnchor="page" w:vAnchor="page" w:x="274" w:y="652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103 TechnipFMC</w:t>
      </w:r>
    </w:p>
    <w:p>
      <w:pPr>
        <w:pStyle w:val="Normal"/>
        <w:framePr w:w="3335" w:hAnchor="page" w:vAnchor="page" w:x="2715" w:y="5077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4721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420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7821" w:hAnchor="page" w:vAnchor="page" w:x="274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this proposal is not approved, the Board may appoint an auditor to fill the vacancy.</w:t>
      </w:r>
    </w:p>
    <w:p>
      <w:pPr>
        <w:pStyle w:val="Normal"/>
        <w:framePr w:w="1809" w:hAnchor="page" w:vAnchor="page" w:x="274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accounts are laid.</w:t>
      </w:r>
    </w:p>
    <w:p>
      <w:pPr>
        <w:pStyle w:val="Normal"/>
        <w:framePr w:w="13996" w:hAnchor="page" w:vAnchor="page" w:x="274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Company’s U.K. statutory auditor to hold office from the conclusion of the Annual Meeting until the next annual general meeting of shareholders at which</w:t>
      </w:r>
    </w:p>
    <w:p>
      <w:pPr>
        <w:pStyle w:val="Normal"/>
        <w:framePr w:w="14223" w:hAnchor="page" w:vAnchor="page" w:x="274" w:y="28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presented to shareholders. The Company’s current U.K. statutory auditor is PwC. We are asking shareholders to approve the reappointment of PwC as the</w:t>
      </w:r>
    </w:p>
    <w:p>
      <w:pPr>
        <w:pStyle w:val="Normal"/>
        <w:framePr w:w="13943" w:hAnchor="page" w:vAnchor="page" w:x="274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Companies Act, the Company’s U.K. statutory auditor must be reappointed at each meeting at which the U.K. annual report and accounts are</w:t>
      </w:r>
    </w:p>
    <w:p>
      <w:pPr>
        <w:pStyle w:val="Normal"/>
        <w:framePr w:w="2528" w:hAnchor="page" w:vAnchor="page" w:x="274" w:y="244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What am I voting on?</w:t>
      </w:r>
    </w:p>
    <w:p>
      <w:pPr>
        <w:pStyle w:val="Normal"/>
        <w:framePr w:w="6551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 xml:space="preserve">Statutory Auditor </w:t>
      </w:r>
    </w:p>
    <w:p>
      <w:pPr>
        <w:pStyle w:val="Normal"/>
        <w:framePr w:w="13105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6 — Reappointment of U.K.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7pt;margin-top:1pt;z-index:-16761884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12.7pt;margin-top:202.25pt;z-index:-16761880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130.05pt;margin-top:202.25pt;z-index:-16761876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130.05pt;margin-top:225.75pt;z-index:-16761872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12.7pt;margin-top:342.35pt;z-index:-167618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4.25pt;margin-top:207.55pt;z-index:-16761864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</w:p>
    <w:p>
      <w:pPr>
        <w:pStyle w:val="Normal"/>
        <w:framePr w:w="1631" w:hAnchor="page" w:vAnchor="page" w:x="274" w:y="625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104 TechnipFMC</w:t>
      </w:r>
    </w:p>
    <w:p>
      <w:pPr>
        <w:pStyle w:val="Normal"/>
        <w:framePr w:w="3335" w:hAnchor="page" w:vAnchor="page" w:x="2715" w:y="4864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4508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399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3028" w:hAnchor="page" w:vAnchor="page" w:x="274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procedures and applicable law.</w:t>
      </w:r>
    </w:p>
    <w:p>
      <w:pPr>
        <w:pStyle w:val="Normal"/>
        <w:framePr w:w="13726" w:hAnchor="page" w:vAnchor="page" w:x="274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delegates this authority to determine the remuneration of the Company’s U.K. statutory auditor to the Audit Committee in accordance with the Board’s</w:t>
      </w:r>
    </w:p>
    <w:p>
      <w:pPr>
        <w:pStyle w:val="Normal"/>
        <w:framePr w:w="14147" w:hAnchor="page" w:vAnchor="page" w:x="274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remuneration of PwC in its capacity as the Company’s U.K. statutory auditor under the Companies Act for the year ending December 31, 2023. The Board</w:t>
      </w:r>
    </w:p>
    <w:p>
      <w:pPr>
        <w:pStyle w:val="Normal"/>
        <w:framePr w:w="13058" w:hAnchor="page" w:vAnchor="page" w:x="274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determined in a general meeting. The Company is asking its shareholders to authorize the Board and/or the Audit Committee to determine the</w:t>
      </w:r>
    </w:p>
    <w:p>
      <w:pPr>
        <w:pStyle w:val="Normal"/>
        <w:framePr w:w="13726" w:hAnchor="page" w:vAnchor="page" w:x="274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Companies Act, the remuneration of the Company’s U.K. statutory auditor must be fixed in a general meeting or in such manner as may be</w:t>
      </w:r>
    </w:p>
    <w:p>
      <w:pPr>
        <w:pStyle w:val="Normal"/>
        <w:framePr w:w="2528" w:hAnchor="page" w:vAnchor="page" w:x="274" w:y="244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What am I voting on?</w:t>
      </w:r>
    </w:p>
    <w:p>
      <w:pPr>
        <w:pStyle w:val="Normal"/>
        <w:framePr w:w="8220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Statutory Auditor Fees</w:t>
      </w:r>
    </w:p>
    <w:p>
      <w:pPr>
        <w:pStyle w:val="Normal"/>
        <w:framePr w:w="10975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7 — Approval of U.K.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7pt;margin-top:1pt;z-index:-1676186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12.7pt;margin-top:191.6pt;z-index:-16761856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130.05pt;margin-top:191.6pt;z-index:-16761852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130.05pt;margin-top:215.05pt;z-index:-16761848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12.7pt;margin-top:328.85pt;z-index:-167618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44.25pt;margin-top:196.85pt;z-index:-16761840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</w:p>
    <w:p>
      <w:pPr>
        <w:pStyle w:val="Normal"/>
        <w:framePr w:w="1631" w:hAnchor="page" w:vAnchor="page" w:x="274" w:y="92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105 TechnipFMC</w:t>
      </w:r>
    </w:p>
    <w:p>
      <w:pPr>
        <w:pStyle w:val="Normal"/>
        <w:framePr w:w="6091" w:hAnchor="page" w:vAnchor="page" w:x="274" w:y="86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agreement as if the authorities conferred hereby had not expired.</w:t>
      </w:r>
    </w:p>
    <w:p>
      <w:pPr>
        <w:pStyle w:val="Normal"/>
        <w:framePr w:w="13844" w:hAnchor="page" w:vAnchor="page" w:x="274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such expiration, and the Board may issue shares or grant rights to, subscribe for, or convert, any security into shares, in pursuance of any such offer or</w:t>
      </w:r>
    </w:p>
    <w:p>
      <w:pPr>
        <w:pStyle w:val="Normal"/>
        <w:framePr w:w="13851" w:hAnchor="page" w:vAnchor="page" w:x="274" w:y="82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that, prior to such expiration, the Company may make offers or agreements that would or might require shares to be issued or rights to be granted after</w:t>
      </w:r>
    </w:p>
    <w:p>
      <w:pPr>
        <w:pStyle w:val="Normal"/>
        <w:framePr w:w="14095" w:hAnchor="page" w:vAnchor="page" w:x="274" w:y="80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551 of the Companies Act and expire at the end of the next Annual Meeting (or, if earlier, until the close of business on July 28, 2024); provided, however,</w:t>
      </w:r>
    </w:p>
    <w:p>
      <w:pPr>
        <w:pStyle w:val="Normal"/>
        <w:framePr w:w="14185" w:hAnchor="page" w:vAnchor="page" w:x="274" w:y="78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Unless previously renewed, revoked, or varied, the authority conferred by this Proposal 8 shall apply in substitution for all existing authorities under section</w:t>
      </w:r>
    </w:p>
    <w:p>
      <w:pPr>
        <w:pStyle w:val="Normal"/>
        <w:framePr w:w="5589" w:hAnchor="page" w:vAnchor="page" w:x="644" w:y="74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 rata to their existing holdings (i.e., “pre-emption rights”).</w:t>
      </w:r>
    </w:p>
    <w:p>
      <w:pPr>
        <w:pStyle w:val="Normal"/>
        <w:framePr w:w="13484" w:hAnchor="page" w:vAnchor="page" w:x="459" w:y="72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Proposal 9 authorizes our Board to issue shares for cash pursuant to Proposal 8, up to a limit, without first offering them to existing shareholders</w:t>
      </w:r>
    </w:p>
    <w:p>
      <w:pPr>
        <w:pStyle w:val="Normal"/>
        <w:framePr w:w="10746" w:hAnchor="page" w:vAnchor="page" w:x="1213" w:y="68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shares issued pre-emptively to shareholders pro rata to their holdings in order to raise new capital for the Company).</w:t>
      </w:r>
    </w:p>
    <w:p>
      <w:pPr>
        <w:pStyle w:val="Normal"/>
        <w:framePr w:w="454" w:hAnchor="page" w:vAnchor="page" w:x="843" w:y="67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(b)</w:t>
      </w:r>
    </w:p>
    <w:p>
      <w:pPr>
        <w:pStyle w:val="Normal"/>
        <w:framePr w:w="12592" w:hAnchor="page" w:vAnchor="page" w:x="1213" w:y="66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up to an additional one-third of our existing issued share capital with an aggregate nominal value of $147,102,671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for rights issues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(i.e.,</w:t>
      </w:r>
    </w:p>
    <w:p>
      <w:pPr>
        <w:pStyle w:val="Normal"/>
        <w:framePr w:w="12979" w:hAnchor="page" w:vAnchor="page" w:x="843" w:y="62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(a)  up to one-third of our existing issued share capital with an aggregate nominal amount equal to $147,102,671 for 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general purposes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; and</w:t>
      </w:r>
    </w:p>
    <w:p>
      <w:pPr>
        <w:pStyle w:val="Normal"/>
        <w:framePr w:w="8789" w:hAnchor="page" w:vAnchor="page" w:x="644" w:y="58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additional shares would require shareholder approval. Our Board would be authorized to issue:</w:t>
      </w:r>
    </w:p>
    <w:p>
      <w:pPr>
        <w:pStyle w:val="Normal"/>
        <w:framePr w:w="13492" w:hAnchor="page" w:vAnchor="page" w:x="644" w:y="56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aggregate nominal value equal to the allotment amount, without further shareholder approval. In the absence of such approval, the issuance of any</w:t>
      </w:r>
    </w:p>
    <w:p>
      <w:pPr>
        <w:pStyle w:val="Normal"/>
        <w:framePr w:w="13996" w:hAnchor="page" w:vAnchor="page" w:x="459" w:y="54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►Proposal 8 authorizes our Board to issue a maximum number of equity securities (within the meaning of section 560 of the Companies Act), having an</w:t>
      </w:r>
    </w:p>
    <w:p>
      <w:pPr>
        <w:pStyle w:val="Normal"/>
        <w:framePr w:w="4371" w:hAnchor="page" w:vAnchor="page" w:x="274" w:y="50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will not be able to issue shares after that date.</w:t>
      </w:r>
    </w:p>
    <w:p>
      <w:pPr>
        <w:pStyle w:val="Normal"/>
        <w:framePr w:w="14227" w:hAnchor="page" w:vAnchor="page" w:x="274" w:y="48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general meeting or by a company’s articles of association. Our directors’ existing authority to issue shares will expire on July 29, 2023, and the Company</w:t>
      </w:r>
    </w:p>
    <w:p>
      <w:pPr>
        <w:pStyle w:val="Normal"/>
        <w:framePr w:w="14231" w:hAnchor="page" w:vAnchor="page" w:x="274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Companies Act, directors are, with certain exceptions, unable to allot, or issue, shares without being authorized either by the shareholders in a</w:t>
      </w:r>
    </w:p>
    <w:p>
      <w:pPr>
        <w:pStyle w:val="Normal"/>
        <w:framePr w:w="13365" w:hAnchor="page" w:vAnchor="page" w:x="27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acquisitions or in connection with raising additional capital. The Company will continue to be subject to NYSE shareholder approval requirements.</w:t>
      </w:r>
    </w:p>
    <w:p>
      <w:pPr>
        <w:pStyle w:val="Normal"/>
        <w:framePr w:w="13669" w:hAnchor="page" w:vAnchor="page" w:x="274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Approval of this proposal does not affect any shareholder approval requirements of the NYSE for share issuances, such as in connection with certain</w:t>
      </w:r>
    </w:p>
    <w:p>
      <w:pPr>
        <w:pStyle w:val="Normal"/>
        <w:framePr w:w="11062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2024 Annual Meeting or (b) the close of business on July 28, 2024, which is 15 months after this year’s Annual Meeting.</w:t>
      </w:r>
    </w:p>
    <w:p>
      <w:pPr>
        <w:pStyle w:val="Normal"/>
        <w:framePr w:w="14048" w:hAnchor="page" w:vAnchor="page" w:x="27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shares is limited by the Companies Act. As such, the authorizations in Proposals 8 and 9, if approved, will expire at the earlier of (a) the conclusion of our</w:t>
      </w:r>
    </w:p>
    <w:p>
      <w:pPr>
        <w:pStyle w:val="Normal"/>
        <w:framePr w:w="13706" w:hAnchor="page" w:vAnchor="page" w:x="274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Unlike most companies listed on the NYSE with perpetual authority to issue shares under their charter or articles of association, our authority to issue</w:t>
      </w:r>
    </w:p>
    <w:p>
      <w:pPr>
        <w:pStyle w:val="Normal"/>
        <w:framePr w:w="13005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laws of England and Wales, and are not otherwise required for other companies listed on the NYSE or organized within the United States.</w:t>
      </w:r>
    </w:p>
    <w:p>
      <w:pPr>
        <w:pStyle w:val="Normal"/>
        <w:framePr w:w="14106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authorizations requested in Proposals 8 and 9 are required as a matter of English law, are customary for public limited companies incorporated under</w:t>
      </w:r>
    </w:p>
    <w:p>
      <w:pPr>
        <w:pStyle w:val="Normal"/>
        <w:framePr w:w="2275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4046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Securities</w:t>
      </w:r>
    </w:p>
    <w:p>
      <w:pPr>
        <w:pStyle w:val="Normal"/>
        <w:framePr w:w="13272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8 — Authority to Allot Equity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7pt;margin-top:1pt;z-index:-1676183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12.7pt;margin-top:476.8pt;z-index:-1676183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</w:p>
    <w:p>
      <w:pPr>
        <w:pStyle w:val="Normal"/>
        <w:framePr w:w="1631" w:hAnchor="page" w:vAnchor="page" w:x="274" w:y="829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106 TechnipFMC</w:t>
      </w:r>
    </w:p>
    <w:p>
      <w:pPr>
        <w:pStyle w:val="Normal"/>
        <w:framePr w:w="3335" w:hAnchor="page" w:vAnchor="page" w:x="2715" w:y="7296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6941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642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14037" w:hAnchor="page" w:vAnchor="page" w:x="274" w:y="58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when it would be beneficial for shares to be issued without shareholder approval and for shares to be issued for cash without making a pre-emptive offer.</w:t>
      </w:r>
    </w:p>
    <w:p>
      <w:pPr>
        <w:pStyle w:val="Normal"/>
        <w:framePr w:w="13752" w:hAnchor="page" w:vAnchor="page" w:x="274" w:y="56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is the case with many U.K. companies, Proposals 8 and 9 will be proposed each year as our Board believes occasions may arise from time to time</w:t>
      </w:r>
    </w:p>
    <w:p>
      <w:pPr>
        <w:pStyle w:val="Normal"/>
        <w:framePr w:w="6553" w:hAnchor="page" w:vAnchor="page" w:x="274" w:y="52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on July 28, 2024, which is 15 months after this year’s Annual Meeting.</w:t>
      </w:r>
    </w:p>
    <w:p>
      <w:pPr>
        <w:pStyle w:val="Normal"/>
        <w:framePr w:w="14140" w:hAnchor="page" w:vAnchor="page" w:x="274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authorizations in Proposals 8 and 9, if approved, will expire at the earlier of (a) the conclusion of our 2024 Annual Meeting or (b) the close of business</w:t>
      </w:r>
    </w:p>
    <w:p>
      <w:pPr>
        <w:pStyle w:val="Normal"/>
        <w:framePr w:w="3574" w:hAnchor="page" w:vAnchor="page" w:x="274" w:y="48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When does this authorization expire?</w:t>
      </w:r>
    </w:p>
    <w:p>
      <w:pPr>
        <w:pStyle w:val="Normal"/>
        <w:framePr w:w="8436" w:hAnchor="page" w:vAnchor="page" w:x="710" w:y="44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securities into shares under any such offer or agreement as if the authority had not ended.”</w:t>
      </w:r>
    </w:p>
    <w:p>
      <w:pPr>
        <w:pStyle w:val="Normal"/>
        <w:framePr w:w="13445" w:hAnchor="page" w:vAnchor="page" w:x="710" w:y="42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for or convert securities into shares to be granted after the authority ends and the Board may allot shares or grant rights to subscribe for or convert</w:t>
      </w:r>
    </w:p>
    <w:p>
      <w:pPr>
        <w:pStyle w:val="Normal"/>
        <w:framePr w:w="13707" w:hAnchor="page" w:vAnchor="page" w:x="710" w:y="40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during this period the Company may make offers and enter into agreements which would, or might, require shares to be allotted or rights to subscribe</w:t>
      </w:r>
    </w:p>
    <w:p>
      <w:pPr>
        <w:pStyle w:val="Normal"/>
        <w:framePr w:w="13222" w:hAnchor="page" w:vAnchor="page" w:x="710" w:y="38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such authorities to apply until the end of next year’s Annual Meeting (or, if earlier, until the close of business on July 28, 2024) but, in each case,</w:t>
      </w:r>
    </w:p>
    <w:p>
      <w:pPr>
        <w:pStyle w:val="Normal"/>
        <w:framePr w:w="13671" w:hAnchor="page" w:vAnchor="page" w:x="710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treasury shares, fractional entitlements, record dates, legal, regulatory or practical problems in, or under the laws of, any territory or any other matter,</w:t>
      </w:r>
    </w:p>
    <w:p>
      <w:pPr>
        <w:pStyle w:val="Normal"/>
        <w:framePr w:w="13456" w:hAnchor="page" w:vAnchor="page" w:x="710" w:y="34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and so that the Board may impose any limits or restrictions and make any arrangements which they consider necessary or appropriate to deal with</w:t>
      </w:r>
    </w:p>
    <w:p>
      <w:pPr>
        <w:pStyle w:val="Normal"/>
        <w:framePr w:w="13074" w:hAnchor="page" w:vAnchor="page" w:x="701" w:y="30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ccff"/>
          <w:w w:val="100"/>
          <w:sz w:val="17"/>
          <w:szCs w:val="17"/>
        </w:rPr>
        <w:t xml:space="preserve">►   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to holders of other equity securities as required by the rights of those securities or as the Board of Directors otherwise consider necessary,</w:t>
      </w:r>
    </w:p>
    <w:p>
      <w:pPr>
        <w:pStyle w:val="Normal"/>
        <w:framePr w:w="9750" w:hAnchor="page" w:vAnchor="page" w:x="701" w:y="26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ccff"/>
          <w:w w:val="100"/>
          <w:sz w:val="17"/>
          <w:szCs w:val="17"/>
        </w:rPr>
        <w:t xml:space="preserve">►   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to ordinary shareholders in proportion (as nearly as may be practicable) to their existing holdings; and</w:t>
      </w:r>
    </w:p>
    <w:p>
      <w:pPr>
        <w:pStyle w:val="Normal"/>
        <w:framePr w:w="6341" w:hAnchor="page" w:vAnchor="page" w:x="701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Companies Act) in connection with an offer by way of a rights issue:</w:t>
      </w:r>
    </w:p>
    <w:p>
      <w:pPr>
        <w:pStyle w:val="Normal"/>
        <w:framePr w:w="506" w:hAnchor="page" w:vAnchor="page" w:x="274" w:y="21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 xml:space="preserve">  b</w:t>
      </w:r>
    </w:p>
    <w:p>
      <w:pPr>
        <w:pStyle w:val="Normal"/>
        <w:framePr w:w="13127" w:hAnchor="page" w:vAnchor="page" w:x="701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up to a further aggregate nominal amount of $147,102,671 provided such shares are equity securities (within the meaning of section 560 of the</w:t>
      </w:r>
    </w:p>
    <w:p>
      <w:pPr>
        <w:pStyle w:val="Normal"/>
        <w:framePr w:w="773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 xml:space="preserve">       </w:t>
      </w:r>
    </w:p>
    <w:p>
      <w:pPr>
        <w:pStyle w:val="Normal"/>
        <w:framePr w:w="5943" w:hAnchor="page" w:vAnchor="page" w:x="27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 xml:space="preserve">  a. up to an aggregate nominal amount of $147,102,671; and</w:t>
      </w:r>
    </w:p>
    <w:p>
      <w:pPr>
        <w:pStyle w:val="Normal"/>
        <w:framePr w:w="10200" w:hAnchor="page" w:vAnchor="page" w:x="274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shares in the Company and to grant rights to subscribe for or convert any security into shares in the Company:</w:t>
      </w:r>
    </w:p>
    <w:p>
      <w:pPr>
        <w:pStyle w:val="Normal"/>
        <w:framePr w:w="14227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“THAT the Board of Directors of the Company be and they are hereby and unconditionally authorized to exercise all the powers in the Company to allot</w:t>
      </w:r>
    </w:p>
    <w:p>
      <w:pPr>
        <w:pStyle w:val="Normal"/>
        <w:framePr w:w="3994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The text of the resolution is as follows: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7pt;margin-top:1pt;z-index:-1676182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12.7pt;margin-top:313.2pt;z-index:-16761824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130.05pt;margin-top:313.2pt;z-index:-16761820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130.05pt;margin-top:336.7pt;z-index:-16761816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12.7pt;margin-top:430.55pt;z-index:-1676181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44.25pt;margin-top:318.5pt;z-index:-16761808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</w:p>
    <w:p>
      <w:pPr>
        <w:pStyle w:val="Normal"/>
        <w:framePr w:w="1631" w:hAnchor="page" w:vAnchor="page" w:x="274" w:y="984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107 TechnipFMC</w:t>
      </w:r>
    </w:p>
    <w:p>
      <w:pPr>
        <w:pStyle w:val="Normal"/>
        <w:framePr w:w="10655" w:hAnchor="page" w:vAnchor="page" w:x="274" w:y="92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Board has no current commitments or plans to issue additional shares of the Company under these authorities.</w:t>
      </w:r>
    </w:p>
    <w:p>
      <w:pPr>
        <w:pStyle w:val="Normal"/>
        <w:framePr w:w="8938" w:hAnchor="page" w:vAnchor="page" w:x="701" w:y="89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is merited by the nature of the transaction and is thought to be to the advantage of shareholders.</w:t>
      </w:r>
    </w:p>
    <w:p>
      <w:pPr>
        <w:pStyle w:val="Normal"/>
        <w:framePr w:w="13394" w:hAnchor="page" w:vAnchor="page" w:x="701" w:y="86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the announcement of the issue. The authority to issue this additional 10% would not be used as a matter of routine, but only where the flexibility</w:t>
      </w:r>
    </w:p>
    <w:p>
      <w:pPr>
        <w:pStyle w:val="Normal"/>
        <w:framePr w:w="13537" w:hAnchor="page" w:vAnchor="page" w:x="701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capital investment announced either contemporaneously with the issue or which has taken place in the preceding six-month period and is disclosed</w:t>
      </w:r>
    </w:p>
    <w:p>
      <w:pPr>
        <w:pStyle w:val="Normal"/>
        <w:framePr w:w="13360" w:hAnchor="page" w:vAnchor="page" w:x="430" w:y="82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(ii) up to a further 10% of the Company’s issued ordinary share capital (as of March 6, 2023) for use in connection with an acquisition or specified</w:t>
      </w:r>
    </w:p>
    <w:p>
      <w:pPr>
        <w:pStyle w:val="Normal"/>
        <w:framePr w:w="12381" w:hAnchor="page" w:vAnchor="page" w:x="430" w:y="78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(i) up to 10% of the Company’s issued ordinary share capital (as of March 6, 2023) on an unrestricted basis for general purposes, and</w:t>
      </w:r>
    </w:p>
    <w:p>
      <w:pPr>
        <w:pStyle w:val="Normal"/>
        <w:framePr w:w="4291" w:hAnchor="page" w:vAnchor="page" w:x="274" w:y="74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dilutive to existing shareholdings), as follows:</w:t>
      </w:r>
    </w:p>
    <w:p>
      <w:pPr>
        <w:pStyle w:val="Normal"/>
        <w:framePr w:w="14171" w:hAnchor="page" w:vAnchor="page" w:x="274" w:y="72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an aggregate nominal amount of $88,261,602, being 20% of the Company’s issued share capital without pre-emption rights (i.e., on terms that would be</w:t>
      </w:r>
    </w:p>
    <w:p>
      <w:pPr>
        <w:pStyle w:val="Normal"/>
        <w:framePr w:w="14026" w:hAnchor="page" w:vAnchor="page" w:x="274" w:y="70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institutions, and corporate finance practitioners to monitor the operation of the Guidelines, Proposal 9 would limit our Board’s authority to issue shares up</w:t>
      </w:r>
    </w:p>
    <w:p>
      <w:pPr>
        <w:pStyle w:val="Normal"/>
        <w:framePr w:w="13650" w:hAnchor="page" w:vAnchor="page" w:x="274" w:y="68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line with guidelines issued by the Pre-Emption Group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Guidelines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”), a group comprising representatives of U.K.-listed companies, investment</w:t>
      </w:r>
    </w:p>
    <w:p>
      <w:pPr>
        <w:pStyle w:val="Normal"/>
        <w:framePr w:w="8390" w:hAnchor="page" w:vAnchor="page" w:x="274" w:y="64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cash, without pre-emption rights, pursuant to the authority conferred by this Proposal 9.</w:t>
      </w:r>
    </w:p>
    <w:p>
      <w:pPr>
        <w:pStyle w:val="Normal"/>
        <w:framePr w:w="14061" w:hAnchor="page" w:vAnchor="page" w:x="274" w:y="62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 proposes that, subject to the passing of the resolution included in Proposal 8, the Board be generally empowered to issue equity securities</w:t>
      </w:r>
    </w:p>
    <w:p>
      <w:pPr>
        <w:pStyle w:val="Normal"/>
        <w:framePr w:w="2549" w:hAnchor="page" w:vAnchor="page" w:x="274" w:y="58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would be severely limited.</w:t>
      </w:r>
    </w:p>
    <w:p>
      <w:pPr>
        <w:pStyle w:val="Normal"/>
        <w:framePr w:w="14174" w:hAnchor="page" w:vAnchor="page" w:x="274" w:y="56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approval of this Proposal 9, our flexibility to issue shares, such as for satisfying equity awards under our Amended and Restated Incentive Award Plan,</w:t>
      </w:r>
    </w:p>
    <w:p>
      <w:pPr>
        <w:pStyle w:val="Normal"/>
        <w:framePr w:w="14203" w:hAnchor="page" w:vAnchor="page" w:x="274" w:y="54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Companies Act. The Companies Act permits shareholders to waive, or “disapply,” these pre-emption rights, which is the purpose of this Proposal 9. Absent</w:t>
      </w:r>
    </w:p>
    <w:p>
      <w:pPr>
        <w:pStyle w:val="Normal"/>
        <w:framePr w:w="13467" w:hAnchor="page" w:vAnchor="page" w:x="274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such equity securities to existing shareholders in proportion to their existing shareholdings (i.e., “pre-emption rights”) pursuant to section 561 of the</w:t>
      </w:r>
    </w:p>
    <w:p>
      <w:pPr>
        <w:pStyle w:val="Normal"/>
        <w:framePr w:w="14219" w:hAnchor="page" w:vAnchor="page" w:x="274" w:y="50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a company governed by the Companies Act, if and when we raise capital through the issuance of equity securities for cash, we are required to first offer</w:t>
      </w:r>
    </w:p>
    <w:p>
      <w:pPr>
        <w:pStyle w:val="Normal"/>
        <w:framePr w:w="9187" w:hAnchor="page" w:vAnchor="page" w:x="274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Proposal 9 is proposed as a special resolution, requiring at least 75% of votes cast in favor to pass.</w:t>
      </w:r>
    </w:p>
    <w:p>
      <w:pPr>
        <w:pStyle w:val="Normal"/>
        <w:framePr w:w="13365" w:hAnchor="page" w:vAnchor="page" w:x="27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acquisitions or in connection with raising additional capital. The Company will continue to be subject to NYSE shareholder approval requirements.</w:t>
      </w:r>
    </w:p>
    <w:p>
      <w:pPr>
        <w:pStyle w:val="Normal"/>
        <w:framePr w:w="13669" w:hAnchor="page" w:vAnchor="page" w:x="274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Approval of this proposal does not affect any shareholder approval requirements of the NYSE for share issuances, such as in connection with certain</w:t>
      </w:r>
    </w:p>
    <w:p>
      <w:pPr>
        <w:pStyle w:val="Normal"/>
        <w:framePr w:w="6455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business on July 28, 2024 (i.e., 15 months after the Annual Meeting).</w:t>
      </w:r>
    </w:p>
    <w:p>
      <w:pPr>
        <w:pStyle w:val="Normal"/>
        <w:framePr w:w="13502" w:hAnchor="page" w:vAnchor="page" w:x="27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authorizations in Proposals 8 and 9, if approved, will expire at the earlier of (a) the conclusion of our 2024 Annual Meeting or (b) at the close of</w:t>
      </w:r>
    </w:p>
    <w:p>
      <w:pPr>
        <w:pStyle w:val="Normal"/>
        <w:framePr w:w="842" w:hAnchor="page" w:vAnchor="page" w:x="274" w:y="30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States.</w:t>
      </w:r>
    </w:p>
    <w:p>
      <w:pPr>
        <w:pStyle w:val="Normal"/>
        <w:framePr w:w="14224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incorporated under the laws of England and Wales, and are not otherwise required for other companies listed on the NYSE or organized within the United</w:t>
      </w:r>
    </w:p>
    <w:p>
      <w:pPr>
        <w:pStyle w:val="Normal"/>
        <w:framePr w:w="14225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noted above, the authorizations requested in Proposals 8 and 9 are required as a matter of English law, are customary for public limited companies</w:t>
      </w:r>
    </w:p>
    <w:p>
      <w:pPr>
        <w:pStyle w:val="Normal"/>
        <w:framePr w:w="2275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What am I voting on?</w:t>
      </w:r>
    </w:p>
    <w:p>
      <w:pPr>
        <w:pStyle w:val="Normal"/>
        <w:framePr w:w="13229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Securities without Pre-emptive Rights</w:t>
      </w:r>
    </w:p>
    <w:p>
      <w:pPr>
        <w:pStyle w:val="Normal"/>
        <w:framePr w:w="13272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 9 — Authority to Allot Equity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7pt;margin-top:1pt;z-index:-167618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12.7pt;margin-top:508.1pt;z-index:-1676180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</w:p>
    <w:p>
      <w:pPr>
        <w:pStyle w:val="Normal"/>
        <w:framePr w:w="1631" w:hAnchor="page" w:vAnchor="page" w:x="274" w:y="69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108 TechnipFMC</w:t>
      </w:r>
    </w:p>
    <w:p>
      <w:pPr>
        <w:pStyle w:val="Normal"/>
        <w:framePr w:w="3335" w:hAnchor="page" w:vAnchor="page" w:x="2715" w:y="5845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“</w:t>
      </w:r>
      <w:r>
        <w:rPr>
          <w:rFonts w:ascii="WIPJFN+Arial-BoldMT" w:hAnsi="WIPJFN+Arial-BoldMT" w:fareast="WIPJFN+Arial-BoldMT" w:cs="WIPJFN+Arial-BoldMT"/>
          <w:color w:val="ffffff"/>
          <w:w w:val="100"/>
          <w:sz w:val="30"/>
          <w:szCs w:val="30"/>
        </w:rPr>
        <w:t>FOR</w:t>
      </w: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” this proposal.</w:t>
      </w:r>
    </w:p>
    <w:p>
      <w:pPr>
        <w:pStyle w:val="Normal"/>
        <w:framePr w:w="5914" w:hAnchor="page" w:vAnchor="page" w:x="2715" w:y="5490"/>
        <w:widowControl w:val="off"/>
        <w:autoSpaceDE w:val="off"/>
        <w:autoSpaceDN w:val="off"/>
        <w:spacing w:before="0" w:after="0" w:line="316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</w:pPr>
      <w:r>
        <w:rPr>
          <w:rFonts w:ascii="TYIFDT+ArialMT" w:hAnsi="TYIFDT+ArialMT" w:fareast="TYIFDT+ArialMT" w:cs="TYIFDT+ArialMT"/>
          <w:color w:val="ffffff"/>
          <w:w w:val="100"/>
          <w:sz w:val="30"/>
          <w:szCs w:val="30"/>
        </w:rPr>
        <w:t>The Board recommends that you vote</w:t>
      </w:r>
    </w:p>
    <w:p>
      <w:pPr>
        <w:pStyle w:val="Normal"/>
        <w:framePr w:w="5057" w:hAnchor="page" w:vAnchor="page" w:x="2715" w:y="497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How does the Board recommend that I vote?</w:t>
      </w:r>
    </w:p>
    <w:p>
      <w:pPr>
        <w:pStyle w:val="Normal"/>
        <w:framePr w:w="14037" w:hAnchor="page" w:vAnchor="page" w:x="274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when it would be beneficial for shares to be issued without shareholder approval and for shares to be issued for cash without making a pre-emptive offer.</w:t>
      </w:r>
    </w:p>
    <w:p>
      <w:pPr>
        <w:pStyle w:val="Normal"/>
        <w:framePr w:w="13752" w:hAnchor="page" w:vAnchor="page" w:x="274" w:y="42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is the case with many U.K. companies, Proposals 8 and 9 will be proposed each year as our Board believes occasions may arise from time to time</w:t>
      </w:r>
    </w:p>
    <w:p>
      <w:pPr>
        <w:pStyle w:val="Normal"/>
        <w:framePr w:w="6553" w:hAnchor="page" w:vAnchor="page" w:x="274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on July 28, 2024, which is 15 months after this year’s Annual Meeting.</w:t>
      </w:r>
    </w:p>
    <w:p>
      <w:pPr>
        <w:pStyle w:val="Normal"/>
        <w:framePr w:w="14140" w:hAnchor="page" w:vAnchor="page" w:x="274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authorizations in Proposals 8 and 9, if approved, will expire at the earlier of (a) the conclusion of our 2024 Annual Meeting or (b) the close of business</w:t>
      </w:r>
    </w:p>
    <w:p>
      <w:pPr>
        <w:pStyle w:val="Normal"/>
        <w:framePr w:w="3846" w:hAnchor="page" w:vAnchor="page" w:x="274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When does this authorization expire?</w:t>
      </w:r>
    </w:p>
    <w:p>
      <w:pPr>
        <w:pStyle w:val="Normal"/>
        <w:framePr w:w="899" w:hAnchor="page" w:vAnchor="page" w:x="274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ended.”</w:t>
      </w:r>
    </w:p>
    <w:p>
      <w:pPr>
        <w:pStyle w:val="Normal"/>
        <w:framePr w:w="14014" w:hAnchor="page" w:vAnchor="page" w:x="274" w:y="28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sold) after the power ends and the Board may allot equity securities (and sell treasury shares) under any such offer or agreement as if the power had not</w:t>
      </w:r>
    </w:p>
    <w:p>
      <w:pPr>
        <w:pStyle w:val="Normal"/>
        <w:framePr w:w="14162" w:hAnchor="page" w:vAnchor="page" w:x="274" w:y="26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period the Company may make offers, and enter into agreements, which would, or might, require equity securities to be allotted (and treasury shares to be</w:t>
      </w:r>
    </w:p>
    <w:p>
      <w:pPr>
        <w:pStyle w:val="Normal"/>
        <w:framePr w:w="13837" w:hAnchor="page" w:vAnchor="page" w:x="274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such power to apply until the end of next year’s Annual Meeting (or, if earlier, until the close of business on July 28, 2024) but, in each case, during this</w:t>
      </w:r>
    </w:p>
    <w:p>
      <w:pPr>
        <w:pStyle w:val="Normal"/>
        <w:framePr w:w="13047" w:hAnchor="page" w:vAnchor="page" w:x="436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b. in the case of the authority granted under paragraph (b) of Proposal 8, of the equity securities to be issued in connection with a rights issue,</w:t>
      </w:r>
    </w:p>
    <w:p>
      <w:pPr>
        <w:pStyle w:val="Normal"/>
        <w:framePr w:w="6979" w:hAnchor="page" w:vAnchor="page" w:x="596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pre-emptive offer, up to an aggregate nominal amount of $88,261,602; and</w:t>
      </w:r>
    </w:p>
    <w:p>
      <w:pPr>
        <w:pStyle w:val="Normal"/>
        <w:framePr w:w="13764" w:hAnchor="page" w:vAnchor="page" w:x="436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a. in the case of allotments authorized by paragraph (a) of Proposal 8 (i) in connection with a pre-emptive offer, and (ii) other than in connection with a</w:t>
      </w:r>
    </w:p>
    <w:p>
      <w:pPr>
        <w:pStyle w:val="Normal"/>
        <w:framePr w:w="6694" w:hAnchor="page" w:vAnchor="page" w:x="274" w:y="12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such allotment or sale, such power to be limited to the allotment of sale:</w:t>
      </w:r>
    </w:p>
    <w:p>
      <w:pPr>
        <w:pStyle w:val="Normal"/>
        <w:framePr w:w="14186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that resolution and/or to sell equity securities held by the Company as treasury shares for cash as if Section 561 of the Companies Act did not apply to any</w:t>
      </w:r>
    </w:p>
    <w:p>
      <w:pPr>
        <w:pStyle w:val="Normal"/>
        <w:framePr w:w="13923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“THAT, subject to Proposal 8 passing, the Board be given power to allot equity securities (as defined in the Companies Act) under the authority given by</w:t>
      </w:r>
    </w:p>
    <w:p>
      <w:pPr>
        <w:pStyle w:val="Normal"/>
        <w:framePr w:w="3994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The text of the resolution is as follows: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7pt;margin-top:1pt;z-index:-1676179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12.7pt;margin-top:240.7pt;z-index:-16761792;width:119.35pt;height:7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130.05pt;margin-top:240.7pt;z-index:-16761788;width:469.2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130.05pt;margin-top:264.15pt;z-index:-16761784;width:469.25pt;height:5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12.7pt;margin-top:365.15pt;z-index:-1676178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44.25pt;margin-top:245.95pt;z-index:-16761776;width:54.05pt;height:6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</w:p>
    <w:p>
      <w:pPr>
        <w:pStyle w:val="Normal"/>
        <w:framePr w:w="1631" w:hAnchor="page" w:vAnchor="page" w:x="274" w:y="728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109 TechnipFMC</w:t>
      </w:r>
    </w:p>
    <w:p>
      <w:pPr>
        <w:pStyle w:val="Normal"/>
        <w:framePr w:w="11828" w:hAnchor="page" w:vAnchor="page" w:x="274" w:y="64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“related person” had, or will have, a direct or indirect material interest and in which the amount involved exceeded $120,000.</w:t>
      </w:r>
    </w:p>
    <w:p>
      <w:pPr>
        <w:pStyle w:val="Normal"/>
        <w:framePr w:w="13902" w:hAnchor="page" w:vAnchor="page" w:x="274" w:y="62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Since the beginning of 2022, we have not been a participant in any transaction, or series of related transactions, whether in effect or proposed, in which</w:t>
      </w:r>
    </w:p>
    <w:p>
      <w:pPr>
        <w:pStyle w:val="Normal"/>
        <w:framePr w:w="8938" w:hAnchor="page" w:vAnchor="page" w:x="274" w:y="58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complete an annual questionnaire that contains questions regarding related person transactions.</w:t>
      </w:r>
    </w:p>
    <w:p>
      <w:pPr>
        <w:pStyle w:val="Normal"/>
        <w:framePr w:w="13717" w:hAnchor="page" w:vAnchor="page" w:x="274" w:y="56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directors must recuse themselves from discussing or voting on any issue for which they may have a conflict. Directors and executive officers also</w:t>
      </w:r>
    </w:p>
    <w:p>
      <w:pPr>
        <w:pStyle w:val="Normal"/>
        <w:framePr w:w="13877" w:hAnchor="page" w:vAnchor="page" w:x="274" w:y="54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addition, our Governance Guidelines and Code of Business Conduct require directors and executive officers to disclose potential conflicts of interest,</w:t>
      </w:r>
    </w:p>
    <w:p>
      <w:pPr>
        <w:pStyle w:val="Normal"/>
        <w:framePr w:w="12235" w:hAnchor="page" w:vAnchor="page" w:x="274" w:y="50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whether the transaction is on terms comparable to those that could be obtained in arm’s-length dealings with an unrelated third party.</w:t>
      </w:r>
    </w:p>
    <w:p>
      <w:pPr>
        <w:pStyle w:val="Normal"/>
        <w:framePr w:w="13946" w:hAnchor="page" w:vAnchor="page" w:x="274" w:y="48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shareholders, and considers factors such as: (a) the benefit of the transaction to us and our shareholders; (b) any alternatives to the transaction; and (c)</w:t>
      </w:r>
    </w:p>
    <w:p>
      <w:pPr>
        <w:pStyle w:val="Normal"/>
        <w:framePr w:w="13661" w:hAnchor="page" w:vAnchor="page" w:x="274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its subsidiaries and related persons. The ESG Committee approves only those transactions that are in our best interests and the best interests of our</w:t>
      </w:r>
    </w:p>
    <w:p>
      <w:pPr>
        <w:pStyle w:val="Normal"/>
        <w:framePr w:w="13991" w:hAnchor="page" w:vAnchor="page" w:x="274" w:y="44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ESG Committee is responsible for reviewing and, where appropriate, approving or ratifying any related person transaction involving the Company or</w:t>
      </w:r>
    </w:p>
    <w:p>
      <w:pPr>
        <w:pStyle w:val="Normal"/>
        <w:framePr w:w="2493" w:hAnchor="page" w:vAnchor="page" w:x="701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promulgated by the SEC.</w:t>
      </w:r>
    </w:p>
    <w:p>
      <w:pPr>
        <w:pStyle w:val="Normal"/>
        <w:framePr w:w="13394" w:hAnchor="page" w:vAnchor="page" w:x="430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(c) the amount involved exceeds $120,000, but excludes any transaction that does not require disclosure under Item 404(a) of Regulation S-K, as</w:t>
      </w:r>
    </w:p>
    <w:p>
      <w:pPr>
        <w:pStyle w:val="Normal"/>
        <w:framePr w:w="6267" w:hAnchor="page" w:vAnchor="page" w:x="430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(b) any related person has a direct or indirect material interest; and</w:t>
      </w:r>
    </w:p>
    <w:p>
      <w:pPr>
        <w:pStyle w:val="Normal"/>
        <w:framePr w:w="3181" w:hAnchor="page" w:vAnchor="page" w:x="430" w:y="30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(a) the Company is a participant;</w:t>
      </w:r>
    </w:p>
    <w:p>
      <w:pPr>
        <w:pStyle w:val="Normal"/>
        <w:framePr w:w="7911" w:hAnchor="page" w:vAnchor="page" w:x="274" w:y="26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immediate family members. Our review procedures apply to any transaction in which:</w:t>
      </w:r>
    </w:p>
    <w:p>
      <w:pPr>
        <w:pStyle w:val="Normal"/>
        <w:framePr w:w="14147" w:hAnchor="page" w:vAnchor="page" w:x="274" w:y="24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SEC rules, “related persons” include any director, executive officer, director nominee, or greater than 5% shareholder of the Company, and their</w:t>
      </w:r>
    </w:p>
    <w:p>
      <w:pPr>
        <w:pStyle w:val="Normal"/>
        <w:framePr w:w="7957" w:hAnchor="page" w:vAnchor="page" w:x="274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follows procedures pursuant to which transactions are reviewed, approved, or ratified.</w:t>
      </w:r>
    </w:p>
    <w:p>
      <w:pPr>
        <w:pStyle w:val="Normal"/>
        <w:framePr w:w="13832" w:hAnchor="page" w:vAnchor="page" w:x="274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resolution of any conflict of interest or any related person transaction. In reviewing and approving any related person transactions, our ESG Committee</w:t>
      </w:r>
    </w:p>
    <w:p>
      <w:pPr>
        <w:pStyle w:val="Normal"/>
        <w:framePr w:w="13851" w:hAnchor="page" w:vAnchor="page" w:x="27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Company’s ESG Committee considers questions of possible conflicts of interest for related persons and recommends to our Board the appropriate</w:t>
      </w:r>
    </w:p>
    <w:p>
      <w:pPr>
        <w:pStyle w:val="Normal"/>
        <w:framePr w:w="12353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Transactions with Related Persons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7pt;margin-top:1pt;z-index:-1676177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12.7pt;margin-top:380.05pt;z-index:-167617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</w:p>
    <w:p>
      <w:pPr>
        <w:pStyle w:val="Normal"/>
        <w:framePr w:w="1631" w:hAnchor="page" w:vAnchor="page" w:x="274" w:y="1231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110 TechnipFMC</w:t>
      </w:r>
    </w:p>
    <w:p>
      <w:pPr>
        <w:pStyle w:val="Normal"/>
        <w:framePr w:w="2668" w:hAnchor="page" w:vAnchor="page" w:x="473" w:y="1180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claim against us for such units.</w:t>
      </w:r>
    </w:p>
    <w:p>
      <w:pPr>
        <w:pStyle w:val="Normal"/>
        <w:framePr w:w="13537" w:hAnchor="page" w:vAnchor="page" w:x="473" w:y="1163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service. Directors have no power to vote or dispose of shares underlying the RSUs until they are distributed. Until such distribution, these directors have an unsecured</w:t>
      </w:r>
    </w:p>
    <w:p>
      <w:pPr>
        <w:pStyle w:val="Normal"/>
        <w:framePr w:w="13527" w:hAnchor="page" w:vAnchor="page" w:x="473" w:y="1146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grant date or (b) upon their separation from Board service. RSUs granted prior to 2021 vested after one year of service and will be settled upon separation from Board</w:t>
      </w:r>
    </w:p>
    <w:p>
      <w:pPr>
        <w:pStyle w:val="Normal"/>
        <w:framePr w:w="13790" w:hAnchor="page" w:vAnchor="page" w:x="473" w:y="1129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vests after one year of service but is settled in Ordinary Shares on a date elected by the non-executive director that is either (a) after a period of one to ten years from the</w:t>
      </w:r>
    </w:p>
    <w:p>
      <w:pPr>
        <w:pStyle w:val="Normal"/>
        <w:framePr w:w="13841" w:hAnchor="page" w:vAnchor="page" w:x="473" w:y="1112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As of March 6, 2023, the number of Ordinary Shares subject to RSUs credited to each non-employee director under the incentive plan was 22,208. The annual RSU grant</w:t>
      </w:r>
    </w:p>
    <w:p>
      <w:pPr>
        <w:pStyle w:val="Normal"/>
        <w:framePr w:w="14180" w:hAnchor="page" w:vAnchor="page" w:x="274" w:y="1095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(3)Includes Ordinary Shares owned by the individual and Ordinary Shares subject to RSUs credited to individual accounts of non-employee directors under our incentive plan.</w:t>
      </w:r>
    </w:p>
    <w:p>
      <w:pPr>
        <w:pStyle w:val="Normal"/>
        <w:framePr w:w="12303" w:hAnchor="page" w:vAnchor="page" w:x="274" w:y="1078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(2)The calculation of percentage of ownership of each listed beneficial owner is based on 441,308,014 Ordinary Shares outstanding on March 6, 2023.</w:t>
      </w:r>
    </w:p>
    <w:p>
      <w:pPr>
        <w:pStyle w:val="Normal"/>
        <w:framePr w:w="7709" w:hAnchor="page" w:vAnchor="page" w:x="274" w:y="1061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(1)Inclusive of shares that vest on March 9, 2023 which are gross shares not netted for taxes.</w:t>
      </w:r>
    </w:p>
    <w:p>
      <w:pPr>
        <w:pStyle w:val="Normal"/>
        <w:framePr w:w="1522" w:hAnchor="page" w:vAnchor="page" w:x="274" w:y="1043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 xml:space="preserve"> * Less than 1%</w:t>
      </w:r>
    </w:p>
    <w:p>
      <w:pPr>
        <w:pStyle w:val="Normal"/>
        <w:framePr w:w="6638" w:hAnchor="page" w:vAnchor="page" w:x="359" w:y="101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All directors and executive officers as a group (18 persons)</w:t>
      </w:r>
    </w:p>
    <w:p>
      <w:pPr>
        <w:pStyle w:val="Normal"/>
        <w:framePr w:w="1328" w:hAnchor="page" w:vAnchor="page" w:x="8973" w:y="1012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4,698,893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5</w:t>
      </w:r>
    </w:p>
    <w:p>
      <w:pPr>
        <w:pStyle w:val="Normal"/>
        <w:framePr w:w="873" w:hAnchor="page" w:vAnchor="page" w:x="11343" w:y="101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1.06%</w:t>
      </w:r>
    </w:p>
    <w:p>
      <w:pPr>
        <w:pStyle w:val="Normal"/>
        <w:framePr w:w="2149" w:hAnchor="page" w:vAnchor="page" w:x="359" w:y="975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Sophie Zurquiyah</w:t>
      </w:r>
    </w:p>
    <w:p>
      <w:pPr>
        <w:pStyle w:val="Normal"/>
        <w:framePr w:w="1011" w:hAnchor="page" w:vAnchor="page" w:x="9236" w:y="973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44,137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975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922" w:hAnchor="page" w:vAnchor="page" w:x="359" w:y="936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John Yearwood</w:t>
      </w:r>
    </w:p>
    <w:p>
      <w:pPr>
        <w:pStyle w:val="Normal"/>
        <w:framePr w:w="1011" w:hAnchor="page" w:vAnchor="page" w:x="9236" w:y="935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86,147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936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796" w:hAnchor="page" w:vAnchor="page" w:x="359" w:y="898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Justin Rounce</w:t>
      </w:r>
    </w:p>
    <w:p>
      <w:pPr>
        <w:pStyle w:val="Normal"/>
        <w:framePr w:w="1138" w:hAnchor="page" w:vAnchor="page" w:x="9131" w:y="896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450,676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4</w:t>
      </w:r>
    </w:p>
    <w:p>
      <w:pPr>
        <w:pStyle w:val="Normal"/>
        <w:framePr w:w="317" w:hAnchor="page" w:vAnchor="page" w:x="11807" w:y="898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834" w:hAnchor="page" w:vAnchor="page" w:x="359" w:y="860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Kay G. Priestly</w:t>
      </w:r>
    </w:p>
    <w:p>
      <w:pPr>
        <w:pStyle w:val="Normal"/>
        <w:framePr w:w="1138" w:hAnchor="page" w:vAnchor="page" w:x="9131" w:y="858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101,765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860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2516" w:hAnchor="page" w:vAnchor="page" w:x="359" w:y="821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Douglas J. Pferdehirt</w:t>
      </w:r>
    </w:p>
    <w:p>
      <w:pPr>
        <w:pStyle w:val="Normal"/>
        <w:framePr w:w="1328" w:hAnchor="page" w:vAnchor="page" w:x="8973" w:y="820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3,272,041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4</w:t>
      </w:r>
    </w:p>
    <w:p>
      <w:pPr>
        <w:pStyle w:val="Normal"/>
        <w:framePr w:w="317" w:hAnchor="page" w:vAnchor="page" w:x="11807" w:y="821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2125" w:hAnchor="page" w:vAnchor="page" w:x="359" w:y="783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Margareth Øvrum</w:t>
      </w:r>
    </w:p>
    <w:p>
      <w:pPr>
        <w:pStyle w:val="Normal"/>
        <w:framePr w:w="1011" w:hAnchor="page" w:vAnchor="page" w:x="9236" w:y="781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53,275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783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682" w:hAnchor="page" w:vAnchor="page" w:x="359" w:y="744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John O’Leary</w:t>
      </w:r>
    </w:p>
    <w:p>
      <w:pPr>
        <w:pStyle w:val="Normal"/>
        <w:framePr w:w="1138" w:hAnchor="page" w:vAnchor="page" w:x="9131" w:y="743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106,204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744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695" w:hAnchor="page" w:vAnchor="page" w:x="359" w:y="706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Peter Mellbye</w:t>
      </w:r>
    </w:p>
    <w:p>
      <w:pPr>
        <w:pStyle w:val="Normal"/>
        <w:framePr w:w="1138" w:hAnchor="page" w:vAnchor="page" w:x="9131" w:y="704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103,597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706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176" w:hAnchor="page" w:vAnchor="page" w:x="359" w:y="668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Alf Melin</w:t>
      </w:r>
    </w:p>
    <w:p>
      <w:pPr>
        <w:pStyle w:val="Normal"/>
        <w:framePr w:w="1011" w:hAnchor="page" w:vAnchor="page" w:x="9236" w:y="666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66,355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4</w:t>
      </w:r>
    </w:p>
    <w:p>
      <w:pPr>
        <w:pStyle w:val="Normal"/>
        <w:framePr w:w="317" w:hAnchor="page" w:vAnchor="page" w:x="11807" w:y="668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720" w:hAnchor="page" w:vAnchor="page" w:x="359" w:y="62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Victoria Lazar</w:t>
      </w:r>
    </w:p>
    <w:p>
      <w:pPr>
        <w:pStyle w:val="Normal"/>
        <w:framePr w:w="442" w:hAnchor="page" w:vAnchor="page" w:x="9711" w:y="628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0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4</w:t>
      </w:r>
    </w:p>
    <w:p>
      <w:pPr>
        <w:pStyle w:val="Normal"/>
        <w:framePr w:w="317" w:hAnchor="page" w:vAnchor="page" w:x="11807" w:y="62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2099" w:hAnchor="page" w:vAnchor="page" w:x="359" w:y="591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Jonathan Landes</w:t>
      </w:r>
    </w:p>
    <w:p>
      <w:pPr>
        <w:pStyle w:val="Normal"/>
        <w:framePr w:w="1011" w:hAnchor="page" w:vAnchor="page" w:x="9236" w:y="58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62,125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4</w:t>
      </w:r>
    </w:p>
    <w:p>
      <w:pPr>
        <w:pStyle w:val="Normal"/>
        <w:framePr w:w="317" w:hAnchor="page" w:vAnchor="page" w:x="11807" w:y="591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884" w:hAnchor="page" w:vAnchor="page" w:x="359" w:y="552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Robert G. Gwin</w:t>
      </w:r>
    </w:p>
    <w:p>
      <w:pPr>
        <w:pStyle w:val="Normal"/>
        <w:framePr w:w="442" w:hAnchor="page" w:vAnchor="page" w:x="9711" w:y="551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0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552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2997" w:hAnchor="page" w:vAnchor="page" w:x="359" w:y="514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Eleazar de Carvalho Filho</w:t>
      </w:r>
    </w:p>
    <w:p>
      <w:pPr>
        <w:pStyle w:val="Normal"/>
        <w:framePr w:w="1138" w:hAnchor="page" w:vAnchor="page" w:x="9145" w:y="512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116,809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514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1872" w:hAnchor="page" w:vAnchor="page" w:x="359" w:y="476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9"/>
          <w:szCs w:val="19"/>
        </w:rPr>
        <w:t>Claire S. Farley</w:t>
      </w:r>
    </w:p>
    <w:p>
      <w:pPr>
        <w:pStyle w:val="Normal"/>
        <w:framePr w:w="1138" w:hAnchor="page" w:vAnchor="page" w:x="9145" w:y="474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147,113</w:t>
      </w:r>
      <w:r>
        <w:rPr>
          <w:rFonts w:ascii="TYIFDT+ArialMT" w:hAnsi="TYIFDT+ArialMT" w:fareast="TYIFDT+ArialMT" w:cs="TYIFDT+ArialMT"/>
          <w:color w:val="000000"/>
          <w:w w:val="100"/>
          <w:sz w:val="16"/>
          <w:szCs w:val="16"/>
        </w:rPr>
        <w:t>3</w:t>
      </w:r>
    </w:p>
    <w:p>
      <w:pPr>
        <w:pStyle w:val="Normal"/>
        <w:framePr w:w="317" w:hAnchor="page" w:vAnchor="page" w:x="11807" w:y="476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*</w:t>
      </w:r>
    </w:p>
    <w:p>
      <w:pPr>
        <w:pStyle w:val="Normal"/>
        <w:framePr w:w="848" w:hAnchor="page" w:vAnchor="page" w:x="359" w:y="437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Name</w:t>
      </w:r>
    </w:p>
    <w:p>
      <w:pPr>
        <w:pStyle w:val="Normal"/>
        <w:framePr w:w="1074" w:hAnchor="page" w:vAnchor="page" w:x="9184" w:y="436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6"/>
          <w:szCs w:val="16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Shares</w:t>
      </w:r>
      <w:r>
        <w:rPr>
          <w:rFonts w:ascii="WIPJFN+Arial-BoldMT" w:hAnsi="WIPJFN+Arial-BoldMT" w:fareast="WIPJFN+Arial-BoldMT" w:cs="WIPJFN+Arial-BoldMT"/>
          <w:color w:val="ffffff"/>
          <w:w w:val="100"/>
          <w:sz w:val="16"/>
          <w:szCs w:val="16"/>
        </w:rPr>
        <w:t>1</w:t>
      </w:r>
    </w:p>
    <w:p>
      <w:pPr>
        <w:pStyle w:val="Normal"/>
        <w:framePr w:w="2099" w:hAnchor="page" w:vAnchor="page" w:x="10308" w:y="436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6"/>
          <w:szCs w:val="16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9"/>
          <w:szCs w:val="19"/>
        </w:rPr>
        <w:t>Percent of Class</w:t>
      </w:r>
      <w:r>
        <w:rPr>
          <w:rFonts w:ascii="WIPJFN+Arial-BoldMT" w:hAnsi="WIPJFN+Arial-BoldMT" w:fareast="WIPJFN+Arial-BoldMT" w:cs="WIPJFN+Arial-BoldMT"/>
          <w:color w:val="ffffff"/>
          <w:w w:val="100"/>
          <w:sz w:val="16"/>
          <w:szCs w:val="16"/>
        </w:rPr>
        <w:t>2</w:t>
      </w:r>
    </w:p>
    <w:p>
      <w:pPr>
        <w:pStyle w:val="Normal"/>
        <w:framePr w:w="5932" w:hAnchor="page" w:vAnchor="page" w:x="274" w:y="386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Road, Newcastle upon Tyne, NE6 3PL, United Kingdom.</w:t>
      </w:r>
    </w:p>
    <w:p>
      <w:pPr>
        <w:pStyle w:val="Normal"/>
        <w:framePr w:w="14189" w:hAnchor="page" w:vAnchor="page" w:x="274" w:y="365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in the “Percent of Class” column in the table below. Unless otherwise indicated, the address of each person is Hadrian House, Wincomblee</w:t>
      </w:r>
    </w:p>
    <w:p>
      <w:pPr>
        <w:pStyle w:val="Normal"/>
        <w:framePr w:w="14020" w:hAnchor="page" w:vAnchor="page" w:x="274" w:y="34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all directors and executive officers as a group. No director or NEO beneficially owns more than 1% of our Ordinary Shares, as designated</w:t>
      </w:r>
    </w:p>
    <w:p>
      <w:pPr>
        <w:pStyle w:val="Normal"/>
        <w:framePr w:w="14214" w:hAnchor="page" w:vAnchor="page" w:x="274" w:y="322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The following table shows, as of March 6, 2023, the number of our Ordinary Shares beneficially owned by each of our NEOs, directors, and</w:t>
      </w:r>
    </w:p>
    <w:p>
      <w:pPr>
        <w:pStyle w:val="Normal"/>
        <w:framePr w:w="6594" w:hAnchor="page" w:vAnchor="page" w:x="274" w:y="2270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and Management</w:t>
      </w:r>
    </w:p>
    <w:p>
      <w:pPr>
        <w:pStyle w:val="Normal"/>
        <w:framePr w:w="7009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 xml:space="preserve">Beneficial Owners </w:t>
      </w:r>
    </w:p>
    <w:p>
      <w:pPr>
        <w:pStyle w:val="Normal"/>
        <w:framePr w:w="10724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Security Ownership of Certain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7pt;margin-top:1pt;z-index:-167617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12.7pt;margin-top:212.95pt;z-index:-16761760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69.7pt;margin-top:212.95pt;z-index:-16761756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498.45pt;margin-top:212.95pt;z-index:-16761752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12.7pt;margin-top:232.15pt;z-index:-16761748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69.7pt;margin-top:232.15pt;z-index:-16761744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98.45pt;margin-top:232.15pt;z-index:-16761740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12.7pt;margin-top:251.35pt;z-index:-16761736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369.7pt;margin-top:251.35pt;z-index:-16761732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98.45pt;margin-top:251.35pt;z-index:-16761728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12.7pt;margin-top:270.55pt;z-index:-16761724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69.7pt;margin-top:270.55pt;z-index:-16761720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498.45pt;margin-top:270.55pt;z-index:-16761716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12.7pt;margin-top:289.75pt;z-index:-16761712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369.7pt;margin-top:289.75pt;z-index:-16761708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498.45pt;margin-top:289.75pt;z-index:-16761704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12.7pt;margin-top:308.95pt;z-index:-16761700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69.7pt;margin-top:308.95pt;z-index:-16761696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498.45pt;margin-top:308.95pt;z-index:-16761692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12.7pt;margin-top:328.15pt;z-index:-16761688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69.7pt;margin-top:328.15pt;z-index:-16761684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98.45pt;margin-top:328.15pt;z-index:-16761680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12.7pt;margin-top:347.35pt;z-index:-16761676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369.7pt;margin-top:347.35pt;z-index:-16761672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498.45pt;margin-top:347.35pt;z-index:-16761668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12.7pt;margin-top:366.55pt;z-index:-16761664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369.7pt;margin-top:366.55pt;z-index:-16761660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498.45pt;margin-top:366.55pt;z-index:-16761656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12.7pt;margin-top:385.75pt;z-index:-16761652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369.7pt;margin-top:385.75pt;z-index:-16761648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498.45pt;margin-top:385.75pt;z-index:-16761644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12.7pt;margin-top:404.95pt;z-index:-16761640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369.7pt;margin-top:404.95pt;z-index:-16761636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498.45pt;margin-top:404.95pt;z-index:-16761632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12.7pt;margin-top:424.2pt;z-index:-16761628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369.7pt;margin-top:424.2pt;z-index:-16761624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498.45pt;margin-top:424.2pt;z-index:-16761620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12.7pt;margin-top:443.4pt;z-index:-16761616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69.7pt;margin-top:443.4pt;z-index:-16761612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498.45pt;margin-top:443.4pt;z-index:-16761608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12.7pt;margin-top:462.6pt;z-index:-16761604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369.7pt;margin-top:462.6pt;z-index:-16761600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98.45pt;margin-top:462.6pt;z-index:-16761596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12.7pt;margin-top:481.8pt;z-index:-16761592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369.7pt;margin-top:481.8pt;z-index:-16761588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498.45pt;margin-top:481.8pt;z-index:-16761584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12.7pt;margin-top:501pt;z-index:-16761580;width:359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369.7pt;margin-top:501pt;z-index:-16761576;width:1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498.45pt;margin-top:501pt;z-index:-16761572;width:100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498.45pt;margin-top:212.95pt;z-index:-16761568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369.7pt;margin-top:212.95pt;z-index:-16761564;width:2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12.7pt;margin-top:631.85pt;z-index:-1676156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</w:p>
    <w:p>
      <w:pPr>
        <w:pStyle w:val="Normal"/>
        <w:framePr w:w="1631" w:hAnchor="page" w:vAnchor="page" w:x="274" w:y="903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111 TechnipFMC</w:t>
      </w:r>
    </w:p>
    <w:p>
      <w:pPr>
        <w:pStyle w:val="Normal"/>
        <w:framePr w:w="7763" w:hAnchor="page" w:vAnchor="page" w:x="274" w:y="84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Directors’ Renumeration Policy were not timely filed, but were filed on April 1, 2022.</w:t>
      </w:r>
    </w:p>
    <w:p>
      <w:pPr>
        <w:pStyle w:val="Normal"/>
        <w:framePr w:w="14094" w:hAnchor="page" w:vAnchor="page" w:x="274" w:y="82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Øvrum, and Zurquiyah and Messrs. de Carvalho Filho, Mellbye, O’Leary, and Yearwood in 2022 relating to shares granted to our directors pursuant to our</w:t>
      </w:r>
    </w:p>
    <w:p>
      <w:pPr>
        <w:pStyle w:val="Normal"/>
        <w:framePr w:w="13592" w:hAnchor="page" w:vAnchor="page" w:x="274" w:y="80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Section 16(a) were not timely reported during the fiscal year ended December 31. 2022. Eight Form 4s required to be filed by Mses. Farley, Priestly,</w:t>
      </w:r>
    </w:p>
    <w:p>
      <w:pPr>
        <w:pStyle w:val="Normal"/>
        <w:framePr w:w="13533" w:hAnchor="page" w:vAnchor="page" w:x="274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forms filed and written representations provided by executive officers and directors, we believe that eight transactions required to be reported under</w:t>
      </w:r>
    </w:p>
    <w:p>
      <w:pPr>
        <w:pStyle w:val="Normal"/>
        <w:framePr w:w="13832" w:hAnchor="page" w:vAnchor="page" w:x="274" w:y="76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file reports of ownership and changes in ownership with the SEC and to provide us with copies of all such reports. Based solely upon a review of the</w:t>
      </w:r>
    </w:p>
    <w:p>
      <w:pPr>
        <w:pStyle w:val="Normal"/>
        <w:framePr w:w="14147" w:hAnchor="page" w:vAnchor="page" w:x="274" w:y="74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Section 16(a) of the Exchange Act requires our directors and executive officers, and persons who beneficially own more than 10% of our Ordinary Shares,</w:t>
      </w:r>
    </w:p>
    <w:p>
      <w:pPr>
        <w:pStyle w:val="Normal"/>
        <w:framePr w:w="6918" w:hAnchor="page" w:vAnchor="page" w:x="274" w:y="7046"/>
        <w:widowControl w:val="off"/>
        <w:autoSpaceDE w:val="off"/>
        <w:autoSpaceDN w:val="off"/>
        <w:spacing w:before="0" w:after="0" w:line="415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</w:pPr>
      <w:r>
        <w:rPr>
          <w:rFonts w:ascii="TYIFDT+ArialMT" w:hAnsi="TYIFDT+ArialMT" w:fareast="TYIFDT+ArialMT" w:cs="TYIFDT+ArialMT"/>
          <w:color w:val="481e6e"/>
          <w:w w:val="100"/>
          <w:sz w:val="40"/>
          <w:szCs w:val="40"/>
        </w:rPr>
        <w:t>Delinquent Section 16(a) Reports</w:t>
      </w:r>
    </w:p>
    <w:p>
      <w:pPr>
        <w:pStyle w:val="Normal"/>
        <w:framePr w:w="807" w:hAnchor="page" w:vAnchor="page" w:x="473" w:y="665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Shares.</w:t>
      </w:r>
    </w:p>
    <w:p>
      <w:pPr>
        <w:pStyle w:val="Normal"/>
        <w:framePr w:w="13854" w:hAnchor="page" w:vAnchor="page" w:x="274" w:y="648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(4)Based solely on a Schedule 13G/A filed with the SEC on February 14, 2023, T. Rowe Price Mid-Cap Value Fund, Inc. have sole voting power over 25,656,726 Ordinary</w:t>
      </w:r>
    </w:p>
    <w:p>
      <w:pPr>
        <w:pStyle w:val="Normal"/>
        <w:framePr w:w="4408" w:hAnchor="page" w:vAnchor="page" w:x="473" w:y="631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dispositive power with respect to 42,290,758 shares.</w:t>
      </w:r>
    </w:p>
    <w:p>
      <w:pPr>
        <w:pStyle w:val="Normal"/>
        <w:framePr w:w="13861" w:hAnchor="page" w:vAnchor="page" w:x="473" w:y="614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February 9, 2023. FMR LLC has sole voting power with respect to 42,290,585 shares and sole dispositive power with respect to 42,290,758 shares. Ms. Johnson has sole</w:t>
      </w:r>
    </w:p>
    <w:p>
      <w:pPr>
        <w:pStyle w:val="Normal"/>
        <w:framePr w:w="13779" w:hAnchor="page" w:vAnchor="page" w:x="274" w:y="597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(3)Based solely on a Schedule 13G filed by FMR LLC and Abigail P. Johnson, a Director and the Chairman and the Chief Executive Officer of FMR LLC, with the SEC on</w:t>
      </w:r>
    </w:p>
    <w:p>
      <w:pPr>
        <w:pStyle w:val="Normal"/>
        <w:framePr w:w="4802" w:hAnchor="page" w:vAnchor="page" w:x="473" w:y="580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sole dispositive power over 58,933,447, Ordinary Shares.</w:t>
      </w:r>
    </w:p>
    <w:p>
      <w:pPr>
        <w:pStyle w:val="Normal"/>
        <w:framePr w:w="13958" w:hAnchor="page" w:vAnchor="page" w:x="274" w:y="563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(2)Based solely on a Schedule 13G/A filed with the SEC on February 14, 2023, T. Rowe Price Associates, Inc. has sole voting power over 21,945,617 Ordinary Shares and</w:t>
      </w:r>
    </w:p>
    <w:p>
      <w:pPr>
        <w:pStyle w:val="Normal"/>
        <w:framePr w:w="12286" w:hAnchor="page" w:vAnchor="page" w:x="274" w:y="544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(1)The calculation of percentage of ownership of each listed beneficial owner is based on 441,308,014 Ordinary Shares outstanding on March 6, 2023.</w:t>
      </w:r>
    </w:p>
    <w:p>
      <w:pPr>
        <w:pStyle w:val="Normal"/>
        <w:framePr w:w="2128" w:hAnchor="page" w:vAnchor="page" w:x="331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Baltimore, MD 21202</w:t>
      </w:r>
    </w:p>
    <w:p>
      <w:pPr>
        <w:pStyle w:val="Normal"/>
        <w:framePr w:w="1889" w:hAnchor="page" w:vAnchor="page" w:x="331" w:y="49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 E. Pratt Street</w:t>
      </w:r>
    </w:p>
    <w:p>
      <w:pPr>
        <w:pStyle w:val="Normal"/>
        <w:framePr w:w="3870" w:hAnchor="page" w:vAnchor="page" w:x="331" w:y="47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T. Rowe Price Mid-Cap Value Fund, Inc.</w:t>
      </w:r>
    </w:p>
    <w:p>
      <w:pPr>
        <w:pStyle w:val="Normal"/>
        <w:framePr w:w="1306" w:hAnchor="page" w:vAnchor="page" w:x="9450" w:y="47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25,656,726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4</w:t>
      </w:r>
    </w:p>
    <w:p>
      <w:pPr>
        <w:pStyle w:val="Normal"/>
        <w:framePr w:w="671" w:hAnchor="page" w:vAnchor="page" w:x="11388" w:y="471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5.8%</w:t>
      </w:r>
    </w:p>
    <w:p>
      <w:pPr>
        <w:pStyle w:val="Normal"/>
        <w:framePr w:w="1889" w:hAnchor="page" w:vAnchor="page" w:x="331" w:y="43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Boston, MA 02210</w:t>
      </w:r>
    </w:p>
    <w:p>
      <w:pPr>
        <w:pStyle w:val="Normal"/>
        <w:framePr w:w="1980" w:hAnchor="page" w:vAnchor="page" w:x="331" w:y="405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245 Summer Street</w:t>
      </w:r>
    </w:p>
    <w:p>
      <w:pPr>
        <w:pStyle w:val="Normal"/>
        <w:framePr w:w="1137" w:hAnchor="page" w:vAnchor="page" w:x="331" w:y="37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FMR, LLC</w:t>
      </w:r>
    </w:p>
    <w:p>
      <w:pPr>
        <w:pStyle w:val="Normal"/>
        <w:framePr w:w="1306" w:hAnchor="page" w:vAnchor="page" w:x="9450" w:y="377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42,290,758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3</w:t>
      </w:r>
    </w:p>
    <w:p>
      <w:pPr>
        <w:pStyle w:val="Normal"/>
        <w:framePr w:w="671" w:hAnchor="page" w:vAnchor="page" w:x="11388" w:y="37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9.6%</w:t>
      </w:r>
    </w:p>
    <w:p>
      <w:pPr>
        <w:pStyle w:val="Normal"/>
        <w:framePr w:w="2128" w:hAnchor="page" w:vAnchor="page" w:x="331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Baltimore, MD 21202</w:t>
      </w:r>
    </w:p>
    <w:p>
      <w:pPr>
        <w:pStyle w:val="Normal"/>
        <w:framePr w:w="1889" w:hAnchor="page" w:vAnchor="page" w:x="331" w:y="31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100 E. Pratt Street</w:t>
      </w:r>
    </w:p>
    <w:p>
      <w:pPr>
        <w:pStyle w:val="Normal"/>
        <w:framePr w:w="2982" w:hAnchor="page" w:vAnchor="page" w:x="331" w:y="29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T. Rowe Price Associates, Inc.</w:t>
      </w:r>
    </w:p>
    <w:p>
      <w:pPr>
        <w:pStyle w:val="Normal"/>
        <w:framePr w:w="1306" w:hAnchor="page" w:vAnchor="page" w:x="9450" w:y="29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58,933,447</w:t>
      </w:r>
      <w:r>
        <w:rPr>
          <w:rFonts w:ascii="TYIFDT+ArialMT" w:hAnsi="TYIFDT+ArialMT" w:fareast="TYIFDT+ArialMT" w:cs="TYIFDT+ArialMT"/>
          <w:color w:val="000000"/>
          <w:w w:val="100"/>
          <w:sz w:val="14"/>
          <w:szCs w:val="14"/>
        </w:rPr>
        <w:t>2</w:t>
      </w:r>
    </w:p>
    <w:p>
      <w:pPr>
        <w:pStyle w:val="Normal"/>
        <w:framePr w:w="785" w:hAnchor="page" w:vAnchor="page" w:x="11293" w:y="292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13.4%</w:t>
      </w:r>
    </w:p>
    <w:p>
      <w:pPr>
        <w:pStyle w:val="Normal"/>
        <w:framePr w:w="4029" w:hAnchor="page" w:vAnchor="page" w:x="331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Name and Address of Beneficial Owner</w:t>
      </w:r>
    </w:p>
    <w:p>
      <w:pPr>
        <w:pStyle w:val="Normal"/>
        <w:framePr w:w="887" w:hAnchor="page" w:vAnchor="page" w:x="9813" w:y="26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Shares</w:t>
      </w:r>
    </w:p>
    <w:p>
      <w:pPr>
        <w:pStyle w:val="Normal"/>
        <w:framePr w:w="828" w:hAnchor="page" w:vAnchor="page" w:x="11242" w:y="25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Class</w:t>
      </w:r>
      <w:r>
        <w:rPr>
          <w:rFonts w:ascii="WIPJFN+Arial-BoldMT" w:hAnsi="WIPJFN+Arial-BoldMT" w:fareast="WIPJFN+Arial-BoldMT" w:cs="WIPJFN+Arial-BoldMT"/>
          <w:color w:val="ffffff"/>
          <w:w w:val="100"/>
          <w:sz w:val="14"/>
          <w:szCs w:val="14"/>
        </w:rPr>
        <w:t>1</w:t>
      </w:r>
    </w:p>
    <w:p>
      <w:pPr>
        <w:pStyle w:val="Normal"/>
        <w:framePr w:w="1206" w:hAnchor="page" w:vAnchor="page" w:x="10942" w:y="24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Percent of</w:t>
      </w:r>
    </w:p>
    <w:p>
      <w:pPr>
        <w:pStyle w:val="Normal"/>
        <w:framePr w:w="7901" w:hAnchor="page" w:vAnchor="page" w:x="274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Shares, based on information contained in Schedules 13G or 13D filed with the SEC.</w:t>
      </w:r>
    </w:p>
    <w:p>
      <w:pPr>
        <w:pStyle w:val="Normal"/>
        <w:framePr w:w="14216" w:hAnchor="page" w:vAnchor="page" w:x="274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table sets forth beneficial ownership information about persons or groups that own or have the right to acquire more than 5% of our Ordinary</w:t>
      </w:r>
    </w:p>
    <w:p>
      <w:pPr>
        <w:pStyle w:val="Normal"/>
        <w:framePr w:w="12699" w:hAnchor="page" w:vAnchor="page" w:x="274" w:y="135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(5)Includes, in the aggregate, stock options to purchase 1,087,848 Ordinary Shares that are currently exercisable by our NEOs and other executive officers.</w:t>
      </w:r>
    </w:p>
    <w:p>
      <w:pPr>
        <w:pStyle w:val="Normal"/>
        <w:framePr w:w="7450" w:hAnchor="page" w:vAnchor="page" w:x="473" w:y="1179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Mr. Rounce, 43,935 Ordinary Shares for Mr. Landes, and 0 Ordinary Shares for Ms. Lazar.</w:t>
      </w:r>
    </w:p>
    <w:p>
      <w:pPr>
        <w:pStyle w:val="Normal"/>
        <w:framePr w:w="13769" w:hAnchor="page" w:vAnchor="page" w:x="473" w:y="100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Shares included in item (ii), in the aggregate, amount to 2,221,190 Ordinary Shares for Mr. Pferdehirt, 52,595 Ordinary Shares for Mr. Melin, 369,390 Ordinary Shares for</w:t>
      </w:r>
    </w:p>
    <w:p>
      <w:pPr>
        <w:pStyle w:val="Normal"/>
        <w:framePr w:w="13442" w:hAnchor="page" w:vAnchor="page" w:x="473" w:y="83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Pferdehirt’s ownership includes 80,304 Ordinary Shares held by a family trust for the benefit of his children, and his spouse is trustee of the family trust. The Ordinary</w:t>
      </w:r>
    </w:p>
    <w:p>
      <w:pPr>
        <w:pStyle w:val="Normal"/>
        <w:framePr w:w="13270" w:hAnchor="page" w:vAnchor="page" w:x="274" w:y="6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(4)Includes: (i) Ordinary Shares owned by the individual; and (ii) Ordinary Shares subject to stock options that are exercisable within 60 days of March 6, 2023. Mr.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7pt;margin-top:1pt;z-index:-1676155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12.7pt;margin-top:116.2pt;z-index:-16761552;width:446.5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457.2pt;margin-top:116.2pt;z-index:-16761548;width:72.4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27.6pt;margin-top:116.2pt;z-index:-16761544;width:71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12.7pt;margin-top:129pt;z-index:-16761540;width:446.5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457.2pt;margin-top:129pt;z-index:-16761536;width:72.4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527.6pt;margin-top:129pt;z-index:-16761532;width:71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27.6pt;margin-top:269.85pt;z-index:-16761528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457.2pt;margin-top:269.85pt;z-index:-1676152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12.7pt;margin-top:269.85pt;z-index:-16761520;width:44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527.6pt;margin-top:230.7pt;z-index:-16761516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57.2pt;margin-top:230.7pt;z-index:-16761512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12.7pt;margin-top:230.7pt;z-index:-16761508;width:44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27.6pt;margin-top:184.5pt;z-index:-16761504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457.2pt;margin-top:184.5pt;z-index:-1676150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12.7pt;margin-top:184.5pt;z-index:-16761496;width:446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27.6pt;margin-top:129pt;z-index:-16761492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457.2pt;margin-top:129pt;z-index:-16761488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527.6pt;margin-top:116.2pt;z-index:-1676148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57.2pt;margin-top:116.2pt;z-index:-16761480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12.7pt;margin-top:467.55pt;z-index:-1676147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</w:p>
    <w:p>
      <w:pPr>
        <w:pStyle w:val="Normal"/>
        <w:framePr w:w="1631" w:hAnchor="page" w:vAnchor="page" w:x="274" w:y="948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112 TechnipFMC</w:t>
      </w:r>
    </w:p>
    <w:p>
      <w:pPr>
        <w:pStyle w:val="Normal"/>
        <w:framePr w:w="13533" w:hAnchor="page" w:vAnchor="page" w:x="274" w:y="884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Annual Meeting would include any statement that the Company has been required to publish in accordance with section 527 of the Companies Act</w:t>
      </w: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.</w:t>
      </w:r>
    </w:p>
    <w:p>
      <w:pPr>
        <w:pStyle w:val="Normal"/>
        <w:framePr w:w="14171" w:hAnchor="page" w:vAnchor="page" w:x="274" w:y="86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 ceasing to hold office since the previous meeting at which the annual accounts and reports were laid. The business that may be dealt with at the</w:t>
      </w:r>
    </w:p>
    <w:p>
      <w:pPr>
        <w:pStyle w:val="Normal"/>
        <w:framePr w:w="13860" w:hAnchor="page" w:vAnchor="page" w:x="274" w:y="84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auditor’s report and the conduct of the audit) that are to be laid before the Annual Meeting; or (ii) any circumstance connected with an auditor of the</w:t>
      </w:r>
    </w:p>
    <w:p>
      <w:pPr>
        <w:pStyle w:val="Normal"/>
        <w:framePr w:w="14174" w:hAnchor="page" w:vAnchor="page" w:x="274" w:y="82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expense, to require the Company to publish on its website a statement setting out any matter relating to: (i) the audit of the Company’s accounts (including</w:t>
      </w:r>
    </w:p>
    <w:p>
      <w:pPr>
        <w:pStyle w:val="Normal"/>
        <w:framePr w:w="13765" w:hAnchor="page" w:vAnchor="page" w:x="274" w:y="80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addition, under section 527 of the Companies Act, shareholders of record meeting the threshold requirements set out therein have the right, without</w:t>
      </w:r>
    </w:p>
    <w:p>
      <w:pPr>
        <w:pStyle w:val="Normal"/>
        <w:framePr w:w="9760" w:hAnchor="page" w:vAnchor="page" w:x="274" w:y="76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Please visit our website at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 xml:space="preserve">www.technipfmc.com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any changes to our principal headquarters address.</w:t>
      </w:r>
    </w:p>
    <w:p>
      <w:pPr>
        <w:pStyle w:val="Normal"/>
        <w:framePr w:w="10656" w:hAnchor="page" w:vAnchor="page" w:x="274" w:y="72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 the 2024 Annual Meeting or, if later, at the time notice of the annual general meeting is delivered to shareholders.</w:t>
      </w:r>
    </w:p>
    <w:p>
      <w:pPr>
        <w:pStyle w:val="Normal"/>
        <w:framePr w:w="14025" w:hAnchor="page" w:vAnchor="page" w:x="274" w:y="702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Hadrian House, Wincomblee Road, Newcastle upon Tyne, NE6 3PL, United Kingdom, Attention: Corporate Secretary, at least six weeks prior to the date</w:t>
      </w:r>
    </w:p>
    <w:p>
      <w:pPr>
        <w:pStyle w:val="Normal"/>
        <w:framePr w:w="14083" w:hAnchor="page" w:vAnchor="page" w:x="274" w:y="682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at the 2024 Annual Meeting. Provided that the appropriate thresholds are met, notice of the resolution or matter must be received by the Company at</w:t>
      </w:r>
    </w:p>
    <w:p>
      <w:pPr>
        <w:pStyle w:val="Normal"/>
        <w:framePr w:w="14117" w:hAnchor="page" w:vAnchor="page" w:x="274" w:y="662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Company to include: (i) a resolution in its notice of annual general meeting; or (ii) any matter (other than a proposed resolution) in the business to be dealt</w:t>
      </w:r>
    </w:p>
    <w:p>
      <w:pPr>
        <w:pStyle w:val="Normal"/>
        <w:framePr w:w="13423" w:hAnchor="page" w:vAnchor="page" w:x="274" w:y="64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sections 338 and 338A of the Companies Act, shareholders of record meeting the threshold requirements in those sections may require the</w:t>
      </w:r>
    </w:p>
    <w:p>
      <w:pPr>
        <w:pStyle w:val="Normal"/>
        <w:framePr w:w="5658" w:hAnchor="page" w:vAnchor="page" w:x="274" w:y="60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19 under the Exchange Act no later than February 28, 2024.</w:t>
      </w:r>
    </w:p>
    <w:p>
      <w:pPr>
        <w:pStyle w:val="Normal"/>
        <w:framePr w:w="14216" w:hAnchor="page" w:vAnchor="page" w:x="274" w:y="58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support of director nominees other than the Company’s nominees must provide notice to the Company that sets forth the information required by Rule 14a-</w:t>
      </w:r>
    </w:p>
    <w:p>
      <w:pPr>
        <w:pStyle w:val="Normal"/>
        <w:framePr w:w="14219" w:hAnchor="page" w:vAnchor="page" w:x="274" w:y="56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 to satisfying the foregoing requirements under our Articles, to comply with the universal proxy rules, shareholders who intend to solicit proxies in</w:t>
      </w:r>
    </w:p>
    <w:p>
      <w:pPr>
        <w:pStyle w:val="Normal"/>
        <w:framePr w:w="11748" w:hAnchor="page" w:vAnchor="page" w:x="274" w:y="52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writing to Hadrian House, Wincomblee Road, Newcastle upon Tyne, NE6 3PL, United Kingdom, Attention: Corporate Secretary.</w:t>
      </w:r>
    </w:p>
    <w:p>
      <w:pPr>
        <w:pStyle w:val="Normal"/>
        <w:framePr w:w="13947" w:hAnchor="page" w:vAnchor="page" w:x="274" w:y="50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(b) the 10th day following the day on which we first make a public announcement of the date of such meeting. A copy of our Articles may be obtained by</w:t>
      </w:r>
    </w:p>
    <w:p>
      <w:pPr>
        <w:pStyle w:val="Normal"/>
        <w:framePr w:w="13959" w:hAnchor="page" w:vAnchor="page" w:x="274" w:y="483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than the 120th day prior to such annual meeting and not later than the close of business on the later of: (a) the 90th day prior to such annual meeting; or</w:t>
      </w:r>
    </w:p>
    <w:p>
      <w:pPr>
        <w:pStyle w:val="Normal"/>
        <w:framePr w:w="13935" w:hAnchor="page" w:vAnchor="page" w:x="274" w:y="463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date of the annual meeting is more than 30 days before or more than 70 days after April 28, 2024, however, a shareholder must deliver notice no earlier</w:t>
      </w:r>
    </w:p>
    <w:p>
      <w:pPr>
        <w:pStyle w:val="Normal"/>
        <w:framePr w:w="14072" w:hAnchor="page" w:vAnchor="page" w:x="274" w:y="44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than January 29, 2024; provided, however, that the subject of the proposal must otherwise be a proper matter for shareholder action. In the event that the</w:t>
      </w:r>
    </w:p>
    <w:p>
      <w:pPr>
        <w:pStyle w:val="Normal"/>
        <w:framePr w:w="14048" w:hAnchor="page" w:vAnchor="page" w:x="27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forth the information specified in our Articles, to the Corporate Secretary at our principal executive offices no earlier than December 30, 2023 and no later</w:t>
      </w:r>
    </w:p>
    <w:p>
      <w:pPr>
        <w:pStyle w:val="Normal"/>
        <w:framePr w:w="14227" w:hAnchor="page" w:vAnchor="page" w:x="274" w:y="40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Meeting other than for inclusion in our 2024 Proxy Statement and form of proxy, our Articles require the shareholder to deliver written notice thereof, setting</w:t>
      </w:r>
    </w:p>
    <w:p>
      <w:pPr>
        <w:pStyle w:val="Normal"/>
        <w:framePr w:w="13582" w:hAnchor="page" w:vAnchor="page" w:x="274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Without prejudice to the rights of a shareholder of record under the Companies Act, if a shareholder wishes to submit a proposal at our 2024 Annual</w:t>
      </w:r>
    </w:p>
    <w:p>
      <w:pPr>
        <w:pStyle w:val="Normal"/>
        <w:framePr w:w="8219" w:hAnchor="page" w:vAnchor="page" w:x="27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Road, Newcastle upon Tyne, NE6 3PL, United Kingdom, Attention: Corporate Secretary.</w:t>
      </w:r>
    </w:p>
    <w:p>
      <w:pPr>
        <w:pStyle w:val="Normal"/>
        <w:framePr w:w="13982" w:hAnchor="page" w:vAnchor="page" w:x="274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must be in proper form, comply with Rule 14a-8 of the Exchange Act, and be received no later than November 18, 2023, at Hadrian House, Wincomblee</w:t>
      </w:r>
    </w:p>
    <w:p>
      <w:pPr>
        <w:pStyle w:val="Normal"/>
        <w:framePr w:w="14117" w:hAnchor="page" w:vAnchor="page" w:x="274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a shareholder wishes to submit a proposal for possible inclusion in our 2024 Proxy Statement and form of proxy for our 2024 Annual Meeting, the notice</w:t>
      </w:r>
    </w:p>
    <w:p>
      <w:pPr>
        <w:pStyle w:val="Normal"/>
        <w:framePr w:w="11812" w:hAnchor="page" w:vAnchor="page" w:x="274" w:y="2057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General Meeting of Shareholders</w:t>
      </w:r>
    </w:p>
    <w:p>
      <w:pPr>
        <w:pStyle w:val="Normal"/>
        <w:framePr w:w="10852" w:hAnchor="page" w:vAnchor="page" w:x="274" w:y="1274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Proposals for the 2024 Annual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7pt;margin-top:1pt;z-index:-16761472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12.7pt;margin-top:490.3pt;z-index:-167614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</w:p>
    <w:p>
      <w:pPr>
        <w:pStyle w:val="Normal"/>
        <w:framePr w:w="1631" w:hAnchor="page" w:vAnchor="page" w:x="274" w:y="506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113 TechnipFMC</w:t>
      </w:r>
    </w:p>
    <w:p>
      <w:pPr>
        <w:pStyle w:val="Normal"/>
        <w:framePr w:w="4930" w:hAnchor="page" w:vAnchor="page" w:x="274" w:y="44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nominee to request information about householding.</w:t>
      </w:r>
    </w:p>
    <w:p>
      <w:pPr>
        <w:pStyle w:val="Normal"/>
        <w:framePr w:w="13776" w:hAnchor="page" w:vAnchor="page" w:x="274" w:y="42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number of brokerage firms have instituted householding. If you hold your Ordinary Shares in street name, please contact your bank, broker, or other</w:t>
      </w:r>
    </w:p>
    <w:p>
      <w:pPr>
        <w:pStyle w:val="Normal"/>
        <w:framePr w:w="3290" w:hAnchor="page" w:vAnchor="page" w:x="274" w:y="38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number and address listed above.</w:t>
      </w:r>
    </w:p>
    <w:p>
      <w:pPr>
        <w:pStyle w:val="Normal"/>
        <w:framePr w:w="13946" w:hAnchor="page" w:vAnchor="page" w:x="274" w:y="363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receiving multiple copies of our Proxy Materials and wish to receive only one copy for your household, please contact Broadridge at the same telephone</w:t>
      </w:r>
    </w:p>
    <w:p>
      <w:pPr>
        <w:pStyle w:val="Normal"/>
        <w:framePr w:w="14155" w:hAnchor="page" w:vAnchor="page" w:x="27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1061, or by writing to Broadridge Financial Solutions, Inc., Householding Department, 51 Mercedes Way, Edgewood, New York 11717. If you are currently</w:t>
      </w:r>
    </w:p>
    <w:p>
      <w:pPr>
        <w:pStyle w:val="Normal"/>
        <w:framePr w:w="14162" w:hAnchor="page" w:vAnchor="page" w:x="274" w:y="32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householding in the future, please contact Broadridge Investor Communication Services (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“Broadridge”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), our proxy distributor, by calling toll-free 800-542-</w:t>
      </w:r>
    </w:p>
    <w:p>
      <w:pPr>
        <w:pStyle w:val="Normal"/>
        <w:framePr w:w="13479" w:hAnchor="page" w:vAnchor="page" w:x="274" w:y="30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single copies of those documents were delivered. If you would like to request separate copies of the Proxy Materials or do not wish to participate in</w:t>
      </w:r>
    </w:p>
    <w:p>
      <w:pPr>
        <w:pStyle w:val="Normal"/>
        <w:framePr w:w="14185" w:hAnchor="page" w:vAnchor="page" w:x="274" w:y="28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 will promptly deliver, upon written or oral request, individual copies of the Proxy Materials to any shareholder at the shared address to which</w:t>
      </w:r>
    </w:p>
    <w:p>
      <w:pPr>
        <w:pStyle w:val="Normal"/>
        <w:framePr w:w="10063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Belief of sustainability by reducing wasteful duplicate mailings, as well as printing and mailing costs and fees.</w:t>
      </w:r>
    </w:p>
    <w:p>
      <w:pPr>
        <w:pStyle w:val="Normal"/>
        <w:framePr w:w="13953" w:hAnchor="page" w:vAnchor="page" w:x="274" w:y="224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card or voting instruction card. We believe this procedure provides greater convenience to our shareholders and reinforces the Company’s Foundational</w:t>
      </w:r>
    </w:p>
    <w:p>
      <w:pPr>
        <w:pStyle w:val="Normal"/>
        <w:framePr w:w="14003" w:hAnchor="page" w:vAnchor="page" w:x="274" w:y="20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at that address notifies us that they wish to continue receiving individual copies. Each shareholder will continue to receive a separate proxy</w:t>
      </w:r>
    </w:p>
    <w:p>
      <w:pPr>
        <w:pStyle w:val="Normal"/>
        <w:framePr w:w="13216" w:hAnchor="page" w:vAnchor="page" w:x="274" w:y="18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name and do not participate in electronic delivery of Proxy Materials will receive only one copy of our Proxy Materials, unless one or more of the</w:t>
      </w:r>
    </w:p>
    <w:p>
      <w:pPr>
        <w:pStyle w:val="Normal"/>
        <w:framePr w:w="13682" w:hAnchor="page" w:vAnchor="page" w:x="274" w:y="16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 have adopted a procedure approved by the SEC called “householding.” Under this procedure, shareholders who have the same address and last</w:t>
      </w:r>
    </w:p>
    <w:p>
      <w:pPr>
        <w:pStyle w:val="Normal"/>
        <w:framePr w:w="12021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Shareholders Sharing an Address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7pt;margin-top:1pt;z-index:-167614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12.7pt;margin-top:269.1pt;z-index:-1676146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</w:p>
    <w:p>
      <w:pPr>
        <w:pStyle w:val="Normal"/>
        <w:framePr w:w="1631" w:hAnchor="page" w:vAnchor="page" w:x="274" w:y="9671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114 TechnipFMC</w:t>
      </w:r>
    </w:p>
    <w:p>
      <w:pPr>
        <w:pStyle w:val="Normal"/>
        <w:framePr w:w="11858" w:hAnchor="page" w:vAnchor="page" w:x="615" w:y="90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your home or business. To request electronic delivery, please follow the instructions on your proxy card or voting instruction card.</w:t>
      </w:r>
    </w:p>
    <w:p>
      <w:pPr>
        <w:pStyle w:val="Normal"/>
        <w:framePr w:w="13524" w:hAnchor="page" w:vAnchor="page" w:x="615" w:y="88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internet links to these documents. Opting to receive all future Proxy Materials online will conserve resources in producing and mailing documents to</w:t>
      </w:r>
    </w:p>
    <w:p>
      <w:pPr>
        <w:pStyle w:val="Normal"/>
        <w:framePr w:w="13643" w:hAnchor="page" w:vAnchor="page" w:x="615" w:y="86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request is submitted to change delivery methods. You can eliminate all such paper mailings in the future by electing to receive an email that provides</w:t>
      </w:r>
    </w:p>
    <w:p>
      <w:pPr>
        <w:pStyle w:val="Normal"/>
        <w:framePr w:w="13102" w:hAnchor="page" w:vAnchor="page" w:x="615" w:y="847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Materials will not receive the Notice of Materials. Instead, such shareholders will continue to receive a paper copy of the Proxy Materials until a</w:t>
      </w:r>
    </w:p>
    <w:p>
      <w:pPr>
        <w:pStyle w:val="Normal"/>
        <w:framePr w:w="13860" w:hAnchor="page" w:vAnchor="page" w:x="430" w:y="82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Paper Copy of Proxy Materials with Proxy Card: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All shareholders of record and shareholders who previously requested paper copies of the Proxy</w:t>
      </w:r>
    </w:p>
    <w:p>
      <w:pPr>
        <w:pStyle w:val="Normal"/>
        <w:framePr w:w="11319" w:hAnchor="page" w:vAnchor="page" w:x="615" w:y="78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Notice of Materials in the mail. You should have received an email with links to the Proxy Materials and online proxy voting.</w:t>
      </w:r>
    </w:p>
    <w:p>
      <w:pPr>
        <w:pStyle w:val="Normal"/>
        <w:framePr w:w="13813" w:hAnchor="page" w:vAnchor="page" w:x="430" w:y="76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Email Access to Proxy Materials: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Shareholders who previously elected to receive notice of access to Proxy Materials via email will not receive the</w:t>
      </w:r>
    </w:p>
    <w:p>
      <w:pPr>
        <w:pStyle w:val="Normal"/>
        <w:framePr w:w="8298" w:hAnchor="page" w:vAnchor="page" w:x="274" w:y="72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Proxy Materials by mail or an electronic copy of the Proxy Materials by email (see below).</w:t>
      </w:r>
    </w:p>
    <w:p>
      <w:pPr>
        <w:pStyle w:val="Normal"/>
        <w:framePr w:w="13873" w:hAnchor="page" w:vAnchor="page" w:x="274" w:y="70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Materials by mail or email will remain in effect until you revoke it. Shareholders who do not receive a Notice of Materials will receive a paper copy of the</w:t>
      </w:r>
    </w:p>
    <w:p>
      <w:pPr>
        <w:pStyle w:val="Normal"/>
        <w:framePr w:w="14081" w:hAnchor="page" w:vAnchor="page" w:x="274" w:y="68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email copy of our Proxy Materials, you should follow the instructions for requesting such materials in the Notice of Materials. Any request to receive Proxy</w:t>
      </w:r>
    </w:p>
    <w:p>
      <w:pPr>
        <w:pStyle w:val="Normal"/>
        <w:framePr w:w="14332" w:hAnchor="page" w:vAnchor="page" w:x="274" w:y="66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Materials at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>www.proxyvote.com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Such notice also instructs you on how you may submit your proxy on the internet. If you would like to receive a paper or</w:t>
      </w:r>
    </w:p>
    <w:p>
      <w:pPr>
        <w:pStyle w:val="Normal"/>
        <w:framePr w:w="13479" w:hAnchor="page" w:vAnchor="page" w:x="274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which was mailed to most of our shareholders beginning on or about March 17, 2023, will instruct you on how to access and review all of the Proxy</w:t>
      </w:r>
    </w:p>
    <w:p>
      <w:pPr>
        <w:pStyle w:val="Normal"/>
        <w:framePr w:w="13809" w:hAnchor="page" w:vAnchor="page" w:x="274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Notice and Access: Most shareholders will not receive printed copies of the Proxy Materials unless they request them. Instead, the Notice of Materials,</w:t>
      </w:r>
    </w:p>
    <w:p>
      <w:pPr>
        <w:pStyle w:val="Normal"/>
        <w:framePr w:w="5304" w:hAnchor="page" w:vAnchor="page" w:x="274" w:y="58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receive our Proxy Materials in one of the following ways:</w:t>
      </w:r>
    </w:p>
    <w:p>
      <w:pPr>
        <w:pStyle w:val="Normal"/>
        <w:framePr w:w="13866" w:hAnchor="page" w:vAnchor="page" w:x="274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furnish Proxy Materials to our shareholders by providing access to such documents on the internet instead of mailing printed copies. Shareholders may</w:t>
      </w:r>
    </w:p>
    <w:p>
      <w:pPr>
        <w:pStyle w:val="Normal"/>
        <w:framePr w:w="13820" w:hAnchor="page" w:vAnchor="page" w:x="274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 utilizes the “Notice and Access” method of providing the Proxy Materials to shareholders. With “Notice and Access,” we are permitted to</w:t>
      </w:r>
    </w:p>
    <w:p>
      <w:pPr>
        <w:pStyle w:val="Normal"/>
        <w:framePr w:w="6709" w:hAnchor="page" w:vAnchor="page" w:x="274" w:y="516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How will the Company distribute Proxy Materials?</w:t>
      </w:r>
    </w:p>
    <w:p>
      <w:pPr>
        <w:pStyle w:val="Normal"/>
        <w:framePr w:w="7787" w:hAnchor="page" w:vAnchor="page" w:x="274" w:y="47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someone as your proxy in a written document, that document is called a proxy card.</w:t>
      </w:r>
    </w:p>
    <w:p>
      <w:pPr>
        <w:pStyle w:val="Normal"/>
        <w:framePr w:w="13662" w:hAnchor="page" w:vAnchor="page" w:x="274" w:y="45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proxy is: (a) your legal designation to another person to vote the Ordinary Shares that you own; and (b) the term for such designee. If you delegate</w:t>
      </w:r>
    </w:p>
    <w:p>
      <w:pPr>
        <w:pStyle w:val="Normal"/>
        <w:framePr w:w="2445" w:hAnchor="page" w:vAnchor="page" w:x="274" w:y="4257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is a proxy?</w:t>
      </w:r>
    </w:p>
    <w:p>
      <w:pPr>
        <w:pStyle w:val="Normal"/>
        <w:framePr w:w="12318" w:hAnchor="page" w:vAnchor="page" w:x="274" w:y="38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provide to shareholders to ensure shareholders can make informed decisions about the matters to be voted on at the Annual Meeting.</w:t>
      </w:r>
    </w:p>
    <w:p>
      <w:pPr>
        <w:pStyle w:val="Normal"/>
        <w:framePr w:w="13765" w:hAnchor="page" w:vAnchor="page" w:x="274" w:y="36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proxy statement is a document that the rules and regulations of the United States, including those promulgated by the SEC, require the Company to</w:t>
      </w:r>
    </w:p>
    <w:p>
      <w:pPr>
        <w:pStyle w:val="Normal"/>
        <w:framePr w:w="3801" w:hAnchor="page" w:vAnchor="page" w:x="274" w:y="336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is a proxy statement?</w:t>
      </w:r>
    </w:p>
    <w:p>
      <w:pPr>
        <w:pStyle w:val="Normal"/>
        <w:framePr w:w="10702" w:hAnchor="page" w:vAnchor="page" w:x="274" w:y="294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3PL, United Kingdom, or at such other time and place to which the Annual Meeting may be adjourned or postponed.</w:t>
      </w:r>
    </w:p>
    <w:p>
      <w:pPr>
        <w:pStyle w:val="Normal"/>
        <w:framePr w:w="13851" w:hAnchor="page" w:vAnchor="page" w:x="274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Annual Meeting will be held on Friday, April 28, 2023 at 4:00 p.m., London time, at Hadrian House, Wincomblee Road, Newcastle upon Tyne, NE6</w:t>
      </w:r>
    </w:p>
    <w:p>
      <w:pPr>
        <w:pStyle w:val="Normal"/>
        <w:framePr w:w="5909" w:hAnchor="page" w:vAnchor="page" w:x="274" w:y="245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is the location of the Annual Meeting?</w:t>
      </w:r>
    </w:p>
    <w:p>
      <w:pPr>
        <w:pStyle w:val="Normal"/>
        <w:framePr w:w="3420" w:hAnchor="page" w:vAnchor="page" w:x="274" w:y="1488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Meeting</w:t>
      </w:r>
    </w:p>
    <w:p>
      <w:pPr>
        <w:pStyle w:val="Normal"/>
        <w:framePr w:w="13274" w:hAnchor="page" w:vAnchor="page" w:x="274" w:y="706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General Information about the Annual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7pt;margin-top:1pt;z-index:-16761456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12.7pt;margin-top:499.55pt;z-index:-1676145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</w:p>
    <w:p>
      <w:pPr>
        <w:pStyle w:val="Normal"/>
        <w:framePr w:w="1631" w:hAnchor="page" w:vAnchor="page" w:x="274" w:y="962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115 TechnipFMC</w:t>
      </w:r>
    </w:p>
    <w:p>
      <w:pPr>
        <w:pStyle w:val="Normal"/>
        <w:framePr w:w="12530" w:hAnchor="page" w:vAnchor="page" w:x="274" w:y="90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As summarized below, there are some differences between Ordinary Shares held of record and those owned beneficially in street name.</w:t>
      </w:r>
    </w:p>
    <w:p>
      <w:pPr>
        <w:pStyle w:val="Normal"/>
        <w:framePr w:w="2565" w:hAnchor="page" w:vAnchor="page" w:x="274" w:y="8496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beneficial owner?</w:t>
      </w:r>
    </w:p>
    <w:p>
      <w:pPr>
        <w:pStyle w:val="Normal"/>
        <w:framePr w:w="12133" w:hAnchor="page" w:vAnchor="page" w:x="274" w:y="8197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is the difference between holding Ordinary Shares as a shareholder of record and as a</w:t>
      </w:r>
    </w:p>
    <w:p>
      <w:pPr>
        <w:pStyle w:val="Normal"/>
        <w:framePr w:w="2994" w:hAnchor="page" w:vAnchor="page" w:x="274" w:y="777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present at the Annual Meeting.</w:t>
      </w:r>
    </w:p>
    <w:p>
      <w:pPr>
        <w:pStyle w:val="Normal"/>
        <w:framePr w:w="13514" w:hAnchor="page" w:vAnchor="page" w:x="274" w:y="75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during ordinary business hours. This list will also be available at the location of the Annual Meeting and open to the examination of any shareholder</w:t>
      </w:r>
    </w:p>
    <w:p>
      <w:pPr>
        <w:pStyle w:val="Normal"/>
        <w:framePr w:w="14022" w:hAnchor="page" w:vAnchor="page" w:x="274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for a period of ten days prior to the Annual Meeting at our office at Hadrian House, Wincomblee Road, Newcastle upon Tyne, NE6 3PL, United Kingdom,</w:t>
      </w:r>
    </w:p>
    <w:p>
      <w:pPr>
        <w:pStyle w:val="Normal"/>
        <w:framePr w:w="14197" w:hAnchor="page" w:vAnchor="page" w:x="274" w:y="71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complete list of shareholders of record entitled to vote will be open to the examination of any shareholder for any purpose relevant to the Annual Meeting</w:t>
      </w:r>
    </w:p>
    <w:p>
      <w:pPr>
        <w:pStyle w:val="Normal"/>
        <w:framePr w:w="3209" w:hAnchor="page" w:vAnchor="page" w:x="274" w:y="67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Services plc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Computershare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</w:t>
      </w:r>
    </w:p>
    <w:p>
      <w:pPr>
        <w:pStyle w:val="Normal"/>
        <w:framePr w:w="13649" w:hAnchor="page" w:vAnchor="page" w:x="274" w:y="65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seniority determined by the order in which the names of the holders appear in the register of members of our transfer agent, Computershare Investor</w:t>
      </w:r>
    </w:p>
    <w:p>
      <w:pPr>
        <w:pStyle w:val="Normal"/>
        <w:framePr w:w="13799" w:hAnchor="page" w:vAnchor="page" w:x="274" w:y="638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the case of joint holders, the vote of the senior holder who submits a vote will be accepted to the exclusion of the vote of the other joint holders, with</w:t>
      </w:r>
    </w:p>
    <w:p>
      <w:pPr>
        <w:pStyle w:val="Normal"/>
        <w:framePr w:w="9016" w:hAnchor="page" w:vAnchor="page" w:x="274" w:y="59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present it to the inspector of elections, together with his or her voting card, at the Annual Meeting.</w:t>
      </w:r>
    </w:p>
    <w:p>
      <w:pPr>
        <w:pStyle w:val="Normal"/>
        <w:framePr w:w="14072" w:hAnchor="page" w:vAnchor="page" w:x="274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beneficial owner who would like to vote in person at the Annual Meeting must obtain a legal proxy from his or her bank, broker, or other nominee and</w:t>
      </w:r>
    </w:p>
    <w:p>
      <w:pPr>
        <w:pStyle w:val="Normal"/>
        <w:framePr w:w="11726" w:hAnchor="page" w:vAnchor="page" w:x="274" w:y="53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same powers on behalf of the corporation as that corporation could exercise if it was an individual shareholder of the Company.</w:t>
      </w:r>
    </w:p>
    <w:p>
      <w:pPr>
        <w:pStyle w:val="Normal"/>
        <w:framePr w:w="14221" w:hAnchor="page" w:vAnchor="page" w:x="274" w:y="51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Annual Meeting, and such authorized person will (on production of a certified copy of such resolution at the Annual Meeting) be entitled to exercise the</w:t>
      </w:r>
    </w:p>
    <w:p>
      <w:pPr>
        <w:pStyle w:val="Normal"/>
        <w:framePr w:w="14229" w:hAnchor="page" w:vAnchor="page" w:x="274" w:y="49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corporate or institutional shareholder may, by resolution of its articles or other governing body, authorize another person to act as its representative at</w:t>
      </w:r>
    </w:p>
    <w:p>
      <w:pPr>
        <w:pStyle w:val="Normal"/>
        <w:framePr w:w="3814" w:hAnchor="page" w:vAnchor="page" w:x="274" w:y="45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Shares outstanding and entitled to vote.</w:t>
      </w:r>
    </w:p>
    <w:p>
      <w:pPr>
        <w:pStyle w:val="Normal"/>
        <w:framePr w:w="13959" w:hAnchor="page" w:vAnchor="page" w:x="274" w:y="43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applicable law and/or the Articles, you will have one vote for each Ordinary Share per proposal. As of March 6, 2023, we had 441,308,014 Ordinary</w:t>
      </w:r>
    </w:p>
    <w:p>
      <w:pPr>
        <w:pStyle w:val="Normal"/>
        <w:framePr w:w="14023" w:hAnchor="page" w:vAnchor="page" w:x="274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below for an explanation of the difference between a shareholder of record and a beneficial owner. Unless otherwise restricted from voting in accordance</w:t>
      </w:r>
    </w:p>
    <w:p>
      <w:pPr>
        <w:pStyle w:val="Normal"/>
        <w:framePr w:w="14174" w:hAnchor="page" w:vAnchor="page" w:x="274" w:y="39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March 6, 2023 Record Date is applicable to beneficial owners, as the CA Record Date only applies to shareholders of record. Please see the question</w:t>
      </w:r>
    </w:p>
    <w:p>
      <w:pPr>
        <w:pStyle w:val="Normal"/>
        <w:framePr w:w="7320" w:hAnchor="page" w:vAnchor="page" w:x="274" w:y="35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time, on April 26, 2023, to vote at the Annual Meeting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CA Record Date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</w:t>
      </w:r>
    </w:p>
    <w:p>
      <w:pPr>
        <w:pStyle w:val="Normal"/>
        <w:framePr w:w="13913" w:hAnchor="page" w:vAnchor="page" w:x="274" w:y="336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Shares as of March 6, 2023 (the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Record Date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”). In addition, provisions under the Companies Act allow shareholders of record as of 4:00 p.m., London</w:t>
      </w:r>
    </w:p>
    <w:p>
      <w:pPr>
        <w:pStyle w:val="Normal"/>
        <w:framePr w:w="13814" w:hAnchor="page" w:vAnchor="page" w:x="274" w:y="31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 can vote at the Annual Meeting or any adjournment or postponement thereof if you are a shareholder of record or beneficial owner of our Ordinary</w:t>
      </w:r>
    </w:p>
    <w:p>
      <w:pPr>
        <w:pStyle w:val="Normal"/>
        <w:framePr w:w="6225" w:hAnchor="page" w:vAnchor="page" w:x="274" w:y="2849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Who is entitled to vote at the Annual Meeting?</w:t>
      </w:r>
    </w:p>
    <w:p>
      <w:pPr>
        <w:pStyle w:val="Normal"/>
        <w:framePr w:w="10143" w:hAnchor="page" w:vAnchor="page" w:x="274" w:y="242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website is not a part of this Proxy Statement and is not incorporated into any of our filings made with the SEC.</w:t>
      </w:r>
    </w:p>
    <w:p>
      <w:pPr>
        <w:pStyle w:val="Normal"/>
        <w:framePr w:w="14162" w:hAnchor="page" w:vAnchor="page" w:x="274" w:y="22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submitted to Hadrian House, Wincomblee Road, Newcastle upon Tyne, NE6 3PL, United Kingdom, Attention: Corporate Secretary. The information on our</w:t>
      </w:r>
    </w:p>
    <w:p>
      <w:pPr>
        <w:pStyle w:val="Normal"/>
        <w:framePr w:w="13844" w:hAnchor="page" w:vAnchor="page" w:x="274" w:y="203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QFTFTF+Arial-ItalicMT" w:hAnsi="QFTFTF+Arial-ItalicMT" w:fareast="QFTFTF+Arial-ItalicMT" w:cs="QFTFTF+Arial-ItalicMT"/>
          <w:color w:val="000053"/>
          <w:w w:val="100"/>
          <w:sz w:val="17"/>
          <w:szCs w:val="17"/>
        </w:rPr>
        <w:t xml:space="preserve">www.technipfmc.com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heading “About us.” These materials are also available in print, free of charge, to any shareholder upon written request</w:t>
      </w:r>
    </w:p>
    <w:p>
      <w:pPr>
        <w:pStyle w:val="Normal"/>
        <w:framePr w:w="14128" w:hAnchor="page" w:vAnchor="page" w:x="274" w:y="18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Compensation and Talent Committee, and ESG Committee, and other corporate governance and sustainability information are available on our website at</w:t>
      </w:r>
    </w:p>
    <w:p>
      <w:pPr>
        <w:pStyle w:val="Normal"/>
        <w:framePr w:w="13942" w:hAnchor="page" w:vAnchor="page" w:x="274" w:y="163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Our Governance Guidelines, our Code of Business Conduct (including our Core Values and Foundational Beliefs), the charters for our Audit Committee,</w:t>
      </w:r>
    </w:p>
    <w:p>
      <w:pPr>
        <w:pStyle w:val="Normal"/>
        <w:framePr w:w="8742" w:hAnchor="page" w:vAnchor="page" w:x="274" w:y="134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Where can I find governance documents related to the Company?</w:t>
      </w:r>
    </w:p>
    <w:p>
      <w:pPr>
        <w:pStyle w:val="Normal"/>
        <w:framePr w:w="5453" w:hAnchor="page" w:vAnchor="page" w:x="274" w:y="9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Shareholders’ meeting” as well as at </w:t>
      </w:r>
      <w:r>
        <w:rPr>
          <w:rFonts w:ascii="QFTFTF+Arial-ItalicMT" w:hAnsi="QFTFTF+Arial-ItalicMT" w:fareast="QFTFTF+Arial-ItalicMT" w:cs="QFTFTF+Arial-ItalicMT"/>
          <w:color w:val="000053"/>
          <w:w w:val="100"/>
          <w:sz w:val="17"/>
          <w:szCs w:val="17"/>
        </w:rPr>
        <w:t>www.proxyvote.com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</w:t>
      </w:r>
    </w:p>
    <w:p>
      <w:pPr>
        <w:pStyle w:val="Normal"/>
        <w:framePr w:w="13105" w:hAnchor="page" w:vAnchor="page" w:x="274" w:y="6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Proxy Materials will also be made available on our website at </w:t>
      </w:r>
      <w:r>
        <w:rPr>
          <w:rFonts w:ascii="QFTFTF+Arial-ItalicMT" w:hAnsi="QFTFTF+Arial-ItalicMT" w:fareast="QFTFTF+Arial-ItalicMT" w:cs="QFTFTF+Arial-ItalicMT"/>
          <w:color w:val="000053"/>
          <w:w w:val="100"/>
          <w:sz w:val="17"/>
          <w:szCs w:val="17"/>
        </w:rPr>
        <w:t xml:space="preserve">www.technipfmc.com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under the heading “Investors &gt; Events and presentations &gt;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7pt;margin-top:1pt;z-index:-1676144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12.7pt;margin-top:497.4pt;z-index:-1676144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</w:p>
    <w:p>
      <w:pPr>
        <w:pStyle w:val="Normal"/>
        <w:framePr w:w="1631" w:hAnchor="page" w:vAnchor="page" w:x="274" w:y="99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116 TechnipFMC</w:t>
      </w:r>
    </w:p>
    <w:p>
      <w:pPr>
        <w:pStyle w:val="Normal"/>
        <w:framePr w:w="9683" w:hAnchor="page" w:vAnchor="page" w:x="274" w:y="92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MAY BE UNABLE TO ADMIT YOU TO ATTEND THE ANNUAL MEETING ON SECURITY GROUNDS.</w:t>
      </w:r>
    </w:p>
    <w:p>
      <w:pPr>
        <w:pStyle w:val="Normal"/>
        <w:framePr w:w="13841" w:hAnchor="page" w:vAnchor="page" w:x="274" w:y="90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PHOTO IDENTIFICATION, AND COMPLY WITH THE OTHER PROCEDURES OUTLINED ABOVE FOR ATTENDING THE ANNUAL MEETING, WE</w:t>
      </w:r>
    </w:p>
    <w:p>
      <w:pPr>
        <w:pStyle w:val="Normal"/>
        <w:framePr w:w="14163" w:hAnchor="page" w:vAnchor="page" w:x="274" w:y="88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IF YOU DO NOT CONFIRM YOUR ATTENDANCE TO THE ANNUAL MEETING, APPLY FOR, AND PROVIDE AN ADMISSION TICKET, SHOW VALID</w:t>
      </w:r>
    </w:p>
    <w:p>
      <w:pPr>
        <w:pStyle w:val="Normal"/>
        <w:framePr w:w="8994" w:hAnchor="page" w:vAnchor="page" w:x="274" w:y="84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devices, large bags, briefcases, or packages will be permitted into the meeting or adjacent areas.</w:t>
      </w:r>
    </w:p>
    <w:p>
      <w:pPr>
        <w:pStyle w:val="Normal"/>
        <w:framePr w:w="13831" w:hAnchor="page" w:vAnchor="page" w:x="274" w:y="82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 prepared to comply with security requirements, which may include security guards searching all bags. No cameras, recording equipment, electronic</w:t>
      </w:r>
    </w:p>
    <w:p>
      <w:pPr>
        <w:pStyle w:val="Normal"/>
        <w:framePr w:w="13411" w:hAnchor="page" w:vAnchor="page" w:x="274" w:y="7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Arrive shortly after 3:00 p.m., London time, to ensure that you are seated by the commencement of the Annual Meeting at 4:00 p.m., London time.</w:t>
      </w:r>
    </w:p>
    <w:p>
      <w:pPr>
        <w:pStyle w:val="Normal"/>
        <w:framePr w:w="13389" w:hAnchor="page" w:vAnchor="page" w:x="274" w:y="74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Due to space constraints and other security considerations, we are not able to admit the guests of either shareholders or their legal proxy holders.</w:t>
      </w:r>
    </w:p>
    <w:p>
      <w:pPr>
        <w:pStyle w:val="Normal"/>
        <w:framePr w:w="1331" w:hAnchor="page" w:vAnchor="page" w:x="274" w:y="72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Procedures</w:t>
      </w:r>
    </w:p>
    <w:p>
      <w:pPr>
        <w:pStyle w:val="Normal"/>
        <w:framePr w:w="11533" w:hAnchor="page" w:vAnchor="page" w:x="274" w:y="68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proof that you are the representative of such shareholder. Please see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Who is entitled to vote at the Annual Meeting?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above.</w:t>
      </w:r>
    </w:p>
    <w:p>
      <w:pPr>
        <w:pStyle w:val="Normal"/>
        <w:framePr w:w="13969" w:hAnchor="page" w:vAnchor="page" w:x="274" w:y="66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the representative of a corporate or institutional shareholder, you must present your company’s admission ticket, valid photo identification, and</w:t>
      </w:r>
    </w:p>
    <w:p>
      <w:pPr>
        <w:pStyle w:val="Normal"/>
        <w:framePr w:w="2504" w:hAnchor="page" w:vAnchor="page" w:x="274" w:y="62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broker, or other nominee.</w:t>
      </w:r>
    </w:p>
    <w:p>
      <w:pPr>
        <w:pStyle w:val="Normal"/>
        <w:framePr w:w="14244" w:hAnchor="page" w:vAnchor="page" w:x="274" w:y="60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>www.proxyvote.com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. You will need the 16-digit control number printed on your Notice of Materials, proxy card, or voting instruction form from your bank,</w:t>
      </w:r>
    </w:p>
    <w:p>
      <w:pPr>
        <w:pStyle w:val="Normal"/>
        <w:framePr w:w="14019" w:hAnchor="page" w:vAnchor="page" w:x="274" w:y="59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Admission tickets can be printed up to 11:59 p.m., New York time, on April 24, 2023, by accessing the Shareholder Meeting Registration link at</w:t>
      </w:r>
    </w:p>
    <w:p>
      <w:pPr>
        <w:pStyle w:val="Normal"/>
        <w:framePr w:w="2310" w:hAnchor="page" w:vAnchor="page" w:x="274" w:y="55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shareholders of record.</w:t>
      </w:r>
    </w:p>
    <w:p>
      <w:pPr>
        <w:pStyle w:val="Normal"/>
        <w:framePr w:w="13023" w:hAnchor="page" w:vAnchor="page" w:x="274" w:y="53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London time, on the CA Record Date. The March 6, 2023 Record Date applies to all beneficial owners, as the CA Record Date only applies to</w:t>
      </w:r>
    </w:p>
    <w:p>
      <w:pPr>
        <w:pStyle w:val="Normal"/>
        <w:framePr w:w="13594" w:hAnchor="page" w:vAnchor="page" w:x="274" w:y="51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attend the Annual Meeting, you must have been: (a) a beneficial owner as of the Record Date; and/or (b) a shareholder of record as of 4:00 p.m.,</w:t>
      </w:r>
    </w:p>
    <w:p>
      <w:pPr>
        <w:pStyle w:val="Normal"/>
        <w:framePr w:w="1047" w:hAnchor="page" w:vAnchor="page" w:x="274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passport.</w:t>
      </w:r>
    </w:p>
    <w:p>
      <w:pPr>
        <w:pStyle w:val="Normal"/>
        <w:framePr w:w="14205" w:hAnchor="page" w:vAnchor="page" w:x="274" w:y="45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Each shareholder who attends the Annual Meeting will need to bring an admission ticket and provide valid photo identification, such as a driver’s license or</w:t>
      </w:r>
    </w:p>
    <w:p>
      <w:pPr>
        <w:pStyle w:val="Normal"/>
        <w:framePr w:w="5035" w:hAnchor="page" w:vAnchor="page" w:x="274" w:y="400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Who can attend the Annual Meeting?</w:t>
      </w:r>
    </w:p>
    <w:p>
      <w:pPr>
        <w:pStyle w:val="Normal"/>
        <w:framePr w:w="3984" w:hAnchor="page" w:vAnchor="page" w:x="274" w:y="35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voting methods available to shareholders.</w:t>
      </w:r>
    </w:p>
    <w:p>
      <w:pPr>
        <w:pStyle w:val="Normal"/>
        <w:framePr w:w="13844" w:hAnchor="page" w:vAnchor="page" w:x="274" w:y="338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No, attendance at the Annual Meeting is not required for shareholders to vote their Ordinary Shares. Please see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How do I vote?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below for the various</w:t>
      </w:r>
    </w:p>
    <w:p>
      <w:pPr>
        <w:pStyle w:val="Normal"/>
        <w:framePr w:w="6406" w:hAnchor="page" w:vAnchor="page" w:x="274" w:y="287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Do I have to attend the Annual Meeting to vote?</w:t>
      </w:r>
    </w:p>
    <w:p>
      <w:pPr>
        <w:pStyle w:val="Normal"/>
        <w:framePr w:w="11817" w:hAnchor="page" w:vAnchor="page" w:x="615" w:y="24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voting instruction card for you to use in directing the bank, broker, or other nominee regarding how to vote your Ordinary Shares.</w:t>
      </w:r>
    </w:p>
    <w:p>
      <w:pPr>
        <w:pStyle w:val="Normal"/>
        <w:framePr w:w="13649" w:hAnchor="page" w:vAnchor="page" w:x="615" w:y="22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contained in the Notice of Materials or Proxy Materials. If you requested printed Proxy Materials, your bank, broker, or other nominee has enclosed a</w:t>
      </w:r>
    </w:p>
    <w:p>
      <w:pPr>
        <w:pStyle w:val="Normal"/>
        <w:framePr w:w="13457" w:hAnchor="page" w:vAnchor="page" w:x="615" w:y="20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beneficial owner, you have the right to direct your bank, broker, or other nominee on how to vote your Ordinary Shares by following the instructions</w:t>
      </w:r>
    </w:p>
    <w:p>
      <w:pPr>
        <w:pStyle w:val="Normal"/>
        <w:framePr w:w="13639" w:hAnchor="page" w:vAnchor="page" w:x="615" w:y="18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through whom you hold the shares. Most of our shareholders hold their Ordinary Shares in this manner rather than directly in their own name. As the</w:t>
      </w:r>
    </w:p>
    <w:p>
      <w:pPr>
        <w:pStyle w:val="Normal"/>
        <w:framePr w:w="13410" w:hAnchor="page" w:vAnchor="page" w:x="615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owner of shares held in “street name,” and the Notice of Materials or Proxy Materials are being forwarded to you by your bank, broker, or nominee</w:t>
      </w:r>
    </w:p>
    <w:p>
      <w:pPr>
        <w:pStyle w:val="Normal"/>
        <w:framePr w:w="13872" w:hAnchor="page" w:vAnchor="page" w:x="430" w:y="14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Beneficial Owners.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If your Ordinary Shares are held in a stock brokerage account, or by a bank or other nominee, you are considered the beneficial</w:t>
      </w:r>
    </w:p>
    <w:p>
      <w:pPr>
        <w:pStyle w:val="Normal"/>
        <w:framePr w:w="13411" w:hAnchor="page" w:vAnchor="page" w:x="615" w:y="10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shareholder of record, you have the right to grant your voting proxy directly to us, to vote electronically, or to vote in person at the Annual Meeting.</w:t>
      </w:r>
    </w:p>
    <w:p>
      <w:pPr>
        <w:pStyle w:val="Normal"/>
        <w:framePr w:w="13786" w:hAnchor="page" w:vAnchor="page" w:x="615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considered the shareholder of record with respect to those shares, and the Proxy Materials, including a proxy card, are being sent directly to you. As a</w:t>
      </w:r>
    </w:p>
    <w:p>
      <w:pPr>
        <w:pStyle w:val="Normal"/>
        <w:framePr w:w="13437" w:hAnchor="page" w:vAnchor="page" w:x="430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NMMUPN+Arial-BoldItalicMT" w:hAnsi="NMMUPN+Arial-BoldItalicMT" w:fareast="NMMUPN+Arial-BoldItalicMT" w:cs="NMMUPN+Arial-BoldItalicMT"/>
          <w:color w:val="000000"/>
          <w:w w:val="100"/>
          <w:sz w:val="17"/>
          <w:szCs w:val="17"/>
        </w:rPr>
        <w:t>Shareholders of Record.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 If your Ordinary Shares are registered directly in your name on the register of members with Computershare, you are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7pt;margin-top:1pt;z-index:-16761440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2.7pt;margin-top:511.65pt;z-index:-1676143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</w:p>
    <w:p>
      <w:pPr>
        <w:pStyle w:val="Normal"/>
        <w:framePr w:w="1631" w:hAnchor="page" w:vAnchor="page" w:x="274" w:y="1026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117 TechnipFMC</w:t>
      </w:r>
    </w:p>
    <w:p>
      <w:pPr>
        <w:pStyle w:val="Normal"/>
        <w:framePr w:w="13529" w:hAnchor="page" w:vAnchor="page" w:x="274" w:y="96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vote to Equiniti Share Plan Trustees Limited by 5:00 p.m., London time, on April 19, 2023 in order for the plan trustee to vote your Ordinary Shares.</w:t>
      </w:r>
    </w:p>
    <w:p>
      <w:pPr>
        <w:pStyle w:val="Normal"/>
        <w:framePr w:w="14143" w:hAnchor="page" w:vAnchor="page" w:x="274" w:y="93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instructions on how to vote your Ordinary Shares from Equiniti Share Plan Trustees Limited, the plan administrator. Please note that you must submit your</w:t>
      </w:r>
    </w:p>
    <w:p>
      <w:pPr>
        <w:pStyle w:val="Normal"/>
        <w:framePr w:w="13833" w:hAnchor="page" w:vAnchor="page" w:x="274" w:y="91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on your behalf in relation to the number of Ordinary Shares equivalent to your interest as credited to your account on the Record Date. You will receive</w:t>
      </w:r>
    </w:p>
    <w:p>
      <w:pPr>
        <w:pStyle w:val="Normal"/>
        <w:framePr w:w="14128" w:hAnchor="page" w:vAnchor="page" w:x="274" w:y="89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current or former employee who participates in the legacy Technip U.K. Share Incentive Plan, you may instruct the plan trustee on how to vote</w:t>
      </w:r>
    </w:p>
    <w:p>
      <w:pPr>
        <w:pStyle w:val="Normal"/>
        <w:framePr w:w="7626" w:hAnchor="page" w:vAnchor="page" w:x="274" w:y="87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Employees Who Participate in the Legacy Technip U.K. Share Incentive Plan</w:t>
      </w:r>
    </w:p>
    <w:p>
      <w:pPr>
        <w:pStyle w:val="Normal"/>
        <w:framePr w:w="12614" w:hAnchor="page" w:vAnchor="page" w:x="274" w:y="83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from your bank, broker, or other nominee and present it to the inspector of elections together with your voting card at the Annual Meeting.</w:t>
      </w:r>
    </w:p>
    <w:p>
      <w:pPr>
        <w:pStyle w:val="Normal"/>
        <w:framePr w:w="14226" w:hAnchor="page" w:vAnchor="page" w:x="274" w:y="81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beneficial owner of Ordinary Shares traded on the NYSE and you wish to vote in person at the Annual Meeting, you must obtain a legal proxy</w:t>
      </w:r>
    </w:p>
    <w:p>
      <w:pPr>
        <w:pStyle w:val="Normal"/>
        <w:framePr w:w="3517" w:hAnchor="page" w:vAnchor="page" w:x="274" w:y="77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your bank, broker, or other nominee.</w:t>
      </w:r>
    </w:p>
    <w:p>
      <w:pPr>
        <w:pStyle w:val="Normal"/>
        <w:framePr w:w="14231" w:hAnchor="page" w:vAnchor="page" w:x="274" w:y="75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may submit instructions by telephone or through the internet to your bank, broker, or other nominee, or request and return a paper voting instruction card to</w:t>
      </w:r>
    </w:p>
    <w:p>
      <w:pPr>
        <w:pStyle w:val="Normal"/>
        <w:framePr w:w="13901" w:hAnchor="page" w:vAnchor="page" w:x="274" w:y="739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beneficial owner of Ordinary Shares traded on the NYSE, please follow the directions provided by your bank, broker, or other nominee. You</w:t>
      </w:r>
    </w:p>
    <w:p>
      <w:pPr>
        <w:pStyle w:val="Normal"/>
        <w:framePr w:w="4586" w:hAnchor="page" w:vAnchor="page" w:x="274" w:y="719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Beneficial Owners holding through the NYSE</w:t>
      </w:r>
    </w:p>
    <w:p>
      <w:pPr>
        <w:pStyle w:val="Normal"/>
        <w:framePr w:w="990" w:hAnchor="page" w:vAnchor="page" w:x="274" w:y="679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Meeting.</w:t>
      </w:r>
    </w:p>
    <w:p>
      <w:pPr>
        <w:pStyle w:val="Normal"/>
        <w:framePr w:w="14231" w:hAnchor="page" w:vAnchor="page" w:x="274" w:y="65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through 9 and otherwise in accordance with the judgment of the person or persons voting the proxy on any other matter properly brought before the Annual</w:t>
      </w:r>
    </w:p>
    <w:p>
      <w:pPr>
        <w:pStyle w:val="Normal"/>
        <w:framePr w:w="14225" w:hAnchor="page" w:vAnchor="page" w:x="274" w:y="63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shareholder of record and you execute and return a proxy card but do not give instructions, your proxy will be voted 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FOR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each of Proposals 1</w:t>
      </w:r>
    </w:p>
    <w:p>
      <w:pPr>
        <w:pStyle w:val="Normal"/>
        <w:framePr w:w="2140" w:hAnchor="page" w:vAnchor="page" w:x="274" w:y="59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proof of appointment.</w:t>
      </w:r>
    </w:p>
    <w:p>
      <w:pPr>
        <w:pStyle w:val="Normal"/>
        <w:framePr w:w="14128" w:hAnchor="page" w:vAnchor="page" w:x="274" w:y="580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pursuant to a power of attorney or by an executor, administrator, trustee, or guardian, please state the signatory’s full title and provide a certificate or other</w:t>
      </w:r>
    </w:p>
    <w:p>
      <w:pPr>
        <w:pStyle w:val="Normal"/>
        <w:framePr w:w="14125" w:hAnchor="page" w:vAnchor="page" w:x="274" w:y="560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proxy card should be signed in the full corporate, limited liability company, or partnership name by a duly authorized person. If the proxy card is signed</w:t>
      </w:r>
    </w:p>
    <w:p>
      <w:pPr>
        <w:pStyle w:val="Normal"/>
        <w:framePr w:w="14048" w:hAnchor="page" w:vAnchor="page" w:x="274" w:y="54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Please sign the proxy card exactly as your name appears on the card. If a shareholder of record is a corporation, limited liability company, or partnership,</w:t>
      </w:r>
    </w:p>
    <w:p>
      <w:pPr>
        <w:pStyle w:val="Normal"/>
        <w:framePr w:w="11543" w:hAnchor="page" w:vAnchor="page" w:x="274" w:y="500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your proxy appointment is not subsequently revoked, your Ordinary Shares will be voted in accordance with your instructions.</w:t>
      </w:r>
    </w:p>
    <w:p>
      <w:pPr>
        <w:pStyle w:val="Normal"/>
        <w:framePr w:w="13958" w:hAnchor="page" w:vAnchor="page" w:x="274" w:y="48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properly give instructions as to your proxy appointment by executing and returning a paper proxy card, or through the internet or by telephone and</w:t>
      </w:r>
    </w:p>
    <w:p>
      <w:pPr>
        <w:pStyle w:val="Normal"/>
        <w:framePr w:w="2766" w:hAnchor="page" w:vAnchor="page" w:x="274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automatically be terminated.</w:t>
      </w:r>
    </w:p>
    <w:p>
      <w:pPr>
        <w:pStyle w:val="Normal"/>
        <w:framePr w:w="14084" w:hAnchor="page" w:vAnchor="page" w:x="274" w:y="420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attending and voting at the Annual Meeting. If you have appointed a proxy and attend the Annual Meeting and vote in person, your proxy appointment will</w:t>
      </w:r>
    </w:p>
    <w:p>
      <w:pPr>
        <w:pStyle w:val="Normal"/>
        <w:framePr w:w="14151" w:hAnchor="page" w:vAnchor="page" w:x="274" w:y="400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return of a completed proxy card, or the submission of proxy instructions via the internet or by telephone, will not prevent a shareholder of record from</w:t>
      </w:r>
    </w:p>
    <w:p>
      <w:pPr>
        <w:pStyle w:val="Normal"/>
        <w:framePr w:w="7730" w:hAnchor="page" w:vAnchor="page" w:x="274" w:y="360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Please vote your shares no later than 11:59 p.m. New York time, on April 26, 2023.</w:t>
      </w:r>
    </w:p>
    <w:p>
      <w:pPr>
        <w:pStyle w:val="Normal"/>
        <w:framePr w:w="7338" w:hAnchor="page" w:vAnchor="page" w:x="430" w:y="321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by telephone, using the toll-free telephone number shown on the proxy card.</w:t>
      </w:r>
    </w:p>
    <w:p>
      <w:pPr>
        <w:pStyle w:val="Normal"/>
        <w:framePr w:w="9310" w:hAnchor="page" w:vAnchor="page" w:x="430" w:y="278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by submission via the internet at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 xml:space="preserve">www.proxyvote.com 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and following the instructions provided; or</w:t>
      </w:r>
    </w:p>
    <w:p>
      <w:pPr>
        <w:pStyle w:val="Normal"/>
        <w:framePr w:w="8659" w:hAnchor="page" w:vAnchor="page" w:x="430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by completing and signing the proxy card and returning it in the prepaid envelope provided;</w:t>
      </w:r>
    </w:p>
    <w:p>
      <w:pPr>
        <w:pStyle w:val="Normal"/>
        <w:framePr w:w="4759" w:hAnchor="page" w:vAnchor="page" w:x="274" w:y="19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on your behalf using any of the following methods:</w:t>
      </w:r>
    </w:p>
    <w:p>
      <w:pPr>
        <w:pStyle w:val="Normal"/>
        <w:framePr w:w="14117" w:hAnchor="page" w:vAnchor="page" w:x="274" w:y="17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shareholder of record, you may vote your Ordinary Shares in person at the Annual Meeting or appoint another person(s) as your proxy to vote</w:t>
      </w:r>
    </w:p>
    <w:p>
      <w:pPr>
        <w:pStyle w:val="Normal"/>
        <w:framePr w:w="2526" w:hAnchor="page" w:vAnchor="page" w:x="274" w:y="15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Shareholders of Record</w:t>
      </w:r>
    </w:p>
    <w:p>
      <w:pPr>
        <w:pStyle w:val="Normal"/>
        <w:framePr w:w="10097" w:hAnchor="page" w:vAnchor="page" w:x="274" w:y="11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 xml:space="preserve">card, as instructed on </w:t>
      </w:r>
      <w:r>
        <w:rPr>
          <w:rFonts w:ascii="NMMUPN+Arial-BoldItalicMT" w:hAnsi="NMMUPN+Arial-BoldItalicMT" w:fareast="NMMUPN+Arial-BoldItalicMT" w:cs="NMMUPN+Arial-BoldItalicMT"/>
          <w:color w:val="000053"/>
          <w:w w:val="100"/>
          <w:sz w:val="17"/>
          <w:szCs w:val="17"/>
        </w:rPr>
        <w:t>www.proxyvote.com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, or as instructed by your bank, broker, or financial intermediary.</w:t>
      </w:r>
    </w:p>
    <w:p>
      <w:pPr>
        <w:pStyle w:val="Normal"/>
        <w:framePr w:w="13769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Your voting deadline will depend on how you hold your shares. Please vote your shares according to the deadline appearing on the front of your proxy</w:t>
      </w:r>
    </w:p>
    <w:p>
      <w:pPr>
        <w:pStyle w:val="Normal"/>
        <w:framePr w:w="2203" w:hAnchor="page" w:vAnchor="page" w:x="274" w:y="6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How do I vote?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7pt;margin-top:1pt;z-index:-1676143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12.7pt;margin-top:529.45pt;z-index:-1676142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</w:p>
    <w:p>
      <w:pPr>
        <w:pStyle w:val="Normal"/>
        <w:framePr w:w="1631" w:hAnchor="page" w:vAnchor="page" w:x="274" w:y="981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118 TechnipFMC</w:t>
      </w:r>
    </w:p>
    <w:p>
      <w:pPr>
        <w:pStyle w:val="Normal"/>
        <w:framePr w:w="11555" w:hAnchor="page" w:vAnchor="page" w:x="274" w:y="91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nominating shareholder of record to be appointed as a proxy for the meeting (or to have someone else appointed as a proxy).</w:t>
      </w:r>
    </w:p>
    <w:p>
      <w:pPr>
        <w:pStyle w:val="Normal"/>
        <w:framePr w:w="13822" w:hAnchor="page" w:vAnchor="page" w:x="274" w:y="89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rights as a shareholder of record to appoint a proxy and cannot vote at the Annual Meeting, unless such Nominated Person has an agreement with the</w:t>
      </w:r>
    </w:p>
    <w:p>
      <w:pPr>
        <w:pStyle w:val="Normal"/>
        <w:framePr w:w="13979" w:hAnchor="page" w:vAnchor="page" w:x="274" w:y="878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enjoy information rights in accordance with Section 146 of the Companies Act (a “Nominated Person”). A Nominated Person does not possess the same</w:t>
      </w:r>
    </w:p>
    <w:p>
      <w:pPr>
        <w:pStyle w:val="Normal"/>
        <w:framePr w:w="13730" w:hAnchor="page" w:vAnchor="page" w:x="274" w:y="85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copy of this Proxy Statement has been provided “for information purposes only” to persons who have been nominated by a shareholder of record to</w:t>
      </w:r>
    </w:p>
    <w:p>
      <w:pPr>
        <w:pStyle w:val="Normal"/>
        <w:framePr w:w="2414" w:hAnchor="page" w:vAnchor="page" w:x="274" w:y="8297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Companies Act?</w:t>
      </w:r>
    </w:p>
    <w:p>
      <w:pPr>
        <w:pStyle w:val="Normal"/>
        <w:framePr w:w="12403" w:hAnchor="page" w:vAnchor="page" w:x="274" w:y="799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if I have been nominated by a shareholder of record to have information rights under the</w:t>
      </w:r>
    </w:p>
    <w:p>
      <w:pPr>
        <w:pStyle w:val="Normal"/>
        <w:framePr w:w="7696" w:hAnchor="page" w:vAnchor="page" w:x="274" w:y="75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votes will be counted for purposes of establishing a quorum at the Annual Meeting.</w:t>
      </w:r>
    </w:p>
    <w:p>
      <w:pPr>
        <w:pStyle w:val="Normal"/>
        <w:framePr w:w="14049" w:hAnchor="page" w:vAnchor="page" w:x="274" w:y="73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outstanding Ordinary Shares entitled to vote at the Annual Meeting are present in person or by proxy at the Annual Meeting. Abstentions and broker non-</w:t>
      </w:r>
    </w:p>
    <w:p>
      <w:pPr>
        <w:pStyle w:val="Normal"/>
        <w:framePr w:w="14094" w:hAnchor="page" w:vAnchor="page" w:x="274" w:y="718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quorum of shareholders is necessary to transact business at the Annual Meeting. A quorum exists if the holders who represent at least a majority of our</w:t>
      </w:r>
    </w:p>
    <w:p>
      <w:pPr>
        <w:pStyle w:val="Normal"/>
        <w:framePr w:w="8304" w:hAnchor="page" w:vAnchor="page" w:x="274" w:y="6888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How many votes must be present to hold the Annual Meeting?</w:t>
      </w:r>
    </w:p>
    <w:p>
      <w:pPr>
        <w:pStyle w:val="Normal"/>
        <w:framePr w:w="1042" w:hAnchor="page" w:vAnchor="page" w:x="274" w:y="645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 own</w:t>
      </w:r>
      <w:r>
        <w:rPr>
          <w:rFonts w:ascii="TYIFDT+ArialMT" w:hAnsi="TYIFDT+ArialMT" w:fareast="TYIFDT+ArialMT" w:cs="TYIFDT+ArialMT"/>
          <w:color w:val="000000"/>
          <w:w w:val="100"/>
          <w:sz w:val="19"/>
          <w:szCs w:val="19"/>
        </w:rPr>
        <w:t>.</w:t>
      </w:r>
    </w:p>
    <w:p>
      <w:pPr>
        <w:pStyle w:val="Normal"/>
        <w:framePr w:w="13923" w:hAnchor="page" w:vAnchor="page" w:x="274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necessary for you to fill in, sign, and return all of the proxy cards included in the Proxy Materials you receive in order to vote all the Ordinary Shares that</w:t>
      </w:r>
    </w:p>
    <w:p>
      <w:pPr>
        <w:pStyle w:val="Normal"/>
        <w:framePr w:w="14151" w:hAnchor="page" w:vAnchor="page" w:x="274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broker, or other nominee, or if you own Ordinary Shares through more than one bank, broker, or other nominee, you may receive multiple proxy cards. It is</w:t>
      </w:r>
    </w:p>
    <w:p>
      <w:pPr>
        <w:pStyle w:val="Normal"/>
        <w:framePr w:w="13878" w:hAnchor="page" w:vAnchor="page" w:x="274" w:y="585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own some Ordinary Shares directly in your name as a registered holder and other Ordinary Shares as a beneficial owner holding through a bank,</w:t>
      </w:r>
    </w:p>
    <w:p>
      <w:pPr>
        <w:pStyle w:val="Normal"/>
        <w:framePr w:w="7431" w:hAnchor="page" w:vAnchor="page" w:x="274" w:y="5566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should I do if I receive more than one proxy card?</w:t>
      </w:r>
    </w:p>
    <w:p>
      <w:pPr>
        <w:pStyle w:val="Normal"/>
        <w:framePr w:w="10724" w:hAnchor="page" w:vAnchor="page" w:x="274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Attending the Annual Meeting without taking further action will not automatically revoke your prior vote of your proxy.</w:t>
      </w:r>
    </w:p>
    <w:p>
      <w:pPr>
        <w:pStyle w:val="Normal"/>
        <w:framePr w:w="10896" w:hAnchor="page" w:vAnchor="page" w:x="274" w:y="47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All Ordinary Shares that have been properly voted and not revoked will be counted in the votes at the Annual Meeting.</w:t>
      </w:r>
    </w:p>
    <w:p>
      <w:pPr>
        <w:pStyle w:val="Normal"/>
        <w:framePr w:w="11306" w:hAnchor="page" w:vAnchor="page" w:x="274" w:y="434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You may also vote in person at the Annual Meeting if you obtain a legal proxy, as described under “</w:t>
      </w:r>
      <w:r>
        <w:rPr>
          <w:rFonts w:ascii="QFTFTF+Arial-ItalicMT" w:hAnsi="QFTFTF+Arial-ItalicMT" w:fareast="QFTFTF+Arial-ItalicMT" w:cs="QFTFTF+Arial-ItalicMT"/>
          <w:color w:val="000000"/>
          <w:w w:val="100"/>
          <w:sz w:val="17"/>
          <w:szCs w:val="17"/>
        </w:rPr>
        <w:t>How do I vote?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 above.</w:t>
      </w:r>
    </w:p>
    <w:p>
      <w:pPr>
        <w:pStyle w:val="Normal"/>
        <w:framePr w:w="12853" w:hAnchor="page" w:vAnchor="page" w:x="274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beneficial owner of Ordinary Shares, you may submit new voting instructions by contacting your bank, broker, or other nominee.</w:t>
      </w:r>
    </w:p>
    <w:p>
      <w:pPr>
        <w:pStyle w:val="Normal"/>
        <w:framePr w:w="1980" w:hAnchor="page" w:vAnchor="page" w:x="274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Beneficial Owners</w:t>
      </w:r>
    </w:p>
    <w:p>
      <w:pPr>
        <w:pStyle w:val="Normal"/>
        <w:framePr w:w="3962" w:hAnchor="page" w:vAnchor="page" w:x="430" w:y="33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voting in person at the Annual Meeting.</w:t>
      </w:r>
    </w:p>
    <w:p>
      <w:pPr>
        <w:pStyle w:val="Normal"/>
        <w:framePr w:w="1229" w:hAnchor="page" w:vAnchor="page" w:x="601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Meeting; or</w:t>
      </w:r>
    </w:p>
    <w:p>
      <w:pPr>
        <w:pStyle w:val="Normal"/>
        <w:framePr w:w="13745" w:hAnchor="page" w:vAnchor="page" w:x="430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sending written notice to the Company Secretary at the Company’s registered office that is received at least 24 hours prior to the start of the Annual</w:t>
      </w:r>
    </w:p>
    <w:p>
      <w:pPr>
        <w:pStyle w:val="Normal"/>
        <w:framePr w:w="11976" w:hAnchor="page" w:vAnchor="page" w:x="430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delivering a valid, later-dated proxy card that is received by Broadridge at least 24 hours prior to the start of the Annual Meeting;</w:t>
      </w:r>
    </w:p>
    <w:p>
      <w:pPr>
        <w:pStyle w:val="Normal"/>
        <w:framePr w:w="10633" w:hAnchor="page" w:vAnchor="page" w:x="430" w:y="19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entering a later-dated proxy by telephone or via the internet prior to 11:59 p.m., New York time, on April 26, 2023;</w:t>
      </w:r>
    </w:p>
    <w:p>
      <w:pPr>
        <w:pStyle w:val="Normal"/>
        <w:framePr w:w="11464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are a shareholder of record, you can change your vote or revoke your proxy at any time before the Annual Meeting by:</w:t>
      </w:r>
    </w:p>
    <w:p>
      <w:pPr>
        <w:pStyle w:val="Normal"/>
        <w:framePr w:w="2526" w:hAnchor="page" w:vAnchor="page" w:x="274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Shareholders of Record</w:t>
      </w:r>
    </w:p>
    <w:p>
      <w:pPr>
        <w:pStyle w:val="Normal"/>
        <w:framePr w:w="6603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Yes, you may change your vote prior to the Annual Meeting as follows:</w:t>
      </w:r>
    </w:p>
    <w:p>
      <w:pPr>
        <w:pStyle w:val="Normal"/>
        <w:framePr w:w="3228" w:hAnchor="page" w:vAnchor="page" w:x="274" w:y="67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000053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000053"/>
          <w:w w:val="100"/>
          <w:sz w:val="25"/>
          <w:szCs w:val="25"/>
        </w:rPr>
        <w:t>Can I change my vote?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7pt;margin-top:1pt;z-index:-1676142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12.7pt;margin-top:506.65pt;z-index:-1676142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</w:p>
    <w:p>
      <w:pPr>
        <w:pStyle w:val="Normal"/>
        <w:framePr w:w="1631" w:hAnchor="page" w:vAnchor="page" w:x="274" w:y="964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119 TechnipFMC</w:t>
      </w:r>
    </w:p>
    <w:p>
      <w:pPr>
        <w:pStyle w:val="Normal"/>
        <w:framePr w:w="2880" w:hAnchor="page" w:vAnchor="page" w:x="274" w:y="90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of-pocket fees and expenses.</w:t>
      </w:r>
    </w:p>
    <w:p>
      <w:pPr>
        <w:pStyle w:val="Normal"/>
        <w:framePr w:w="14152" w:hAnchor="page" w:vAnchor="page" w:x="274" w:y="88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tabulation services for the Annual Meeting. For these services, we will pay Broadridge a fee of approximately $14,500 and reimburse it for reasonable out-</w:t>
      </w:r>
    </w:p>
    <w:p>
      <w:pPr>
        <w:pStyle w:val="Normal"/>
        <w:framePr w:w="13977" w:hAnchor="page" w:vAnchor="page" w:x="274" w:y="85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Shares and obtaining the proxies of such owners. We have retained Broadridge to aid in the distribution of our Proxy Materials and to provide voting and</w:t>
      </w:r>
    </w:p>
    <w:p>
      <w:pPr>
        <w:pStyle w:val="Normal"/>
        <w:framePr w:w="13661" w:hAnchor="page" w:vAnchor="page" w:x="274" w:y="83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other custodians, nominees, and fiduciaries for reasonable expenses incurred by them in forwarding Proxy Materials to beneficial owners of Ordinary</w:t>
      </w:r>
    </w:p>
    <w:p>
      <w:pPr>
        <w:pStyle w:val="Normal"/>
        <w:framePr w:w="14151" w:hAnchor="page" w:vAnchor="page" w:x="274" w:y="81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 additional compensation for such solicitation. In accordance with the rules of the SEC and NYSE, the Company will also reimburse banks, brokers, and</w:t>
      </w:r>
    </w:p>
    <w:p>
      <w:pPr>
        <w:pStyle w:val="Normal"/>
        <w:framePr w:w="14093" w:hAnchor="page" w:vAnchor="page" w:x="274" w:y="79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telephonically, electronically, or by any other means of communication. Directors, officers, and employees of the Company and its subsidiaries will receive</w:t>
      </w:r>
    </w:p>
    <w:p>
      <w:pPr>
        <w:pStyle w:val="Normal"/>
        <w:framePr w:w="13979" w:hAnchor="page" w:vAnchor="page" w:x="274" w:y="77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solicitation of proxies by mail, solicitation may be made on our behalf by certain directors, officers, or employees of the Company and its subsidiaries</w:t>
      </w:r>
    </w:p>
    <w:p>
      <w:pPr>
        <w:pStyle w:val="Normal"/>
        <w:framePr w:w="14198" w:hAnchor="page" w:vAnchor="page" w:x="274" w:y="759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retained Morrow Sodali LLC to assist in the solicitation of proxies at a cost estimated to be $15,500, plus reasonable out-of-pocket expenses. In addition to</w:t>
      </w:r>
    </w:p>
    <w:p>
      <w:pPr>
        <w:pStyle w:val="Normal"/>
        <w:framePr w:w="13457" w:hAnchor="page" w:vAnchor="page" w:x="274" w:y="73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Company will pay the expenses of the preparation of Proxy Materials and the solicitation of proxies for the Annual Meeting. The Company has</w:t>
      </w:r>
    </w:p>
    <w:p>
      <w:pPr>
        <w:pStyle w:val="Normal"/>
        <w:framePr w:w="6557" w:hAnchor="page" w:vAnchor="page" w:x="274" w:y="7073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Who will pay the costs of this proxy solicitation?</w:t>
      </w:r>
    </w:p>
    <w:p>
      <w:pPr>
        <w:pStyle w:val="Normal"/>
        <w:framePr w:w="2219" w:hAnchor="page" w:vAnchor="page" w:x="274" w:y="66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consider the outcome.</w:t>
      </w:r>
    </w:p>
    <w:p>
      <w:pPr>
        <w:pStyle w:val="Normal"/>
        <w:framePr w:w="13718" w:hAnchor="page" w:vAnchor="page" w:x="274" w:y="64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action. However, our Board values the opinions of our shareholders as expressed through advisory votes and other communications and will carefully</w:t>
      </w:r>
    </w:p>
    <w:p>
      <w:pPr>
        <w:pStyle w:val="Normal"/>
        <w:framePr w:w="14230" w:hAnchor="page" w:vAnchor="page" w:x="274" w:y="62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Remuneration Report), the results of the vote will not be legally binding on the Board or any committee thereof to take any action, or refrain from taking any</w:t>
      </w:r>
    </w:p>
    <w:p>
      <w:pPr>
        <w:pStyle w:val="Normal"/>
        <w:framePr w:w="13092" w:hAnchor="page" w:vAnchor="page" w:x="274" w:y="60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With respect to Proposal 2 (regarding the 2022 Say-on-Pay Proposal for NEOs) and Proposal 3 (regarding the proposal for the 2022 Directors’</w:t>
      </w:r>
    </w:p>
    <w:p>
      <w:pPr>
        <w:pStyle w:val="Normal"/>
        <w:framePr w:w="6819" w:hAnchor="page" w:vAnchor="page" w:x="274" w:y="56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votes will not be counted as a vote either for or against these resolutions.</w:t>
      </w:r>
    </w:p>
    <w:p>
      <w:pPr>
        <w:pStyle w:val="Normal"/>
        <w:framePr w:w="14228" w:hAnchor="page" w:vAnchor="page" w:x="274" w:y="54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cast to be approved. Proposal 9, as a special resolution, requires the affirmative vote of 75% of the votes cast to be approved. Abstentions and broker non-</w:t>
      </w:r>
    </w:p>
    <w:p>
      <w:pPr>
        <w:pStyle w:val="Normal"/>
        <w:framePr w:w="14060" w:hAnchor="page" w:vAnchor="page" w:x="274" w:y="52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Proposals 1 through 8 will be proposed as ordinary resolutions, which means that each resolution requires the affirmative vote of the majority of the votes</w:t>
      </w:r>
    </w:p>
    <w:p>
      <w:pPr>
        <w:pStyle w:val="Normal"/>
        <w:framePr w:w="2914" w:hAnchor="page" w:vAnchor="page" w:x="274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to one vote for each proposal.</w:t>
      </w:r>
    </w:p>
    <w:p>
      <w:pPr>
        <w:pStyle w:val="Normal"/>
        <w:framePr w:w="14060" w:hAnchor="page" w:vAnchor="page" w:x="274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accordance with the Articles, all resolutions will be taken on a poll, which means that each Ordinary Share represented in person or by proxy is entitled</w:t>
      </w:r>
    </w:p>
    <w:p>
      <w:pPr>
        <w:pStyle w:val="Normal"/>
        <w:framePr w:w="8229" w:hAnchor="page" w:vAnchor="page" w:x="274" w:y="4371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are the voting requirements to approve the resolutions?</w:t>
      </w:r>
    </w:p>
    <w:p>
      <w:pPr>
        <w:pStyle w:val="Normal"/>
        <w:framePr w:w="1513" w:hAnchor="page" w:vAnchor="page" w:x="274" w:y="395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 shareholder.</w:t>
      </w:r>
    </w:p>
    <w:p>
      <w:pPr>
        <w:pStyle w:val="Normal"/>
        <w:framePr w:w="14151" w:hAnchor="page" w:vAnchor="page" w:x="274" w:y="37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Ordinary Shares for Proposals 1 through 3, 8 and 9 if you do not provide instructions. As such, we strongly encourage you to exercise your right to vote as</w:t>
      </w:r>
    </w:p>
    <w:p>
      <w:pPr>
        <w:pStyle w:val="Normal"/>
        <w:framePr w:w="13395" w:hAnchor="page" w:vAnchor="page" w:x="274" w:y="355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summary, if you hold your Ordinary Shares in street name, your bank, broker, or other nominee will not have discretionary authority to vote your</w:t>
      </w:r>
    </w:p>
    <w:p>
      <w:pPr>
        <w:pStyle w:val="Normal"/>
        <w:framePr w:w="1149" w:hAnchor="page" w:vAnchor="page" w:x="274" w:y="31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proposals.</w:t>
      </w:r>
    </w:p>
    <w:p>
      <w:pPr>
        <w:pStyle w:val="Normal"/>
        <w:framePr w:w="14230" w:hAnchor="page" w:vAnchor="page" w:x="274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non-routine  matters  without  specific  voting  instructions  from  the  beneficial  owner.  As  a  result,  there  may  be  broker  non-votes  with  respect  to  such</w:t>
      </w:r>
    </w:p>
    <w:p>
      <w:pPr>
        <w:pStyle w:val="Normal"/>
        <w:framePr w:w="14231" w:hAnchor="page" w:vAnchor="page" w:x="274" w:y="275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Proposals 1 through 3, 8 and 9 are matters considered non-routine under the rules of the NYSE. A bank, broker, or other nominee may not vote on these</w:t>
      </w:r>
    </w:p>
    <w:p>
      <w:pPr>
        <w:pStyle w:val="Normal"/>
        <w:framePr w:w="11316" w:hAnchor="page" w:vAnchor="page" w:x="274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discretion on routine matters, and, therefore, no broker non-votes are expected to occur in connection with such proposals.</w:t>
      </w:r>
    </w:p>
    <w:p>
      <w:pPr>
        <w:pStyle w:val="Normal"/>
        <w:framePr w:w="13776" w:hAnchor="page" w:vAnchor="page" w:x="274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Proposals 4 through 7 are each considered a routine matter under the rules of the NYSE. A bank, broker, or other nominee may generally vote in their</w:t>
      </w:r>
    </w:p>
    <w:p>
      <w:pPr>
        <w:pStyle w:val="Normal"/>
        <w:framePr w:w="5259" w:hAnchor="page" w:vAnchor="page" w:x="274" w:y="17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discretionary voting power with respect to that proposal.</w:t>
      </w:r>
    </w:p>
    <w:p>
      <w:pPr>
        <w:pStyle w:val="Normal"/>
        <w:framePr w:w="13378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Ordinary Shares on your behalf does not vote on a particular proposal because it has not received voting instructions from you and does not have</w:t>
      </w:r>
    </w:p>
    <w:p>
      <w:pPr>
        <w:pStyle w:val="Normal"/>
        <w:framePr w:w="14196" w:hAnchor="page" w:vAnchor="page" w:x="274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may not exercise discretion, and, therefore, will not vote, on non-routine matters. A broker non-vote occurs where a bank, broker, or other nominee holding</w:t>
      </w:r>
    </w:p>
    <w:p>
      <w:pPr>
        <w:pStyle w:val="Normal"/>
        <w:framePr w:w="14037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specific voting instructions, the bank, broker, or other nominee is generally permitted to vote your Ordinary Shares at its discretion on routine matters, but</w:t>
      </w:r>
    </w:p>
    <w:p>
      <w:pPr>
        <w:pStyle w:val="Normal"/>
        <w:framePr w:w="13605" w:hAnchor="page" w:vAnchor="page" w:x="27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If you own your Ordinary Shares through a bank, broker, or other nominee, and do not provide the organization that holds your Ordinary Shares with</w:t>
      </w:r>
    </w:p>
    <w:p>
      <w:pPr>
        <w:pStyle w:val="Normal"/>
        <w:framePr w:w="3770" w:hAnchor="page" w:vAnchor="page" w:x="274" w:y="67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What is a broker non-vote?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7pt;margin-top:1pt;z-index:-16761416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12.7pt;margin-top:498.1pt;z-index:-1676141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</w:p>
    <w:p>
      <w:pPr>
        <w:pStyle w:val="Normal"/>
        <w:framePr w:w="1631" w:hAnchor="page" w:vAnchor="page" w:x="274" w:y="3696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120 TechnipFMC</w:t>
      </w:r>
    </w:p>
    <w:p>
      <w:pPr>
        <w:pStyle w:val="Normal"/>
        <w:framePr w:w="7127" w:hAnchor="page" w:vAnchor="page" w:x="274" w:y="15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practicable after the Annual Meeting and for a period of two years thereafter.</w:t>
      </w:r>
    </w:p>
    <w:p>
      <w:pPr>
        <w:pStyle w:val="Normal"/>
        <w:framePr w:w="13919" w:hAnchor="page" w:vAnchor="page" w:x="274" w:y="13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any other information required by the Companies Act will be made available on the Company’s website (</w:t>
      </w:r>
      <w:r>
        <w:rPr>
          <w:rFonts w:ascii="NMMUPN+Arial-BoldItalicMT" w:hAnsi="NMMUPN+Arial-BoldItalicMT" w:fareast="NMMUPN+Arial-BoldItalicMT" w:cs="NMMUPN+Arial-BoldItalicMT"/>
          <w:color w:val="481e6e"/>
          <w:w w:val="100"/>
          <w:sz w:val="17"/>
          <w:szCs w:val="17"/>
        </w:rPr>
        <w:t>www.technipfmc.com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) as soon as reasonably</w:t>
      </w:r>
    </w:p>
    <w:p>
      <w:pPr>
        <w:pStyle w:val="Normal"/>
        <w:framePr w:w="14072" w:hAnchor="page" w:vAnchor="page" w:x="274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by way of an announcement via a Current Report on Form 8-K in the United States. The results of the votes on the resolutions at the Annual Meeting and</w:t>
      </w:r>
    </w:p>
    <w:p>
      <w:pPr>
        <w:pStyle w:val="Normal"/>
        <w:framePr w:w="14140" w:hAnchor="page" w:vAnchor="page" w:x="274" w:y="9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preliminary voting results will be announced at the Annual Meeting. The final voting results will be checked by the inspector of elections and disclosed</w:t>
      </w:r>
    </w:p>
    <w:p>
      <w:pPr>
        <w:pStyle w:val="Normal"/>
        <w:framePr w:w="7777" w:hAnchor="page" w:vAnchor="page" w:x="274" w:y="672"/>
        <w:widowControl w:val="off"/>
        <w:autoSpaceDE w:val="off"/>
        <w:autoSpaceDN w:val="off"/>
        <w:spacing w:before="0" w:after="0" w:line="257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</w:pPr>
      <w:r>
        <w:rPr>
          <w:rFonts w:ascii="WIPJFN+Arial-BoldMT" w:hAnsi="WIPJFN+Arial-BoldMT" w:fareast="WIPJFN+Arial-BoldMT" w:cs="WIPJFN+Arial-BoldMT"/>
          <w:color w:val="481e6e"/>
          <w:w w:val="100"/>
          <w:sz w:val="25"/>
          <w:szCs w:val="25"/>
        </w:rPr>
        <w:t>Where can I find the voting results of the Annual Meeting?</w:t>
      </w:r>
    </w:p>
    <w:p>
      <w:pPr>
        <w:pStyle w:val="Normal"/>
        <w:framePr w:w="354" w:hAnchor="page" w:vAnchor="page" w:x="274" w:y="45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YIFDT+ArialMT" w:hAnsi="TYIFDT+ArialMT" w:fareast="TYIFDT+ArialMT" w:cs="TYIFDT+ArialMT"/>
          <w:color w:val="000053"/>
          <w:w w:val="100"/>
          <w:sz w:val="19"/>
          <w:szCs w:val="19"/>
        </w:rPr>
      </w:pPr>
      <w:r>
        <w:rPr>
          <w:rFonts w:ascii="TYIFDT+ArialMT" w:hAnsi="TYIFDT+ArialMT" w:fareast="TYIFDT+ArialMT" w:cs="TYIFDT+ArialMT"/>
          <w:color w:val="000053"/>
          <w:w w:val="100"/>
          <w:sz w:val="19"/>
          <w:szCs w:val="19"/>
        </w:rPr>
        <w:t xml:space="preserve">  </w:t>
      </w:r>
    </w:p>
    <w:p>
      <w:pPr>
        <w:pStyle w:val="Normal"/>
        <w:framePr w:w="3213" w:hAnchor="page" w:vAnchor="page" w:x="274" w:y="2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framePr w:w="342" w:hAnchor="page" w:vAnchor="page" w:x="274" w:y="5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7pt;margin-top:1pt;z-index:-16761408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12.7pt;margin-top:200.85pt;z-index:-1676140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</w:p>
    <w:p>
      <w:pPr>
        <w:pStyle w:val="Normal"/>
        <w:framePr w:w="1631" w:hAnchor="page" w:vAnchor="page" w:x="274" w:y="733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121 TechnipFMC</w:t>
      </w:r>
    </w:p>
    <w:p>
      <w:pPr>
        <w:pStyle w:val="Normal"/>
        <w:framePr w:w="11635" w:hAnchor="page" w:vAnchor="page" w:x="274" w:y="671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The following is a reconciliation of the most comparable financial measures under GAAP to the non-GAAP financial measures.</w:t>
      </w:r>
    </w:p>
    <w:p>
      <w:pPr>
        <w:pStyle w:val="Normal"/>
        <w:framePr w:w="8265" w:hAnchor="page" w:vAnchor="page" w:x="274" w:y="63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superior to, other measures of financial performance prepared in accordance with GAAP.</w:t>
      </w:r>
    </w:p>
    <w:p>
      <w:pPr>
        <w:pStyle w:val="Normal"/>
        <w:framePr w:w="13856" w:hAnchor="page" w:vAnchor="page" w:x="274" w:y="61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determining certain incentive compensation. The foregoing non-GAAP financial measures should be considered in addition to, not as a substitute for or</w:t>
      </w:r>
    </w:p>
    <w:p>
      <w:pPr>
        <w:pStyle w:val="Normal"/>
        <w:framePr w:w="13536" w:hAnchor="page" w:vAnchor="page" w:x="274" w:y="59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misleading to both investors and management by the excluded items. These measures are also used by management as performance measures in</w:t>
      </w:r>
    </w:p>
    <w:p>
      <w:pPr>
        <w:pStyle w:val="Normal"/>
        <w:framePr w:w="13684" w:hAnchor="page" w:vAnchor="page" w:x="274" w:y="571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evaluate our operations and consolidated results of operations period-over-period, and to identify operating trends that could otherwise be masked or</w:t>
      </w:r>
    </w:p>
    <w:p>
      <w:pPr>
        <w:pStyle w:val="Normal"/>
        <w:framePr w:w="13741" w:hAnchor="page" w:vAnchor="page" w:x="274" w:y="55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Management believes that the exclusion of charges and credits from these financial measures enables investors and management to more effectively</w:t>
      </w:r>
    </w:p>
    <w:p>
      <w:pPr>
        <w:pStyle w:val="Normal"/>
        <w:framePr w:w="4992" w:hAnchor="page" w:vAnchor="page" w:x="430" w:y="50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Corporate expense excluding charges and credits.</w:t>
      </w:r>
    </w:p>
    <w:p>
      <w:pPr>
        <w:pStyle w:val="Normal"/>
        <w:framePr w:w="2082" w:hAnchor="page" w:vAnchor="page" w:x="615" w:y="46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EBITDA margin; and</w:t>
      </w:r>
    </w:p>
    <w:p>
      <w:pPr>
        <w:pStyle w:val="Normal"/>
        <w:framePr w:w="13997" w:hAnchor="page" w:vAnchor="page" w:x="430" w:y="44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Earnings before net interest expense, income taxes, depreciation and amortization, excluding charges and credits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Adjusted EBITDA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and Adjusted</w:t>
      </w:r>
    </w:p>
    <w:p>
      <w:pPr>
        <w:pStyle w:val="Normal"/>
        <w:framePr w:w="10204" w:hAnchor="page" w:vAnchor="page" w:x="430" w:y="40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Depreciation and amortization, excluding charges and credits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Adjusted depreciation and amortization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”);</w:t>
      </w:r>
    </w:p>
    <w:p>
      <w:pPr>
        <w:pStyle w:val="Normal"/>
        <w:framePr w:w="887" w:hAnchor="page" w:vAnchor="page" w:x="615" w:y="366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margin;</w:t>
      </w:r>
    </w:p>
    <w:p>
      <w:pPr>
        <w:pStyle w:val="Normal"/>
        <w:framePr w:w="13415" w:hAnchor="page" w:vAnchor="page" w:x="430" w:y="346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Income (loss) before net interest expense and taxes, excluding charges and credits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Adjusted operating profit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 and Adjusted operating profit</w:t>
      </w:r>
    </w:p>
    <w:p>
      <w:pPr>
        <w:pStyle w:val="Normal"/>
        <w:framePr w:w="13154" w:hAnchor="page" w:vAnchor="page" w:x="430" w:y="304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451f6f"/>
          <w:w w:val="100"/>
          <w:sz w:val="17"/>
          <w:szCs w:val="17"/>
        </w:rPr>
        <w:t>►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Income (loss) from continuing operations attributable to TechnipFMC plc, excluding charges and credits, as well as measures derived from it;</w:t>
      </w:r>
    </w:p>
    <w:p>
      <w:pPr>
        <w:pStyle w:val="Normal"/>
        <w:framePr w:w="10337" w:hAnchor="page" w:vAnchor="page" w:x="274" w:y="26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measures (as defined in Item 10 of Regulation S-K of the Securities Exchange Act of 1934, as amended) below:</w:t>
      </w:r>
    </w:p>
    <w:p>
      <w:pPr>
        <w:pStyle w:val="Normal"/>
        <w:framePr w:w="13752" w:hAnchor="page" w:vAnchor="page" w:x="274" w:y="24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In addition to financial results determined in accordance with U.S. generally accepted accounting principles (“</w:t>
      </w:r>
      <w:r>
        <w:rPr>
          <w:rFonts w:ascii="WIPJFN+Arial-BoldMT" w:hAnsi="WIPJFN+Arial-BoldMT" w:fareast="WIPJFN+Arial-BoldMT" w:cs="WIPJFN+Arial-BoldMT"/>
          <w:color w:val="000000"/>
          <w:w w:val="100"/>
          <w:sz w:val="17"/>
          <w:szCs w:val="17"/>
        </w:rPr>
        <w:t>GAAP</w:t>
      </w: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”), we provide non-GAAP financial</w:t>
      </w:r>
    </w:p>
    <w:p>
      <w:pPr>
        <w:pStyle w:val="Normal"/>
        <w:framePr w:w="6342" w:hAnchor="page" w:vAnchor="page" w:x="274" w:y="1487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GAAP Measures</w:t>
      </w:r>
    </w:p>
    <w:p>
      <w:pPr>
        <w:pStyle w:val="Normal"/>
        <w:framePr w:w="13105" w:hAnchor="page" w:vAnchor="page" w:x="274" w:y="705"/>
        <w:widowControl w:val="off"/>
        <w:autoSpaceDE w:val="off"/>
        <w:autoSpaceDN w:val="off"/>
        <w:spacing w:before="0" w:after="0" w:line="711" w:lineRule="exact"/>
        <w:ind w:left="0" w:right="0" w:first-line="0"/>
        <w:jc w:val="left"/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</w:pPr>
      <w:r>
        <w:rPr>
          <w:rFonts w:ascii="TYIFDT+ArialMT" w:hAnsi="TYIFDT+ArialMT" w:fareast="TYIFDT+ArialMT" w:cs="TYIFDT+ArialMT"/>
          <w:color w:val="481e6e"/>
          <w:w w:val="100"/>
          <w:sz w:val="68"/>
          <w:szCs w:val="68"/>
        </w:rPr>
        <w:t>Appendix A — Reconciliation of Non-</w:t>
      </w:r>
    </w:p>
    <w:p>
      <w:pPr>
        <w:pStyle w:val="Normal"/>
        <w:framePr w:w="3213" w:hAnchor="page" w:vAnchor="page" w:x="274" w:y="282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7pt;margin-top:1pt;z-index:-1676140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12.7pt;margin-top:382.9pt;z-index:-16761396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</w:p>
    <w:p>
      <w:pPr>
        <w:pStyle w:val="Normal"/>
        <w:framePr w:w="1631" w:hAnchor="page" w:vAnchor="page" w:x="274" w:y="5944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122 TechnipFMC</w:t>
      </w:r>
    </w:p>
    <w:p>
      <w:pPr>
        <w:pStyle w:val="Normal"/>
        <w:framePr w:w="5487" w:hAnchor="page" w:vAnchor="page" w:x="424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 margin, excluding foreign exchange, net</w:t>
      </w:r>
    </w:p>
    <w:p>
      <w:pPr>
        <w:pStyle w:val="Normal"/>
        <w:framePr w:w="785" w:hAnchor="page" w:vAnchor="page" w:x="6058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11.5%</w:t>
      </w:r>
    </w:p>
    <w:p>
      <w:pPr>
        <w:pStyle w:val="Normal"/>
        <w:framePr w:w="785" w:hAnchor="page" w:vAnchor="page" w:x="7384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11.3%</w:t>
      </w:r>
    </w:p>
    <w:p>
      <w:pPr>
        <w:pStyle w:val="Normal"/>
        <w:framePr w:w="785" w:hAnchor="page" w:vAnchor="page" w:x="11335" w:y="52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10.0%</w:t>
      </w:r>
    </w:p>
    <w:p>
      <w:pPr>
        <w:pStyle w:val="Normal"/>
        <w:framePr w:w="2481" w:hAnchor="page" w:vAnchor="page" w:x="424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 margin</w:t>
      </w:r>
    </w:p>
    <w:p>
      <w:pPr>
        <w:pStyle w:val="Normal"/>
        <w:framePr w:w="785" w:hAnchor="page" w:vAnchor="page" w:x="6058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11.5%</w:t>
      </w:r>
    </w:p>
    <w:p>
      <w:pPr>
        <w:pStyle w:val="Normal"/>
        <w:framePr w:w="785" w:hAnchor="page" w:vAnchor="page" w:x="7384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11.3%</w:t>
      </w:r>
    </w:p>
    <w:p>
      <w:pPr>
        <w:pStyle w:val="Normal"/>
        <w:framePr w:w="671" w:hAnchor="page" w:vAnchor="page" w:x="11430" w:y="507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9.6%</w:t>
      </w:r>
    </w:p>
    <w:p>
      <w:pPr>
        <w:pStyle w:val="Normal"/>
        <w:framePr w:w="3153" w:hAnchor="page" w:vAnchor="page" w:x="424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Operating profit margin</w:t>
      </w:r>
    </w:p>
    <w:p>
      <w:pPr>
        <w:pStyle w:val="Normal"/>
        <w:framePr w:w="671" w:hAnchor="page" w:vAnchor="page" w:x="6140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5.9%</w:t>
      </w:r>
    </w:p>
    <w:p>
      <w:pPr>
        <w:pStyle w:val="Normal"/>
        <w:framePr w:w="671" w:hAnchor="page" w:vAnchor="page" w:x="7466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5.6%</w:t>
      </w:r>
    </w:p>
    <w:p>
      <w:pPr>
        <w:pStyle w:val="Normal"/>
        <w:framePr w:w="671" w:hAnchor="page" w:vAnchor="page" w:x="11430" w:y="48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4.0%</w:t>
      </w:r>
    </w:p>
    <w:p>
      <w:pPr>
        <w:pStyle w:val="Normal"/>
        <w:framePr w:w="3449" w:hAnchor="page" w:vAnchor="page" w:x="424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Operating profit margin, as reported</w:t>
      </w:r>
    </w:p>
    <w:p>
      <w:pPr>
        <w:pStyle w:val="Normal"/>
        <w:framePr w:w="671" w:hAnchor="page" w:vAnchor="page" w:x="6140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5.8%</w:t>
      </w:r>
    </w:p>
    <w:p>
      <w:pPr>
        <w:pStyle w:val="Normal"/>
        <w:framePr w:w="671" w:hAnchor="page" w:vAnchor="page" w:x="7466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4.7%</w:t>
      </w:r>
    </w:p>
    <w:p>
      <w:pPr>
        <w:pStyle w:val="Normal"/>
        <w:framePr w:w="671" w:hAnchor="page" w:vAnchor="page" w:x="11430" w:y="464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3.3%</w:t>
      </w:r>
    </w:p>
    <w:p>
      <w:pPr>
        <w:pStyle w:val="Normal"/>
        <w:framePr w:w="4804" w:hAnchor="page" w:vAnchor="page" w:x="424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EBITDA, excluding foreign exchange, net</w:t>
      </w:r>
    </w:p>
    <w:p>
      <w:pPr>
        <w:pStyle w:val="Normal"/>
        <w:framePr w:w="830" w:hAnchor="page" w:vAnchor="page" w:x="6007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$628.9</w:t>
      </w:r>
    </w:p>
    <w:p>
      <w:pPr>
        <w:pStyle w:val="Normal"/>
        <w:framePr w:w="830" w:hAnchor="page" w:vAnchor="page" w:x="7333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$139.6</w:t>
      </w:r>
    </w:p>
    <w:p>
      <w:pPr>
        <w:pStyle w:val="Normal"/>
        <w:framePr w:w="853" w:hAnchor="page" w:vAnchor="page" w:x="8633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$(98.1)</w:t>
      </w:r>
    </w:p>
    <w:p>
      <w:pPr>
        <w:pStyle w:val="Normal"/>
        <w:framePr w:w="523" w:hAnchor="page" w:vAnchor="page" w:x="10227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830" w:hAnchor="page" w:vAnchor="page" w:x="11290" w:y="44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$670.4</w:t>
      </w:r>
    </w:p>
    <w:p>
      <w:pPr>
        <w:pStyle w:val="Normal"/>
        <w:framePr w:w="2242" w:hAnchor="page" w:vAnchor="page" w:x="424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Foreign exchange, net</w:t>
      </w:r>
    </w:p>
    <w:p>
      <w:pPr>
        <w:pStyle w:val="Normal"/>
        <w:framePr w:w="409" w:hAnchor="page" w:vAnchor="page" w:x="6358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7685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9004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0161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23.9</w:t>
      </w:r>
    </w:p>
    <w:p>
      <w:pPr>
        <w:pStyle w:val="Normal"/>
        <w:framePr w:w="603" w:hAnchor="page" w:vAnchor="page" w:x="11481" w:y="41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23.9</w:t>
      </w:r>
    </w:p>
    <w:p>
      <w:pPr>
        <w:pStyle w:val="Normal"/>
        <w:framePr w:w="1798" w:hAnchor="page" w:vAnchor="page" w:x="424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</w:t>
      </w:r>
    </w:p>
    <w:p>
      <w:pPr>
        <w:pStyle w:val="Normal"/>
        <w:framePr w:w="717" w:hAnchor="page" w:vAnchor="page" w:x="6102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628.9</w:t>
      </w:r>
    </w:p>
    <w:p>
      <w:pPr>
        <w:pStyle w:val="Normal"/>
        <w:framePr w:w="717" w:hAnchor="page" w:vAnchor="page" w:x="7428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139.6</w:t>
      </w:r>
    </w:p>
    <w:p>
      <w:pPr>
        <w:pStyle w:val="Normal"/>
        <w:framePr w:w="739" w:hAnchor="page" w:vAnchor="page" w:x="8728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(98.1)</w:t>
      </w:r>
    </w:p>
    <w:p>
      <w:pPr>
        <w:pStyle w:val="Normal"/>
        <w:framePr w:w="739" w:hAnchor="page" w:vAnchor="page" w:x="10046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(23.9)</w:t>
      </w:r>
    </w:p>
    <w:p>
      <w:pPr>
        <w:pStyle w:val="Normal"/>
        <w:framePr w:w="717" w:hAnchor="page" w:vAnchor="page" w:x="11392" w:y="392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646.5</w:t>
      </w:r>
    </w:p>
    <w:p>
      <w:pPr>
        <w:pStyle w:val="Normal"/>
        <w:framePr w:w="2925" w:hAnchor="page" w:vAnchor="page" w:x="424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Depreciation and amortization</w:t>
      </w:r>
    </w:p>
    <w:p>
      <w:pPr>
        <w:pStyle w:val="Normal"/>
        <w:framePr w:w="717" w:hAnchor="page" w:vAnchor="page" w:x="6102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304.3</w:t>
      </w:r>
    </w:p>
    <w:p>
      <w:pPr>
        <w:pStyle w:val="Normal"/>
        <w:framePr w:w="603" w:hAnchor="page" w:vAnchor="page" w:x="7523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70.0</w:t>
      </w:r>
    </w:p>
    <w:p>
      <w:pPr>
        <w:pStyle w:val="Normal"/>
        <w:framePr w:w="489" w:hAnchor="page" w:vAnchor="page" w:x="8931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2.9</w:t>
      </w:r>
    </w:p>
    <w:p>
      <w:pPr>
        <w:pStyle w:val="Normal"/>
        <w:framePr w:w="409" w:hAnchor="page" w:vAnchor="page" w:x="10329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717" w:hAnchor="page" w:vAnchor="page" w:x="11392" w:y="368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377.2</w:t>
      </w:r>
    </w:p>
    <w:p>
      <w:pPr>
        <w:pStyle w:val="Normal"/>
        <w:framePr w:w="3027" w:hAnchor="page" w:vAnchor="page" w:x="424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Operating profit (loss)</w:t>
      </w:r>
    </w:p>
    <w:p>
      <w:pPr>
        <w:pStyle w:val="Normal"/>
        <w:framePr w:w="717" w:hAnchor="page" w:vAnchor="page" w:x="6102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324.6</w:t>
      </w:r>
    </w:p>
    <w:p>
      <w:pPr>
        <w:pStyle w:val="Normal"/>
        <w:framePr w:w="603" w:hAnchor="page" w:vAnchor="page" w:x="7523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69.6</w:t>
      </w:r>
    </w:p>
    <w:p>
      <w:pPr>
        <w:pStyle w:val="Normal"/>
        <w:framePr w:w="853" w:hAnchor="page" w:vAnchor="page" w:x="8632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(101.0)</w:t>
      </w:r>
    </w:p>
    <w:p>
      <w:pPr>
        <w:pStyle w:val="Normal"/>
        <w:framePr w:w="739" w:hAnchor="page" w:vAnchor="page" w:x="10046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(23.9)</w:t>
      </w:r>
    </w:p>
    <w:p>
      <w:pPr>
        <w:pStyle w:val="Normal"/>
        <w:framePr w:w="717" w:hAnchor="page" w:vAnchor="page" w:x="11392" w:y="34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269.3</w:t>
      </w:r>
    </w:p>
    <w:p>
      <w:pPr>
        <w:pStyle w:val="Normal"/>
        <w:framePr w:w="956" w:hAnchor="page" w:vAnchor="page" w:x="747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Subtotal</w:t>
      </w:r>
    </w:p>
    <w:p>
      <w:pPr>
        <w:pStyle w:val="Normal"/>
        <w:framePr w:w="489" w:hAnchor="page" w:vAnchor="page" w:x="6292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7.0</w:t>
      </w:r>
    </w:p>
    <w:p>
      <w:pPr>
        <w:pStyle w:val="Normal"/>
        <w:framePr w:w="603" w:hAnchor="page" w:vAnchor="page" w:x="7536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11.3</w:t>
      </w:r>
    </w:p>
    <w:p>
      <w:pPr>
        <w:pStyle w:val="Normal"/>
        <w:framePr w:w="489" w:hAnchor="page" w:vAnchor="page" w:x="8925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3.7</w:t>
      </w:r>
    </w:p>
    <w:p>
      <w:pPr>
        <w:pStyle w:val="Normal"/>
        <w:framePr w:w="603" w:hAnchor="page" w:vAnchor="page" w:x="10167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27.7</w:t>
      </w:r>
    </w:p>
    <w:p>
      <w:pPr>
        <w:pStyle w:val="Normal"/>
        <w:framePr w:w="603" w:hAnchor="page" w:vAnchor="page" w:x="11476" w:y="31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49.7</w:t>
      </w:r>
    </w:p>
    <w:p>
      <w:pPr>
        <w:pStyle w:val="Normal"/>
        <w:framePr w:w="4018" w:hAnchor="page" w:vAnchor="page" w:x="586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Loss from investment in Technip Energies</w:t>
      </w:r>
    </w:p>
    <w:p>
      <w:pPr>
        <w:pStyle w:val="Normal"/>
        <w:framePr w:w="409" w:hAnchor="page" w:vAnchor="page" w:x="6358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7685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9004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0167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27.7</w:t>
      </w:r>
    </w:p>
    <w:p>
      <w:pPr>
        <w:pStyle w:val="Normal"/>
        <w:framePr w:w="603" w:hAnchor="page" w:vAnchor="page" w:x="11487" w:y="295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27.7</w:t>
      </w:r>
    </w:p>
    <w:p>
      <w:pPr>
        <w:pStyle w:val="Normal"/>
        <w:framePr w:w="3130" w:hAnchor="page" w:vAnchor="page" w:x="586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Restructuring and other charges</w:t>
      </w:r>
    </w:p>
    <w:p>
      <w:pPr>
        <w:pStyle w:val="Normal"/>
        <w:framePr w:w="489" w:hAnchor="page" w:vAnchor="page" w:x="6279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5.1</w:t>
      </w:r>
    </w:p>
    <w:p>
      <w:pPr>
        <w:pStyle w:val="Normal"/>
        <w:framePr w:w="489" w:hAnchor="page" w:vAnchor="page" w:x="7614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8.5</w:t>
      </w:r>
    </w:p>
    <w:p>
      <w:pPr>
        <w:pStyle w:val="Normal"/>
        <w:framePr w:w="489" w:hAnchor="page" w:vAnchor="page" w:x="8925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3.7</w:t>
      </w:r>
    </w:p>
    <w:p>
      <w:pPr>
        <w:pStyle w:val="Normal"/>
        <w:framePr w:w="409" w:hAnchor="page" w:vAnchor="page" w:x="10329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1487" w:y="274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17.3</w:t>
      </w:r>
    </w:p>
    <w:p>
      <w:pPr>
        <w:pStyle w:val="Normal"/>
        <w:framePr w:w="2937" w:hAnchor="page" w:vAnchor="page" w:x="586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Impairment and other charges</w:t>
      </w:r>
    </w:p>
    <w:p>
      <w:pPr>
        <w:pStyle w:val="Normal"/>
        <w:framePr w:w="489" w:hAnchor="page" w:vAnchor="page" w:x="6285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1.9</w:t>
      </w:r>
    </w:p>
    <w:p>
      <w:pPr>
        <w:pStyle w:val="Normal"/>
        <w:framePr w:w="489" w:hAnchor="page" w:vAnchor="page" w:x="7614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2.8</w:t>
      </w:r>
    </w:p>
    <w:p>
      <w:pPr>
        <w:pStyle w:val="Normal"/>
        <w:framePr w:w="409" w:hAnchor="page" w:vAnchor="page" w:x="9004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10329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89" w:hAnchor="page" w:vAnchor="page" w:x="11571" w:y="252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4.7</w:t>
      </w:r>
    </w:p>
    <w:p>
      <w:pPr>
        <w:pStyle w:val="Normal"/>
        <w:framePr w:w="2230" w:hAnchor="page" w:vAnchor="page" w:x="424" w:y="231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Charges and (credits):</w:t>
      </w:r>
    </w:p>
    <w:p>
      <w:pPr>
        <w:pStyle w:val="Normal"/>
        <w:framePr w:w="4154" w:hAnchor="page" w:vAnchor="page" w:x="424" w:y="21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Operating profit (loss), as reported (pre-tax)</w:t>
      </w:r>
    </w:p>
    <w:p>
      <w:pPr>
        <w:pStyle w:val="Normal"/>
        <w:framePr w:w="830" w:hAnchor="page" w:vAnchor="page" w:x="6007" w:y="21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$317.6</w:t>
      </w:r>
    </w:p>
    <w:p>
      <w:pPr>
        <w:pStyle w:val="Normal"/>
        <w:framePr w:w="717" w:hAnchor="page" w:vAnchor="page" w:x="7428" w:y="21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$58.3</w:t>
      </w:r>
    </w:p>
    <w:p>
      <w:pPr>
        <w:pStyle w:val="Normal"/>
        <w:framePr w:w="967" w:hAnchor="page" w:vAnchor="page" w:x="8537" w:y="21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$(104.7)</w:t>
      </w:r>
    </w:p>
    <w:p>
      <w:pPr>
        <w:pStyle w:val="Normal"/>
        <w:framePr w:w="853" w:hAnchor="page" w:vAnchor="page" w:x="9959" w:y="21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$(51.6)</w:t>
      </w:r>
    </w:p>
    <w:p>
      <w:pPr>
        <w:pStyle w:val="Normal"/>
        <w:framePr w:w="830" w:hAnchor="page" w:vAnchor="page" w:x="11297" w:y="210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$219.6</w:t>
      </w:r>
    </w:p>
    <w:p>
      <w:pPr>
        <w:pStyle w:val="Normal"/>
        <w:framePr w:w="1024" w:hAnchor="page" w:vAnchor="page" w:x="424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Revenue</w:t>
      </w:r>
    </w:p>
    <w:p>
      <w:pPr>
        <w:pStyle w:val="Normal"/>
        <w:framePr w:w="1001" w:hAnchor="page" w:vAnchor="page" w:x="5864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$5,461.2</w:t>
      </w:r>
    </w:p>
    <w:p>
      <w:pPr>
        <w:pStyle w:val="Normal"/>
        <w:framePr w:w="1001" w:hAnchor="page" w:vAnchor="page" w:x="7191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$1,239.2</w:t>
      </w:r>
    </w:p>
    <w:p>
      <w:pPr>
        <w:pStyle w:val="Normal"/>
        <w:framePr w:w="523" w:hAnchor="page" w:vAnchor="page" w:x="8902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523" w:hAnchor="page" w:vAnchor="page" w:x="10227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1001" w:hAnchor="page" w:vAnchor="page" w:x="11155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$6,700.4</w:t>
      </w:r>
    </w:p>
    <w:p>
      <w:pPr>
        <w:pStyle w:val="Normal"/>
        <w:framePr w:w="1240" w:hAnchor="page" w:vAnchor="page" w:x="331" w:y="16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(in millions)</w:t>
      </w:r>
    </w:p>
    <w:p>
      <w:pPr>
        <w:pStyle w:val="Normal"/>
        <w:framePr w:w="933" w:hAnchor="page" w:vAnchor="page" w:x="6068" w:y="16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Subsea</w:t>
      </w:r>
    </w:p>
    <w:p>
      <w:pPr>
        <w:pStyle w:val="Normal"/>
        <w:framePr w:w="1524" w:hAnchor="page" w:vAnchor="page" w:x="6981" w:y="16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Technologies</w:t>
      </w:r>
    </w:p>
    <w:p>
      <w:pPr>
        <w:pStyle w:val="Normal"/>
        <w:framePr w:w="1047" w:hAnchor="page" w:vAnchor="page" w:x="8633" w:y="16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Expense</w:t>
      </w:r>
    </w:p>
    <w:p>
      <w:pPr>
        <w:pStyle w:val="Normal"/>
        <w:framePr w:w="1171" w:hAnchor="page" w:vAnchor="page" w:x="9823" w:y="16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and Other</w:t>
      </w:r>
    </w:p>
    <w:p>
      <w:pPr>
        <w:pStyle w:val="Normal"/>
        <w:framePr w:w="693" w:hAnchor="page" w:vAnchor="page" w:x="11514" w:y="16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</w:t>
      </w:r>
    </w:p>
    <w:p>
      <w:pPr>
        <w:pStyle w:val="Normal"/>
        <w:framePr w:w="955" w:hAnchor="page" w:vAnchor="page" w:x="7443" w:y="14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Surface</w:t>
      </w:r>
    </w:p>
    <w:p>
      <w:pPr>
        <w:pStyle w:val="Normal"/>
        <w:framePr w:w="1183" w:hAnchor="page" w:vAnchor="page" w:x="8519" w:y="14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Corporate</w:t>
      </w:r>
    </w:p>
    <w:p>
      <w:pPr>
        <w:pStyle w:val="Normal"/>
        <w:framePr w:w="1593" w:hAnchor="page" w:vAnchor="page" w:x="9472" w:y="14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Exchange, net</w:t>
      </w:r>
    </w:p>
    <w:p>
      <w:pPr>
        <w:pStyle w:val="Normal"/>
        <w:framePr w:w="955" w:hAnchor="page" w:vAnchor="page" w:x="10003" w:y="120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Foreign</w:t>
      </w:r>
    </w:p>
    <w:p>
      <w:pPr>
        <w:pStyle w:val="Normal"/>
        <w:framePr w:w="2049" w:hAnchor="page" w:vAnchor="page" w:x="7940" w:y="9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December 31, 2022</w:t>
      </w:r>
    </w:p>
    <w:p>
      <w:pPr>
        <w:pStyle w:val="Normal"/>
        <w:framePr w:w="1331" w:hAnchor="page" w:vAnchor="page" w:x="8244" w:y="7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Year Ended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framePr w:w="342" w:hAnchor="page" w:vAnchor="page" w:x="274" w:y="5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7pt;margin-top:1pt;z-index:-16761392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12.7pt;margin-top:31.55pt;z-index:-16761388;width:260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271.55pt;margin-top:31.55pt;z-index:-16761384;width:327.7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12.7pt;margin-top:55.05pt;z-index:-16761380;width:260.9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271.55pt;margin-top:55.05pt;z-index:-16761376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335.6pt;margin-top:55.05pt;z-index:-16761372;width:71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405.3pt;margin-top:55.05pt;z-index:-16761368;width:65.3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468.6pt;margin-top:55.05pt;z-index:-16761364;width:66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33.3pt;margin-top:55.05pt;z-index:-16761360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12.7pt;margin-top:31.55pt;z-index:-16761356;width:260.9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271.55pt;margin-top:31.55pt;z-index:-16761352;width:327.75pt;height:25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12.7pt;margin-top:55.05pt;z-index:-16761348;width:260.9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271.55pt;margin-top:55.05pt;z-index:-16761344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35.6pt;margin-top:55.05pt;z-index:-16761340;width:71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405.3pt;margin-top:55.05pt;z-index:-16761336;width:65.3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468.6pt;margin-top:55.05pt;z-index:-16761332;width:66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533.3pt;margin-top:55.05pt;z-index:-16761328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533.3pt;margin-top:55.05pt;z-index:-1676132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533.3pt;margin-top:91.3pt;z-index:-16761320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468.6pt;margin-top:55.05pt;z-index:-1676131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468.6pt;margin-top:91.3pt;z-index:-1676131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405.3pt;margin-top:55.05pt;z-index:-16761308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405.3pt;margin-top:91.3pt;z-index:-16761304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335.6pt;margin-top:55.05pt;z-index:-16761300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335.6pt;margin-top:91.3pt;z-index:-16761296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271.55pt;margin-top:91.3pt;z-index:-1676129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12.7pt;margin-top:91.3pt;z-index:-16761288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271.55pt;margin-top:31.55pt;z-index:-16761284;width:32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271.55pt;margin-top:55.05pt;z-index:-16761280;width:32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12.7pt;margin-top:31.55pt;z-index:-16761276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12.7pt;margin-top:92.05pt;z-index:-16761272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266.6pt;margin-top:92.05pt;z-index:-16761268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332.05pt;margin-top:92.05pt;z-index:-16761264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402.45pt;margin-top:92.05pt;z-index:-16761260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468.6pt;margin-top:92.05pt;z-index:-16761256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33.3pt;margin-top:92.05pt;z-index:-16761252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12.7pt;margin-top:102.7pt;z-index:-16761248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266.6pt;margin-top:102.7pt;z-index:-16761244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332.05pt;margin-top:102.7pt;z-index:-16761240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402.45pt;margin-top:102.7pt;z-index:-16761236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468.6pt;margin-top:102.7pt;z-index:-16761232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533.3pt;margin-top:102.7pt;z-index:-16761228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12.7pt;margin-top:113.35pt;z-index:-16761224;width:58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12.7pt;margin-top:124.05pt;z-index:-16761220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266.6pt;margin-top:124.05pt;z-index:-16761216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332.05pt;margin-top:124.05pt;z-index:-16761212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402.45pt;margin-top:124.05pt;z-index:-16761208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468.6pt;margin-top:124.05pt;z-index:-16761204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33.3pt;margin-top:124.05pt;z-index:-16761200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2.7pt;margin-top:134.7pt;z-index:-16761196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266.6pt;margin-top:134.7pt;z-index:-16761192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32.05pt;margin-top:134.7pt;z-index:-16761188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402.45pt;margin-top:134.7pt;z-index:-16761184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468.6pt;margin-top:134.7pt;z-index:-16761180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33.3pt;margin-top:134.7pt;z-index:-16761176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12.7pt;margin-top:145.4pt;z-index:-16761172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266.6pt;margin-top:145.4pt;z-index:-16761168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332.05pt;margin-top:145.4pt;z-index:-16761164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02.45pt;margin-top:145.4pt;z-index:-16761160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68.6pt;margin-top:145.4pt;z-index:-16761156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33.3pt;margin-top:145.4pt;z-index:-16761152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12.7pt;margin-top:157.45pt;z-index:-16761148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266.6pt;margin-top:157.45pt;z-index:-1676114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332.05pt;margin-top:157.45pt;z-index:-16761140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402.45pt;margin-top:157.45pt;z-index:-16761136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468.6pt;margin-top:157.45pt;z-index:-16761132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33.3pt;margin-top:157.45pt;z-index:-16761128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12.7pt;margin-top:169.55pt;z-index:-16761124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266.6pt;margin-top:169.55pt;z-index:-16761120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332.05pt;margin-top:169.55pt;z-index:-16761116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02.45pt;margin-top:169.55pt;z-index:-16761112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468.6pt;margin-top:169.55pt;z-index:-16761108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33.3pt;margin-top:169.55pt;z-index:-16761104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12.7pt;margin-top:181.65pt;z-index:-16761100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266.6pt;margin-top:181.65pt;z-index:-16761096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332.05pt;margin-top:181.65pt;z-index:-16761092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402.45pt;margin-top:181.65pt;z-index:-16761088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68.6pt;margin-top:181.65pt;z-index:-16761084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533.3pt;margin-top:181.65pt;z-index:-16761080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12.7pt;margin-top:193.75pt;z-index:-16761076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266.6pt;margin-top:193.75pt;z-index:-16761072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332.05pt;margin-top:193.75pt;z-index:-16761068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02.45pt;margin-top:193.75pt;z-index:-16761064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68.6pt;margin-top:193.75pt;z-index:-16761060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33.3pt;margin-top:193.75pt;z-index:-16761056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12.7pt;margin-top:205.85pt;z-index:-16761052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266.6pt;margin-top:205.85pt;z-index:-16761048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32.05pt;margin-top:205.85pt;z-index:-16761044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402.45pt;margin-top:205.85pt;z-index:-16761040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468.6pt;margin-top:205.85pt;z-index:-16761036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33.3pt;margin-top:205.85pt;z-index:-16761032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12.7pt;margin-top:217.9pt;z-index:-16761028;width:255.9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266.6pt;margin-top:217.9pt;z-index:-1676102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332.05pt;margin-top:217.9pt;z-index:-16761020;width:72.4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402.45pt;margin-top:217.9pt;z-index:-16761016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468.6pt;margin-top:217.9pt;z-index:-16761012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33.3pt;margin-top:217.9pt;z-index:-16761008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12.7pt;margin-top:230pt;z-index:-16761004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266.6pt;margin-top:230pt;z-index:-16761000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332.05pt;margin-top:230pt;z-index:-16760996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402.45pt;margin-top:230pt;z-index:-16760992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68.6pt;margin-top:230pt;z-index:-16760988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33.3pt;margin-top:230pt;z-index:-16760984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12.7pt;margin-top:240.65pt;z-index:-16760980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266.6pt;margin-top:240.65pt;z-index:-16760976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332.05pt;margin-top:240.65pt;z-index:-16760972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02.45pt;margin-top:240.65pt;z-index:-16760968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68.6pt;margin-top:240.65pt;z-index:-16760964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33.3pt;margin-top:240.65pt;z-index:-16760960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2.7pt;margin-top:251.35pt;z-index:-16760956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266.6pt;margin-top:251.35pt;z-index:-16760952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332.05pt;margin-top:251.35pt;z-index:-16760948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402.45pt;margin-top:251.35pt;z-index:-16760944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468.6pt;margin-top:251.35pt;z-index:-16760940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33.3pt;margin-top:251.35pt;z-index:-16760936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12.7pt;margin-top:262pt;z-index:-16760932;width:25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266.6pt;margin-top:262pt;z-index:-16760928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332.05pt;margin-top:262pt;z-index:-16760924;width:72.4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02.45pt;margin-top:262pt;z-index:-16760920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68.6pt;margin-top:262pt;z-index:-16760916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33.3pt;margin-top:262pt;z-index:-16760912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533.3pt;margin-top:272.7pt;z-index:-16760908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596.6pt;margin-top:262pt;z-index:-167609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468.6pt;margin-top:272.7pt;z-index:-16760900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33.3pt;margin-top:262pt;z-index:-1676089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402.45pt;margin-top:272.7pt;z-index:-16760892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468.6pt;margin-top:262pt;z-index:-167608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332.05pt;margin-top:272.7pt;z-index:-1676088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402.45pt;margin-top:262pt;z-index:-167608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266.6pt;margin-top:272.7pt;z-index:-16760876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32.05pt;margin-top:262pt;z-index:-167608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12.7pt;margin-top:272.7pt;z-index:-16760868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12.7pt;margin-top:262pt;z-index:-167608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266.6pt;margin-top:262pt;z-index:-167608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533.3pt;margin-top:262pt;z-index:-1676085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596.6pt;margin-top:251.35pt;z-index:-1676085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68.6pt;margin-top:262pt;z-index:-1676084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33.3pt;margin-top:251.35pt;z-index:-1676084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402.45pt;margin-top:262pt;z-index:-1676084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468.6pt;margin-top:251.35pt;z-index:-1676083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32.05pt;margin-top:262pt;z-index:-1676083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402.45pt;margin-top:251.35pt;z-index:-167608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266.6pt;margin-top:262pt;z-index:-1676082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332.05pt;margin-top:251.35pt;z-index:-1676082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12.7pt;margin-top:262pt;z-index:-16760816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12.7pt;margin-top:251.35pt;z-index:-1676081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266.6pt;margin-top:251.35pt;z-index:-167608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33.3pt;margin-top:251.35pt;z-index:-1676080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596.6pt;margin-top:240.65pt;z-index:-167608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468.6pt;margin-top:251.35pt;z-index:-1676079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533.3pt;margin-top:240.65pt;z-index:-167607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402.45pt;margin-top:251.35pt;z-index:-16760788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468.6pt;margin-top:240.65pt;z-index:-167607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332.05pt;margin-top:251.35pt;z-index:-16760780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02.45pt;margin-top:240.65pt;z-index:-167607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266.6pt;margin-top:251.35pt;z-index:-16760772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332.05pt;margin-top:240.65pt;z-index:-167607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12.7pt;margin-top:251.35pt;z-index:-16760764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12.7pt;margin-top:240.65pt;z-index:-167607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266.6pt;margin-top:240.65pt;z-index:-167607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533.3pt;margin-top:240.65pt;z-index:-1676075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596.6pt;margin-top:229.3pt;z-index:-16760748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468.6pt;margin-top:240.65pt;z-index:-1676074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533.3pt;margin-top:230.7pt;z-index:-1676074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402.45pt;margin-top:240.65pt;z-index:-16760736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468.6pt;margin-top:230.7pt;z-index:-167607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332.05pt;margin-top:240.65pt;z-index:-16760728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402.45pt;margin-top:230.7pt;z-index:-167607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266.6pt;margin-top:240.65pt;z-index:-16760720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332.05pt;margin-top:230.7pt;z-index:-1676071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12.7pt;margin-top:240.65pt;z-index:-16760712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12.7pt;margin-top:230pt;z-index:-167607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266.6pt;margin-top:230.7pt;z-index:-1676070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33.3pt;margin-top:229.3pt;z-index:-16760700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96.6pt;margin-top:217.2pt;z-index:-1676069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468.6pt;margin-top:229.3pt;z-index:-16760692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533.3pt;margin-top:218.6pt;z-index:-167606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402.45pt;margin-top:229.3pt;z-index:-16760684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468.6pt;margin-top:218.6pt;z-index:-167606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332.05pt;margin-top:229.3pt;z-index:-16760676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402.45pt;margin-top:218.6pt;z-index:-167606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266.6pt;margin-top:229.3pt;z-index:-16760668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332.05pt;margin-top:218.6pt;z-index:-1676066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12.7pt;margin-top:230pt;z-index:-16760660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12.7pt;margin-top:217.9pt;z-index:-16760656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266.6pt;margin-top:218.6pt;z-index:-1676065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33.3pt;margin-top:217.2pt;z-index:-16760648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96.6pt;margin-top:205.1pt;z-index:-1676064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468.6pt;margin-top:217.2pt;z-index:-16760640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33.3pt;margin-top:206.55pt;z-index:-167606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402.45pt;margin-top:217.2pt;z-index:-16760632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468.6pt;margin-top:206.55pt;z-index:-167606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332.05pt;margin-top:217.2pt;z-index:-16760624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402.45pt;margin-top:206.55pt;z-index:-167606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266.6pt;margin-top:217.2pt;z-index:-16760616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332.05pt;margin-top:206.55pt;z-index:-167606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12.7pt;margin-top:217.9pt;z-index:-16760608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12.7pt;margin-top:205.85pt;z-index:-1676060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266.6pt;margin-top:206.55pt;z-index:-1676060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533.3pt;margin-top:205.1pt;z-index:-16760596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596.6pt;margin-top:193.05pt;z-index:-16760592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68.6pt;margin-top:205.1pt;z-index:-16760588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533.3pt;margin-top:194.45pt;z-index:-1676058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402.45pt;margin-top:205.1pt;z-index:-16760580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468.6pt;margin-top:194.45pt;z-index:-167605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332.05pt;margin-top:205.1pt;z-index:-16760572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402.45pt;margin-top:194.45pt;z-index:-167605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266.6pt;margin-top:205.1pt;z-index:-16760564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332.05pt;margin-top:194.45pt;z-index:-1676056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12.7pt;margin-top:205.8pt;z-index:-16760556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12.7pt;margin-top:193.75pt;z-index:-16760552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266.6pt;margin-top:194.45pt;z-index:-1676054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33.3pt;margin-top:193pt;z-index:-16760544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596.6pt;margin-top:180.95pt;z-index:-16760540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68.6pt;margin-top:193pt;z-index:-16760536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33.3pt;margin-top:182.35pt;z-index:-167605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402.45pt;margin-top:193pt;z-index:-16760528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468.6pt;margin-top:182.35pt;z-index:-167605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32.05pt;margin-top:193pt;z-index:-16760520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402.45pt;margin-top:182.35pt;z-index:-1676051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266.6pt;margin-top:193pt;z-index:-16760512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332.05pt;margin-top:182.35pt;z-index:-1676050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12.7pt;margin-top:193.75pt;z-index:-16760504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12.7pt;margin-top:181.65pt;z-index:-16760500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266.6pt;margin-top:182.35pt;z-index:-1676049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533.3pt;margin-top:180.95pt;z-index:-16760492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96.6pt;margin-top:168.85pt;z-index:-16760488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468.6pt;margin-top:180.95pt;z-index:-16760484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33.3pt;margin-top:170.25pt;z-index:-167604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402.45pt;margin-top:180.95pt;z-index:-16760476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468.6pt;margin-top:170.25pt;z-index:-167604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332.05pt;margin-top:180.95pt;z-index:-16760468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02.45pt;margin-top:170.25pt;z-index:-1676046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266.6pt;margin-top:180.95pt;z-index:-16760460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32.05pt;margin-top:170.25pt;z-index:-1676045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12.7pt;margin-top:181.65pt;z-index:-16760452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12.7pt;margin-top:169.55pt;z-index:-16760448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266.6pt;margin-top:170.25pt;z-index:-1676044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33.3pt;margin-top:168.85pt;z-index:-16760440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96.6pt;margin-top:156.75pt;z-index:-1676043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68.6pt;margin-top:168.85pt;z-index:-16760432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33.3pt;margin-top:158.15pt;z-index:-167604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402.45pt;margin-top:168.85pt;z-index:-16760424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468.6pt;margin-top:158.15pt;z-index:-167604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332.05pt;margin-top:168.85pt;z-index:-16760416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402.45pt;margin-top:158.15pt;z-index:-167604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266.6pt;margin-top:168.85pt;z-index:-16760408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332.05pt;margin-top:158.15pt;z-index:-1676040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12.7pt;margin-top:169.55pt;z-index:-16760400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12.7pt;margin-top:157.45pt;z-index:-16760396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266.6pt;margin-top:158.15pt;z-index:-1676039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533.3pt;margin-top:156.75pt;z-index:-16760388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96.6pt;margin-top:145.35pt;z-index:-167603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468.6pt;margin-top:156.75pt;z-index:-16760380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33.3pt;margin-top:145.35pt;z-index:-167603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402.45pt;margin-top:156.75pt;z-index:-16760372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468.6pt;margin-top:145.35pt;z-index:-167603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332.05pt;margin-top:156.75pt;z-index:-16760364;width:73.1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02.45pt;margin-top:145.35pt;z-index:-167603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266.6pt;margin-top:156.75pt;z-index:-16760356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332.05pt;margin-top:145.35pt;z-index:-1676035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12.7pt;margin-top:157.45pt;z-index:-16760348;width:255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12.7pt;margin-top:145.4pt;z-index:-1676034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266.6pt;margin-top:145.35pt;z-index:-167603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33.3pt;margin-top:145.35pt;z-index:-1676033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96.6pt;margin-top:134.7pt;z-index:-167603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468.6pt;margin-top:145.35pt;z-index:-1676032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533.3pt;margin-top:134.7pt;z-index:-1676032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402.45pt;margin-top:145.35pt;z-index:-1676032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468.6pt;margin-top:134.7pt;z-index:-167603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32.05pt;margin-top:145.35pt;z-index:-1676031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402.45pt;margin-top:134.7pt;z-index:-167603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266.6pt;margin-top:145.35pt;z-index:-1676030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32.05pt;margin-top:134.7pt;z-index:-167603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12.7pt;margin-top:145.35pt;z-index:-16760296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12.7pt;margin-top:134.7pt;z-index:-167602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266.6pt;margin-top:134.7pt;z-index:-167602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33.3pt;margin-top:124.05pt;z-index:-1676028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533.3pt;margin-top:134.7pt;z-index:-16760280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596.6pt;margin-top:124.05pt;z-index:-167602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468.6pt;margin-top:124.05pt;z-index:-1676027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468.6pt;margin-top:134.7pt;z-index:-1676026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533.3pt;margin-top:124.05pt;z-index:-167602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402.45pt;margin-top:124.05pt;z-index:-1676026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402.45pt;margin-top:134.7pt;z-index:-16760256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468.6pt;margin-top:124.05pt;z-index:-1676025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332.05pt;margin-top:124.05pt;z-index:-16760248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332.05pt;margin-top:134.7pt;z-index:-1676024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402.45pt;margin-top:124.05pt;z-index:-167602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266.6pt;margin-top:124.05pt;z-index:-16760236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266.6pt;margin-top:134.7pt;z-index:-16760232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32.05pt;margin-top:124.05pt;z-index:-167602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12.7pt;margin-top:134.7pt;z-index:-16760224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12.7pt;margin-top:124.05pt;z-index:-1676022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266.6pt;margin-top:124.05pt;z-index:-167602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12.7pt;margin-top:113.35pt;z-index:-16760212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12.7pt;margin-top:124.05pt;z-index:-16760208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12.7pt;margin-top:113.35pt;z-index:-167602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596.6pt;margin-top:113.35pt;z-index:-167602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533.3pt;margin-top:113.35pt;z-index:-1676019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96.6pt;margin-top:102.7pt;z-index:-167601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468.6pt;margin-top:113.35pt;z-index:-1676018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33.3pt;margin-top:102.7pt;z-index:-167601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402.45pt;margin-top:113.35pt;z-index:-1676018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68.6pt;margin-top:102.7pt;z-index:-167601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332.05pt;margin-top:113.35pt;z-index:-16760172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402.45pt;margin-top:102.7pt;z-index:-167601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266.6pt;margin-top:113.35pt;z-index:-1676016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332.05pt;margin-top:102.7pt;z-index:-167601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12.7pt;margin-top:113.35pt;z-index:-16760156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12.7pt;margin-top:102.7pt;z-index:-1676015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266.6pt;margin-top:102.7pt;z-index:-1676014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533.3pt;margin-top:92.05pt;z-index:-1676014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533.3pt;margin-top:102.7pt;z-index:-16760140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596.6pt;margin-top:92.05pt;z-index:-1676013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468.6pt;margin-top:92.05pt;z-index:-1676013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68.6pt;margin-top:102.7pt;z-index:-1676012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533.3pt;margin-top:92.05pt;z-index:-1676012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02.45pt;margin-top:92.05pt;z-index:-1676012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402.45pt;margin-top:102.7pt;z-index:-16760116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468.6pt;margin-top:92.05pt;z-index:-1676011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332.05pt;margin-top:92.05pt;z-index:-16760108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332.05pt;margin-top:102.7pt;z-index:-16760104;width:7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402.45pt;margin-top:92.05pt;z-index:-167601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266.6pt;margin-top:92.05pt;z-index:-16760096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266.6pt;margin-top:102.7pt;z-index:-16760092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332.05pt;margin-top:92.05pt;z-index:-167600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12.7pt;margin-top:92.05pt;z-index:-16760084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12.7pt;margin-top:102.7pt;z-index:-16760080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12.7pt;margin-top:92.05pt;z-index:-167600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266.6pt;margin-top:92.05pt;z-index:-167600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12.7pt;margin-top:313.2pt;z-index:-1676006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</w:p>
    <w:p>
      <w:pPr>
        <w:pStyle w:val="Normal"/>
        <w:framePr w:w="1631" w:hAnchor="page" w:vAnchor="page" w:x="274" w:y="647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123 TechnipFMC</w:t>
      </w:r>
    </w:p>
    <w:p>
      <w:pPr>
        <w:pStyle w:val="Normal"/>
        <w:framePr w:w="6558" w:hAnchor="page" w:vAnchor="page" w:x="274" w:y="5858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32373f"/>
          <w:w w:val="100"/>
          <w:sz w:val="15"/>
          <w:szCs w:val="15"/>
        </w:rPr>
        <w:t>(1) Includes $36.7 million impairment relating to our equity method investment.</w:t>
      </w:r>
    </w:p>
    <w:p>
      <w:pPr>
        <w:pStyle w:val="Normal"/>
        <w:framePr w:w="5487" w:hAnchor="page" w:vAnchor="page" w:x="424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 margin, excluding foreign exchange, net</w:t>
      </w:r>
    </w:p>
    <w:p>
      <w:pPr>
        <w:pStyle w:val="Normal"/>
        <w:framePr w:w="785" w:hAnchor="page" w:vAnchor="page" w:x="6073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10.5%</w:t>
      </w:r>
    </w:p>
    <w:p>
      <w:pPr>
        <w:pStyle w:val="Normal"/>
        <w:framePr w:w="785" w:hAnchor="page" w:vAnchor="page" w:x="7418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10.6%</w:t>
      </w:r>
    </w:p>
    <w:p>
      <w:pPr>
        <w:pStyle w:val="Normal"/>
        <w:framePr w:w="671" w:hAnchor="page" w:vAnchor="page" w:x="11433" w:y="53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8.8%</w:t>
      </w:r>
    </w:p>
    <w:p>
      <w:pPr>
        <w:pStyle w:val="Normal"/>
        <w:framePr w:w="2481" w:hAnchor="page" w:vAnchor="page" w:x="424" w:y="51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 margin</w:t>
      </w:r>
    </w:p>
    <w:p>
      <w:pPr>
        <w:pStyle w:val="Normal"/>
        <w:framePr w:w="785" w:hAnchor="page" w:vAnchor="page" w:x="6073" w:y="51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10.5%</w:t>
      </w:r>
    </w:p>
    <w:p>
      <w:pPr>
        <w:pStyle w:val="Normal"/>
        <w:framePr w:w="785" w:hAnchor="page" w:vAnchor="page" w:x="7418" w:y="51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10.6%</w:t>
      </w:r>
    </w:p>
    <w:p>
      <w:pPr>
        <w:pStyle w:val="Normal"/>
        <w:framePr w:w="671" w:hAnchor="page" w:vAnchor="page" w:x="11433" w:y="513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9.1%</w:t>
      </w:r>
    </w:p>
    <w:p>
      <w:pPr>
        <w:pStyle w:val="Normal"/>
        <w:framePr w:w="3153" w:hAnchor="page" w:vAnchor="page" w:x="424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Operating profit margin</w:t>
      </w:r>
    </w:p>
    <w:p>
      <w:pPr>
        <w:pStyle w:val="Normal"/>
        <w:framePr w:w="671" w:hAnchor="page" w:vAnchor="page" w:x="6163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4.5%</w:t>
      </w:r>
    </w:p>
    <w:p>
      <w:pPr>
        <w:pStyle w:val="Normal"/>
        <w:framePr w:w="671" w:hAnchor="page" w:vAnchor="page" w:x="7519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4.6%</w:t>
      </w:r>
    </w:p>
    <w:p>
      <w:pPr>
        <w:pStyle w:val="Normal"/>
        <w:framePr w:w="671" w:hAnchor="page" w:vAnchor="page" w:x="11433" w:y="49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3.0%</w:t>
      </w:r>
    </w:p>
    <w:p>
      <w:pPr>
        <w:pStyle w:val="Normal"/>
        <w:framePr w:w="3449" w:hAnchor="page" w:vAnchor="page" w:x="424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Operating profit margin, as reported</w:t>
      </w:r>
    </w:p>
    <w:p>
      <w:pPr>
        <w:pStyle w:val="Normal"/>
        <w:framePr w:w="671" w:hAnchor="page" w:vAnchor="page" w:x="6168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2.7%</w:t>
      </w:r>
    </w:p>
    <w:p>
      <w:pPr>
        <w:pStyle w:val="Normal"/>
        <w:framePr w:w="671" w:hAnchor="page" w:vAnchor="page" w:x="7519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3.9%</w:t>
      </w:r>
    </w:p>
    <w:p>
      <w:pPr>
        <w:pStyle w:val="Normal"/>
        <w:framePr w:w="671" w:hAnchor="page" w:vAnchor="page" w:x="11433" w:y="470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6.3%</w:t>
      </w:r>
    </w:p>
    <w:p>
      <w:pPr>
        <w:pStyle w:val="Normal"/>
        <w:framePr w:w="4804" w:hAnchor="page" w:vAnchor="page" w:x="424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EBITDA, excluding foreign exchange, net</w:t>
      </w:r>
    </w:p>
    <w:p>
      <w:pPr>
        <w:pStyle w:val="Normal"/>
        <w:framePr w:w="830" w:hAnchor="page" w:vAnchor="page" w:x="6035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$559.3</w:t>
      </w:r>
    </w:p>
    <w:p>
      <w:pPr>
        <w:pStyle w:val="Normal"/>
        <w:framePr w:w="830" w:hAnchor="page" w:vAnchor="page" w:x="7398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$114.4</w:t>
      </w:r>
    </w:p>
    <w:p>
      <w:pPr>
        <w:pStyle w:val="Normal"/>
        <w:framePr w:w="967" w:hAnchor="page" w:vAnchor="page" w:x="8581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$(109.1)</w:t>
      </w:r>
    </w:p>
    <w:p>
      <w:pPr>
        <w:pStyle w:val="Normal"/>
        <w:framePr w:w="523" w:hAnchor="page" w:vAnchor="page" w:x="10246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830" w:hAnchor="page" w:vAnchor="page" w:x="11300" w:y="44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$564.6</w:t>
      </w:r>
    </w:p>
    <w:p>
      <w:pPr>
        <w:pStyle w:val="Normal"/>
        <w:framePr w:w="2242" w:hAnchor="page" w:vAnchor="page" w:x="424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Foreign exchange, net</w:t>
      </w:r>
    </w:p>
    <w:p>
      <w:pPr>
        <w:pStyle w:val="Normal"/>
        <w:framePr w:w="409" w:hAnchor="page" w:vAnchor="page" w:x="6386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7737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9048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739" w:hAnchor="page" w:vAnchor="page" w:x="10072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(15.8)</w:t>
      </w:r>
    </w:p>
    <w:p>
      <w:pPr>
        <w:pStyle w:val="Normal"/>
        <w:framePr w:w="739" w:hAnchor="page" w:vAnchor="page" w:x="11376" w:y="422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(15.8)</w:t>
      </w:r>
    </w:p>
    <w:p>
      <w:pPr>
        <w:pStyle w:val="Normal"/>
        <w:framePr w:w="1798" w:hAnchor="page" w:vAnchor="page" w:x="424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</w:t>
      </w:r>
    </w:p>
    <w:p>
      <w:pPr>
        <w:pStyle w:val="Normal"/>
        <w:framePr w:w="717" w:hAnchor="page" w:vAnchor="page" w:x="6130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559.3</w:t>
      </w:r>
    </w:p>
    <w:p>
      <w:pPr>
        <w:pStyle w:val="Normal"/>
        <w:framePr w:w="717" w:hAnchor="page" w:vAnchor="page" w:x="7493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114.4</w:t>
      </w:r>
    </w:p>
    <w:p>
      <w:pPr>
        <w:pStyle w:val="Normal"/>
        <w:framePr w:w="853" w:hAnchor="page" w:vAnchor="page" w:x="8676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(109.1)</w:t>
      </w:r>
    </w:p>
    <w:p>
      <w:pPr>
        <w:pStyle w:val="Normal"/>
        <w:framePr w:w="603" w:hAnchor="page" w:vAnchor="page" w:x="10186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15.8</w:t>
      </w:r>
    </w:p>
    <w:p>
      <w:pPr>
        <w:pStyle w:val="Normal"/>
        <w:framePr w:w="717" w:hAnchor="page" w:vAnchor="page" w:x="11388" w:y="397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580.4</w:t>
      </w:r>
    </w:p>
    <w:p>
      <w:pPr>
        <w:pStyle w:val="Normal"/>
        <w:framePr w:w="3779" w:hAnchor="page" w:vAnchor="page" w:x="424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Depreciation and amortization</w:t>
      </w:r>
    </w:p>
    <w:p>
      <w:pPr>
        <w:pStyle w:val="Normal"/>
        <w:framePr w:w="717" w:hAnchor="page" w:vAnchor="page" w:x="6130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317.2</w:t>
      </w:r>
    </w:p>
    <w:p>
      <w:pPr>
        <w:pStyle w:val="Normal"/>
        <w:framePr w:w="603" w:hAnchor="page" w:vAnchor="page" w:x="7576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64.8</w:t>
      </w:r>
    </w:p>
    <w:p>
      <w:pPr>
        <w:pStyle w:val="Normal"/>
        <w:framePr w:w="489" w:hAnchor="page" w:vAnchor="page" w:x="8974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3.4</w:t>
      </w:r>
    </w:p>
    <w:p>
      <w:pPr>
        <w:pStyle w:val="Normal"/>
        <w:framePr w:w="409" w:hAnchor="page" w:vAnchor="page" w:x="10347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717" w:hAnchor="page" w:vAnchor="page" w:x="11388" w:y="373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385.4</w:t>
      </w:r>
    </w:p>
    <w:p>
      <w:pPr>
        <w:pStyle w:val="Normal"/>
        <w:framePr w:w="3027" w:hAnchor="page" w:vAnchor="page" w:x="424" w:y="34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Operating profit (loss)</w:t>
      </w:r>
    </w:p>
    <w:p>
      <w:pPr>
        <w:pStyle w:val="Normal"/>
        <w:framePr w:w="717" w:hAnchor="page" w:vAnchor="page" w:x="6130" w:y="34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242.1</w:t>
      </w:r>
    </w:p>
    <w:p>
      <w:pPr>
        <w:pStyle w:val="Normal"/>
        <w:framePr w:w="603" w:hAnchor="page" w:vAnchor="page" w:x="7576" w:y="34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49.6</w:t>
      </w:r>
    </w:p>
    <w:p>
      <w:pPr>
        <w:pStyle w:val="Normal"/>
        <w:framePr w:w="853" w:hAnchor="page" w:vAnchor="page" w:x="8690" w:y="34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(112.5)</w:t>
      </w:r>
    </w:p>
    <w:p>
      <w:pPr>
        <w:pStyle w:val="Normal"/>
        <w:framePr w:w="603" w:hAnchor="page" w:vAnchor="page" w:x="10186" w:y="34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15.8</w:t>
      </w:r>
    </w:p>
    <w:p>
      <w:pPr>
        <w:pStyle w:val="Normal"/>
        <w:framePr w:w="717" w:hAnchor="page" w:vAnchor="page" w:x="11395" w:y="34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195.0</w:t>
      </w:r>
    </w:p>
    <w:p>
      <w:pPr>
        <w:pStyle w:val="Normal"/>
        <w:framePr w:w="956" w:hAnchor="page" w:vAnchor="page" w:x="747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Subtotal</w:t>
      </w:r>
    </w:p>
    <w:p>
      <w:pPr>
        <w:pStyle w:val="Normal"/>
        <w:framePr w:w="717" w:hAnchor="page" w:vAnchor="page" w:x="6119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100.7</w:t>
      </w:r>
    </w:p>
    <w:p>
      <w:pPr>
        <w:pStyle w:val="Normal"/>
        <w:framePr w:w="489" w:hAnchor="page" w:vAnchor="page" w:x="7670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7.6</w:t>
      </w:r>
    </w:p>
    <w:p>
      <w:pPr>
        <w:pStyle w:val="Normal"/>
        <w:framePr w:w="489" w:hAnchor="page" w:vAnchor="page" w:x="8980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5.6</w:t>
      </w:r>
    </w:p>
    <w:p>
      <w:pPr>
        <w:pStyle w:val="Normal"/>
        <w:framePr w:w="853" w:hAnchor="page" w:vAnchor="page" w:x="9977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(322.2)</w:t>
      </w:r>
    </w:p>
    <w:p>
      <w:pPr>
        <w:pStyle w:val="Normal"/>
        <w:framePr w:w="853" w:hAnchor="page" w:vAnchor="page" w:x="11281" w:y="325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(208.3)</w:t>
      </w:r>
    </w:p>
    <w:p>
      <w:pPr>
        <w:pStyle w:val="Normal"/>
        <w:framePr w:w="4257" w:hAnchor="page" w:vAnchor="page" w:x="586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Income from investment in Technip Energies</w:t>
      </w:r>
    </w:p>
    <w:p>
      <w:pPr>
        <w:pStyle w:val="Normal"/>
        <w:framePr w:w="409" w:hAnchor="page" w:vAnchor="page" w:x="6386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7737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9048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853" w:hAnchor="page" w:vAnchor="page" w:x="9977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(322.2)</w:t>
      </w:r>
    </w:p>
    <w:p>
      <w:pPr>
        <w:pStyle w:val="Normal"/>
        <w:framePr w:w="853" w:hAnchor="page" w:vAnchor="page" w:x="11281" w:y="30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(322.2)</w:t>
      </w:r>
    </w:p>
    <w:p>
      <w:pPr>
        <w:pStyle w:val="Normal"/>
        <w:framePr w:w="3130" w:hAnchor="page" w:vAnchor="page" w:x="586" w:y="2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Restructuring and other charges</w:t>
      </w:r>
    </w:p>
    <w:p>
      <w:pPr>
        <w:pStyle w:val="Normal"/>
        <w:framePr w:w="603" w:hAnchor="page" w:vAnchor="page" w:x="6225" w:y="2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19.8</w:t>
      </w:r>
    </w:p>
    <w:p>
      <w:pPr>
        <w:pStyle w:val="Normal"/>
        <w:framePr w:w="489" w:hAnchor="page" w:vAnchor="page" w:x="7659" w:y="2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5.7</w:t>
      </w:r>
    </w:p>
    <w:p>
      <w:pPr>
        <w:pStyle w:val="Normal"/>
        <w:framePr w:w="489" w:hAnchor="page" w:vAnchor="page" w:x="8974" w:y="2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2.6</w:t>
      </w:r>
    </w:p>
    <w:p>
      <w:pPr>
        <w:pStyle w:val="Normal"/>
        <w:framePr w:w="409" w:hAnchor="page" w:vAnchor="page" w:x="10347" w:y="2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1478" w:y="279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28.1</w:t>
      </w:r>
    </w:p>
    <w:p>
      <w:pPr>
        <w:pStyle w:val="Normal"/>
        <w:framePr w:w="3016" w:hAnchor="page" w:vAnchor="page" w:x="586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Impairment and other charges*</w:t>
      </w:r>
    </w:p>
    <w:p>
      <w:pPr>
        <w:pStyle w:val="Normal"/>
        <w:framePr w:w="603" w:hAnchor="page" w:vAnchor="page" w:x="6219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80.9</w:t>
      </w:r>
    </w:p>
    <w:p>
      <w:pPr>
        <w:pStyle w:val="Normal"/>
        <w:framePr w:w="489" w:hAnchor="page" w:vAnchor="page" w:x="7664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1.9</w:t>
      </w:r>
    </w:p>
    <w:p>
      <w:pPr>
        <w:pStyle w:val="Normal"/>
        <w:framePr w:w="489" w:hAnchor="page" w:vAnchor="page" w:x="8975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3.0</w:t>
      </w:r>
    </w:p>
    <w:p>
      <w:pPr>
        <w:pStyle w:val="Normal"/>
        <w:framePr w:w="409" w:hAnchor="page" w:vAnchor="page" w:x="10347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1490" w:y="258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85.8</w:t>
      </w:r>
    </w:p>
    <w:p>
      <w:pPr>
        <w:pStyle w:val="Normal"/>
        <w:framePr w:w="2230" w:hAnchor="page" w:vAnchor="page" w:x="424" w:y="23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Charges and (credits):</w:t>
      </w:r>
    </w:p>
    <w:p>
      <w:pPr>
        <w:pStyle w:val="Normal"/>
        <w:framePr w:w="3506" w:hAnchor="page" w:vAnchor="page" w:x="424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Operating loss, as reported (pre-tax)</w:t>
      </w:r>
    </w:p>
    <w:p>
      <w:pPr>
        <w:pStyle w:val="Normal"/>
        <w:framePr w:w="830" w:hAnchor="page" w:vAnchor="page" w:x="6035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$141.4</w:t>
      </w:r>
    </w:p>
    <w:p>
      <w:pPr>
        <w:pStyle w:val="Normal"/>
        <w:framePr w:w="717" w:hAnchor="page" w:vAnchor="page" w:x="7481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$42.0</w:t>
      </w:r>
    </w:p>
    <w:p>
      <w:pPr>
        <w:pStyle w:val="Normal"/>
        <w:framePr w:w="967" w:hAnchor="page" w:vAnchor="page" w:x="8595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$(118.1)</w:t>
      </w:r>
    </w:p>
    <w:p>
      <w:pPr>
        <w:pStyle w:val="Normal"/>
        <w:framePr w:w="830" w:hAnchor="page" w:vAnchor="page" w:x="9996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$338.0</w:t>
      </w:r>
    </w:p>
    <w:p>
      <w:pPr>
        <w:pStyle w:val="Normal"/>
        <w:framePr w:w="830" w:hAnchor="page" w:vAnchor="page" w:x="11300" w:y="21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$403.3</w:t>
      </w:r>
    </w:p>
    <w:p>
      <w:pPr>
        <w:pStyle w:val="Normal"/>
        <w:framePr w:w="1024" w:hAnchor="page" w:vAnchor="page" w:x="424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Revenue</w:t>
      </w:r>
    </w:p>
    <w:p>
      <w:pPr>
        <w:pStyle w:val="Normal"/>
        <w:framePr w:w="1001" w:hAnchor="page" w:vAnchor="page" w:x="5881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$5,329.1</w:t>
      </w:r>
    </w:p>
    <w:p>
      <w:pPr>
        <w:pStyle w:val="Normal"/>
        <w:framePr w:w="1001" w:hAnchor="page" w:vAnchor="page" w:x="7243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$1,074.4</w:t>
      </w:r>
    </w:p>
    <w:p>
      <w:pPr>
        <w:pStyle w:val="Normal"/>
        <w:framePr w:w="523" w:hAnchor="page" w:vAnchor="page" w:x="8946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523" w:hAnchor="page" w:vAnchor="page" w:x="10246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1001" w:hAnchor="page" w:vAnchor="page" w:x="11158" w:y="194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$6,403.5</w:t>
      </w:r>
    </w:p>
    <w:p>
      <w:pPr>
        <w:pStyle w:val="Normal"/>
        <w:framePr w:w="1240" w:hAnchor="page" w:vAnchor="page" w:x="331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(in millions)</w:t>
      </w:r>
    </w:p>
    <w:p>
      <w:pPr>
        <w:pStyle w:val="Normal"/>
        <w:framePr w:w="933" w:hAnchor="page" w:vAnchor="page" w:x="6068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Subsea</w:t>
      </w:r>
    </w:p>
    <w:p>
      <w:pPr>
        <w:pStyle w:val="Normal"/>
        <w:framePr w:w="1524" w:hAnchor="page" w:vAnchor="page" w:x="6981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Technologies</w:t>
      </w:r>
    </w:p>
    <w:p>
      <w:pPr>
        <w:pStyle w:val="Normal"/>
        <w:framePr w:w="1047" w:hAnchor="page" w:vAnchor="page" w:x="8633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Expense</w:t>
      </w:r>
    </w:p>
    <w:p>
      <w:pPr>
        <w:pStyle w:val="Normal"/>
        <w:framePr w:w="1171" w:hAnchor="page" w:vAnchor="page" w:x="9823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and Other</w:t>
      </w:r>
    </w:p>
    <w:p>
      <w:pPr>
        <w:pStyle w:val="Normal"/>
        <w:framePr w:w="693" w:hAnchor="page" w:vAnchor="page" w:x="11514" w:y="16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</w:t>
      </w:r>
    </w:p>
    <w:p>
      <w:pPr>
        <w:pStyle w:val="Normal"/>
        <w:framePr w:w="955" w:hAnchor="page" w:vAnchor="page" w:x="7443" w:y="14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Surface</w:t>
      </w:r>
    </w:p>
    <w:p>
      <w:pPr>
        <w:pStyle w:val="Normal"/>
        <w:framePr w:w="1183" w:hAnchor="page" w:vAnchor="page" w:x="8519" w:y="14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Corporate</w:t>
      </w:r>
    </w:p>
    <w:p>
      <w:pPr>
        <w:pStyle w:val="Normal"/>
        <w:framePr w:w="1593" w:hAnchor="page" w:vAnchor="page" w:x="9472" w:y="146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Exchange, net</w:t>
      </w:r>
    </w:p>
    <w:p>
      <w:pPr>
        <w:pStyle w:val="Normal"/>
        <w:framePr w:w="955" w:hAnchor="page" w:vAnchor="page" w:x="10003" w:y="12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Foreign</w:t>
      </w:r>
    </w:p>
    <w:p>
      <w:pPr>
        <w:pStyle w:val="Normal"/>
        <w:framePr w:w="2049" w:hAnchor="page" w:vAnchor="page" w:x="7940" w:y="93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December 31, 2021</w:t>
      </w:r>
    </w:p>
    <w:p>
      <w:pPr>
        <w:pStyle w:val="Normal"/>
        <w:framePr w:w="1331" w:hAnchor="page" w:vAnchor="page" w:x="8244" w:y="7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Year Ended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framePr w:w="342" w:hAnchor="page" w:vAnchor="page" w:x="274" w:y="5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7pt;margin-top:1pt;z-index:-1676006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12.7pt;margin-top:31.6pt;z-index:-16760060;width:260.9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271.55pt;margin-top:31.6pt;z-index:-16760056;width:327.7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12.7pt;margin-top:57.9pt;z-index:-16760052;width:260.9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271.55pt;margin-top:57.9pt;z-index:-16760048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335.6pt;margin-top:57.9pt;z-index:-16760044;width:71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05.3pt;margin-top:57.9pt;z-index:-16760040;width:65.3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468.6pt;margin-top:57.9pt;z-index:-16760036;width:66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33.3pt;margin-top:57.9pt;z-index:-16760032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33.3pt;margin-top:57.9pt;z-index:-16760028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33.3pt;margin-top:94.15pt;z-index:-1676002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68.6pt;margin-top:57.9pt;z-index:-1676002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68.6pt;margin-top:94.15pt;z-index:-1676001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05.3pt;margin-top:57.9pt;z-index:-16760012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05.3pt;margin-top:94.15pt;z-index:-16760008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335.6pt;margin-top:57.9pt;z-index:-16760004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335.6pt;margin-top:94.15pt;z-index:-16760000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271.55pt;margin-top:94.15pt;z-index:-1675999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12.7pt;margin-top:94.15pt;z-index:-16759992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271.55pt;margin-top:31.55pt;z-index:-16759988;width:32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271.55pt;margin-top:57.9pt;z-index:-16759984;width:32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12.7pt;margin-top:31.55pt;z-index:-16759980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12.7pt;margin-top:94.85pt;z-index:-16759976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267.3pt;margin-top:94.85pt;z-index:-16759972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333.45pt;margin-top:94.85pt;z-index:-16759968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405.3pt;margin-top:94.85pt;z-index:-16759964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470.7pt;margin-top:94.85pt;z-index:-16759960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34pt;margin-top:94.85pt;z-index:-16759956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12.7pt;margin-top:105.55pt;z-index:-16759952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267.3pt;margin-top:105.55pt;z-index:-16759948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333.45pt;margin-top:105.55pt;z-index:-16759944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405.3pt;margin-top:105.55pt;z-index:-16759940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470.7pt;margin-top:105.55pt;z-index:-16759936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534pt;margin-top:105.55pt;z-index:-16759932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12.7pt;margin-top:116.2pt;z-index:-16759928;width:58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12.7pt;margin-top:126.85pt;z-index:-16759924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267.3pt;margin-top:126.85pt;z-index:-16759920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333.45pt;margin-top:126.85pt;z-index:-16759916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05.3pt;margin-top:126.85pt;z-index:-16759912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70.7pt;margin-top:126.85pt;z-index:-16759908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34pt;margin-top:126.85pt;z-index:-16759904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12.7pt;margin-top:137.55pt;z-index:-16759900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267.3pt;margin-top:137.55pt;z-index:-16759896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333.45pt;margin-top:137.55pt;z-index:-16759892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405.3pt;margin-top:137.55pt;z-index:-16759888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470.7pt;margin-top:137.55pt;z-index:-16759884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534pt;margin-top:137.55pt;z-index:-16759880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12.7pt;margin-top:148.2pt;z-index:-16759876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267.3pt;margin-top:148.2pt;z-index:-16759872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333.45pt;margin-top:148.2pt;z-index:-16759868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05.3pt;margin-top:148.2pt;z-index:-1675986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70.7pt;margin-top:148.2pt;z-index:-16759860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34pt;margin-top:148.2pt;z-index:-16759856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12.7pt;margin-top:160.3pt;z-index:-16759852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267.3pt;margin-top:160.3pt;z-index:-16759848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333.45pt;margin-top:160.3pt;z-index:-16759844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405.3pt;margin-top:160.3pt;z-index:-16759840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470.7pt;margin-top:160.3pt;z-index:-16759836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534pt;margin-top:160.3pt;z-index:-16759832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12.7pt;margin-top:172.4pt;z-index:-16759828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267.3pt;margin-top:172.4pt;z-index:-16759824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33.45pt;margin-top:172.4pt;z-index:-16759820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05.3pt;margin-top:172.4pt;z-index:-16759816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70.7pt;margin-top:172.4pt;z-index:-16759812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534pt;margin-top:172.4pt;z-index:-16759808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12.7pt;margin-top:184.5pt;z-index:-16759804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267.3pt;margin-top:184.5pt;z-index:-16759800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333.45pt;margin-top:184.5pt;z-index:-16759796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405.3pt;margin-top:184.5pt;z-index:-16759792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470.7pt;margin-top:184.5pt;z-index:-16759788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534pt;margin-top:184.5pt;z-index:-16759784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12.7pt;margin-top:196.6pt;z-index:-16759780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267.3pt;margin-top:196.6pt;z-index:-16759776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33.45pt;margin-top:196.6pt;z-index:-16759772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405.3pt;margin-top:196.6pt;z-index:-16759768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470.7pt;margin-top:196.6pt;z-index:-16759764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534pt;margin-top:196.6pt;z-index:-16759760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12.7pt;margin-top:208.65pt;z-index:-16759756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267.3pt;margin-top:208.65pt;z-index:-16759752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333.45pt;margin-top:208.65pt;z-index:-16759748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405.3pt;margin-top:208.65pt;z-index:-16759744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470.7pt;margin-top:208.65pt;z-index:-16759740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34pt;margin-top:208.65pt;z-index:-16759736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12.7pt;margin-top:220.75pt;z-index:-16759732;width:256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267.3pt;margin-top:220.75pt;z-index:-16759728;width:68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333.45pt;margin-top:220.75pt;z-index:-16759724;width:73.8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405.3pt;margin-top:220.75pt;z-index:-16759720;width:67.4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70.7pt;margin-top:220.75pt;z-index:-16759716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34pt;margin-top:220.75pt;z-index:-16759712;width:64.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12.7pt;margin-top:232.85pt;z-index:-16759708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267.3pt;margin-top:232.85pt;z-index:-16759704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333.45pt;margin-top:232.85pt;z-index:-16759700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405.3pt;margin-top:232.85pt;z-index:-16759696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470.7pt;margin-top:232.85pt;z-index:-16759692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34pt;margin-top:232.85pt;z-index:-16759688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12.7pt;margin-top:243.5pt;z-index:-16759684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267.3pt;margin-top:243.5pt;z-index:-16759680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333.45pt;margin-top:243.5pt;z-index:-16759676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405.3pt;margin-top:243.5pt;z-index:-16759672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70.7pt;margin-top:243.5pt;z-index:-16759668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534pt;margin-top:243.5pt;z-index:-16759664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12.7pt;margin-top:254.15pt;z-index:-16759660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267.3pt;margin-top:254.15pt;z-index:-16759656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333.45pt;margin-top:254.15pt;z-index:-16759652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405.3pt;margin-top:254.15pt;z-index:-16759648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470.7pt;margin-top:254.15pt;z-index:-16759644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34pt;margin-top:254.15pt;z-index:-16759640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12.7pt;margin-top:264.85pt;z-index:-16759636;width:256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267.3pt;margin-top:264.85pt;z-index:-16759632;width:68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333.45pt;margin-top:264.85pt;z-index:-16759628;width:73.8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405.3pt;margin-top:264.85pt;z-index:-16759624;width:67.4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470.7pt;margin-top:264.85pt;z-index:-16759620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34pt;margin-top:264.85pt;z-index:-16759616;width:64.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34pt;margin-top:275.5pt;z-index:-16759612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96.6pt;margin-top:264.85pt;z-index:-167596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470.7pt;margin-top:275.5pt;z-index:-1675960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34pt;margin-top:264.85pt;z-index:-167596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405.3pt;margin-top:275.5pt;z-index:-16759596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470.7pt;margin-top:264.85pt;z-index:-167595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333.45pt;margin-top:275.5pt;z-index:-16759588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405.3pt;margin-top:264.85pt;z-index:-167595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267.3pt;margin-top:275.5pt;z-index:-1675958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333.45pt;margin-top:264.85pt;z-index:-167595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12.7pt;margin-top:275.5pt;z-index:-16759572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12.7pt;margin-top:264.85pt;z-index:-167595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267.3pt;margin-top:264.85pt;z-index:-167595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534pt;margin-top:264.85pt;z-index:-16759560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596.6pt;margin-top:254.15pt;z-index:-167595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470.7pt;margin-top:264.85pt;z-index:-1675955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534pt;margin-top:254.15pt;z-index:-1675954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405.3pt;margin-top:264.85pt;z-index:-1675954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470.7pt;margin-top:254.15pt;z-index:-167595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333.45pt;margin-top:264.85pt;z-index:-16759536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05.3pt;margin-top:254.15pt;z-index:-167595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267.3pt;margin-top:264.85pt;z-index:-16759528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333.45pt;margin-top:254.15pt;z-index:-1675952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12.7pt;margin-top:264.85pt;z-index:-16759520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12.7pt;margin-top:254.15pt;z-index:-167595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267.3pt;margin-top:254.15pt;z-index:-1675951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534pt;margin-top:254.15pt;z-index:-16759508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596.6pt;margin-top:243.5pt;z-index:-167595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470.7pt;margin-top:254.15pt;z-index:-16759500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534pt;margin-top:243.5pt;z-index:-1675949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405.3pt;margin-top:254.15pt;z-index:-16759492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470.7pt;margin-top:243.5pt;z-index:-167594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33.45pt;margin-top:254.15pt;z-index:-16759484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405.3pt;margin-top:243.5pt;z-index:-167594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267.3pt;margin-top:254.15pt;z-index:-16759476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333.45pt;margin-top:243.5pt;z-index:-167594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12.7pt;margin-top:254.15pt;z-index:-16759468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12.7pt;margin-top:243.5pt;z-index:-167594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267.3pt;margin-top:243.5pt;z-index:-167594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534pt;margin-top:243.5pt;z-index:-16759456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596.6pt;margin-top:232.15pt;z-index:-16759452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70.7pt;margin-top:243.5pt;z-index:-16759448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534pt;margin-top:233.55pt;z-index:-1675944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405.3pt;margin-top:243.5pt;z-index:-16759440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70.7pt;margin-top:233.55pt;z-index:-167594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333.45pt;margin-top:243.5pt;z-index:-16759432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405.3pt;margin-top:233.55pt;z-index:-167594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267.3pt;margin-top:243.5pt;z-index:-16759424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333.45pt;margin-top:233.55pt;z-index:-167594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12.7pt;margin-top:243.5pt;z-index:-16759416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12.7pt;margin-top:232.85pt;z-index:-1675941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267.3pt;margin-top:233.55pt;z-index:-1675940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34pt;margin-top:232.15pt;z-index:-16759404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96.6pt;margin-top:220.05pt;z-index:-16759400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470.7pt;margin-top:232.15pt;z-index:-16759396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534pt;margin-top:221.45pt;z-index:-1675939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405.3pt;margin-top:232.15pt;z-index:-16759388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470.7pt;margin-top:221.45pt;z-index:-1675938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333.45pt;margin-top:232.15pt;z-index:-16759380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405.3pt;margin-top:221.45pt;z-index:-167593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267.3pt;margin-top:232.15pt;z-index:-16759372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333.45pt;margin-top:221.45pt;z-index:-167593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12.7pt;margin-top:232.85pt;z-index:-16759364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12.7pt;margin-top:220.75pt;z-index:-16759360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267.3pt;margin-top:221.45pt;z-index:-1675935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534pt;margin-top:220.05pt;z-index:-16759352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596.6pt;margin-top:207.95pt;z-index:-16759348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70.7pt;margin-top:220.05pt;z-index:-16759344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534pt;margin-top:209.35pt;z-index:-1675934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405.3pt;margin-top:220.05pt;z-index:-16759336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470.7pt;margin-top:209.35pt;z-index:-167593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333.45pt;margin-top:220.05pt;z-index:-16759328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405.3pt;margin-top:209.35pt;z-index:-167593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267.3pt;margin-top:220.05pt;z-index:-16759320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333.45pt;margin-top:209.35pt;z-index:-1675931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12.7pt;margin-top:220.75pt;z-index:-16759312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12.7pt;margin-top:208.65pt;z-index:-16759308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267.3pt;margin-top:209.35pt;z-index:-1675930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534pt;margin-top:207.95pt;z-index:-16759300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596.6pt;margin-top:195.85pt;z-index:-1675929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470.7pt;margin-top:207.95pt;z-index:-16759292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534pt;margin-top:197.3pt;z-index:-167592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405.3pt;margin-top:207.95pt;z-index:-16759284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70.7pt;margin-top:197.3pt;z-index:-167592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333.45pt;margin-top:207.95pt;z-index:-16759276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405.3pt;margin-top:197.3pt;z-index:-167592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267.3pt;margin-top:207.95pt;z-index:-16759268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33.45pt;margin-top:197.3pt;z-index:-1675926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12.7pt;margin-top:208.65pt;z-index:-16759260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12.7pt;margin-top:196.6pt;z-index:-16759256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267.3pt;margin-top:197.3pt;z-index:-1675925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534pt;margin-top:195.85pt;z-index:-16759248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596.6pt;margin-top:183.8pt;z-index:-1675924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470.7pt;margin-top:195.85pt;z-index:-16759240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534pt;margin-top:185.2pt;z-index:-167592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405.3pt;margin-top:195.85pt;z-index:-16759232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470.7pt;margin-top:185.2pt;z-index:-167592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333.45pt;margin-top:195.85pt;z-index:-16759224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405.3pt;margin-top:185.2pt;z-index:-167592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267.3pt;margin-top:195.85pt;z-index:-16759216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333.45pt;margin-top:185.2pt;z-index:-167592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12.7pt;margin-top:196.55pt;z-index:-16759208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12.7pt;margin-top:184.45pt;z-index:-1675920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267.3pt;margin-top:185.2pt;z-index:-1675920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534pt;margin-top:183.75pt;z-index:-16759196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596.6pt;margin-top:171.7pt;z-index:-16759192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470.7pt;margin-top:183.75pt;z-index:-16759188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534pt;margin-top:173.1pt;z-index:-1675918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405.3pt;margin-top:183.75pt;z-index:-16759180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470.7pt;margin-top:173.1pt;z-index:-167591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333.45pt;margin-top:183.75pt;z-index:-16759172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405.3pt;margin-top:173.1pt;z-index:-167591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267.3pt;margin-top:183.75pt;z-index:-16759164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333.45pt;margin-top:173.1pt;z-index:-1675916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12.7pt;margin-top:184.45pt;z-index:-16759156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12.7pt;margin-top:172.4pt;z-index:-16759152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267.3pt;margin-top:173.1pt;z-index:-1675914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534pt;margin-top:171.65pt;z-index:-16759144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596.6pt;margin-top:159.6pt;z-index:-16759140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470.7pt;margin-top:171.65pt;z-index:-16759136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534pt;margin-top:161pt;z-index:-167591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405.3pt;margin-top:171.65pt;z-index:-16759128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470.7pt;margin-top:161pt;z-index:-167591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333.45pt;margin-top:171.65pt;z-index:-16759120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05.3pt;margin-top:161pt;z-index:-1675911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267.3pt;margin-top:171.65pt;z-index:-16759112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333.45pt;margin-top:161pt;z-index:-1675910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12.7pt;margin-top:172.4pt;z-index:-16759104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12.7pt;margin-top:160.3pt;z-index:-16759100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267.3pt;margin-top:161pt;z-index:-1675909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534pt;margin-top:159.6pt;z-index:-16759092;width:65.3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596.6pt;margin-top:148.2pt;z-index:-167590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470.7pt;margin-top:159.6pt;z-index:-16759084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534pt;margin-top:148.2pt;z-index:-167590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405.3pt;margin-top:159.6pt;z-index:-16759076;width:68.1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470.7pt;margin-top:148.2pt;z-index:-167590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333.45pt;margin-top:159.6pt;z-index:-16759068;width:74.5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405.3pt;margin-top:148.2pt;z-index:-167590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267.3pt;margin-top:159.6pt;z-index:-16759060;width:68.8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333.45pt;margin-top:148.2pt;z-index:-167590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12.7pt;margin-top:160.3pt;z-index:-16759052;width:25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12.7pt;margin-top:148.2pt;z-index:-16759048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267.3pt;margin-top:148.2pt;z-index:-1675904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534pt;margin-top:148.2pt;z-index:-16759040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596.6pt;margin-top:137.55pt;z-index:-1675903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70.7pt;margin-top:148.2pt;z-index:-1675903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534pt;margin-top:137.55pt;z-index:-167590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405.3pt;margin-top:148.2pt;z-index:-1675902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470.7pt;margin-top:137.55pt;z-index:-1675902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333.45pt;margin-top:148.2pt;z-index:-16759016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405.3pt;margin-top:137.55pt;z-index:-1675901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267.3pt;margin-top:148.2pt;z-index:-16759008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333.45pt;margin-top:137.55pt;z-index:-167590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12.7pt;margin-top:148.2pt;z-index:-16759000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12.7pt;margin-top:137.55pt;z-index:-1675899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267.3pt;margin-top:137.55pt;z-index:-167589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534pt;margin-top:126.85pt;z-index:-16758988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534pt;margin-top:137.55pt;z-index:-16758984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596.6pt;margin-top:126.85pt;z-index:-167589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70.7pt;margin-top:126.85pt;z-index:-1675897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470.7pt;margin-top:137.55pt;z-index:-1675897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34pt;margin-top:126.85pt;z-index:-167589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405.3pt;margin-top:126.85pt;z-index:-1675896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405.3pt;margin-top:137.55pt;z-index:-16758960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470.7pt;margin-top:126.85pt;z-index:-167589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333.45pt;margin-top:126.85pt;z-index:-16758952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333.45pt;margin-top:137.55pt;z-index:-16758948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405.3pt;margin-top:126.85pt;z-index:-1675894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267.3pt;margin-top:126.85pt;z-index:-1675894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267.3pt;margin-top:137.55pt;z-index:-16758936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333.45pt;margin-top:126.85pt;z-index:-167589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12.7pt;margin-top:137.55pt;z-index:-16758928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12.7pt;margin-top:126.85pt;z-index:-1675892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267.3pt;margin-top:126.85pt;z-index:-1675892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12.7pt;margin-top:116.2pt;z-index:-16758916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12.7pt;margin-top:126.85pt;z-index:-16758912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12.7pt;margin-top:116.2pt;z-index:-167589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96.6pt;margin-top:116.2pt;z-index:-167589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534pt;margin-top:116.2pt;z-index:-16758900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596.6pt;margin-top:105.55pt;z-index:-1675889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470.7pt;margin-top:116.2pt;z-index:-1675889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534pt;margin-top:105.55pt;z-index:-167588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405.3pt;margin-top:116.2pt;z-index:-1675888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470.7pt;margin-top:105.55pt;z-index:-167588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333.45pt;margin-top:116.2pt;z-index:-16758876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05.3pt;margin-top:105.55pt;z-index:-167588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267.3pt;margin-top:116.2pt;z-index:-16758868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333.45pt;margin-top:105.55pt;z-index:-167588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12.7pt;margin-top:116.2pt;z-index:-16758860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12.7pt;margin-top:105.55pt;z-index:-167588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267.3pt;margin-top:105.55pt;z-index:-1675885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34pt;margin-top:94.85pt;z-index:-16758848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534pt;margin-top:105.55pt;z-index:-16758844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596.6pt;margin-top:94.85pt;z-index:-167588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470.7pt;margin-top:94.85pt;z-index:-1675883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470.7pt;margin-top:105.55pt;z-index:-1675883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534pt;margin-top:94.85pt;z-index:-167588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405.3pt;margin-top:94.85pt;z-index:-16758824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405.3pt;margin-top:105.55pt;z-index:-16758820;width:6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470.7pt;margin-top:94.85pt;z-index:-167588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333.45pt;margin-top:94.85pt;z-index:-16758812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333.45pt;margin-top:105.55pt;z-index:-16758808;width:7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405.3pt;margin-top:94.85pt;z-index:-167588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267.3pt;margin-top:94.85pt;z-index:-16758800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267.3pt;margin-top:105.55pt;z-index:-16758796;width:6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333.45pt;margin-top:94.85pt;z-index:-167587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12.7pt;margin-top:94.85pt;z-index:-16758788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12.7pt;margin-top:105.55pt;z-index:-16758784;width:257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12.7pt;margin-top:94.85pt;z-index:-167587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267.3pt;margin-top:94.85pt;z-index:-167587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12.7pt;margin-top:339.5pt;z-index:-16758772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</w:p>
    <w:p>
      <w:pPr>
        <w:pStyle w:val="Normal"/>
        <w:framePr w:w="1631" w:hAnchor="page" w:vAnchor="page" w:x="274" w:y="6200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124 TechnipFMC</w:t>
      </w:r>
    </w:p>
    <w:p>
      <w:pPr>
        <w:pStyle w:val="Normal"/>
        <w:framePr w:w="5487" w:hAnchor="page" w:vAnchor="page" w:x="424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 margin, excluding foreign exchange, net</w:t>
      </w:r>
    </w:p>
    <w:p>
      <w:pPr>
        <w:pStyle w:val="Normal"/>
        <w:framePr w:w="671" w:hAnchor="page" w:vAnchor="page" w:x="6191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8.5%</w:t>
      </w:r>
    </w:p>
    <w:p>
      <w:pPr>
        <w:pStyle w:val="Normal"/>
        <w:framePr w:w="671" w:hAnchor="page" w:vAnchor="page" w:x="7504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7.6%</w:t>
      </w:r>
    </w:p>
    <w:p>
      <w:pPr>
        <w:pStyle w:val="Normal"/>
        <w:framePr w:w="671" w:hAnchor="page" w:vAnchor="page" w:x="11427" w:y="57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6.7%</w:t>
      </w:r>
    </w:p>
    <w:p>
      <w:pPr>
        <w:pStyle w:val="Normal"/>
        <w:framePr w:w="2481" w:hAnchor="page" w:vAnchor="page" w:x="424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 margin</w:t>
      </w:r>
    </w:p>
    <w:p>
      <w:pPr>
        <w:pStyle w:val="Normal"/>
        <w:framePr w:w="671" w:hAnchor="page" w:vAnchor="page" w:x="6191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8.5%</w:t>
      </w:r>
    </w:p>
    <w:p>
      <w:pPr>
        <w:pStyle w:val="Normal"/>
        <w:framePr w:w="671" w:hAnchor="page" w:vAnchor="page" w:x="7504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7.6%</w:t>
      </w:r>
    </w:p>
    <w:p>
      <w:pPr>
        <w:pStyle w:val="Normal"/>
        <w:framePr w:w="671" w:hAnchor="page" w:vAnchor="page" w:x="11427" w:y="557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6.1%</w:t>
      </w:r>
    </w:p>
    <w:p>
      <w:pPr>
        <w:pStyle w:val="Normal"/>
        <w:framePr w:w="3107" w:hAnchor="page" w:vAnchor="page" w:x="424" w:y="53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operating profit margin</w:t>
      </w:r>
    </w:p>
    <w:p>
      <w:pPr>
        <w:pStyle w:val="Normal"/>
        <w:framePr w:w="671" w:hAnchor="page" w:vAnchor="page" w:x="6193" w:y="53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2.8%</w:t>
      </w:r>
    </w:p>
    <w:p>
      <w:pPr>
        <w:pStyle w:val="Normal"/>
        <w:framePr w:w="671" w:hAnchor="page" w:vAnchor="page" w:x="7504" w:y="53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1.0%</w:t>
      </w:r>
    </w:p>
    <w:p>
      <w:pPr>
        <w:pStyle w:val="Normal"/>
        <w:framePr w:w="807" w:hAnchor="page" w:vAnchor="page" w:x="11308" w:y="535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(0.1)%</w:t>
      </w:r>
    </w:p>
    <w:p>
      <w:pPr>
        <w:pStyle w:val="Normal"/>
        <w:framePr w:w="3449" w:hAnchor="page" w:vAnchor="page" w:x="424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Operating profit margin, as reported</w:t>
      </w:r>
    </w:p>
    <w:p>
      <w:pPr>
        <w:pStyle w:val="Normal"/>
        <w:framePr w:w="921" w:hAnchor="page" w:vAnchor="page" w:x="5982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(51.5)%</w:t>
      </w:r>
    </w:p>
    <w:p>
      <w:pPr>
        <w:pStyle w:val="Normal"/>
        <w:framePr w:w="921" w:hAnchor="page" w:vAnchor="page" w:x="7290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(40.5)%</w:t>
      </w:r>
    </w:p>
    <w:p>
      <w:pPr>
        <w:pStyle w:val="Normal"/>
        <w:framePr w:w="921" w:hAnchor="page" w:vAnchor="page" w:x="11219" w:y="51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(52.3)%</w:t>
      </w:r>
    </w:p>
    <w:p>
      <w:pPr>
        <w:pStyle w:val="Normal"/>
        <w:framePr w:w="4804" w:hAnchor="page" w:vAnchor="page" w:x="424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EBITDA, excluding foreign exchange, net</w:t>
      </w:r>
    </w:p>
    <w:p>
      <w:pPr>
        <w:pStyle w:val="Normal"/>
        <w:framePr w:w="830" w:hAnchor="page" w:vAnchor="page" w:x="6057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$466.9</w:t>
      </w:r>
    </w:p>
    <w:p>
      <w:pPr>
        <w:pStyle w:val="Normal"/>
        <w:framePr w:w="717" w:hAnchor="page" w:vAnchor="page" w:x="7466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$81.0</w:t>
      </w:r>
    </w:p>
    <w:p>
      <w:pPr>
        <w:pStyle w:val="Normal"/>
        <w:framePr w:w="967" w:hAnchor="page" w:vAnchor="page" w:x="8536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$(110.5)</w:t>
      </w:r>
    </w:p>
    <w:p>
      <w:pPr>
        <w:pStyle w:val="Normal"/>
        <w:framePr w:w="523" w:hAnchor="page" w:vAnchor="page" w:x="10251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830" w:hAnchor="page" w:vAnchor="page" w:x="11294" w:y="490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$437.4</w:t>
      </w:r>
    </w:p>
    <w:p>
      <w:pPr>
        <w:pStyle w:val="Normal"/>
        <w:framePr w:w="2242" w:hAnchor="page" w:vAnchor="page" w:x="424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Foreign exchange, net</w:t>
      </w:r>
    </w:p>
    <w:p>
      <w:pPr>
        <w:pStyle w:val="Normal"/>
        <w:framePr w:w="409" w:hAnchor="page" w:vAnchor="page" w:x="6415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7723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8989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0191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40.2</w:t>
      </w:r>
    </w:p>
    <w:p>
      <w:pPr>
        <w:pStyle w:val="Normal"/>
        <w:framePr w:w="603" w:hAnchor="page" w:vAnchor="page" w:x="11484" w:y="466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40.2</w:t>
      </w:r>
    </w:p>
    <w:p>
      <w:pPr>
        <w:pStyle w:val="Normal"/>
        <w:framePr w:w="1798" w:hAnchor="page" w:vAnchor="page" w:x="424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EBITDA</w:t>
      </w:r>
    </w:p>
    <w:p>
      <w:pPr>
        <w:pStyle w:val="Normal"/>
        <w:framePr w:w="717" w:hAnchor="page" w:vAnchor="page" w:x="6152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466.9</w:t>
      </w:r>
    </w:p>
    <w:p>
      <w:pPr>
        <w:pStyle w:val="Normal"/>
        <w:framePr w:w="603" w:hAnchor="page" w:vAnchor="page" w:x="7561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81.0</w:t>
      </w:r>
    </w:p>
    <w:p>
      <w:pPr>
        <w:pStyle w:val="Normal"/>
        <w:framePr w:w="853" w:hAnchor="page" w:vAnchor="page" w:x="8631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(110.5)</w:t>
      </w:r>
    </w:p>
    <w:p>
      <w:pPr>
        <w:pStyle w:val="Normal"/>
        <w:framePr w:w="739" w:hAnchor="page" w:vAnchor="page" w:x="10077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(40.2)</w:t>
      </w:r>
    </w:p>
    <w:p>
      <w:pPr>
        <w:pStyle w:val="Normal"/>
        <w:framePr w:w="717" w:hAnchor="page" w:vAnchor="page" w:x="11389" w:y="442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397.2</w:t>
      </w:r>
    </w:p>
    <w:p>
      <w:pPr>
        <w:pStyle w:val="Normal"/>
        <w:framePr w:w="3745" w:hAnchor="page" w:vAnchor="page" w:x="424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depreciation and amortization</w:t>
      </w:r>
    </w:p>
    <w:p>
      <w:pPr>
        <w:pStyle w:val="Normal"/>
        <w:framePr w:w="717" w:hAnchor="page" w:vAnchor="page" w:x="6159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316.4</w:t>
      </w:r>
    </w:p>
    <w:p>
      <w:pPr>
        <w:pStyle w:val="Normal"/>
        <w:framePr w:w="603" w:hAnchor="page" w:vAnchor="page" w:x="7549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70.1</w:t>
      </w:r>
    </w:p>
    <w:p>
      <w:pPr>
        <w:pStyle w:val="Normal"/>
        <w:framePr w:w="603" w:hAnchor="page" w:vAnchor="page" w:x="8826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17.1</w:t>
      </w:r>
    </w:p>
    <w:p>
      <w:pPr>
        <w:pStyle w:val="Normal"/>
        <w:framePr w:w="409" w:hAnchor="page" w:vAnchor="page" w:x="10352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717" w:hAnchor="page" w:vAnchor="page" w:x="11389" w:y="417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403.6</w:t>
      </w:r>
    </w:p>
    <w:p>
      <w:pPr>
        <w:pStyle w:val="Normal"/>
        <w:framePr w:w="2982" w:hAnchor="page" w:vAnchor="page" w:x="424" w:y="39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Adjusted operating profit (loss)</w:t>
      </w:r>
    </w:p>
    <w:p>
      <w:pPr>
        <w:pStyle w:val="Normal"/>
        <w:framePr w:w="717" w:hAnchor="page" w:vAnchor="page" w:x="6159" w:y="39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150.5</w:t>
      </w:r>
    </w:p>
    <w:p>
      <w:pPr>
        <w:pStyle w:val="Normal"/>
        <w:framePr w:w="603" w:hAnchor="page" w:vAnchor="page" w:x="7561" w:y="39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10.9</w:t>
      </w:r>
    </w:p>
    <w:p>
      <w:pPr>
        <w:pStyle w:val="Normal"/>
        <w:framePr w:w="853" w:hAnchor="page" w:vAnchor="page" w:x="8619" w:y="39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(127.6)</w:t>
      </w:r>
    </w:p>
    <w:p>
      <w:pPr>
        <w:pStyle w:val="Normal"/>
        <w:framePr w:w="739" w:hAnchor="page" w:vAnchor="page" w:x="10077" w:y="39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(40.2)</w:t>
      </w:r>
    </w:p>
    <w:p>
      <w:pPr>
        <w:pStyle w:val="Normal"/>
        <w:framePr w:w="625" w:hAnchor="page" w:vAnchor="page" w:x="11465" w:y="393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(6.4)</w:t>
      </w:r>
    </w:p>
    <w:p>
      <w:pPr>
        <w:pStyle w:val="Normal"/>
        <w:framePr w:w="956" w:hAnchor="page" w:vAnchor="page" w:x="747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Subtotal</w:t>
      </w:r>
    </w:p>
    <w:p>
      <w:pPr>
        <w:pStyle w:val="Normal"/>
        <w:framePr w:w="887" w:hAnchor="page" w:vAnchor="page" w:x="6011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2,966.0</w:t>
      </w:r>
    </w:p>
    <w:p>
      <w:pPr>
        <w:pStyle w:val="Normal"/>
        <w:framePr w:w="717" w:hAnchor="page" w:vAnchor="page" w:x="7466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440.2</w:t>
      </w:r>
    </w:p>
    <w:p>
      <w:pPr>
        <w:pStyle w:val="Normal"/>
        <w:framePr w:w="489" w:hAnchor="page" w:vAnchor="page" w:x="8922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4.3</w:t>
      </w:r>
    </w:p>
    <w:p>
      <w:pPr>
        <w:pStyle w:val="Normal"/>
        <w:framePr w:w="409" w:hAnchor="page" w:vAnchor="page" w:x="10352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887" w:hAnchor="page" w:vAnchor="page" w:x="11247" w:y="36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3,410.5</w:t>
      </w:r>
    </w:p>
    <w:p>
      <w:pPr>
        <w:pStyle w:val="Normal"/>
        <w:framePr w:w="3779" w:hAnchor="page" w:vAnchor="page" w:x="586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Purchase price accounting adjustments</w:t>
      </w:r>
    </w:p>
    <w:p>
      <w:pPr>
        <w:pStyle w:val="Normal"/>
        <w:framePr w:w="489" w:hAnchor="page" w:vAnchor="page" w:x="6344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8.5</w:t>
      </w:r>
    </w:p>
    <w:p>
      <w:pPr>
        <w:pStyle w:val="Normal"/>
        <w:framePr w:w="409" w:hAnchor="page" w:vAnchor="page" w:x="7723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8989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10352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89" w:hAnchor="page" w:vAnchor="page" w:x="11575" w:y="345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8.5</w:t>
      </w:r>
    </w:p>
    <w:p>
      <w:pPr>
        <w:pStyle w:val="Normal"/>
        <w:framePr w:w="2674" w:hAnchor="page" w:vAnchor="page" w:x="586" w:y="32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Direct COVID-19 expenses</w:t>
      </w:r>
    </w:p>
    <w:p>
      <w:pPr>
        <w:pStyle w:val="Normal"/>
        <w:framePr w:w="603" w:hAnchor="page" w:vAnchor="page" w:x="6241" w:y="32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50.1</w:t>
      </w:r>
    </w:p>
    <w:p>
      <w:pPr>
        <w:pStyle w:val="Normal"/>
        <w:framePr w:w="489" w:hAnchor="page" w:vAnchor="page" w:x="7656" w:y="32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7.7</w:t>
      </w:r>
    </w:p>
    <w:p>
      <w:pPr>
        <w:pStyle w:val="Normal"/>
        <w:framePr w:w="409" w:hAnchor="page" w:vAnchor="page" w:x="8989" w:y="32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10352" w:y="32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1484" w:y="323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57.8</w:t>
      </w:r>
    </w:p>
    <w:p>
      <w:pPr>
        <w:pStyle w:val="Normal"/>
        <w:framePr w:w="3130" w:hAnchor="page" w:vAnchor="page" w:x="586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Restructuring and other charges</w:t>
      </w:r>
    </w:p>
    <w:p>
      <w:pPr>
        <w:pStyle w:val="Normal"/>
        <w:framePr w:w="603" w:hAnchor="page" w:vAnchor="page" w:x="6254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52.9</w:t>
      </w:r>
    </w:p>
    <w:p>
      <w:pPr>
        <w:pStyle w:val="Normal"/>
        <w:framePr w:w="603" w:hAnchor="page" w:vAnchor="page" w:x="7561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13.2</w:t>
      </w:r>
    </w:p>
    <w:p>
      <w:pPr>
        <w:pStyle w:val="Normal"/>
        <w:framePr w:w="489" w:hAnchor="page" w:vAnchor="page" w:x="8922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4.3</w:t>
      </w:r>
    </w:p>
    <w:p>
      <w:pPr>
        <w:pStyle w:val="Normal"/>
        <w:framePr w:w="409" w:hAnchor="page" w:vAnchor="page" w:x="10352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603" w:hAnchor="page" w:vAnchor="page" w:x="11477" w:y="302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70.4</w:t>
      </w:r>
    </w:p>
    <w:p>
      <w:pPr>
        <w:pStyle w:val="Normal"/>
        <w:framePr w:w="2937" w:hAnchor="page" w:vAnchor="page" w:x="586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Impairment and other charges</w:t>
      </w:r>
    </w:p>
    <w:p>
      <w:pPr>
        <w:pStyle w:val="Normal"/>
        <w:framePr w:w="887" w:hAnchor="page" w:vAnchor="page" w:x="6016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2,854.5</w:t>
      </w:r>
    </w:p>
    <w:p>
      <w:pPr>
        <w:pStyle w:val="Normal"/>
        <w:framePr w:w="717" w:hAnchor="page" w:vAnchor="page" w:x="7466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419.3</w:t>
      </w:r>
    </w:p>
    <w:p>
      <w:pPr>
        <w:pStyle w:val="Normal"/>
        <w:framePr w:w="409" w:hAnchor="page" w:vAnchor="page" w:x="8989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409" w:hAnchor="page" w:vAnchor="page" w:x="10352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—</w:t>
      </w:r>
    </w:p>
    <w:p>
      <w:pPr>
        <w:pStyle w:val="Normal"/>
        <w:framePr w:w="887" w:hAnchor="page" w:vAnchor="page" w:x="11247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3,273.8</w:t>
      </w:r>
    </w:p>
    <w:p>
      <w:pPr>
        <w:pStyle w:val="Normal"/>
        <w:framePr w:w="2230" w:hAnchor="page" w:vAnchor="page" w:x="424" w:y="259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Charges and (credits):</w:t>
      </w:r>
    </w:p>
    <w:p>
      <w:pPr>
        <w:pStyle w:val="Normal"/>
        <w:framePr w:w="3506" w:hAnchor="page" w:vAnchor="page" w:x="424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Operating loss, as reported (pre-tax)</w:t>
      </w:r>
    </w:p>
    <w:p>
      <w:pPr>
        <w:pStyle w:val="Normal"/>
        <w:framePr w:w="1138" w:hAnchor="page" w:vAnchor="page" w:x="5807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$(2,815.5)</w:t>
      </w:r>
    </w:p>
    <w:p>
      <w:pPr>
        <w:pStyle w:val="Normal"/>
        <w:framePr w:w="967" w:hAnchor="page" w:vAnchor="page" w:x="7258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$(429.3)</w:t>
      </w:r>
    </w:p>
    <w:p>
      <w:pPr>
        <w:pStyle w:val="Normal"/>
        <w:framePr w:w="967" w:hAnchor="page" w:vAnchor="page" w:x="8516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$(131.9)</w:t>
      </w:r>
    </w:p>
    <w:p>
      <w:pPr>
        <w:pStyle w:val="Normal"/>
        <w:framePr w:w="853" w:hAnchor="page" w:vAnchor="page" w:x="9982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$(40.2)</w:t>
      </w:r>
    </w:p>
    <w:p>
      <w:pPr>
        <w:pStyle w:val="Normal"/>
        <w:framePr w:w="1138" w:hAnchor="page" w:vAnchor="page" w:x="11038" w:y="238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$(3,416.9)</w:t>
      </w:r>
    </w:p>
    <w:p>
      <w:pPr>
        <w:pStyle w:val="Normal"/>
        <w:framePr w:w="1024" w:hAnchor="page" w:vAnchor="page" w:x="424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Revenue</w:t>
      </w:r>
    </w:p>
    <w:p>
      <w:pPr>
        <w:pStyle w:val="Normal"/>
        <w:framePr w:w="1001" w:hAnchor="page" w:vAnchor="page" w:x="5914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$5,471.4</w:t>
      </w:r>
    </w:p>
    <w:p>
      <w:pPr>
        <w:pStyle w:val="Normal"/>
        <w:framePr w:w="1001" w:hAnchor="page" w:vAnchor="page" w:x="7229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$1,059.2</w:t>
      </w:r>
    </w:p>
    <w:p>
      <w:pPr>
        <w:pStyle w:val="Normal"/>
        <w:framePr w:w="523" w:hAnchor="page" w:vAnchor="page" w:x="8887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523" w:hAnchor="page" w:vAnchor="page" w:x="10251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$—</w:t>
      </w:r>
    </w:p>
    <w:p>
      <w:pPr>
        <w:pStyle w:val="Normal"/>
        <w:framePr w:w="1001" w:hAnchor="page" w:vAnchor="page" w:x="11152" w:y="21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$6,530.6</w:t>
      </w:r>
    </w:p>
    <w:p>
      <w:pPr>
        <w:pStyle w:val="Normal"/>
        <w:framePr w:w="1240" w:hAnchor="page" w:vAnchor="page" w:x="331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(in millions)</w:t>
      </w:r>
    </w:p>
    <w:p>
      <w:pPr>
        <w:pStyle w:val="Normal"/>
        <w:framePr w:w="933" w:hAnchor="page" w:vAnchor="page" w:x="6068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Subsea</w:t>
      </w:r>
    </w:p>
    <w:p>
      <w:pPr>
        <w:pStyle w:val="Normal"/>
        <w:framePr w:w="1524" w:hAnchor="page" w:vAnchor="page" w:x="6981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Technologies</w:t>
      </w:r>
    </w:p>
    <w:p>
      <w:pPr>
        <w:pStyle w:val="Normal"/>
        <w:framePr w:w="1047" w:hAnchor="page" w:vAnchor="page" w:x="8633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Expense</w:t>
      </w:r>
    </w:p>
    <w:p>
      <w:pPr>
        <w:pStyle w:val="Normal"/>
        <w:framePr w:w="1171" w:hAnchor="page" w:vAnchor="page" w:x="9823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and Other</w:t>
      </w:r>
    </w:p>
    <w:p>
      <w:pPr>
        <w:pStyle w:val="Normal"/>
        <w:framePr w:w="693" w:hAnchor="page" w:vAnchor="page" w:x="11514" w:y="188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Total</w:t>
      </w:r>
    </w:p>
    <w:p>
      <w:pPr>
        <w:pStyle w:val="Normal"/>
        <w:framePr w:w="955" w:hAnchor="page" w:vAnchor="page" w:x="7443" w:y="16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Surface</w:t>
      </w:r>
    </w:p>
    <w:p>
      <w:pPr>
        <w:pStyle w:val="Normal"/>
        <w:framePr w:w="1183" w:hAnchor="page" w:vAnchor="page" w:x="8519" w:y="16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Corporate</w:t>
      </w:r>
    </w:p>
    <w:p>
      <w:pPr>
        <w:pStyle w:val="Normal"/>
        <w:framePr w:w="1593" w:hAnchor="page" w:vAnchor="page" w:x="9472" w:y="1689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Exchange, net</w:t>
      </w:r>
    </w:p>
    <w:p>
      <w:pPr>
        <w:pStyle w:val="Normal"/>
        <w:framePr w:w="955" w:hAnchor="page" w:vAnchor="page" w:x="10003" w:y="149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Foreign</w:t>
      </w:r>
    </w:p>
    <w:p>
      <w:pPr>
        <w:pStyle w:val="Normal"/>
        <w:framePr w:w="2049" w:hAnchor="page" w:vAnchor="page" w:x="7940" w:y="11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December 31, 2020</w:t>
      </w:r>
    </w:p>
    <w:p>
      <w:pPr>
        <w:pStyle w:val="Normal"/>
        <w:framePr w:w="1331" w:hAnchor="page" w:vAnchor="page" w:x="8244" w:y="9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Year Ended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framePr w:w="342" w:hAnchor="page" w:vAnchor="page" w:x="274" w:y="5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7pt;margin-top:1pt;z-index:-16758768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12.7pt;margin-top:42.95pt;z-index:-16758764;width:260.9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271.55pt;margin-top:42.95pt;z-index:-16758760;width:327.7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12.7pt;margin-top:69.25pt;z-index:-16758756;width:260.9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271.55pt;margin-top:69.25pt;z-index:-16758752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335.6pt;margin-top:69.25pt;z-index:-16758748;width:71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405.3pt;margin-top:69.25pt;z-index:-16758744;width:65.3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68.6pt;margin-top:69.25pt;z-index:-16758740;width:66.7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533.3pt;margin-top:69.25pt;z-index:-16758736;width:66pt;height:3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533.3pt;margin-top:69.25pt;z-index:-1675873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33.3pt;margin-top:105.55pt;z-index:-16758728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68.6pt;margin-top:69.25pt;z-index:-16758724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468.6pt;margin-top:105.55pt;z-index:-1675872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405.3pt;margin-top:69.25pt;z-index:-16758716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405.3pt;margin-top:105.55pt;z-index:-16758712;width:6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335.6pt;margin-top:69.25pt;z-index:-16758708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335.6pt;margin-top:105.55pt;z-index:-16758704;width:71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271.55pt;margin-top:105.55pt;z-index:-16758700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12.7pt;margin-top:105.55pt;z-index:-16758696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271.55pt;margin-top:42.95pt;z-index:-16758692;width:32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271.55pt;margin-top:69.25pt;z-index:-16758688;width:32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12.7pt;margin-top:42.95pt;z-index:-16758684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12.7pt;margin-top:106.25pt;z-index:-16758680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270.85pt;margin-top:106.25pt;z-index:-16758676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334.85pt;margin-top:106.25pt;z-index:-16758672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04.55pt;margin-top:106.25pt;z-index:-16758668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467.85pt;margin-top:106.25pt;z-index:-16758664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532.6pt;margin-top:106.25pt;z-index:-16758660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12.7pt;margin-top:116.9pt;z-index:-16758656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270.85pt;margin-top:116.9pt;z-index:-16758652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334.85pt;margin-top:116.9pt;z-index:-16758648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404.55pt;margin-top:116.9pt;z-index:-16758644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467.85pt;margin-top:116.9pt;z-index:-16758640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532.6pt;margin-top:116.9pt;z-index:-16758636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12.7pt;margin-top:127.6pt;z-index:-16758632;width:585.9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12.7pt;margin-top:138.25pt;z-index:-16758628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270.85pt;margin-top:138.25pt;z-index:-16758624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334.85pt;margin-top:138.25pt;z-index:-16758620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404.55pt;margin-top:138.25pt;z-index:-16758616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467.85pt;margin-top:138.25pt;z-index:-16758612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532.6pt;margin-top:138.25pt;z-index:-16758608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12.7pt;margin-top:148.9pt;z-index:-16758604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270.85pt;margin-top:148.9pt;z-index:-16758600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334.85pt;margin-top:148.9pt;z-index:-16758596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404.55pt;margin-top:148.9pt;z-index:-16758592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467.85pt;margin-top:148.9pt;z-index:-16758588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32.6pt;margin-top:148.9pt;z-index:-16758584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12.7pt;margin-top:159.6pt;z-index:-16758580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270.85pt;margin-top:159.6pt;z-index:-16758576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334.85pt;margin-top:159.6pt;z-index:-16758572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404.55pt;margin-top:159.6pt;z-index:-16758568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467.85pt;margin-top:159.6pt;z-index:-16758564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532.6pt;margin-top:159.6pt;z-index:-16758560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12.7pt;margin-top:170.25pt;z-index:-16758556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270.85pt;margin-top:170.25pt;z-index:-16758552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334.85pt;margin-top:170.25pt;z-index:-16758548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404.55pt;margin-top:170.25pt;z-index:-16758544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67.85pt;margin-top:170.25pt;z-index:-16758540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532.6pt;margin-top:170.25pt;z-index:-16758536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12.7pt;margin-top:182.35pt;z-index:-16758532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270.85pt;margin-top:182.35pt;z-index:-16758528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334.85pt;margin-top:182.35pt;z-index:-16758524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04.55pt;margin-top:182.35pt;z-index:-16758520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67.85pt;margin-top:182.35pt;z-index:-16758516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532.6pt;margin-top:182.35pt;z-index:-16758512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12.7pt;margin-top:194.45pt;z-index:-16758508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270.85pt;margin-top:194.45pt;z-index:-16758504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334.85pt;margin-top:194.45pt;z-index:-16758500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404.55pt;margin-top:194.45pt;z-index:-16758496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467.85pt;margin-top:194.45pt;z-index:-16758492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32.6pt;margin-top:194.45pt;z-index:-16758488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12.7pt;margin-top:206.55pt;z-index:-16758484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270.85pt;margin-top:206.55pt;z-index:-16758480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334.85pt;margin-top:206.55pt;z-index:-16758476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04.55pt;margin-top:206.55pt;z-index:-16758472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67.85pt;margin-top:206.55pt;z-index:-16758468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532.6pt;margin-top:206.55pt;z-index:-16758464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12.7pt;margin-top:218.65pt;z-index:-16758460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270.85pt;margin-top:218.65pt;z-index:-16758456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334.85pt;margin-top:218.65pt;z-index:-16758452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404.55pt;margin-top:218.65pt;z-index:-16758448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467.85pt;margin-top:218.65pt;z-index:-16758444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532.6pt;margin-top:218.65pt;z-index:-16758440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12.7pt;margin-top:230.7pt;z-index:-16758436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270.85pt;margin-top:230.7pt;z-index:-16758432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334.85pt;margin-top:230.7pt;z-index:-16758428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404.55pt;margin-top:230.7pt;z-index:-16758424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67.85pt;margin-top:230.7pt;z-index:-16758420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532.6pt;margin-top:230.7pt;z-index:-16758416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12.7pt;margin-top:242.8pt;z-index:-16758412;width:260.1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270.85pt;margin-top:242.8pt;z-index:-16758408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334.85pt;margin-top:242.8pt;z-index:-16758404;width:71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404.55pt;margin-top:242.8pt;z-index:-16758400;width:65.3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467.85pt;margin-top:242.8pt;z-index:-16758396;width:66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532.6pt;margin-top:242.8pt;z-index:-16758392;width:66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12.7pt;margin-top:254.9pt;z-index:-16758388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270.85pt;margin-top:254.9pt;z-index:-16758384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334.85pt;margin-top:254.9pt;z-index:-16758380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04.55pt;margin-top:254.9pt;z-index:-16758376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67.85pt;margin-top:254.9pt;z-index:-16758372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532.6pt;margin-top:254.9pt;z-index:-16758368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12.7pt;margin-top:265.55pt;z-index:-16758364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270.85pt;margin-top:265.55pt;z-index:-16758360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334.85pt;margin-top:265.55pt;z-index:-16758356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404.55pt;margin-top:265.55pt;z-index:-16758352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467.85pt;margin-top:265.55pt;z-index:-16758348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532.6pt;margin-top:265.55pt;z-index:-16758344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12.7pt;margin-top:276.2pt;z-index:-16758340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270.85pt;margin-top:276.2pt;z-index:-16758336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334.85pt;margin-top:276.2pt;z-index:-16758332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404.55pt;margin-top:276.2pt;z-index:-16758328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467.85pt;margin-top:276.2pt;z-index:-16758324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32.6pt;margin-top:276.2pt;z-index:-16758320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12.7pt;margin-top:286.9pt;z-index:-16758316;width:260.1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270.85pt;margin-top:286.9pt;z-index:-16758312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334.85pt;margin-top:286.9pt;z-index:-16758308;width:71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404.55pt;margin-top:286.9pt;z-index:-16758304;width:65.3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467.85pt;margin-top:286.9pt;z-index:-16758300;width:66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532.6pt;margin-top:286.9pt;z-index:-16758296;width:66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596.6pt;margin-top:286.9pt;z-index:-1675829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532.6pt;margin-top:286.9pt;z-index:-167582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67.85pt;margin-top:286.9pt;z-index:-1675828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04.55pt;margin-top:286.9pt;z-index:-167582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334.85pt;margin-top:286.9pt;z-index:-167582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12.7pt;margin-top:286.9pt;z-index:-167582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270.85pt;margin-top:286.9pt;z-index:-167582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532.6pt;margin-top:286.9pt;z-index:-16758264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96.6pt;margin-top:276.2pt;z-index:-167582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467.85pt;margin-top:286.9pt;z-index:-1675825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32.6pt;margin-top:276.2pt;z-index:-1675825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404.55pt;margin-top:286.9pt;z-index:-16758248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467.85pt;margin-top:276.2pt;z-index:-1675824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334.85pt;margin-top:286.9pt;z-index:-1675824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404.55pt;margin-top:276.2pt;z-index:-1675823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270.85pt;margin-top:286.9pt;z-index:-1675823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334.85pt;margin-top:276.2pt;z-index:-167582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12.7pt;margin-top:286.9pt;z-index:-16758224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12.7pt;margin-top:276.2pt;z-index:-1675822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270.85pt;margin-top:276.2pt;z-index:-167582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532.6pt;margin-top:276.2pt;z-index:-1675821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596.6pt;margin-top:265.55pt;z-index:-167582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467.85pt;margin-top:276.2pt;z-index:-1675820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532.6pt;margin-top:265.55pt;z-index:-167582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404.55pt;margin-top:276.2pt;z-index:-1675819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467.85pt;margin-top:265.55pt;z-index:-167581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334.85pt;margin-top:276.2pt;z-index:-1675818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404.55pt;margin-top:265.55pt;z-index:-167581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270.85pt;margin-top:276.2pt;z-index:-1675818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334.85pt;margin-top:265.55pt;z-index:-167581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12.7pt;margin-top:276.2pt;z-index:-16758172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12.7pt;margin-top:265.55pt;z-index:-167581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270.85pt;margin-top:265.55pt;z-index:-167581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532.6pt;margin-top:265.55pt;z-index:-1675816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596.6pt;margin-top:254.2pt;z-index:-1675815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467.85pt;margin-top:265.55pt;z-index:-16758152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532.6pt;margin-top:255.6pt;z-index:-1675814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404.55pt;margin-top:265.55pt;z-index:-16758144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467.85pt;margin-top:255.6pt;z-index:-1675814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334.85pt;margin-top:265.55pt;z-index:-16758136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404.55pt;margin-top:255.6pt;z-index:-167581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270.85pt;margin-top:265.55pt;z-index:-16758128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334.85pt;margin-top:255.6pt;z-index:-167581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12.7pt;margin-top:265.55pt;z-index:-16758120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12.7pt;margin-top:254.9pt;z-index:-167581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270.85pt;margin-top:255.6pt;z-index:-167581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32.6pt;margin-top:254.2pt;z-index:-16758108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96.6pt;margin-top:242.1pt;z-index:-1675810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467.85pt;margin-top:254.2pt;z-index:-16758100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532.6pt;margin-top:243.5pt;z-index:-1675809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04.55pt;margin-top:254.2pt;z-index:-16758092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67.85pt;margin-top:243.5pt;z-index:-167580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334.85pt;margin-top:254.2pt;z-index:-16758084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404.55pt;margin-top:243.5pt;z-index:-167580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270.85pt;margin-top:254.2pt;z-index:-16758076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334.85pt;margin-top:243.5pt;z-index:-167580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12.7pt;margin-top:254.9pt;z-index:-16758068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12.7pt;margin-top:242.8pt;z-index:-1675806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270.85pt;margin-top:243.5pt;z-index:-1675806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32.6pt;margin-top:242.1pt;z-index:-16758056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96.6pt;margin-top:230pt;z-index:-16758052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67.85pt;margin-top:242.1pt;z-index:-16758048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532.6pt;margin-top:231.4pt;z-index:-1675804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404.55pt;margin-top:242.1pt;z-index:-16758040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467.85pt;margin-top:231.4pt;z-index:-167580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334.85pt;margin-top:242.1pt;z-index:-16758032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404.55pt;margin-top:231.4pt;z-index:-167580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270.85pt;margin-top:242.1pt;z-index:-16758024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334.85pt;margin-top:231.4pt;z-index:-167580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12.7pt;margin-top:242.8pt;z-index:-16758016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12.7pt;margin-top:230.7pt;z-index:-16758012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270.85pt;margin-top:231.4pt;z-index:-1675800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532.6pt;margin-top:230pt;z-index:-16758004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596.6pt;margin-top:217.9pt;z-index:-16758000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67.85pt;margin-top:230pt;z-index:-16757996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32.6pt;margin-top:219.35pt;z-index:-1675799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04.55pt;margin-top:230pt;z-index:-16757988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467.85pt;margin-top:219.35pt;z-index:-1675798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334.85pt;margin-top:230pt;z-index:-16757980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404.55pt;margin-top:219.35pt;z-index:-1675797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270.85pt;margin-top:230pt;z-index:-16757972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334.85pt;margin-top:219.35pt;z-index:-1675796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12.7pt;margin-top:230.7pt;z-index:-16757964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12.7pt;margin-top:218.6pt;z-index:-16757960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270.85pt;margin-top:219.35pt;z-index:-1675795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532.6pt;margin-top:217.9pt;z-index:-16757952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596.6pt;margin-top:205.85pt;z-index:-16757948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467.85pt;margin-top:217.9pt;z-index:-16757944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532.6pt;margin-top:207.25pt;z-index:-1675794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404.55pt;margin-top:217.9pt;z-index:-16757936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67.85pt;margin-top:207.25pt;z-index:-1675793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334.85pt;margin-top:217.9pt;z-index:-16757928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404.55pt;margin-top:207.25pt;z-index:-1675792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270.85pt;margin-top:217.9pt;z-index:-16757920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334.85pt;margin-top:207.25pt;z-index:-1675791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12.7pt;margin-top:218.6pt;z-index:-16757912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12.7pt;margin-top:206.5pt;z-index:-16757908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270.85pt;margin-top:207.25pt;z-index:-1675790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32.6pt;margin-top:205.8pt;z-index:-16757900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96.6pt;margin-top:193.75pt;z-index:-16757896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467.85pt;margin-top:205.8pt;z-index:-16757892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532.6pt;margin-top:195.15pt;z-index:-1675788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404.55pt;margin-top:205.8pt;z-index:-16757884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467.85pt;margin-top:195.15pt;z-index:-1675788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334.85pt;margin-top:205.8pt;z-index:-16757876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404.55pt;margin-top:195.15pt;z-index:-1675787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270.85pt;margin-top:205.8pt;z-index:-16757868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334.85pt;margin-top:195.15pt;z-index:-16757864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12.7pt;margin-top:206.5pt;z-index:-16757860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2.7pt;margin-top:194.45pt;z-index:-16757856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270.85pt;margin-top:195.15pt;z-index:-1675785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532.6pt;margin-top:193.7pt;z-index:-16757848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596.6pt;margin-top:181.65pt;z-index:-16757844;width:2.7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467.85pt;margin-top:193.7pt;z-index:-16757840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532.6pt;margin-top:183.05pt;z-index:-1675783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404.55pt;margin-top:193.7pt;z-index:-16757832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467.85pt;margin-top:183.05pt;z-index:-16757828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34.85pt;margin-top:193.7pt;z-index:-16757824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404.55pt;margin-top:183.05pt;z-index:-1675782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270.85pt;margin-top:193.7pt;z-index:-16757816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334.85pt;margin-top:183.05pt;z-index:-16757812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12.7pt;margin-top:194.45pt;z-index:-16757808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12.7pt;margin-top:182.35pt;z-index:-1675780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270.85pt;margin-top:183.05pt;z-index:-16757800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32.6pt;margin-top:181.65pt;z-index:-16757796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96.6pt;margin-top:170.25pt;z-index:-167577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467.85pt;margin-top:181.65pt;z-index:-16757788;width:67.45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32.6pt;margin-top:170.25pt;z-index:-167577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404.55pt;margin-top:181.65pt;z-index:-16757780;width:6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467.85pt;margin-top:170.25pt;z-index:-167577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334.85pt;margin-top:181.65pt;z-index:-16757772;width:72.4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404.55pt;margin-top:170.25pt;z-index:-167577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270.85pt;margin-top:181.65pt;z-index:-16757764;width:66.7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34.85pt;margin-top:170.25pt;z-index:-167577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12.7pt;margin-top:182.35pt;z-index:-16757756;width:26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12.7pt;margin-top:170.25pt;z-index:-16757752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270.85pt;margin-top:170.25pt;z-index:-1675774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32.6pt;margin-top:170.25pt;z-index:-16757744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96.6pt;margin-top:159.6pt;z-index:-167577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467.85pt;margin-top:170.25pt;z-index:-16757736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32.6pt;margin-top:159.6pt;z-index:-167577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404.55pt;margin-top:170.25pt;z-index:-16757728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467.85pt;margin-top:159.6pt;z-index:-1675772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334.85pt;margin-top:170.25pt;z-index:-1675772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404.55pt;margin-top:159.6pt;z-index:-167577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270.85pt;margin-top:170.25pt;z-index:-1675771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334.85pt;margin-top:159.6pt;z-index:-167577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12.7pt;margin-top:170.25pt;z-index:-16757704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12.7pt;margin-top:159.6pt;z-index:-1675770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270.85pt;margin-top:159.6pt;z-index:-1675769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32.6pt;margin-top:159.6pt;z-index:-1675769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596.6pt;margin-top:148.9pt;z-index:-1675768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467.85pt;margin-top:159.6pt;z-index:-1675768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32.6pt;margin-top:148.9pt;z-index:-167576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404.55pt;margin-top:159.6pt;z-index:-1675767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467.85pt;margin-top:148.9pt;z-index:-167576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334.85pt;margin-top:159.6pt;z-index:-1675766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404.55pt;margin-top:148.9pt;z-index:-1675766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270.85pt;margin-top:159.6pt;z-index:-1675766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334.85pt;margin-top:148.9pt;z-index:-167576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12.7pt;margin-top:159.6pt;z-index:-16757652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12.7pt;margin-top:148.9pt;z-index:-1675764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270.85pt;margin-top:148.9pt;z-index:-1675764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32.6pt;margin-top:138.25pt;z-index:-1675764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532.6pt;margin-top:148.9pt;z-index:-1675763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96.6pt;margin-top:138.25pt;z-index:-167576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467.85pt;margin-top:138.25pt;z-index:-1675762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467.85pt;margin-top:148.9pt;z-index:-1675762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532.6pt;margin-top:138.25pt;z-index:-1675762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404.55pt;margin-top:138.25pt;z-index:-1675761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04.55pt;margin-top:148.9pt;z-index:-1675761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67.85pt;margin-top:138.25pt;z-index:-167576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334.85pt;margin-top:138.25pt;z-index:-1675760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334.85pt;margin-top:148.9pt;z-index:-1675760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404.55pt;margin-top:138.25pt;z-index:-1675759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270.85pt;margin-top:138.25pt;z-index:-1675759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270.85pt;margin-top:148.9pt;z-index:-16757588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34.85pt;margin-top:138.25pt;z-index:-1675758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12.7pt;margin-top:148.9pt;z-index:-16757580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12.7pt;margin-top:138.25pt;z-index:-1675757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270.85pt;margin-top:138.25pt;z-index:-167575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12.7pt;margin-top:127.6pt;z-index:-16757568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12.7pt;margin-top:138.25pt;z-index:-16757564;width:58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12.7pt;margin-top:127.6pt;z-index:-167575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596.6pt;margin-top:127.6pt;z-index:-167575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532.6pt;margin-top:127.6pt;z-index:-1675755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596.6pt;margin-top:116.9pt;z-index:-1675754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467.85pt;margin-top:127.6pt;z-index:-1675754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532.6pt;margin-top:116.9pt;z-index:-167575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04.55pt;margin-top:127.6pt;z-index:-1675753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67.85pt;margin-top:116.9pt;z-index:-167575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334.85pt;margin-top:127.6pt;z-index:-16757528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404.55pt;margin-top:116.9pt;z-index:-1675752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270.85pt;margin-top:127.6pt;z-index:-1675752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334.85pt;margin-top:116.9pt;z-index:-167575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12.7pt;margin-top:127.6pt;z-index:-16757512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12.7pt;margin-top:116.9pt;z-index:-167575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270.85pt;margin-top:116.9pt;z-index:-1675750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532.6pt;margin-top:106.25pt;z-index:-16757500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532.6pt;margin-top:116.9pt;z-index:-16757496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596.6pt;margin-top:106.25pt;z-index:-1675749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467.85pt;margin-top:106.25pt;z-index:-16757488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467.85pt;margin-top:116.9pt;z-index:-16757484;width: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532.6pt;margin-top:106.25pt;z-index:-167574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404.55pt;margin-top:106.25pt;z-index:-16757476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404.55pt;margin-top:116.9pt;z-index:-16757472;width:6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467.85pt;margin-top:106.25pt;z-index:-1675746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34.85pt;margin-top:106.25pt;z-index:-16757464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34.85pt;margin-top:116.9pt;z-index:-16757460;width:7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404.55pt;margin-top:106.25pt;z-index:-1675745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270.85pt;margin-top:106.25pt;z-index:-16757452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270.85pt;margin-top:116.9pt;z-index:-16757448;width:6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334.85pt;margin-top:106.25pt;z-index:-16757444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12.7pt;margin-top:106.25pt;z-index:-16757440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12.7pt;margin-top:116.9pt;z-index:-16757436;width:2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12.7pt;margin-top:106.25pt;z-index:-1675743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270.85pt;margin-top:106.25pt;z-index:-167574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12.7pt;margin-top:326pt;z-index:-16757424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</w:p>
    <w:p>
      <w:pPr>
        <w:pStyle w:val="Normal"/>
        <w:framePr w:w="1631" w:hAnchor="page" w:vAnchor="page" w:x="274" w:y="3867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</w:pPr>
      <w:r>
        <w:rPr>
          <w:rFonts w:ascii="TYIFDT+ArialMT" w:hAnsi="TYIFDT+ArialMT" w:fareast="TYIFDT+ArialMT" w:cs="TYIFDT+ArialMT"/>
          <w:color w:val="000000"/>
          <w:w w:val="100"/>
          <w:sz w:val="15"/>
          <w:szCs w:val="15"/>
        </w:rPr>
        <w:t>125 TechnipFMC</w:t>
      </w:r>
    </w:p>
    <w:p>
      <w:pPr>
        <w:pStyle w:val="Normal"/>
        <w:framePr w:w="4007" w:hAnchor="page" w:vAnchor="page" w:x="424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Free cash flow from continuing operations</w:t>
      </w:r>
    </w:p>
    <w:p>
      <w:pPr>
        <w:pStyle w:val="Normal"/>
        <w:framePr w:w="830" w:hAnchor="page" w:vAnchor="page" w:x="7813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$194.2</w:t>
      </w:r>
    </w:p>
    <w:p>
      <w:pPr>
        <w:pStyle w:val="Normal"/>
        <w:framePr w:w="830" w:hAnchor="page" w:vAnchor="page" w:x="9481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$523.3</w:t>
      </w:r>
    </w:p>
    <w:p>
      <w:pPr>
        <w:pStyle w:val="Normal"/>
        <w:framePr w:w="830" w:hAnchor="page" w:vAnchor="page" w:x="11231" w:y="281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$516.3</w:t>
      </w:r>
    </w:p>
    <w:p>
      <w:pPr>
        <w:pStyle w:val="Normal"/>
        <w:framePr w:w="2071" w:hAnchor="page" w:vAnchor="page" w:x="424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Capital expenditures</w:t>
      </w:r>
    </w:p>
    <w:p>
      <w:pPr>
        <w:pStyle w:val="Normal"/>
        <w:framePr w:w="853" w:hAnchor="page" w:vAnchor="page" w:x="7794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(157.9)</w:t>
      </w:r>
    </w:p>
    <w:p>
      <w:pPr>
        <w:pStyle w:val="Normal"/>
        <w:framePr w:w="853" w:hAnchor="page" w:vAnchor="page" w:x="9462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(191.7)</w:t>
      </w:r>
    </w:p>
    <w:p>
      <w:pPr>
        <w:pStyle w:val="Normal"/>
        <w:framePr w:w="853" w:hAnchor="page" w:vAnchor="page" w:x="11207" w:y="257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(256.1)</w:t>
      </w:r>
    </w:p>
    <w:p>
      <w:pPr>
        <w:pStyle w:val="Normal"/>
        <w:framePr w:w="6022" w:hAnchor="page" w:vAnchor="page" w:x="424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Cash provided by operating activities from continuing operations</w:t>
      </w:r>
    </w:p>
    <w:p>
      <w:pPr>
        <w:pStyle w:val="Normal"/>
        <w:framePr w:w="830" w:hAnchor="page" w:vAnchor="page" w:x="7813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$352.1</w:t>
      </w:r>
    </w:p>
    <w:p>
      <w:pPr>
        <w:pStyle w:val="Normal"/>
        <w:framePr w:w="830" w:hAnchor="page" w:vAnchor="page" w:x="9481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$715.0</w:t>
      </w:r>
    </w:p>
    <w:p>
      <w:pPr>
        <w:pStyle w:val="Normal"/>
        <w:framePr w:w="830" w:hAnchor="page" w:vAnchor="page" w:x="11221" w:y="235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32373f"/>
          <w:w w:val="100"/>
          <w:sz w:val="17"/>
          <w:szCs w:val="17"/>
        </w:rPr>
        <w:t>$772.4</w:t>
      </w:r>
    </w:p>
    <w:p>
      <w:pPr>
        <w:pStyle w:val="Normal"/>
        <w:framePr w:w="1240" w:hAnchor="page" w:vAnchor="page" w:x="331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ffffff"/>
          <w:w w:val="100"/>
          <w:sz w:val="17"/>
          <w:szCs w:val="17"/>
        </w:rPr>
        <w:t>(in millions)</w:t>
      </w:r>
    </w:p>
    <w:p>
      <w:pPr>
        <w:pStyle w:val="Normal"/>
        <w:framePr w:w="660" w:hAnchor="page" w:vAnchor="page" w:x="7402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2022</w:t>
      </w:r>
    </w:p>
    <w:p>
      <w:pPr>
        <w:pStyle w:val="Normal"/>
        <w:framePr w:w="660" w:hAnchor="page" w:vAnchor="page" w:x="9152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2021</w:t>
      </w:r>
    </w:p>
    <w:p>
      <w:pPr>
        <w:pStyle w:val="Normal"/>
        <w:framePr w:w="660" w:hAnchor="page" w:vAnchor="page" w:x="10902" w:y="207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2020</w:t>
      </w:r>
    </w:p>
    <w:p>
      <w:pPr>
        <w:pStyle w:val="Normal"/>
        <w:framePr w:w="1536" w:hAnchor="page" w:vAnchor="page" w:x="8787" w:y="1746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December 31,</w:t>
      </w:r>
    </w:p>
    <w:p>
      <w:pPr>
        <w:pStyle w:val="Normal"/>
        <w:framePr w:w="1331" w:hAnchor="page" w:vAnchor="page" w:x="8877" w:y="154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</w:pPr>
      <w:r>
        <w:rPr>
          <w:rFonts w:ascii="WIPJFN+Arial-BoldMT" w:hAnsi="WIPJFN+Arial-BoldMT" w:fareast="WIPJFN+Arial-BoldMT" w:cs="WIPJFN+Arial-BoldMT"/>
          <w:color w:val="ffffff"/>
          <w:w w:val="100"/>
          <w:sz w:val="17"/>
          <w:szCs w:val="17"/>
        </w:rPr>
        <w:t>Year Ended</w:t>
      </w:r>
    </w:p>
    <w:p>
      <w:pPr>
        <w:pStyle w:val="Normal"/>
        <w:framePr w:w="5999" w:hAnchor="page" w:vAnchor="page" w:x="274" w:y="106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accordance with GAAP, to free cash flow (non-GAAP measure).</w:t>
      </w:r>
    </w:p>
    <w:p>
      <w:pPr>
        <w:pStyle w:val="Normal"/>
        <w:framePr w:w="13433" w:hAnchor="page" w:vAnchor="page" w:x="274" w:y="864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reconciles cash provided by operating activities from continuing operations, which is the most directly comparable financial measure determined in</w:t>
      </w:r>
    </w:p>
    <w:p>
      <w:pPr>
        <w:pStyle w:val="Normal"/>
        <w:framePr w:w="13786" w:hAnchor="page" w:vAnchor="page" w:x="274" w:y="66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</w:pPr>
      <w:r>
        <w:rPr>
          <w:rFonts w:ascii="TYIFDT+ArialMT" w:hAnsi="TYIFDT+ArialMT" w:fareast="TYIFDT+ArialMT" w:cs="TYIFDT+ArialMT"/>
          <w:color w:val="000000"/>
          <w:w w:val="100"/>
          <w:sz w:val="17"/>
          <w:szCs w:val="17"/>
        </w:rPr>
        <w:t>Free cash flow from continuing operations is defined as operating cash flows from continuing operations, less capital expenditures. The following table</w:t>
      </w:r>
    </w:p>
    <w:p>
      <w:pPr>
        <w:pStyle w:val="Normal"/>
        <w:framePr w:w="3213" w:hAnchor="page" w:vAnchor="page" w:x="274" w:y="283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</w:pPr>
      <w:r>
        <w:rPr>
          <w:rFonts w:ascii="WIPJFN+Arial-BoldMT" w:hAnsi="WIPJFN+Arial-BoldMT" w:fareast="WIPJFN+Arial-BoldMT" w:cs="WIPJFN+Arial-BoldMT"/>
          <w:color w:val="481f6e"/>
          <w:w w:val="100"/>
          <w:sz w:val="15"/>
          <w:szCs w:val="15"/>
        </w:rPr>
        <w:t>TechnipFMC Proxy Statement 2023</w:t>
      </w:r>
    </w:p>
    <w:p>
      <w:pPr>
        <w:pStyle w:val="Normal"/>
        <w:framePr w:w="342" w:hAnchor="page" w:vAnchor="page" w:x="274" w:y="5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</w:pPr>
      <w:r>
        <w:rPr>
          <w:rFonts w:ascii="MGJKVB+TimesNewRomanPSMT" w:hAnsi="MGJKVB+TimesNewRomanPSMT" w:fareast="MGJKVB+TimesNewRomanPSMT" w:cs="MGJKVB+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7pt;margin-top:1pt;z-index:-16757420;width:598pt;height:100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12.7pt;margin-top:72.15pt;z-index:-16757416;width:324.2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34.85pt;margin-top:72.15pt;z-index:-16757412;width:264.45pt;height:2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12.7pt;margin-top:98.45pt;z-index:-16757408;width:324.2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34.85pt;margin-top:98.45pt;z-index:-16757404;width:89.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422.35pt;margin-top:98.45pt;z-index:-16757400;width:89.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509.85pt;margin-top:98.45pt;z-index:-16757396;width:89.5pt;height:1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509.85pt;margin-top:98.45pt;z-index:-1675739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09.85pt;margin-top:114.8pt;z-index:-16757388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422.35pt;margin-top:98.45pt;z-index:-16757384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422.35pt;margin-top:114.8pt;z-index:-16757380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334.85pt;margin-top:114.8pt;z-index:-1675737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12.7pt;margin-top:114.8pt;z-index:-16757372;width:32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334.85pt;margin-top:72.1pt;z-index:-16757368;width:26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34.85pt;margin-top:98.45pt;z-index:-16757364;width:26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12.7pt;margin-top:72.1pt;z-index:-16757360;width:32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12.7pt;margin-top:115.5pt;z-index:-16757356;width:324.2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34.85pt;margin-top:115.5pt;z-index:-16757352;width:89.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22.35pt;margin-top:115.5pt;z-index:-16757348;width:89.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09.85pt;margin-top:115.5pt;z-index:-16757344;width:89.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12.7pt;margin-top:126.2pt;z-index:-16757340;width:324.2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334.85pt;margin-top:126.2pt;z-index:-16757336;width:89.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422.35pt;margin-top:126.2pt;z-index:-16757332;width:89.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509.85pt;margin-top:126.2pt;z-index:-16757328;width:89.5pt;height:14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12.7pt;margin-top:138.25pt;z-index:-16757324;width:324.2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334.85pt;margin-top:138.25pt;z-index:-16757320;width:89.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422.35pt;margin-top:138.25pt;z-index:-16757316;width:89.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509.85pt;margin-top:138.25pt;z-index:-16757312;width:89.5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597.3pt;margin-top:137.55pt;z-index:-1675730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509.85pt;margin-top:138.95pt;z-index:-16757304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422.35pt;margin-top:138.95pt;z-index:-16757300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12.7pt;margin-top:138.25pt;z-index:-16757296;width:2.7pt;height:12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334.85pt;margin-top:138.95pt;z-index:-16757292;width:2.7pt;height:11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509.85pt;margin-top:137.55pt;z-index:-16757288;width:90.2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422.35pt;margin-top:137.55pt;z-index:-16757284;width:90.2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509.85pt;margin-top:126.15pt;z-index:-1675728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334.85pt;margin-top:137.55pt;z-index:-16757276;width:90.2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422.35pt;margin-top:126.15pt;z-index:-1675727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12.7pt;margin-top:138.25pt;z-index:-16757268;width:32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12.7pt;margin-top:126.15pt;z-index:-16757264;width:2.7pt;height:1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334.85pt;margin-top:126.15pt;z-index:-1675726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509.85pt;margin-top:115.5pt;z-index:-16757256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509.85pt;margin-top:126.15pt;z-index:-16757252;width:8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422.35pt;margin-top:115.5pt;z-index:-16757248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422.35pt;margin-top:126.15pt;z-index:-16757244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09.85pt;margin-top:115.5pt;z-index:-16757240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334.85pt;margin-top:115.5pt;z-index:-16757236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334.85pt;margin-top:126.15pt;z-index:-16757232;width:9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422.35pt;margin-top:115.5pt;z-index:-16757228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12.7pt;margin-top:115.5pt;z-index:-16757224;width:32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12.7pt;margin-top:126.15pt;z-index:-16757220;width:32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12.7pt;margin-top:115.5pt;z-index:-16757216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334.85pt;margin-top:115.5pt;z-index:-16757212;width:2.7pt;height:1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12.7pt;margin-top:209.4pt;z-index:-1675720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7pt;margin-top:1pt;z-index:-16757204;width:598pt;height:100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12.7pt;margin-top:739.25pt;z-index:-16757200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28.65pt;margin-top:2pt;z-index:-16757196;width:554.75pt;height:71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7pt;margin-top:1pt;z-index:-16757192;width:598pt;height:75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12.7pt;margin-top:746.35pt;z-index:-16757188;width:586.6pt;height: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28.65pt;margin-top:2pt;z-index:-16757184;width:554.75pt;height:71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</w:p>
    <w:sectPr>
      <w:pgSz w:w="12240" w:h="20160"/>
      <w:pgMar w:top="400" w:right="400" w:bottom="400" w:left="400" w:header="720" w:footer="720"/>
      <w:pgNumType w:start="136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RAPZIX+DejaVuSans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1fd6fe9-0000-0000-0000-000000000000}"/>
  </w:font>
  <w:font w:name="TYIFDT+Arial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d00946ac-0000-0000-0000-000000000000}"/>
  </w:font>
  <w:font w:name="WIPJFN+Arial-Bold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c586f94-0000-0000-0000-000000000000}"/>
  </w:font>
  <w:font w:name="QFTFTF+Arial-Italic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d66ff899-0000-0000-0000-000000000000}"/>
  </w:font>
  <w:font w:name="NMMUPN+Arial-BoldItalic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87885dd4-0000-0000-0000-000000000000}"/>
  </w:font>
  <w:font w:name="MGJKVB+TimesNewRomanPS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fe0eb379-0000-0000-0000-000000000000}"/>
  </w:font>
  <w:font w:name="MMCQTV+Calibri-Bold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e8b04b9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jpe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jpe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jpe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jpe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jpe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jpe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jpe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jpe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jpe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jpe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jpeg" Type="http://schemas.openxmlformats.org/officeDocument/2006/relationships/image"/><Relationship Id="rId1286" Target="media/image1286.jpeg" Type="http://schemas.openxmlformats.org/officeDocument/2006/relationships/image"/><Relationship Id="rId1287" Target="media/image1287.jpeg" Type="http://schemas.openxmlformats.org/officeDocument/2006/relationships/image"/><Relationship Id="rId1288" Target="media/image1288.jpeg" Type="http://schemas.openxmlformats.org/officeDocument/2006/relationships/image"/><Relationship Id="rId1289" Target="media/image1289.jpe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jpe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jpe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jpeg" Type="http://schemas.openxmlformats.org/officeDocument/2006/relationships/image"/><Relationship Id="rId1325" Target="media/image1325.jpeg" Type="http://schemas.openxmlformats.org/officeDocument/2006/relationships/image"/><Relationship Id="rId1326" Target="media/image1326.jpe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jpe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jpe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jpe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jpe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jpeg" Type="http://schemas.openxmlformats.org/officeDocument/2006/relationships/image"/><Relationship Id="rId1745" Target="media/image1745.jpeg" Type="http://schemas.openxmlformats.org/officeDocument/2006/relationships/image"/><Relationship Id="rId1746" Target="media/image1746.jpeg" Type="http://schemas.openxmlformats.org/officeDocument/2006/relationships/image"/><Relationship Id="rId1747" Target="media/image1747.jpe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jpe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jpe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jpe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jpe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jpe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jpe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jpe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jpe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jpe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jpe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jpe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jpe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jpe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jpe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jpeg" Type="http://schemas.openxmlformats.org/officeDocument/2006/relationships/image"/><Relationship Id="rId3774" Target="media/image3774.jpe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jpe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jpe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jpe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jpe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jpe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jpe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jpe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jpe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jpe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jpe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jpe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jpe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jpe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jpeg" Type="http://schemas.openxmlformats.org/officeDocument/2006/relationships/image"/><Relationship Id="rId5009" Target="styles.xml" Type="http://schemas.openxmlformats.org/officeDocument/2006/relationships/styles"/><Relationship Id="rId501" Target="media/image501.jpeg" Type="http://schemas.openxmlformats.org/officeDocument/2006/relationships/image"/><Relationship Id="rId5010" Target="fontTable.xml" Type="http://schemas.openxmlformats.org/officeDocument/2006/relationships/fontTable"/><Relationship Id="rId5011" Target="settings.xml" Type="http://schemas.openxmlformats.org/officeDocument/2006/relationships/settings"/><Relationship Id="rId5012" Target="webSettings.xml" Type="http://schemas.openxmlformats.org/officeDocument/2006/relationships/webSettings"/><Relationship Id="rId502" Target="media/image502.jpeg" Type="http://schemas.openxmlformats.org/officeDocument/2006/relationships/image"/><Relationship Id="rId503" Target="media/image503.jpeg" Type="http://schemas.openxmlformats.org/officeDocument/2006/relationships/image"/><Relationship Id="rId504" Target="media/image504.jpe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jpe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jpeg" Type="http://schemas.openxmlformats.org/officeDocument/2006/relationships/image"/><Relationship Id="rId525" Target="media/image525.jpeg" Type="http://schemas.openxmlformats.org/officeDocument/2006/relationships/image"/><Relationship Id="rId526" Target="media/image526.jpeg" Type="http://schemas.openxmlformats.org/officeDocument/2006/relationships/image"/><Relationship Id="rId527" Target="media/image527.jpeg" Type="http://schemas.openxmlformats.org/officeDocument/2006/relationships/image"/><Relationship Id="rId528" Target="media/image528.jpe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jpe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jpe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jpe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jpe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jpe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jpe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jpe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jpe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jpe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jpe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jpe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jpe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jpe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jpe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jpe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jpe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jpe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jpe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jpeg" Type="http://schemas.openxmlformats.org/officeDocument/2006/relationships/image"/><Relationship Id="rId969" Target="media/image969.jpe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jpe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jpe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136</Pages>
  <Words>40118</Words>
  <Characters>220882</Characters>
  <Application>e-iceblue</Application>
  <DocSecurity>0</DocSecurity>
  <Lines>5009</Lines>
  <Paragraphs>5009</Paragraphs>
  <ScaleCrop>false</ScaleCrop>
  <Company>e-iceblue</Company>
  <LinksUpToDate>false</LinksUpToDate>
  <CharactersWithSpaces>256321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2023-03-17T21:22:05Z</dcterms:created>
  <dc:creator>root</dc:creator>
  <cp:lastModifiedBy>root</cp:lastModifiedBy>
  <dcterms:modified xsi:type="dcterms:W3CDTF">2023-03-17T21:22:05Z</dcterms:modified>
  <cp:revision>1</cp:revision>
</cp:coreProperties>
</file>