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435" w:hAnchor="page" w:vAnchor="page" w:x="276" w:y="1085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9664" w:hAnchor="page" w:vAnchor="page" w:x="739" w:y="108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Fee computed on table in exhibit required by Item 25(b) per Exchange Act Rules 14a-6(i)(1) and 0-11</w:t>
      </w:r>
    </w:p>
    <w:p>
      <w:pPr>
        <w:pStyle w:val="Normal"/>
        <w:framePr w:w="435" w:hAnchor="page" w:vAnchor="page" w:x="276" w:y="1036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4565" w:hAnchor="page" w:vAnchor="page" w:x="739" w:y="103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Fee paid previously with preliminary materials</w:t>
      </w:r>
    </w:p>
    <w:p>
      <w:pPr>
        <w:pStyle w:val="Normal"/>
        <w:framePr w:w="435" w:hAnchor="page" w:vAnchor="page" w:x="276" w:y="98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☒</w:t>
      </w:r>
    </w:p>
    <w:p>
      <w:pPr>
        <w:pStyle w:val="Normal"/>
        <w:framePr w:w="1680" w:hAnchor="page" w:vAnchor="page" w:x="739" w:y="98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 fee required</w:t>
      </w:r>
    </w:p>
    <w:p>
      <w:pPr>
        <w:pStyle w:val="Normal"/>
        <w:framePr w:w="4970" w:hAnchor="page" w:vAnchor="page" w:x="276" w:y="9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Paymentof Filing Fee (Check all boxes that apply):</w:t>
      </w:r>
    </w:p>
    <w:p>
      <w:pPr>
        <w:pStyle w:val="Normal"/>
        <w:framePr w:w="7350" w:hAnchor="page" w:vAnchor="page" w:x="3211" w:y="8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(Name of Person(s) Filing Proxy Statement, if other than the Registrant)</w:t>
      </w:r>
    </w:p>
    <w:p>
      <w:pPr>
        <w:pStyle w:val="Normal"/>
        <w:framePr w:w="4977" w:hAnchor="page" w:vAnchor="page" w:x="4199" w:y="8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(Name of Registrant as Specified In Its Charter)</w:t>
      </w:r>
    </w:p>
    <w:p>
      <w:pPr>
        <w:pStyle w:val="Normal"/>
        <w:framePr w:w="3854" w:hAnchor="page" w:vAnchor="page" w:x="4601" w:y="8034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TECHNIPFMC PLC</w:t>
      </w:r>
    </w:p>
    <w:p>
      <w:pPr>
        <w:pStyle w:val="Normal"/>
        <w:framePr w:w="435" w:hAnchor="page" w:vAnchor="page" w:x="276" w:y="75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3775" w:hAnchor="page" w:vAnchor="page" w:x="739" w:y="75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Soliciting Material under §240.14a-12</w:t>
      </w:r>
    </w:p>
    <w:p>
      <w:pPr>
        <w:pStyle w:val="Normal"/>
        <w:framePr w:w="435" w:hAnchor="page" w:vAnchor="page" w:x="276" w:y="70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☒</w:t>
      </w:r>
    </w:p>
    <w:p>
      <w:pPr>
        <w:pStyle w:val="Normal"/>
        <w:framePr w:w="3145" w:hAnchor="page" w:vAnchor="page" w:x="739" w:y="70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Definitive Additional Materials</w:t>
      </w:r>
    </w:p>
    <w:p>
      <w:pPr>
        <w:pStyle w:val="Normal"/>
        <w:framePr w:w="435" w:hAnchor="page" w:vAnchor="page" w:x="276" w:y="6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2760" w:hAnchor="page" w:vAnchor="page" w:x="739" w:y="65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Definitive Proxy Statement</w:t>
      </w:r>
    </w:p>
    <w:p>
      <w:pPr>
        <w:pStyle w:val="Normal"/>
        <w:framePr w:w="435" w:hAnchor="page" w:vAnchor="page" w:x="276" w:y="60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132" w:hAnchor="page" w:vAnchor="page" w:x="739" w:y="61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Confidential, for Use of the Commission Only (as permitted by Rule 14a-6(e)(2))</w:t>
      </w:r>
    </w:p>
    <w:p>
      <w:pPr>
        <w:pStyle w:val="Normal"/>
        <w:framePr w:w="435" w:hAnchor="page" w:vAnchor="page" w:x="276" w:y="560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2914" w:hAnchor="page" w:vAnchor="page" w:x="739" w:y="561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Preliminary Proxy Statement</w:t>
      </w:r>
    </w:p>
    <w:p>
      <w:pPr>
        <w:pStyle w:val="Normal"/>
        <w:framePr w:w="2740" w:hAnchor="page" w:vAnchor="page" w:x="276" w:y="51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Check the appropriate box:</w:t>
      </w:r>
    </w:p>
    <w:p>
      <w:pPr>
        <w:pStyle w:val="Normal"/>
        <w:framePr w:w="4361" w:hAnchor="page" w:vAnchor="page" w:x="276" w:y="464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Filed by a Party other than the Registrant 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2665" w:hAnchor="page" w:vAnchor="page" w:x="276" w:y="418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Filed by the Registrant 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☒</w:t>
      </w:r>
    </w:p>
    <w:p>
      <w:pPr>
        <w:pStyle w:val="Normal"/>
        <w:framePr w:w="2777" w:hAnchor="page" w:vAnchor="page" w:x="5030" w:y="3306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(Amendment No.         )</w:t>
      </w:r>
    </w:p>
    <w:p>
      <w:pPr>
        <w:pStyle w:val="Normal"/>
        <w:framePr w:w="3732" w:hAnchor="page" w:vAnchor="page" w:x="4597" w:y="3045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Securities Exchange Act of 1934</w:t>
      </w:r>
    </w:p>
    <w:p>
      <w:pPr>
        <w:pStyle w:val="Normal"/>
        <w:framePr w:w="5557" w:hAnchor="page" w:vAnchor="page" w:x="3766" w:y="2785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Proxy Statement Pursuant to Section 14(a) of the</w:t>
      </w:r>
    </w:p>
    <w:p>
      <w:pPr>
        <w:pStyle w:val="Normal"/>
        <w:framePr w:w="3239" w:hAnchor="page" w:vAnchor="page" w:x="4880" w:y="2161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SCHEDULE 14A</w:t>
      </w:r>
    </w:p>
    <w:p>
      <w:pPr>
        <w:pStyle w:val="Normal"/>
        <w:framePr w:w="2877" w:hAnchor="page" w:vAnchor="page" w:x="4985" w:y="1266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Washington, D.C. 20549</w:t>
      </w:r>
    </w:p>
    <w:p>
      <w:pPr>
        <w:pStyle w:val="Normal"/>
        <w:framePr w:w="8608" w:hAnchor="page" w:vAnchor="page" w:x="2440" w:y="873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SECURITIES AND EXCHANGE COMMISSION</w:t>
      </w:r>
    </w:p>
    <w:p>
      <w:pPr>
        <w:pStyle w:val="Normal"/>
        <w:framePr w:w="3374" w:hAnchor="page" w:vAnchor="page" w:x="4819" w:y="483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2.8pt;margin-top:7.5pt;z-index:-16777208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2.8pt;margin-top:11.15pt;z-index:-16777204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45.7pt;margin-top:95.05pt;z-index:-16777200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45.7pt;margin-top:196.3pt;z-index:-16777196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2.8pt;margin-top:567.35pt;z-index:-16777192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2.8pt;margin-top:570.95pt;z-index:-16777188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</w:p>
    <w:p>
      <w:pPr>
        <w:pStyle w:val="Normal"/>
        <w:framePr w:w="10045" w:hAnchor="page" w:vAnchor="page" w:x="276" w:y="104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shareholder protection and equity dilution, which ISS recognizes as proposing good governance practices.</w:t>
      </w:r>
    </w:p>
    <w:p>
      <w:pPr>
        <w:pStyle w:val="Normal"/>
        <w:framePr w:w="14247" w:hAnchor="page" w:vAnchor="page" w:x="276" w:y="102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general purposes. This proposal aligns with the recommendations from the Pre-emption Group, another pre-eminent UK investor group concerned with</w:t>
      </w:r>
    </w:p>
    <w:p>
      <w:pPr>
        <w:pStyle w:val="Normal"/>
        <w:framePr w:w="14313" w:hAnchor="page" w:vAnchor="page" w:x="276" w:y="100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specifically provides that we can only allot shares up to 20% of the Company’s previously authorized shares, just as ISS recommends, and only 10% for</w:t>
      </w:r>
    </w:p>
    <w:p>
      <w:pPr>
        <w:pStyle w:val="Normal"/>
        <w:framePr w:w="14005" w:hAnchor="page" w:vAnchor="page" w:x="276" w:y="97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Proposal 9 allows us to allot shares to, for example, employees, without having to offer to allot them to all shareholders. Importantly, Proposal 9 also</w:t>
      </w:r>
    </w:p>
    <w:p>
      <w:pPr>
        <w:pStyle w:val="Normal"/>
        <w:framePr w:w="7976" w:hAnchor="page" w:vAnchor="page" w:x="276" w:y="93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shareholders waive pre-emptive rights. This includes grants of shares to employees.</w:t>
      </w:r>
    </w:p>
    <w:p>
      <w:pPr>
        <w:pStyle w:val="Normal"/>
        <w:framePr w:w="14069" w:hAnchor="page" w:vAnchor="page" w:x="276" w:y="90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Also, UK corporate law requires that, when we do allot shares, we offer all shareholders an allotment of shares at that time, on the same terms, unless</w:t>
      </w:r>
    </w:p>
    <w:p>
      <w:pPr>
        <w:pStyle w:val="Normal"/>
        <w:framePr w:w="5599" w:hAnchor="page" w:vAnchor="page" w:x="276" w:y="86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which only approves the issuance (allotment) of shares.    </w:t>
      </w:r>
    </w:p>
    <w:p>
      <w:pPr>
        <w:pStyle w:val="Normal"/>
        <w:framePr w:w="14004" w:hAnchor="page" w:vAnchor="page" w:x="276" w:y="83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authorization to allot up to 1/3 of outstanding shares for general purposes and 1/3 for special rights issuances. This is our request through Proposal 8,</w:t>
      </w:r>
    </w:p>
    <w:p>
      <w:pPr>
        <w:pStyle w:val="Normal"/>
        <w:framePr w:w="13431" w:hAnchor="page" w:vAnchor="page" w:x="276" w:y="81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needs, the Investment Association, a pre-eminent UK investor group concerned with capital management, recommends UK companies request</w:t>
      </w:r>
    </w:p>
    <w:p>
      <w:pPr>
        <w:pStyle w:val="Normal"/>
        <w:framePr w:w="14076" w:hAnchor="page" w:vAnchor="page" w:x="276" w:y="79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including allotment of shares through grants to employees, regardless of size or purpose. In order to afford UK companies flexibility to handle capital</w:t>
      </w:r>
    </w:p>
    <w:p>
      <w:pPr>
        <w:pStyle w:val="Normal"/>
        <w:framePr w:w="14278" w:hAnchor="page" w:vAnchor="page" w:x="276" w:y="76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where shareholder approval is not specifically required to allot shares, UK corporate law requires that all allotments of shares are specifically approved,</w:t>
      </w:r>
    </w:p>
    <w:p>
      <w:pPr>
        <w:pStyle w:val="Normal"/>
        <w:framePr w:w="13951" w:hAnchor="page" w:vAnchor="page" w:x="276" w:y="74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believe Proposals 8 and 9 are important for the Company, which, as you know is a UK incorporated company and a US issuer. Unlike in the US,</w:t>
      </w:r>
    </w:p>
    <w:p>
      <w:pPr>
        <w:pStyle w:val="Normal"/>
        <w:framePr w:w="2929" w:hAnchor="page" w:vAnchor="page" w:x="276" w:y="711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What are Proposals 8 and 9?</w:t>
      </w:r>
    </w:p>
    <w:p>
      <w:pPr>
        <w:pStyle w:val="Normal"/>
        <w:framePr w:w="3955" w:hAnchor="page" w:vAnchor="page" w:x="1317" w:y="65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our shareholders’ ownership proportion.</w:t>
      </w:r>
    </w:p>
    <w:p>
      <w:pPr>
        <w:pStyle w:val="Normal"/>
        <w:framePr w:w="309" w:hAnchor="page" w:vAnchor="page" w:x="854" w:y="63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3046" w:hAnchor="page" w:vAnchor="page" w:x="1317" w:y="63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Our incentive award plan that was approved by shareholders in 2022 further limits our equity awards, mitigates share dilution and protects</w:t>
      </w:r>
    </w:p>
    <w:p>
      <w:pPr>
        <w:pStyle w:val="Normal"/>
        <w:framePr w:w="2442" w:hAnchor="page" w:vAnchor="page" w:x="1317" w:y="594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 shareholder annually.</w:t>
      </w:r>
    </w:p>
    <w:p>
      <w:pPr>
        <w:pStyle w:val="Normal"/>
        <w:framePr w:w="309" w:hAnchor="page" w:vAnchor="page" w:x="854" w:y="57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930" w:hAnchor="page" w:vAnchor="page" w:x="1317" w:y="57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These proposals were previously approved by shareholders in 2021 and 2022 and we follow recommended practices to bring these topics</w:t>
      </w:r>
    </w:p>
    <w:p>
      <w:pPr>
        <w:pStyle w:val="Normal"/>
        <w:framePr w:w="6873" w:hAnchor="page" w:vAnchor="page" w:x="1317" w:y="53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investor groups and ISS. This limitation ensures disciplined allocations.</w:t>
      </w:r>
    </w:p>
    <w:p>
      <w:pPr>
        <w:pStyle w:val="Normal"/>
        <w:framePr w:w="309" w:hAnchor="page" w:vAnchor="page" w:x="854" w:y="51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745" w:hAnchor="page" w:vAnchor="page" w:x="1317" w:y="51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Proposal 9 limits the allotment of shares to no more than 20% of what you authorize in Proposal 8, as recommended by recognized UK</w:t>
      </w:r>
    </w:p>
    <w:p>
      <w:pPr>
        <w:pStyle w:val="Normal"/>
        <w:framePr w:w="13927" w:hAnchor="page" w:vAnchor="page" w:x="276" w:y="47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are clarifying the nature of those limits in this letter and how those limits align with good governance practices and ISS guidelines. In summary:</w:t>
      </w:r>
    </w:p>
    <w:p>
      <w:pPr>
        <w:pStyle w:val="Normal"/>
        <w:framePr w:w="309" w:hAnchor="page" w:vAnchor="page" w:x="854" w:y="42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9725" w:hAnchor="page" w:vAnchor="page" w:x="1317" w:y="42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These proposals allow our Board to issue shares for general purposes or rights issues, subject to limits.</w:t>
      </w:r>
    </w:p>
    <w:p>
      <w:pPr>
        <w:pStyle w:val="Normal"/>
        <w:framePr w:w="4036" w:hAnchor="page" w:vAnchor="page" w:x="1317" w:y="39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authority is limited by UK corporate law.</w:t>
      </w:r>
    </w:p>
    <w:p>
      <w:pPr>
        <w:pStyle w:val="Normal"/>
        <w:framePr w:w="309" w:hAnchor="page" w:vAnchor="page" w:x="854" w:y="37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481" w:hAnchor="page" w:vAnchor="page" w:x="1317" w:y="37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Most US organized companies have perpetual authority to issue shares under their governing documents, but, as a UK company, our</w:t>
      </w:r>
    </w:p>
    <w:p>
      <w:pPr>
        <w:pStyle w:val="Normal"/>
        <w:framePr w:w="4329" w:hAnchor="page" w:vAnchor="page" w:x="1317" w:y="33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required for companies organized in the US.</w:t>
      </w:r>
    </w:p>
    <w:p>
      <w:pPr>
        <w:pStyle w:val="Normal"/>
        <w:framePr w:w="309" w:hAnchor="page" w:vAnchor="page" w:x="854" w:y="31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544" w:hAnchor="page" w:vAnchor="page" w:x="1317" w:y="31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follow practices required by UK law and recommended for companies incorporated in the UK. These approvals are generally not</w:t>
      </w:r>
    </w:p>
    <w:p>
      <w:pPr>
        <w:pStyle w:val="Normal"/>
        <w:framePr w:w="9989" w:hAnchor="page" w:vAnchor="page" w:x="27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included certain reasons to vote FOR these proposals in our proxy statement. These reasons included:</w:t>
      </w:r>
    </w:p>
    <w:p>
      <w:pPr>
        <w:pStyle w:val="Normal"/>
        <w:framePr w:w="2708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shares under capital raises.</w:t>
      </w:r>
    </w:p>
    <w:p>
      <w:pPr>
        <w:pStyle w:val="Normal"/>
        <w:framePr w:w="14146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Without your approval of Proposals 8 and 9 this year, we would be unable to allot and issue shares to our employees or have the flexibility to allot any</w:t>
      </w:r>
    </w:p>
    <w:p>
      <w:pPr>
        <w:pStyle w:val="Normal"/>
        <w:framePr w:w="832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and 9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.</w:t>
      </w:r>
    </w:p>
    <w:p>
      <w:pPr>
        <w:pStyle w:val="Normal"/>
        <w:framePr w:w="13936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concerns regarding two important proposals. We take our role as stewards of your capital very seriously and 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we urge you to vote FOR Proposals 8</w:t>
      </w:r>
    </w:p>
    <w:p>
      <w:pPr>
        <w:pStyle w:val="Normal"/>
        <w:framePr w:w="13702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Following the recent issuance of ISS proxy voting recommendations, we are taking this opportunity to engage with you in direct response to their</w:t>
      </w:r>
    </w:p>
    <w:p>
      <w:pPr>
        <w:pStyle w:val="Normal"/>
        <w:framePr w:w="3546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Dear TechnipFMC plc Shareholder:</w:t>
      </w:r>
    </w:p>
    <w:p>
      <w:pPr>
        <w:pStyle w:val="Normal"/>
        <w:framePr w:w="1584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April 19, 2023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7pt;margin-top:1pt;z-index:-16777184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2.8pt;margin-top:1pt;z-index:-1677718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2.8pt;margin-top:2.45pt;z-index:-1677717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597.95pt;margin-top:1pt;z-index:-1677717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2.8pt;margin-top:1pt;z-index:-1677716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513.95pt;margin-top:76.2pt;z-index:-16777164;width:22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92.1pt;margin-top:462.45pt;z-index:-16777160;width:1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</w:p>
    <w:p>
      <w:pPr>
        <w:pStyle w:val="Normal"/>
        <w:framePr w:w="12896" w:hAnchor="page" w:vAnchor="page" w:x="276" w:y="91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purposes (and 20% overall) because of constraints in Proposal 9. Without approval of Proposal 8, we cannot allot any shares whatsoever.</w:t>
      </w:r>
    </w:p>
    <w:p>
      <w:pPr>
        <w:pStyle w:val="Normal"/>
        <w:framePr w:w="14151" w:hAnchor="page" w:vAnchor="page" w:x="276" w:y="88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up to one-third of our outstanding shares for general purposes under the Allotment Authority in Proposal 8, we cannot allot more than 10% for general</w:t>
      </w:r>
    </w:p>
    <w:p>
      <w:pPr>
        <w:pStyle w:val="Normal"/>
        <w:framePr w:w="14158" w:hAnchor="page" w:vAnchor="page" w:x="276" w:y="86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effect of the Allotment Authority and the Disapplication of Pre-emption Rights Authority, taken in tandem is that, while we can, in principle, allot</w:t>
      </w:r>
    </w:p>
    <w:p>
      <w:pPr>
        <w:pStyle w:val="Normal"/>
        <w:framePr w:w="8944" w:hAnchor="page" w:vAnchor="page" w:x="1795" w:y="81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which is announced contemporaneously, or which has taken place in the last 12-month period.</w:t>
      </w:r>
    </w:p>
    <w:p>
      <w:pPr>
        <w:pStyle w:val="Normal"/>
        <w:framePr w:w="309" w:hAnchor="page" w:vAnchor="page" w:x="1447" w:y="79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538" w:hAnchor="page" w:vAnchor="page" w:x="1795" w:y="79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 further 10% of outstanding shares to be issued non-pre-emptively in connection with an acquisition or specified capital investment</w:t>
      </w:r>
    </w:p>
    <w:p>
      <w:pPr>
        <w:pStyle w:val="Normal"/>
        <w:framePr w:w="309" w:hAnchor="page" w:vAnchor="page" w:x="1447" w:y="75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0816" w:hAnchor="page" w:vAnchor="page" w:x="1795" w:y="75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 more than 10% of outstanding shares to be issued non-pre-emptively for general purposes in any one year; and</w:t>
      </w:r>
    </w:p>
    <w:p>
      <w:pPr>
        <w:pStyle w:val="Normal"/>
        <w:framePr w:w="3666" w:hAnchor="page" w:vAnchor="page" w:x="1317" w:y="72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recommends the following authority:</w:t>
      </w:r>
    </w:p>
    <w:p>
      <w:pPr>
        <w:pStyle w:val="Normal"/>
        <w:framePr w:w="309" w:hAnchor="page" w:vAnchor="page" w:x="854" w:y="700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385" w:hAnchor="page" w:vAnchor="page" w:x="1317" w:y="700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Proposal 9, which relates to the allotments approved in 8, aligns with the Pre-emption Group’s Statement of Principles 2022, which</w:t>
      </w:r>
    </w:p>
    <w:p>
      <w:pPr>
        <w:pStyle w:val="Normal"/>
        <w:framePr w:w="12149" w:hAnchor="page" w:vAnchor="page" w:x="1795" w:y="66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offer (i.e., a form of capital raise where new shares are offered to shareholders on a pre-emptive basis, pro rata to their holdings).</w:t>
      </w:r>
    </w:p>
    <w:p>
      <w:pPr>
        <w:pStyle w:val="Normal"/>
        <w:framePr w:w="309" w:hAnchor="page" w:vAnchor="page" w:x="1447" w:y="64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493" w:hAnchor="page" w:vAnchor="page" w:x="1795" w:y="64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 further one-third of outstanding shares to be issued in connection with a rights issue transaction or other form of fully pre-emptive</w:t>
      </w:r>
    </w:p>
    <w:p>
      <w:pPr>
        <w:pStyle w:val="Normal"/>
        <w:framePr w:w="309" w:hAnchor="page" w:vAnchor="page" w:x="1447" w:y="60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7701" w:hAnchor="page" w:vAnchor="page" w:x="1795" w:y="60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Up to one-third of outstanding shares to be issued for general purposes only; and</w:t>
      </w:r>
    </w:p>
    <w:p>
      <w:pPr>
        <w:pStyle w:val="Normal"/>
        <w:framePr w:w="309" w:hAnchor="page" w:vAnchor="page" w:x="854" w:y="56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090" w:hAnchor="page" w:vAnchor="page" w:x="1317" w:y="56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Proposal 8 aligns with the Investment Association’s Share Capital Guidelines 2023, which recommends the following authority:</w:t>
      </w:r>
    </w:p>
    <w:p>
      <w:pPr>
        <w:pStyle w:val="Normal"/>
        <w:framePr w:w="12932" w:hAnchor="page" w:vAnchor="page" w:x="276" w:y="532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are publicly traded, like TechnipFMC, limit such share issuance as a matter of good corporate governance and share capital management.</w:t>
      </w:r>
    </w:p>
    <w:p>
      <w:pPr>
        <w:pStyle w:val="Normal"/>
        <w:framePr w:w="14344" w:hAnchor="page" w:vAnchor="page" w:x="276" w:y="50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 facilitate allotment of equity and also preserve shareholder parity, certain investor bodies in the UK recommend that UK incorporated companies that</w:t>
      </w:r>
    </w:p>
    <w:p>
      <w:pPr>
        <w:pStyle w:val="Normal"/>
        <w:framePr w:w="3430" w:hAnchor="page" w:vAnchor="page" w:x="1317" w:y="46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Pre-emption Rights Authority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”).</w:t>
      </w:r>
    </w:p>
    <w:p>
      <w:pPr>
        <w:pStyle w:val="Normal"/>
        <w:framePr w:w="12173" w:hAnchor="page" w:vAnchor="page" w:x="1317" w:y="439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existing shareholders do not have a right of first refusal over those shares on a pro rata basis) (Proposal 9, 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Disapplication of</w:t>
      </w:r>
    </w:p>
    <w:p>
      <w:pPr>
        <w:pStyle w:val="Normal"/>
        <w:framePr w:w="309" w:hAnchor="page" w:vAnchor="page" w:x="854" w:y="41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807" w:hAnchor="page" w:vAnchor="page" w:x="1317" w:y="41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Where shares are being allotted and issued for cash, regardless of amount or purpose, issue such shares on a non-pre-emptive basis (i.e.,</w:t>
      </w:r>
    </w:p>
    <w:p>
      <w:pPr>
        <w:pStyle w:val="Normal"/>
        <w:framePr w:w="309" w:hAnchor="page" w:vAnchor="page" w:x="854" w:y="38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8587" w:hAnchor="page" w:vAnchor="page" w:x="1317" w:y="38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Allot and issue shares (Proposal 8, 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Allotment Authority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”) regardless of amount; and</w:t>
      </w:r>
    </w:p>
    <w:p>
      <w:pPr>
        <w:pStyle w:val="Normal"/>
        <w:framePr w:w="3967" w:hAnchor="page" w:vAnchor="page" w:x="27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Act, shareholder approval is required to:</w:t>
      </w:r>
    </w:p>
    <w:p>
      <w:pPr>
        <w:pStyle w:val="Normal"/>
        <w:framePr w:w="14009" w:hAnchor="page" w:vAnchor="page" w:x="27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incorporated in England and Wales, is submitting these proposals for shareholder ratification to comply with English Law. Under the UK Companies</w:t>
      </w:r>
    </w:p>
    <w:p>
      <w:pPr>
        <w:pStyle w:val="Normal"/>
        <w:framePr w:w="14393" w:hAnchor="page" w:vAnchor="page" w:x="27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Unlike most NYSE-listed companies that are not required to submit share authorization (allotment) requests, TechnipFMC plc, a public limited company</w:t>
      </w:r>
    </w:p>
    <w:p>
      <w:pPr>
        <w:pStyle w:val="Normal"/>
        <w:framePr w:w="1350" w:hAnchor="page" w:vAnchor="page" w:x="276" w:y="26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Background</w:t>
      </w:r>
    </w:p>
    <w:p>
      <w:pPr>
        <w:pStyle w:val="Normal"/>
        <w:framePr w:w="684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plan.</w:t>
      </w:r>
    </w:p>
    <w:p>
      <w:pPr>
        <w:pStyle w:val="Normal"/>
        <w:framePr w:w="14282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also approved a waiver of preemptive rights for the approved allocations in 2021 and 2022. Last year, you also separately approved our incentive award</w:t>
      </w:r>
    </w:p>
    <w:p>
      <w:pPr>
        <w:pStyle w:val="Normal"/>
        <w:framePr w:w="14283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2021 and 2022, you authorized us to allot up to 1/3 of our shares for general purposes and a further 1/3 of our shares for special rights issuances. You</w:t>
      </w:r>
    </w:p>
    <w:p>
      <w:pPr>
        <w:pStyle w:val="Normal"/>
        <w:framePr w:w="13710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These proposals have no effect on, and do not waive, any NYSE or SEC requirements to obtain shareholder approval for certain equity issuances.</w:t>
      </w:r>
    </w:p>
    <w:p>
      <w:pPr>
        <w:pStyle w:val="Normal"/>
        <w:framePr w:w="10116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(including grants to employees) and 10% in connection with an acquisition of specified capital investment.</w:t>
      </w:r>
    </w:p>
    <w:p>
      <w:pPr>
        <w:pStyle w:val="Normal"/>
        <w:framePr w:w="14054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recommended governance practices, particularly with the limitation in Proposal 9 that limits issuances of shares for cash of 10% for general purposes</w:t>
      </w:r>
    </w:p>
    <w:p>
      <w:pPr>
        <w:pStyle w:val="Normal"/>
        <w:framePr w:w="13643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Proposals 8 and 9 are required by UK corporate law to facilitate equity issuance and have been prepared to satisfy all aspects of ISS’ US and UK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7pt;margin-top:1pt;z-index:-16777156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2.8pt;margin-top:1pt;z-index:-1677715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2.8pt;margin-top:2.45pt;z-index:-1677714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597.95pt;margin-top:1pt;z-index:-1677714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2.8pt;margin-top:1pt;z-index:-1677714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</w:p>
    <w:p>
      <w:pPr>
        <w:pStyle w:val="Normal"/>
        <w:framePr w:w="6582" w:hAnchor="page" w:vAnchor="page" w:x="1795" w:y="1009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$100 million of share repurchase over the remainder of the year; and</w:t>
      </w:r>
    </w:p>
    <w:p>
      <w:pPr>
        <w:pStyle w:val="Normal"/>
        <w:framePr w:w="309" w:hAnchor="page" w:vAnchor="page" w:x="1447" w:y="98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1504" w:hAnchor="page" w:vAnchor="page" w:x="1795" w:y="98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Our Board of Directors authorized a new $400 million share repurchase program in July of 2022 from which we executed</w:t>
      </w:r>
    </w:p>
    <w:p>
      <w:pPr>
        <w:pStyle w:val="Normal"/>
        <w:framePr w:w="309" w:hAnchor="page" w:vAnchor="page" w:x="1447" w:y="9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9526" w:hAnchor="page" w:vAnchor="page" w:x="1795" w:y="9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Our continued focus on cash generation resulted in $352 million of operating cash flows in FY2022;</w:t>
      </w:r>
    </w:p>
    <w:p>
      <w:pPr>
        <w:pStyle w:val="Normal"/>
        <w:framePr w:w="309" w:hAnchor="page" w:vAnchor="page" w:x="1447" w:y="91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4682" w:hAnchor="page" w:vAnchor="page" w:x="1795" w:y="91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reduced gross debt by $638 million in 2022;</w:t>
      </w:r>
    </w:p>
    <w:p>
      <w:pPr>
        <w:pStyle w:val="Normal"/>
        <w:framePr w:w="1541" w:hAnchor="page" w:vAnchor="page" w:x="1317" w:y="87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track record:</w:t>
      </w:r>
    </w:p>
    <w:p>
      <w:pPr>
        <w:pStyle w:val="Normal"/>
        <w:framePr w:w="309" w:hAnchor="page" w:vAnchor="page" w:x="854" w:y="854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981" w:hAnchor="page" w:vAnchor="page" w:x="1317" w:y="854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The TechnipFMC Board and the Executive Management Team deliver best-in-class execution with a disciplined capital allocation</w:t>
      </w:r>
    </w:p>
    <w:p>
      <w:pPr>
        <w:pStyle w:val="Normal"/>
        <w:framePr w:w="2233" w:hAnchor="page" w:vAnchor="page" w:x="1795" w:y="81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plans or rights plans).</w:t>
      </w:r>
    </w:p>
    <w:p>
      <w:pPr>
        <w:pStyle w:val="Normal"/>
        <w:framePr w:w="12274" w:hAnchor="page" w:vAnchor="page" w:x="1795" w:y="79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continue to be subject to shareholder approval requirements of the NYSE for new share authorizations (excluding incentive award</w:t>
      </w:r>
    </w:p>
    <w:p>
      <w:pPr>
        <w:pStyle w:val="Normal"/>
        <w:framePr w:w="309" w:hAnchor="page" w:vAnchor="page" w:x="1447" w:y="77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1777" w:hAnchor="page" w:vAnchor="page" w:x="1795" w:y="77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Approval of the proposals does not circumvent other shareholder approval requirements under NYSE, and TechnipFMC will</w:t>
      </w:r>
    </w:p>
    <w:p>
      <w:pPr>
        <w:pStyle w:val="Normal"/>
        <w:framePr w:w="4771" w:hAnchor="page" w:vAnchor="page" w:x="1795" w:y="73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 (b) the close of business on July 28, 2024; and</w:t>
      </w:r>
    </w:p>
    <w:p>
      <w:pPr>
        <w:pStyle w:val="Normal"/>
        <w:framePr w:w="309" w:hAnchor="page" w:vAnchor="page" w:x="1447" w:y="71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454" w:hAnchor="page" w:vAnchor="page" w:x="1795" w:y="71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authorizations are limited in scope, and if approved, will expire at the earlier of (a) the conclusion of our 2024 Annual Meeting,</w:t>
      </w:r>
    </w:p>
    <w:p>
      <w:pPr>
        <w:pStyle w:val="Normal"/>
        <w:framePr w:w="309" w:hAnchor="page" w:vAnchor="page" w:x="854" w:y="67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9493" w:hAnchor="page" w:vAnchor="page" w:x="1317" w:y="67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The proposals incorporate sound corporate governance practices and shareholder safeguards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:</w:t>
      </w:r>
    </w:p>
    <w:p>
      <w:pPr>
        <w:pStyle w:val="Normal"/>
        <w:framePr w:w="309" w:hAnchor="page" w:vAnchor="page" w:x="1447" w:y="64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9895" w:hAnchor="page" w:vAnchor="page" w:x="1795" w:y="64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These proposals provide TechnipFMC with the flexibility to finance operations and future opportunities.</w:t>
      </w:r>
    </w:p>
    <w:p>
      <w:pPr>
        <w:pStyle w:val="Normal"/>
        <w:framePr w:w="1667" w:hAnchor="page" w:vAnchor="page" w:x="1317" w:y="60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cost of capital:</w:t>
      </w:r>
    </w:p>
    <w:p>
      <w:pPr>
        <w:pStyle w:val="Normal"/>
        <w:framePr w:w="309" w:hAnchor="page" w:vAnchor="page" w:x="854" w:y="58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989" w:hAnchor="page" w:vAnchor="page" w:x="1317" w:y="58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The ability to issue equity and raise capital is critical to carry out our strategy, to grow, and to achieve superior returns above our</w:t>
      </w:r>
    </w:p>
    <w:p>
      <w:pPr>
        <w:pStyle w:val="Normal"/>
        <w:framePr w:w="8034" w:hAnchor="page" w:vAnchor="page" w:x="1795" w:y="54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available to grant and demonstrating responsible burn rate and overhang percentage.</w:t>
      </w:r>
    </w:p>
    <w:p>
      <w:pPr>
        <w:pStyle w:val="Normal"/>
        <w:framePr w:w="309" w:hAnchor="page" w:vAnchor="page" w:x="1447" w:y="52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1756" w:hAnchor="page" w:vAnchor="page" w:x="1795" w:y="52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shareholder-approved incentive award plan maximizes shareholder value and limits share dilution by limiting the shares</w:t>
      </w:r>
    </w:p>
    <w:p>
      <w:pPr>
        <w:pStyle w:val="Normal"/>
        <w:framePr w:w="6640" w:hAnchor="page" w:vAnchor="page" w:x="1795" w:y="485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award plan in order to attract and retain the most qualified talent; and</w:t>
      </w:r>
    </w:p>
    <w:p>
      <w:pPr>
        <w:pStyle w:val="Normal"/>
        <w:framePr w:w="309" w:hAnchor="page" w:vAnchor="page" w:x="1447" w:y="46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466" w:hAnchor="page" w:vAnchor="page" w:x="1795" w:y="46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These proposals grant TechnipFMC the authority to issue equity awards to our employees under our shareholder-approved incentive</w:t>
      </w:r>
    </w:p>
    <w:p>
      <w:pPr>
        <w:pStyle w:val="Normal"/>
        <w:framePr w:w="309" w:hAnchor="page" w:vAnchor="page" w:x="854" w:y="42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•</w:t>
      </w:r>
    </w:p>
    <w:p>
      <w:pPr>
        <w:pStyle w:val="Normal"/>
        <w:framePr w:w="8231" w:hAnchor="page" w:vAnchor="page" w:x="1317" w:y="42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The ability to issue equity awards to our employees is critical to retain key talent:</w:t>
      </w:r>
    </w:p>
    <w:p>
      <w:pPr>
        <w:pStyle w:val="Normal"/>
        <w:framePr w:w="13120" w:hAnchor="page" w:vAnchor="page" w:x="276" w:y="39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TechnipFMC encourages you to consider several factors below on why your support FOR Proposals 8 and 9 is critically important.</w:t>
      </w:r>
    </w:p>
    <w:p>
      <w:pPr>
        <w:pStyle w:val="Normal"/>
        <w:framePr w:w="3272" w:hAnchor="page" w:vAnchor="page" w:x="276" w:y="35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Importance of Proposals 8 and 9</w:t>
      </w:r>
    </w:p>
    <w:p>
      <w:pPr>
        <w:pStyle w:val="Normal"/>
        <w:framePr w:w="7617" w:hAnchor="page" w:vAnchor="page" w:x="27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requirements in connection with capital raises, rights plans and employee plans.</w:t>
      </w:r>
    </w:p>
    <w:p>
      <w:pPr>
        <w:pStyle w:val="Normal"/>
        <w:framePr w:w="13419" w:hAnchor="page" w:vAnchor="page" w:x="27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acquisitions or in connection with raising additional capital. The Company will continue to be subject to NYSE shareholder approval and SEC</w:t>
      </w:r>
    </w:p>
    <w:p>
      <w:pPr>
        <w:pStyle w:val="Normal"/>
        <w:framePr w:w="14031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Approval of these proposals do not affect any shareholder approval requirements of the NYSE for share issuances, such as in connection with certain</w:t>
      </w:r>
    </w:p>
    <w:p>
      <w:pPr>
        <w:pStyle w:val="Normal"/>
        <w:framePr w:w="10855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differences are relevant to us. Glass Lewis has historically, and continues to, endorse and agree with our proposals.</w:t>
      </w:r>
    </w:p>
    <w:p>
      <w:pPr>
        <w:pStyle w:val="Normal"/>
        <w:framePr w:w="13617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facilitate equity allotments and protect shareholders. We adhere to UK corporate law best practices for the sake of good governance, where these</w:t>
      </w:r>
    </w:p>
    <w:p>
      <w:pPr>
        <w:pStyle w:val="Normal"/>
        <w:framePr w:w="13842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These Investment Association and Pre-emption Group recommendations are endorsed by ISS for UK incorporated companies as a balanced way to</w:t>
      </w:r>
    </w:p>
    <w:p>
      <w:pPr>
        <w:pStyle w:val="Normal"/>
        <w:framePr w:w="5169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caps issuances at 20% of shares for general purposes.</w:t>
      </w:r>
    </w:p>
    <w:p>
      <w:pPr>
        <w:pStyle w:val="Normal"/>
        <w:framePr w:w="14070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 such, the Allotment Authority and the Disapplication of Pre-emption Rights Authority are consistent with the ISS US proxy voting guidelines that</w:t>
      </w:r>
    </w:p>
    <w:p>
      <w:pPr>
        <w:pStyle w:val="Normal"/>
        <w:framePr w:w="9142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Authority, we cannot issue more than 20% of our outstanding shares under this annual authority.</w:t>
      </w:r>
    </w:p>
    <w:p>
      <w:pPr>
        <w:pStyle w:val="Normal"/>
        <w:framePr w:w="13399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Even in the case where there is an acquisition or capital investment that requires funding in line with the Disapplication of Pre-emption Rights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pt;margin-top:1pt;z-index:-16777136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2.8pt;margin-top:1pt;z-index:-1677713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8pt;margin-top:2.45pt;z-index:-1677712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597.95pt;margin-top:1pt;z-index:-1677712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2.8pt;margin-top:1pt;z-index:-1677712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360.55pt;margin-top:203.5pt;z-index:-16777116;width:22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</w:p>
    <w:p>
      <w:pPr>
        <w:pStyle w:val="Normal"/>
        <w:framePr w:w="10538" w:hAnchor="page" w:vAnchor="page" w:x="1882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Authority to Allot Equity Securities and Authority to Allot Equity Securities without Pre-emptive Rights</w:t>
      </w:r>
    </w:p>
    <w:p>
      <w:pPr>
        <w:pStyle w:val="Normal"/>
        <w:framePr w:w="8058" w:hAnchor="page" w:vAnchor="page" w:x="2915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The TechnipFMC Board of Directors asks that you vote FOR Proposals 8 and 9</w:t>
      </w:r>
    </w:p>
    <w:p>
      <w:pPr>
        <w:pStyle w:val="Normal"/>
        <w:framePr w:w="309" w:hAnchor="page" w:vAnchor="page" w:x="1447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5507" w:hAnchor="page" w:vAnchor="page" w:x="1795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delivered Total Shareholder Return of 106% in 2022.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7pt;margin-top:1pt;z-index:-1677711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2.8pt;margin-top:1pt;z-index:-1677710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2.8pt;margin-top:2.45pt;z-index:-1677710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7.95pt;margin-top:1pt;z-index:-1677710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8pt;margin-top:1pt;z-index:-1677709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375.85pt;margin-top:53.1pt;z-index:-16777092;width:22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</w:p>
    <w:p>
      <w:pPr>
        <w:pStyle w:val="Normal"/>
        <w:framePr w:w="2037" w:hAnchor="page" w:vAnchor="page" w:x="10573" w:y="90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    105</w:t>
      </w:r>
    </w:p>
    <w:p>
      <w:pPr>
        <w:pStyle w:val="Normal"/>
        <w:framePr w:w="7438" w:hAnchor="page" w:vAnchor="page" w:x="276" w:y="86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such offer or agreement as if the authorities conferred hereby had not expired.</w:t>
      </w:r>
    </w:p>
    <w:p>
      <w:pPr>
        <w:pStyle w:val="Normal"/>
        <w:framePr w:w="14109" w:hAnchor="page" w:vAnchor="page" w:x="276" w:y="841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granted after such expiration, and the Board may issue shares or grant rights to, subscribe for, or convert, any security into shares, in pursuance of any</w:t>
      </w:r>
    </w:p>
    <w:p>
      <w:pPr>
        <w:pStyle w:val="Normal"/>
        <w:framePr w:w="13823" w:hAnchor="page" w:vAnchor="page" w:x="276" w:y="81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however, that, prior to such expiration, the Company may make offers or agreements that would or might require shares to be issued or rights to be</w:t>
      </w:r>
    </w:p>
    <w:p>
      <w:pPr>
        <w:pStyle w:val="Normal"/>
        <w:framePr w:w="14371" w:hAnchor="page" w:vAnchor="page" w:x="276" w:y="79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section 551 of the Companies Act and expire at the end of the next Annual Meeting (or, if earlier, until the close of business on July 28, 2024); provided,</w:t>
      </w:r>
    </w:p>
    <w:p>
      <w:pPr>
        <w:pStyle w:val="Normal"/>
        <w:framePr w:w="13966" w:hAnchor="page" w:vAnchor="page" w:x="276" w:y="77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Unless previously renewed, revoked, or varied, the authority conferred by this Proposal 8 shall apply in substitution for all existing authorities under</w:t>
      </w:r>
    </w:p>
    <w:p>
      <w:pPr>
        <w:pStyle w:val="Normal"/>
        <w:framePr w:w="7122" w:hAnchor="page" w:vAnchor="page" w:x="1317" w:y="72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shareholders pro rata to their existing holdings (i.e., “pre-emption rights”).</w:t>
      </w:r>
    </w:p>
    <w:p>
      <w:pPr>
        <w:pStyle w:val="Normal"/>
        <w:framePr w:w="309" w:hAnchor="page" w:vAnchor="page" w:x="739" w:y="70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375" w:hAnchor="page" w:vAnchor="page" w:x="1317" w:y="70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Proposal 9 authorizes our Board to issue shares for cash pursuant to Proposal 8, up to a limit, without first offering them to existing</w:t>
      </w:r>
    </w:p>
    <w:p>
      <w:pPr>
        <w:pStyle w:val="Normal"/>
        <w:framePr w:w="11478" w:hAnchor="page" w:vAnchor="page" w:x="1795" w:y="66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(i.e., shares issued pre-emptively to shareholders pro rata to their holdings in order to raise new capital for the Company).</w:t>
      </w:r>
    </w:p>
    <w:p>
      <w:pPr>
        <w:pStyle w:val="Normal"/>
        <w:framePr w:w="12953" w:hAnchor="page" w:vAnchor="page" w:x="1332" w:y="64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(b)     up to an additional one-third of our existing issued share capital with an aggregate nominal value of $147,102,671 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for rights issues</w:t>
      </w:r>
    </w:p>
    <w:p>
      <w:pPr>
        <w:pStyle w:val="Normal"/>
        <w:framePr w:w="562" w:hAnchor="page" w:vAnchor="page" w:x="1795" w:y="607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</w:t>
      </w:r>
    </w:p>
    <w:p>
      <w:pPr>
        <w:pStyle w:val="Normal"/>
        <w:framePr w:w="12972" w:hAnchor="page" w:vAnchor="page" w:x="1332" w:y="58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(a)     up to one-third of our existing issued share capital with an aggregate nominal amount equal to $147,102,671 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for general purposes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;</w:t>
      </w:r>
    </w:p>
    <w:p>
      <w:pPr>
        <w:pStyle w:val="Normal"/>
        <w:framePr w:w="3980" w:hAnchor="page" w:vAnchor="page" w:x="1338" w:y="548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Our Board would be authorized to issue:</w:t>
      </w:r>
    </w:p>
    <w:p>
      <w:pPr>
        <w:pStyle w:val="Normal"/>
        <w:framePr w:w="7950" w:hAnchor="page" w:vAnchor="page" w:x="1317" w:y="51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approval, the issuance of any additional shares would require shareholder approval.</w:t>
      </w:r>
    </w:p>
    <w:p>
      <w:pPr>
        <w:pStyle w:val="Normal"/>
        <w:framePr w:w="12499" w:hAnchor="page" w:vAnchor="page" w:x="1317" w:y="49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Act), having an aggregate nominal value equal to the allotment amount, without further shareholder approval. In the absence of such</w:t>
      </w:r>
    </w:p>
    <w:p>
      <w:pPr>
        <w:pStyle w:val="Normal"/>
        <w:framePr w:w="309" w:hAnchor="page" w:vAnchor="page" w:x="739" w:y="46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687" w:hAnchor="page" w:vAnchor="page" w:x="1317" w:y="46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Proposal 8 authorizes our Board to issue a maximum number of equity securities (within the meaning of section 560 of the Companies</w:t>
      </w:r>
    </w:p>
    <w:p>
      <w:pPr>
        <w:pStyle w:val="Normal"/>
        <w:framePr w:w="5400" w:hAnchor="page" w:vAnchor="page" w:x="276" w:y="41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 will not be able to issue shares after that date.</w:t>
      </w:r>
    </w:p>
    <w:p>
      <w:pPr>
        <w:pStyle w:val="Normal"/>
        <w:framePr w:w="13477" w:hAnchor="page" w:vAnchor="page" w:x="276" w:y="394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general meeting or by a company’s articles of association. Our directors’ existing authority to issue shares will expire on July 29, 2023, and the</w:t>
      </w:r>
    </w:p>
    <w:p>
      <w:pPr>
        <w:pStyle w:val="Normal"/>
        <w:framePr w:w="14337" w:hAnchor="page" w:vAnchor="page" w:x="276" w:y="371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Under the Companies Act, directors are, with certain exceptions, unable to allot, or issue, shares without being authorized either by the shareholders in a</w:t>
      </w:r>
    </w:p>
    <w:p>
      <w:pPr>
        <w:pStyle w:val="Normal"/>
        <w:framePr w:w="13869" w:hAnchor="page" w:vAnchor="page" w:x="276" w:y="32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acquisitions or in connection with raising additional capital. The Company will continue to be subject to NYSE shareholder approval requirements.</w:t>
      </w:r>
    </w:p>
    <w:p>
      <w:pPr>
        <w:pStyle w:val="Normal"/>
        <w:framePr w:w="13992" w:hAnchor="page" w:vAnchor="page" w:x="276" w:y="302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Approval of this proposal does not affect any shareholder approval requirements of the NYSE for share issuances, such as in connection with certain</w:t>
      </w:r>
    </w:p>
    <w:p>
      <w:pPr>
        <w:pStyle w:val="Normal"/>
        <w:framePr w:w="11810" w:hAnchor="page" w:vAnchor="page" w:x="276" w:y="255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our 2024 Annual Meeting or (b) the close of business on July 28, 2024, which is 15 months after this year’s Annual Meeting.</w:t>
      </w:r>
    </w:p>
    <w:p>
      <w:pPr>
        <w:pStyle w:val="Normal"/>
        <w:framePr w:w="14126" w:hAnchor="page" w:vAnchor="page" w:x="276" w:y="23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shares is limited by the Companies Act. As such, the authorizations in Proposals 8 and 9, if approved, will expire at the earlier of (a) the conclusion of</w:t>
      </w:r>
    </w:p>
    <w:p>
      <w:pPr>
        <w:pStyle w:val="Normal"/>
        <w:framePr w:w="14094" w:hAnchor="page" w:vAnchor="page" w:x="276" w:y="209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Unlike most companies listed on the NYSE with perpetual authority to issue shares under their charter or articles of association, our authority to issue</w:t>
      </w:r>
    </w:p>
    <w:p>
      <w:pPr>
        <w:pStyle w:val="Normal"/>
        <w:framePr w:w="13916" w:hAnchor="page" w:vAnchor="page" w:x="276" w:y="16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under the laws of England and Wales, and are not otherwise required for other companies listed on the NYSE or organized within the United States.</w:t>
      </w:r>
    </w:p>
    <w:p>
      <w:pPr>
        <w:pStyle w:val="Normal"/>
        <w:framePr w:w="13827" w:hAnchor="page" w:vAnchor="page" w:x="276" w:y="14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authorizations requested in Proposals 8 and 9 are required as a matter of English law, are customary for public limited companies incorporated</w:t>
      </w:r>
    </w:p>
    <w:p>
      <w:pPr>
        <w:pStyle w:val="Normal"/>
        <w:framePr w:w="2388" w:hAnchor="page" w:vAnchor="page" w:x="276" w:y="10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What am I voting on?</w:t>
      </w:r>
    </w:p>
    <w:p>
      <w:pPr>
        <w:pStyle w:val="Normal"/>
        <w:framePr w:w="4874" w:hAnchor="page" w:vAnchor="page" w:x="276" w:y="59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Proposal 8 — Authority to Allot Equity Securities</w:t>
      </w:r>
    </w:p>
    <w:p>
      <w:pPr>
        <w:pStyle w:val="Normal"/>
        <w:framePr w:w="3769" w:hAnchor="page" w:vAnchor="page" w:x="9129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TechnipFMC Proxy Statement 2023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pt;margin-top:1pt;z-index:-16777088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8pt;margin-top:1pt;z-index:-1677708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2.8pt;margin-top:2.45pt;z-index:-1677708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597.95pt;margin-top:1pt;z-index:-1677707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2.8pt;margin-top:1pt;z-index:-1677707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</w:p>
    <w:p>
      <w:pPr>
        <w:pStyle w:val="Normal"/>
        <w:framePr w:w="2033" w:hAnchor="page" w:vAnchor="page" w:x="276" w:y="901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106    TechnipFMC</w:t>
      </w:r>
    </w:p>
    <w:p>
      <w:pPr>
        <w:pStyle w:val="Normal"/>
        <w:framePr w:w="14384" w:hAnchor="page" w:vAnchor="page" w:x="276" w:y="66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when it would be beneficial for shares to be issued without shareholder approval and for shares to be issued for cash without making a pre-emptive offer.</w:t>
      </w:r>
    </w:p>
    <w:p>
      <w:pPr>
        <w:pStyle w:val="Normal"/>
        <w:framePr w:w="14029" w:hAnchor="page" w:vAnchor="page" w:x="276" w:y="64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 is the case with many U.K. companies, Proposals 8 and 9 will be proposed each year as our Board believes occasions may arise from time to time</w:t>
      </w:r>
    </w:p>
    <w:p>
      <w:pPr>
        <w:pStyle w:val="Normal"/>
        <w:framePr w:w="7652" w:hAnchor="page" w:vAnchor="page" w:x="276" w:y="59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business on July 28, 2024, which is 15 months after this year’s Annual Meeting.</w:t>
      </w:r>
    </w:p>
    <w:p>
      <w:pPr>
        <w:pStyle w:val="Normal"/>
        <w:framePr w:w="13765" w:hAnchor="page" w:vAnchor="page" w:x="276" w:y="57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authorizations in Proposals 8 and 9, if approved, will expire at the earlier of (a) the conclusion of our 2024 Annual Meeting or (b) the close of</w:t>
      </w:r>
    </w:p>
    <w:p>
      <w:pPr>
        <w:pStyle w:val="Normal"/>
        <w:framePr w:w="3913" w:hAnchor="page" w:vAnchor="page" w:x="276" w:y="53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When does this authorization expire?</w:t>
      </w:r>
    </w:p>
    <w:p>
      <w:pPr>
        <w:pStyle w:val="Normal"/>
        <w:framePr w:w="1320" w:hAnchor="page" w:vAnchor="page" w:x="1338" w:y="48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not ended.”</w:t>
      </w:r>
    </w:p>
    <w:p>
      <w:pPr>
        <w:pStyle w:val="Normal"/>
        <w:framePr w:w="13068" w:hAnchor="page" w:vAnchor="page" w:x="1338" w:y="45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may allot shares or grant rights to subscribe for or convert securities into shares under any such offer or agreement as if the authority had</w:t>
      </w:r>
    </w:p>
    <w:p>
      <w:pPr>
        <w:pStyle w:val="Normal"/>
        <w:framePr w:w="13115" w:hAnchor="page" w:vAnchor="page" w:x="1338" w:y="43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require shares to be allotted or rights to subscribe for or convert securities into shares to be granted after the authority ends and the Board</w:t>
      </w:r>
    </w:p>
    <w:p>
      <w:pPr>
        <w:pStyle w:val="Normal"/>
        <w:framePr w:w="12776" w:hAnchor="page" w:vAnchor="page" w:x="1338" w:y="41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on July 28, 2024) but, in each case, during this period the Company may make offers and enter into agreements which would, or might,</w:t>
      </w:r>
    </w:p>
    <w:p>
      <w:pPr>
        <w:pStyle w:val="Normal"/>
        <w:framePr w:w="13027" w:hAnchor="page" w:vAnchor="page" w:x="1338" w:y="38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territory or any other matter, such authorities to apply until the end of next year’s Annual Meeting (or, if earlier, until the close of business</w:t>
      </w:r>
    </w:p>
    <w:p>
      <w:pPr>
        <w:pStyle w:val="Normal"/>
        <w:framePr w:w="12419" w:hAnchor="page" w:vAnchor="page" w:x="1338" w:y="364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deal with treasury shares, fractional entitlements, record dates, legal, regulatory or practical problems in, or under the laws of, any</w:t>
      </w:r>
    </w:p>
    <w:p>
      <w:pPr>
        <w:pStyle w:val="Normal"/>
        <w:framePr w:w="12932" w:hAnchor="page" w:vAnchor="page" w:x="1338" w:y="34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and so that the Board may impose any limits or restrictions and make any arrangements which they consider necessary or appropriate to</w:t>
      </w:r>
    </w:p>
    <w:p>
      <w:pPr>
        <w:pStyle w:val="Normal"/>
        <w:framePr w:w="1185" w:hAnchor="page" w:vAnchor="page" w:x="1795" w:y="30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necessary,</w:t>
      </w:r>
    </w:p>
    <w:p>
      <w:pPr>
        <w:pStyle w:val="Normal"/>
        <w:framePr w:w="309" w:hAnchor="page" w:vAnchor="page" w:x="1332" w:y="28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037" w:hAnchor="page" w:vAnchor="page" w:x="1795" w:y="28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to holders of other equity securities as required by the rights of those securities or as the Board of Directors otherwise consider</w:t>
      </w:r>
    </w:p>
    <w:p>
      <w:pPr>
        <w:pStyle w:val="Normal"/>
        <w:framePr w:w="309" w:hAnchor="page" w:vAnchor="page" w:x="1332" w:y="26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9822" w:hAnchor="page" w:vAnchor="page" w:x="1795" w:y="26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to ordinary shareholders in proportion (as nearly as may be practicable) to their existing holdings; and</w:t>
      </w:r>
    </w:p>
    <w:p>
      <w:pPr>
        <w:pStyle w:val="Normal"/>
        <w:framePr w:w="6918" w:hAnchor="page" w:vAnchor="page" w:x="1317" w:y="22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the Companies Act) in connection with an offer by way of a rights issue:</w:t>
      </w:r>
    </w:p>
    <w:p>
      <w:pPr>
        <w:pStyle w:val="Normal"/>
        <w:framePr w:w="402" w:hAnchor="page" w:vAnchor="page" w:x="739" w:y="20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b.</w:t>
      </w:r>
    </w:p>
    <w:p>
      <w:pPr>
        <w:pStyle w:val="Normal"/>
        <w:framePr w:w="13130" w:hAnchor="page" w:vAnchor="page" w:x="1317" w:y="20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up to a further aggregate nominal amount of $147,102,671 provided such shares are equity securities (within the meaning of section 560 of</w:t>
      </w:r>
    </w:p>
    <w:p>
      <w:pPr>
        <w:pStyle w:val="Normal"/>
        <w:framePr w:w="402" w:hAnchor="page" w:vAnchor="page" w:x="739" w:y="1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a.</w:t>
      </w:r>
    </w:p>
    <w:p>
      <w:pPr>
        <w:pStyle w:val="Normal"/>
        <w:framePr w:w="5592" w:hAnchor="page" w:vAnchor="page" w:x="1317" w:y="1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up to an aggregate nominal amount of $147,102,671; and</w:t>
      </w:r>
    </w:p>
    <w:p>
      <w:pPr>
        <w:pStyle w:val="Normal"/>
        <w:framePr w:w="10525" w:hAnchor="page" w:vAnchor="page" w:x="276" w:y="12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shares in the Company and to grant rights to subscribe for or convert any security into shares in the Company:</w:t>
      </w:r>
    </w:p>
    <w:p>
      <w:pPr>
        <w:pStyle w:val="Normal"/>
        <w:framePr w:w="14359" w:hAnchor="page" w:vAnchor="page" w:x="276" w:y="10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“THAT the Board of Directors of the Company be and they are hereby and unconditionally authorized to exercise all the powers in the Company to allot</w:t>
      </w:r>
    </w:p>
    <w:p>
      <w:pPr>
        <w:pStyle w:val="Normal"/>
        <w:framePr w:w="4009" w:hAnchor="page" w:vAnchor="page" w:x="276" w:y="59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The text of the resolution is as follows:</w:t>
      </w:r>
    </w:p>
    <w:p>
      <w:pPr>
        <w:pStyle w:val="Normal"/>
        <w:framePr w:w="3769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TechnipFMC Proxy Statement 2023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7pt;margin-top:1pt;z-index:-16777068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2.8pt;margin-top:1pt;z-index:-1677706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2.8pt;margin-top:2.45pt;z-index:-1677706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597.95pt;margin-top:1pt;z-index:-1677705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2.8pt;margin-top:1pt;z-index:-1677705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52.85pt;margin-top:357.15pt;z-index:-16777048;width:512.1pt;height:8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</w:p>
    <w:p>
      <w:pPr>
        <w:pStyle w:val="Normal"/>
        <w:framePr w:w="2037" w:hAnchor="page" w:vAnchor="page" w:x="10573" w:y="947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    107</w:t>
      </w:r>
    </w:p>
    <w:p>
      <w:pPr>
        <w:pStyle w:val="Normal"/>
        <w:framePr w:w="10830" w:hAnchor="page" w:vAnchor="page" w:x="276" w:y="90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Board has no current commitments or plans to issue additional shares of the Company under these authorities.</w:t>
      </w:r>
    </w:p>
    <w:p>
      <w:pPr>
        <w:pStyle w:val="Normal"/>
        <w:framePr w:w="12596" w:hAnchor="page" w:vAnchor="page" w:x="1317" w:y="86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routine, but only where the flexibility is merited by the nature of the transaction and is thought to be to the advantage of shareholders.</w:t>
      </w:r>
    </w:p>
    <w:p>
      <w:pPr>
        <w:pStyle w:val="Normal"/>
        <w:framePr w:w="12481" w:hAnchor="page" w:vAnchor="page" w:x="1317" w:y="83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period and is disclosed in the announcement of the issue. The authority to issue this additional 10% would not be used as a matter of</w:t>
      </w:r>
    </w:p>
    <w:p>
      <w:pPr>
        <w:pStyle w:val="Normal"/>
        <w:framePr w:w="12544" w:hAnchor="page" w:vAnchor="page" w:x="1317" w:y="81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specified capital investment announced either contemporaneously with the issue or which has taken place in the preceding six-month</w:t>
      </w:r>
    </w:p>
    <w:p>
      <w:pPr>
        <w:pStyle w:val="Normal"/>
        <w:framePr w:w="511" w:hAnchor="page" w:vAnchor="page" w:x="739" w:y="79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(ii)</w:t>
      </w:r>
    </w:p>
    <w:p>
      <w:pPr>
        <w:pStyle w:val="Normal"/>
        <w:framePr w:w="12571" w:hAnchor="page" w:vAnchor="page" w:x="1317" w:y="79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up to a further 10% of the Company’s issued ordinary share capital (as of March 6, 2023) for use in connection with an acquisition or</w:t>
      </w:r>
    </w:p>
    <w:p>
      <w:pPr>
        <w:pStyle w:val="Normal"/>
        <w:framePr w:w="446" w:hAnchor="page" w:vAnchor="page" w:x="739" w:y="75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(i)</w:t>
      </w:r>
    </w:p>
    <w:p>
      <w:pPr>
        <w:pStyle w:val="Normal"/>
        <w:framePr w:w="12282" w:hAnchor="page" w:vAnchor="page" w:x="1317" w:y="75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up to 10% of the Company’s issued ordinary share capital (as of March 6, 2023) on an unrestricted basis for general purposes, and</w:t>
      </w:r>
    </w:p>
    <w:p>
      <w:pPr>
        <w:pStyle w:val="Normal"/>
        <w:framePr w:w="5420" w:hAnchor="page" w:vAnchor="page" w:x="276" w:y="70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would be dilutive to existing shareholdings), as follows:</w:t>
      </w:r>
    </w:p>
    <w:p>
      <w:pPr>
        <w:pStyle w:val="Normal"/>
        <w:framePr w:w="13914" w:hAnchor="page" w:vAnchor="page" w:x="276" w:y="68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up to an aggregate nominal amount of $88,261,602, being 20% of the Company’s issued share capital without pre-emption rights (i.e., on terms that</w:t>
      </w:r>
    </w:p>
    <w:p>
      <w:pPr>
        <w:pStyle w:val="Normal"/>
        <w:framePr w:w="14204" w:hAnchor="page" w:vAnchor="page" w:x="276" w:y="66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institutions, and corporate finance practitioners to monitor the operation of the Guidelines, Proposal 9 would limit our Board’s authority to issue shares</w:t>
      </w:r>
    </w:p>
    <w:p>
      <w:pPr>
        <w:pStyle w:val="Normal"/>
        <w:framePr w:w="14146" w:hAnchor="page" w:vAnchor="page" w:x="276" w:y="63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line with guidelines issued by the Pre-Emption Group (the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Guidelines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”), a group comprising representatives of U.K.-listed companies, investment</w:t>
      </w:r>
    </w:p>
    <w:p>
      <w:pPr>
        <w:pStyle w:val="Normal"/>
        <w:framePr w:w="8671" w:hAnchor="page" w:vAnchor="page" w:x="276" w:y="59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 cash, without pre-emption rights, pursuant to the authority conferred by this Proposal 9.</w:t>
      </w:r>
    </w:p>
    <w:p>
      <w:pPr>
        <w:pStyle w:val="Normal"/>
        <w:framePr w:w="14319" w:hAnchor="page" w:vAnchor="page" w:x="276" w:y="56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proposes that, subject to the passing of the resolution included in Proposal 8, the Board be generally empowered to issue equity securities</w:t>
      </w:r>
    </w:p>
    <w:p>
      <w:pPr>
        <w:pStyle w:val="Normal"/>
        <w:framePr w:w="3876" w:hAnchor="page" w:vAnchor="page" w:x="276" w:y="52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Award Plan, would be severely limited.</w:t>
      </w:r>
    </w:p>
    <w:p>
      <w:pPr>
        <w:pStyle w:val="Normal"/>
        <w:framePr w:w="14062" w:hAnchor="page" w:vAnchor="page" w:x="276" w:y="49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Absent the approval of this Proposal 9, our flexibility to issue shares, such as for satisfying equity awards under our Amended and Restated Incentive</w:t>
      </w:r>
    </w:p>
    <w:p>
      <w:pPr>
        <w:pStyle w:val="Normal"/>
        <w:framePr w:w="14265" w:hAnchor="page" w:vAnchor="page" w:x="276" w:y="47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Companies Act. The Companies Act permits shareholders to waive, or “disapply,” these pre-emption rights, which is the purpose of this Proposal 9.</w:t>
      </w:r>
    </w:p>
    <w:p>
      <w:pPr>
        <w:pStyle w:val="Normal"/>
        <w:framePr w:w="14096" w:hAnchor="page" w:vAnchor="page" w:x="276" w:y="45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offer such equity securities to existing shareholders in proportion to their existing shareholdings (i.e., “pre-emption rights”) pursuant to section 561 of</w:t>
      </w:r>
    </w:p>
    <w:p>
      <w:pPr>
        <w:pStyle w:val="Normal"/>
        <w:framePr w:w="14093" w:hAnchor="page" w:vAnchor="page" w:x="276" w:y="42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 a company governed by the Companies Act, if and when we raise capital through the issuance of equity securities for cash, we are required to first</w:t>
      </w:r>
    </w:p>
    <w:p>
      <w:pPr>
        <w:pStyle w:val="Normal"/>
        <w:framePr w:w="9326" w:hAnchor="page" w:vAnchor="page" w:x="276" w:y="38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Proposal 9 is proposed as a special resolution, requiring at least 75% of votes cast in favor to pass.</w:t>
      </w:r>
    </w:p>
    <w:p>
      <w:pPr>
        <w:pStyle w:val="Normal"/>
        <w:framePr w:w="13869" w:hAnchor="page" w:vAnchor="page" w:x="276" w:y="336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acquisitions or in connection with raising additional capital. The Company will continue to be subject to NYSE shareholder approval requirements.</w:t>
      </w:r>
    </w:p>
    <w:p>
      <w:pPr>
        <w:pStyle w:val="Normal"/>
        <w:framePr w:w="13992" w:hAnchor="page" w:vAnchor="page" w:x="276" w:y="31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Approval of this proposal does not affect any shareholder approval requirements of the NYSE for share issuances, such as in connection with certain</w:t>
      </w:r>
    </w:p>
    <w:p>
      <w:pPr>
        <w:pStyle w:val="Normal"/>
        <w:framePr w:w="6641" w:hAnchor="page" w:vAnchor="page" w:x="276" w:y="26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business on July 28, 2024 (i.e., 15 months after the Annual Meeting).</w:t>
      </w:r>
    </w:p>
    <w:p>
      <w:pPr>
        <w:pStyle w:val="Normal"/>
        <w:framePr w:w="13990" w:hAnchor="page" w:vAnchor="page" w:x="276" w:y="24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authorizations in Proposals 8 and 9, if approved, will expire at the earlier of (a) the conclusion of our 2024 Annual Meeting or (b) at the close of</w:t>
      </w:r>
    </w:p>
    <w:p>
      <w:pPr>
        <w:pStyle w:val="Normal"/>
        <w:framePr w:w="1526" w:hAnchor="page" w:vAnchor="page" w:x="276" w:y="19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United States.</w:t>
      </w:r>
    </w:p>
    <w:p>
      <w:pPr>
        <w:pStyle w:val="Normal"/>
        <w:framePr w:w="13787" w:hAnchor="page" w:vAnchor="page" w:x="276" w:y="17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incorporated under the laws of England and Wales, and are not otherwise required for other companies listed on the NYSE or organized within the</w:t>
      </w:r>
    </w:p>
    <w:p>
      <w:pPr>
        <w:pStyle w:val="Normal"/>
        <w:framePr w:w="14078" w:hAnchor="page" w:vAnchor="page" w:x="276" w:y="15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 noted above, the authorizations requested in Proposals 8 and 9 are required as a matter of English law, are customary for public limited companies</w:t>
      </w:r>
    </w:p>
    <w:p>
      <w:pPr>
        <w:pStyle w:val="Normal"/>
        <w:framePr w:w="2388" w:hAnchor="page" w:vAnchor="page" w:x="276" w:y="10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What am I voting on?</w:t>
      </w:r>
    </w:p>
    <w:p>
      <w:pPr>
        <w:pStyle w:val="Normal"/>
        <w:framePr w:w="7489" w:hAnchor="page" w:vAnchor="page" w:x="276" w:y="59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Proposal 9 — Authority to Allot Equity Securities without Pre-emptive Rights</w:t>
      </w:r>
    </w:p>
    <w:p>
      <w:pPr>
        <w:pStyle w:val="Normal"/>
        <w:framePr w:w="3769" w:hAnchor="page" w:vAnchor="page" w:x="9129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TechnipFMC Proxy Statement 2023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7pt;margin-top:1pt;z-index:-16777044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2.8pt;margin-top:1pt;z-index:-1677704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2.8pt;margin-top:2.45pt;z-index:-1677703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597.95pt;margin-top:1pt;z-index:-1677703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2.8pt;margin-top:1pt;z-index:-1677702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</w:p>
    <w:p>
      <w:pPr>
        <w:pStyle w:val="Normal"/>
        <w:framePr w:w="2033" w:hAnchor="page" w:vAnchor="page" w:x="276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108    TechnipFMC</w:t>
      </w:r>
    </w:p>
    <w:p>
      <w:pPr>
        <w:pStyle w:val="Normal"/>
        <w:framePr w:w="14384" w:hAnchor="page" w:vAnchor="page" w:x="276" w:y="548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when it would be beneficial for shares to be issued without shareholder approval and for shares to be issued for cash without making a pre-emptive offer.</w:t>
      </w:r>
    </w:p>
    <w:p>
      <w:pPr>
        <w:pStyle w:val="Normal"/>
        <w:framePr w:w="14029" w:hAnchor="page" w:vAnchor="page" w:x="276" w:y="52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 is the case with many U.K. companies, Proposals 8 and 9 will be proposed each year as our Board believes occasions may arise from time to time</w:t>
      </w:r>
    </w:p>
    <w:p>
      <w:pPr>
        <w:pStyle w:val="Normal"/>
        <w:framePr w:w="7652" w:hAnchor="page" w:vAnchor="page" w:x="276" w:y="47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business on July 28, 2024, which is 15 months after this year’s Annual Meeting.</w:t>
      </w:r>
    </w:p>
    <w:p>
      <w:pPr>
        <w:pStyle w:val="Normal"/>
        <w:framePr w:w="13765" w:hAnchor="page" w:vAnchor="page" w:x="276" w:y="45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authorizations in Proposals 8 and 9, if approved, will expire at the earlier of (a) the conclusion of our 2024 Annual Meeting or (b) the close of</w:t>
      </w:r>
    </w:p>
    <w:p>
      <w:pPr>
        <w:pStyle w:val="Normal"/>
        <w:framePr w:w="3913" w:hAnchor="page" w:vAnchor="page" w:x="276" w:y="42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When does this authorization expire?</w:t>
      </w:r>
    </w:p>
    <w:p>
      <w:pPr>
        <w:pStyle w:val="Normal"/>
        <w:framePr w:w="1320" w:hAnchor="page" w:vAnchor="page" w:x="276" w:y="37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not ended.”</w:t>
      </w:r>
    </w:p>
    <w:p>
      <w:pPr>
        <w:pStyle w:val="Normal"/>
        <w:framePr w:w="14286" w:hAnchor="page" w:vAnchor="page" w:x="276" w:y="35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be sold) after the power ends and the Board may allot equity securities (and sell treasury shares) under any such offer or agreement as if the power had</w:t>
      </w:r>
    </w:p>
    <w:p>
      <w:pPr>
        <w:pStyle w:val="Normal"/>
        <w:framePr w:w="14239" w:hAnchor="page" w:vAnchor="page" w:x="276" w:y="32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period the Company may make offers, and enter into agreements, which would, or might, require equity securities to be allotted (and treasury shares to</w:t>
      </w:r>
    </w:p>
    <w:p>
      <w:pPr>
        <w:pStyle w:val="Normal"/>
        <w:framePr w:w="14279" w:hAnchor="page" w:vAnchor="page" w:x="276" w:y="30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such power to apply until the end of next year’s Annual Meeting (or, if earlier, until the close of business on July 28, 2024) but, in each case, during this</w:t>
      </w:r>
    </w:p>
    <w:p>
      <w:pPr>
        <w:pStyle w:val="Normal"/>
        <w:framePr w:w="749" w:hAnchor="page" w:vAnchor="page" w:x="1317" w:y="27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issue,</w:t>
      </w:r>
    </w:p>
    <w:p>
      <w:pPr>
        <w:pStyle w:val="Normal"/>
        <w:framePr w:w="402" w:hAnchor="page" w:vAnchor="page" w:x="739" w:y="24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b.</w:t>
      </w:r>
    </w:p>
    <w:p>
      <w:pPr>
        <w:pStyle w:val="Normal"/>
        <w:framePr w:w="12654" w:hAnchor="page" w:vAnchor="page" w:x="1317" w:y="24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in the case of the authority granted under paragraph (b) of Proposal 8, of the equity securities to be issued in connection with a rights</w:t>
      </w:r>
    </w:p>
    <w:p>
      <w:pPr>
        <w:pStyle w:val="Normal"/>
        <w:framePr w:w="8860" w:hAnchor="page" w:vAnchor="page" w:x="1317" w:y="21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connection with a pre-emptive offer, up to an aggregate nominal amount of $88,261,602; and</w:t>
      </w:r>
    </w:p>
    <w:p>
      <w:pPr>
        <w:pStyle w:val="Normal"/>
        <w:framePr w:w="402" w:hAnchor="page" w:vAnchor="page" w:x="739" w:y="18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a.</w:t>
      </w:r>
    </w:p>
    <w:p>
      <w:pPr>
        <w:pStyle w:val="Normal"/>
        <w:framePr w:w="12381" w:hAnchor="page" w:vAnchor="page" w:x="1317" w:y="18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in the case of allotments authorized by paragraph (a) of Proposal 8 (i) in connection with a pre-emptive offer, and (ii) other than in</w:t>
      </w:r>
    </w:p>
    <w:p>
      <w:pPr>
        <w:pStyle w:val="Normal"/>
        <w:framePr w:w="7554" w:hAnchor="page" w:vAnchor="page" w:x="276" w:y="15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to any such allotment or sale, such power to be limited to the allotment of sale:</w:t>
      </w:r>
    </w:p>
    <w:p>
      <w:pPr>
        <w:pStyle w:val="Normal"/>
        <w:framePr w:w="14192" w:hAnchor="page" w:vAnchor="page" w:x="276" w:y="12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by that resolution and/or to sell equity securities held by the Company as treasury shares for cash as if Section 561 of the Companies Act did not apply</w:t>
      </w:r>
    </w:p>
    <w:p>
      <w:pPr>
        <w:pStyle w:val="Normal"/>
        <w:framePr w:w="14130" w:hAnchor="page" w:vAnchor="page" w:x="276" w:y="10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“THAT, subject to Proposal 8 passing, the Board be given power to allot equity securities (as defined in the Companies Act) under the authority given</w:t>
      </w:r>
    </w:p>
    <w:p>
      <w:pPr>
        <w:pStyle w:val="Normal"/>
        <w:framePr w:w="4009" w:hAnchor="page" w:vAnchor="page" w:x="276" w:y="59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The text of the resolution is as follows:</w:t>
      </w:r>
    </w:p>
    <w:p>
      <w:pPr>
        <w:pStyle w:val="Normal"/>
        <w:framePr w:w="3769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TechnipFMC Proxy Statement 2023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7pt;margin-top:1pt;z-index:-16777024;width:598pt;height:4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2.8pt;margin-top:1pt;z-index:-1677702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2.8pt;margin-top:2.45pt;z-index:-1677701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97.95pt;margin-top:1pt;z-index:-1677701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2.8pt;margin-top:1pt;z-index:-1677700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52.85pt;margin-top:298.55pt;z-index:-16777004;width:512.1pt;height:8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</w:p>
    <w:sectPr>
      <w:pgSz w:w="12240" w:h="20160"/>
      <w:pgMar w:top="400" w:right="400" w:bottom="400" w:left="400" w:header="720" w:footer="720"/>
      <w:pgNumType w:start="9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e00ae22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aef09bc-0000-0000-0000-000000000000}"/>
  </w:font>
  <w:font w:name="TimesNewRomanPS-ItalicMT">
    <w:panose-1>"02020503050405090304"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520054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jpe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jpeg" Type="http://schemas.openxmlformats.org/officeDocument/2006/relationships/image"/><Relationship Id="rId54" Target="styles.xml" Type="http://schemas.openxmlformats.org/officeDocument/2006/relationships/styles"/><Relationship Id="rId55" Target="fontTable.xml" Type="http://schemas.openxmlformats.org/officeDocument/2006/relationships/fontTable"/><Relationship Id="rId56" Target="settings.xml" Type="http://schemas.openxmlformats.org/officeDocument/2006/relationships/settings"/><Relationship Id="rId57" Target="webSettings.xml" Type="http://schemas.openxmlformats.org/officeDocument/2006/relationships/webSettings"/><Relationship Id="rId6" Target="media/image6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9</Pages>
  <Words>3499</Words>
  <Characters>18117</Characters>
  <Application>e-iceblue</Application>
  <DocSecurity>0</DocSecurity>
  <Lines>264</Lines>
  <Paragraphs>264</Paragraphs>
  <ScaleCrop>false</ScaleCrop>
  <Company>e-iceblue</Company>
  <LinksUpToDate>false</LinksUpToDate>
  <CharactersWithSpaces>21377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2023-04-20T10:14:19Z</dcterms:created>
  <dc:creator>root</dc:creator>
  <cp:lastModifiedBy>root</cp:lastModifiedBy>
  <dcterms:modified xsi:type="dcterms:W3CDTF">2023-04-20T10:14:19Z</dcterms:modified>
  <cp:revision>1</cp:revision>
</cp:coreProperties>
</file>