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3048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255905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38" w:lineRule="exact"/>
        <w:rPr>
          <w:sz w:val="24"/>
          <w:szCs w:val="24"/>
          <w:color w:val="auto"/>
        </w:rPr>
      </w:pPr>
    </w:p>
    <w:p>
      <w:pPr>
        <w:jc w:val="center"/>
        <w:ind w:right="-223"/>
        <w:spacing w:after="0"/>
        <w:rPr>
          <w:sz w:val="20"/>
          <w:szCs w:val="20"/>
          <w:color w:val="auto"/>
        </w:rPr>
      </w:pPr>
      <w:r>
        <w:rPr>
          <w:rFonts w:ascii="Arial" w:cs="Arial" w:eastAsia="Arial" w:hAnsi="Arial"/>
          <w:sz w:val="22"/>
          <w:szCs w:val="22"/>
          <w:b w:val="1"/>
          <w:bCs w:val="1"/>
          <w:color w:val="auto"/>
        </w:rPr>
        <w:t>SECURITIES AND EXCHANGE COMMISSION</w:t>
      </w:r>
    </w:p>
    <w:p>
      <w:pPr>
        <w:spacing w:after="0" w:line="3" w:lineRule="exact"/>
        <w:rPr>
          <w:sz w:val="24"/>
          <w:szCs w:val="24"/>
          <w:color w:val="auto"/>
        </w:rPr>
      </w:pPr>
    </w:p>
    <w:p>
      <w:pPr>
        <w:jc w:val="center"/>
        <w:ind w:right="-223"/>
        <w:spacing w:after="0"/>
        <w:rPr>
          <w:sz w:val="20"/>
          <w:szCs w:val="20"/>
          <w:color w:val="auto"/>
        </w:rPr>
      </w:pPr>
      <w:r>
        <w:rPr>
          <w:rFonts w:ascii="Arial" w:cs="Arial" w:eastAsia="Arial" w:hAnsi="Arial"/>
          <w:sz w:val="19"/>
          <w:szCs w:val="19"/>
          <w:b w:val="1"/>
          <w:bCs w:val="1"/>
          <w:color w:val="auto"/>
        </w:rPr>
        <w:t>Washington, D.C. 20549</w:t>
      </w:r>
    </w:p>
    <w:p>
      <w:pPr>
        <w:spacing w:after="0" w:line="41" w:lineRule="exact"/>
        <w:rPr>
          <w:sz w:val="24"/>
          <w:szCs w:val="24"/>
          <w:color w:val="auto"/>
        </w:rPr>
      </w:pPr>
    </w:p>
    <w:p>
      <w:pPr>
        <w:jc w:val="center"/>
        <w:ind w:right="-223"/>
        <w:spacing w:after="0"/>
        <w:rPr>
          <w:sz w:val="20"/>
          <w:szCs w:val="20"/>
          <w:color w:val="auto"/>
        </w:rPr>
      </w:pPr>
      <w:r>
        <w:rPr>
          <w:rFonts w:ascii="Arial" w:cs="Arial" w:eastAsia="Arial" w:hAnsi="Arial"/>
          <w:sz w:val="29"/>
          <w:szCs w:val="29"/>
          <w:b w:val="1"/>
          <w:bCs w:val="1"/>
          <w:color w:val="auto"/>
        </w:rPr>
        <w:t>SCHEDULE 14A INFORMATION</w:t>
      </w:r>
    </w:p>
    <w:p>
      <w:pPr>
        <w:spacing w:after="0" w:line="85"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15" w:lineRule="exact"/>
        <w:rPr>
          <w:sz w:val="24"/>
          <w:szCs w:val="24"/>
          <w:color w:val="auto"/>
        </w:rPr>
      </w:pPr>
    </w:p>
    <w:p>
      <w:pPr>
        <w:jc w:val="center"/>
        <w:ind w:right="-203"/>
        <w:spacing w:after="0"/>
        <w:tabs>
          <w:tab w:leader="none" w:pos="160" w:val="left"/>
        </w:tabs>
        <w:rPr>
          <w:sz w:val="20"/>
          <w:szCs w:val="20"/>
          <w:color w:val="auto"/>
        </w:rPr>
      </w:pPr>
      <w:r>
        <w:rPr>
          <w:rFonts w:ascii="Arial" w:cs="Arial" w:eastAsia="Arial" w:hAnsi="Arial"/>
          <w:sz w:val="16"/>
          <w:szCs w:val="16"/>
          <w:b w:val="1"/>
          <w:bCs w:val="1"/>
          <w:color w:val="auto"/>
        </w:rPr>
        <w:t>Securities Exchange Act of 1934 (Amendment No.</w:t>
      </w:r>
      <w:r>
        <w:rPr>
          <w:sz w:val="20"/>
          <w:szCs w:val="20"/>
          <w:color w:val="auto"/>
        </w:rPr>
        <w:tab/>
      </w:r>
      <w:r>
        <w:rPr>
          <w:rFonts w:ascii="Arial" w:cs="Arial" w:eastAsia="Arial" w:hAnsi="Arial"/>
          <w:sz w:val="11"/>
          <w:szCs w:val="11"/>
          <w:b w:val="1"/>
          <w:bCs w:val="1"/>
          <w:color w:val="auto"/>
        </w:rPr>
        <w:t>)</w:t>
      </w:r>
    </w:p>
    <w:p>
      <w:pPr>
        <w:spacing w:after="0" w:line="97"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66"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4"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186" w:lineRule="exact"/>
        <w:rPr>
          <w:sz w:val="24"/>
          <w:szCs w:val="24"/>
          <w:color w:val="auto"/>
        </w:rPr>
      </w:pPr>
    </w:p>
    <w:p>
      <w:pPr>
        <w:ind w:left="384" w:hanging="384"/>
        <w:spacing w:after="0"/>
        <w:tabs>
          <w:tab w:leader="none" w:pos="3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66" w:lineRule="exact"/>
        <w:rPr>
          <w:rFonts w:ascii="MS PGothic" w:cs="MS PGothic" w:eastAsia="MS PGothic" w:hAnsi="MS PGothic"/>
          <w:sz w:val="16"/>
          <w:szCs w:val="16"/>
          <w:color w:val="auto"/>
        </w:rPr>
      </w:pPr>
    </w:p>
    <w:p>
      <w:pPr>
        <w:ind w:left="384" w:hanging="384"/>
        <w:spacing w:after="0"/>
        <w:tabs>
          <w:tab w:leader="none" w:pos="38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06" w:lineRule="exact"/>
        <w:rPr>
          <w:sz w:val="24"/>
          <w:szCs w:val="24"/>
          <w:color w:val="auto"/>
        </w:rPr>
      </w:pPr>
    </w:p>
    <w:p>
      <w:pPr>
        <w:ind w:left="384" w:hanging="384"/>
        <w:spacing w:after="0"/>
        <w:tabs>
          <w:tab w:leader="none" w:pos="3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86" w:lineRule="exact"/>
        <w:rPr>
          <w:sz w:val="24"/>
          <w:szCs w:val="24"/>
          <w:color w:val="auto"/>
        </w:rPr>
      </w:pPr>
    </w:p>
    <w:p>
      <w:pPr>
        <w:ind w:left="384" w:hanging="384"/>
        <w:spacing w:after="0"/>
        <w:tabs>
          <w:tab w:leader="none" w:pos="38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86" w:lineRule="exact"/>
        <w:rPr>
          <w:rFonts w:ascii="MS PGothic" w:cs="MS PGothic" w:eastAsia="MS PGothic" w:hAnsi="MS PGothic"/>
          <w:sz w:val="16"/>
          <w:szCs w:val="16"/>
          <w:color w:val="auto"/>
        </w:rPr>
      </w:pPr>
    </w:p>
    <w:p>
      <w:pPr>
        <w:ind w:left="384" w:hanging="384"/>
        <w:spacing w:after="0"/>
        <w:tabs>
          <w:tab w:leader="none" w:pos="38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 240.14a-12</w:t>
      </w:r>
    </w:p>
    <w:p>
      <w:pPr>
        <w:spacing w:after="0" w:line="164" w:lineRule="exact"/>
        <w:rPr>
          <w:sz w:val="24"/>
          <w:szCs w:val="24"/>
          <w:color w:val="auto"/>
        </w:rPr>
      </w:pPr>
    </w:p>
    <w:p>
      <w:pPr>
        <w:jc w:val="center"/>
        <w:ind w:right="-223"/>
        <w:spacing w:after="0"/>
        <w:rPr>
          <w:sz w:val="20"/>
          <w:szCs w:val="20"/>
          <w:color w:val="auto"/>
        </w:rPr>
      </w:pPr>
      <w:r>
        <w:rPr>
          <w:rFonts w:ascii="Arial" w:cs="Arial" w:eastAsia="Arial" w:hAnsi="Arial"/>
          <w:sz w:val="38"/>
          <w:szCs w:val="38"/>
          <w:b w:val="1"/>
          <w:bCs w:val="1"/>
          <w:color w:val="auto"/>
        </w:rPr>
        <w:t>TECHNIPFMC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44"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382" w:lineRule="exact"/>
        <w:rPr>
          <w:sz w:val="24"/>
          <w:szCs w:val="24"/>
          <w:color w:val="auto"/>
        </w:rPr>
      </w:pPr>
    </w:p>
    <w:p>
      <w:pPr>
        <w:ind w:left="2884"/>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81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139"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210"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4"/>
          <w:szCs w:val="14"/>
          <w:color w:val="auto"/>
        </w:rPr>
      </w:pPr>
      <w:r>
        <w:rPr>
          <w:rFonts w:ascii="Arial" w:cs="Arial" w:eastAsia="Arial" w:hAnsi="Arial"/>
          <w:sz w:val="16"/>
          <w:szCs w:val="16"/>
          <w:color w:val="auto"/>
        </w:rPr>
        <w:t>No fee required</w:t>
      </w:r>
    </w:p>
    <w:p>
      <w:pPr>
        <w:spacing w:after="0" w:line="163"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74" w:lineRule="exact"/>
        <w:rPr>
          <w:rFonts w:ascii="MS PGothic" w:cs="MS PGothic" w:eastAsia="MS PGothic" w:hAnsi="MS PGothic"/>
          <w:sz w:val="16"/>
          <w:szCs w:val="16"/>
          <w:color w:val="auto"/>
        </w:rPr>
      </w:pPr>
    </w:p>
    <w:p>
      <w:pPr>
        <w:ind w:left="1144" w:hanging="571"/>
        <w:spacing w:after="0"/>
        <w:tabs>
          <w:tab w:leader="none" w:pos="1144"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77" w:lineRule="exact"/>
        <w:rPr>
          <w:rFonts w:ascii="Arial" w:cs="Arial" w:eastAsia="Arial" w:hAnsi="Arial"/>
          <w:sz w:val="16"/>
          <w:szCs w:val="16"/>
          <w:color w:val="auto"/>
        </w:rPr>
      </w:pPr>
    </w:p>
    <w:p>
      <w:pPr>
        <w:ind w:left="1144" w:hanging="571"/>
        <w:spacing w:after="0"/>
        <w:tabs>
          <w:tab w:leader="none" w:pos="1144"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77" w:lineRule="exact"/>
        <w:rPr>
          <w:rFonts w:ascii="Arial" w:cs="Arial" w:eastAsia="Arial" w:hAnsi="Arial"/>
          <w:sz w:val="16"/>
          <w:szCs w:val="16"/>
          <w:color w:val="auto"/>
        </w:rPr>
      </w:pPr>
    </w:p>
    <w:p>
      <w:pPr>
        <w:ind w:left="1144" w:hanging="571"/>
        <w:spacing w:after="0" w:line="244" w:lineRule="auto"/>
        <w:tabs>
          <w:tab w:leader="none" w:pos="1144"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66" w:lineRule="exact"/>
        <w:rPr>
          <w:rFonts w:ascii="Arial" w:cs="Arial" w:eastAsia="Arial" w:hAnsi="Arial"/>
          <w:sz w:val="16"/>
          <w:szCs w:val="16"/>
          <w:color w:val="auto"/>
        </w:rPr>
      </w:pPr>
    </w:p>
    <w:p>
      <w:pPr>
        <w:ind w:left="1144" w:hanging="571"/>
        <w:spacing w:after="0"/>
        <w:tabs>
          <w:tab w:leader="none" w:pos="1144"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77" w:lineRule="exact"/>
        <w:rPr>
          <w:rFonts w:ascii="Arial" w:cs="Arial" w:eastAsia="Arial" w:hAnsi="Arial"/>
          <w:sz w:val="16"/>
          <w:szCs w:val="16"/>
          <w:color w:val="auto"/>
        </w:rPr>
      </w:pPr>
    </w:p>
    <w:p>
      <w:pPr>
        <w:ind w:left="1144" w:hanging="571"/>
        <w:spacing w:after="0"/>
        <w:tabs>
          <w:tab w:leader="none" w:pos="1144"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89" w:lineRule="exact"/>
        <w:rPr>
          <w:rFonts w:ascii="Arial" w:cs="Arial" w:eastAsia="Arial" w:hAnsi="Arial"/>
          <w:sz w:val="16"/>
          <w:szCs w:val="16"/>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74" w:lineRule="exact"/>
        <w:rPr>
          <w:rFonts w:ascii="MS PGothic" w:cs="MS PGothic" w:eastAsia="MS PGothic" w:hAnsi="MS PGothic"/>
          <w:sz w:val="16"/>
          <w:szCs w:val="16"/>
          <w:color w:val="auto"/>
        </w:rPr>
      </w:pPr>
    </w:p>
    <w:p>
      <w:pPr>
        <w:ind w:left="564" w:right="380" w:hanging="564"/>
        <w:spacing w:after="0" w:line="244" w:lineRule="auto"/>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3" w:lineRule="exact"/>
        <w:rPr>
          <w:rFonts w:ascii="MS PGothic" w:cs="MS PGothic" w:eastAsia="MS PGothic" w:hAnsi="MS PGothic"/>
          <w:sz w:val="16"/>
          <w:szCs w:val="16"/>
          <w:color w:val="auto"/>
        </w:rPr>
      </w:pPr>
    </w:p>
    <w:p>
      <w:pPr>
        <w:ind w:left="1144" w:hanging="571"/>
        <w:spacing w:after="0"/>
        <w:tabs>
          <w:tab w:leader="none" w:pos="1144"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77" w:lineRule="exact"/>
        <w:rPr>
          <w:rFonts w:ascii="Arial" w:cs="Arial" w:eastAsia="Arial" w:hAnsi="Arial"/>
          <w:sz w:val="16"/>
          <w:szCs w:val="16"/>
          <w:color w:val="auto"/>
        </w:rPr>
      </w:pPr>
    </w:p>
    <w:p>
      <w:pPr>
        <w:ind w:left="1144" w:hanging="571"/>
        <w:spacing w:after="0"/>
        <w:tabs>
          <w:tab w:leader="none" w:pos="1144"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77" w:lineRule="exact"/>
        <w:rPr>
          <w:rFonts w:ascii="Arial" w:cs="Arial" w:eastAsia="Arial" w:hAnsi="Arial"/>
          <w:sz w:val="16"/>
          <w:szCs w:val="16"/>
          <w:color w:val="auto"/>
        </w:rPr>
      </w:pPr>
    </w:p>
    <w:p>
      <w:pPr>
        <w:ind w:left="1144" w:hanging="571"/>
        <w:spacing w:after="0"/>
        <w:tabs>
          <w:tab w:leader="none" w:pos="1144"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77" w:lineRule="exact"/>
        <w:rPr>
          <w:rFonts w:ascii="Arial" w:cs="Arial" w:eastAsia="Arial" w:hAnsi="Arial"/>
          <w:sz w:val="16"/>
          <w:szCs w:val="16"/>
          <w:color w:val="auto"/>
        </w:rPr>
      </w:pPr>
    </w:p>
    <w:p>
      <w:pPr>
        <w:ind w:left="1144" w:hanging="571"/>
        <w:spacing w:after="0"/>
        <w:tabs>
          <w:tab w:leader="none" w:pos="1144"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-1884045</wp:posOffset>
            </wp:positionV>
            <wp:extent cx="67837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-2240280</wp:posOffset>
            </wp:positionV>
            <wp:extent cx="67837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-2597150</wp:posOffset>
            </wp:positionV>
            <wp:extent cx="67837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-3067685</wp:posOffset>
            </wp:positionV>
            <wp:extent cx="67837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-3423920</wp:posOffset>
            </wp:positionV>
            <wp:extent cx="67837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118745</wp:posOffset>
            </wp:positionV>
            <wp:extent cx="67837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-236855</wp:posOffset>
            </wp:positionV>
            <wp:extent cx="67837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-593725</wp:posOffset>
            </wp:positionV>
            <wp:extent cx="67837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-950595</wp:posOffset>
            </wp:positionV>
            <wp:extent cx="67837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323850</wp:posOffset>
            </wp:positionV>
            <wp:extent cx="71481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407035</wp:posOffset>
            </wp:positionV>
            <wp:extent cx="714819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30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528955</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44"/>
          </w:cols>
          <w:pgMar w:left="316" w:top="483" w:right="5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6647180" cy="5083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47180" cy="508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60"/>
        <w:spacing w:after="0"/>
        <w:rPr>
          <w:sz w:val="20"/>
          <w:szCs w:val="20"/>
          <w:color w:val="auto"/>
        </w:rPr>
      </w:pPr>
      <w:r>
        <w:rPr>
          <w:rFonts w:ascii="Arial" w:cs="Arial" w:eastAsia="Arial" w:hAnsi="Arial"/>
          <w:sz w:val="72"/>
          <w:szCs w:val="72"/>
          <w:color w:val="481F6E"/>
        </w:rPr>
        <w:t>2020</w:t>
      </w:r>
    </w:p>
    <w:p>
      <w:pPr>
        <w:ind w:left="4100"/>
        <w:spacing w:after="0"/>
        <w:rPr>
          <w:sz w:val="20"/>
          <w:szCs w:val="20"/>
          <w:color w:val="auto"/>
        </w:rPr>
      </w:pPr>
      <w:r>
        <w:rPr>
          <w:rFonts w:ascii="Arial" w:cs="Arial" w:eastAsia="Arial" w:hAnsi="Arial"/>
          <w:sz w:val="29"/>
          <w:szCs w:val="29"/>
          <w:color w:val="481F6E"/>
        </w:rPr>
        <w:t>Notice of Annual General</w:t>
      </w:r>
    </w:p>
    <w:p>
      <w:pPr>
        <w:spacing w:after="0" w:line="13" w:lineRule="exact"/>
        <w:rPr>
          <w:sz w:val="20"/>
          <w:szCs w:val="20"/>
          <w:color w:val="auto"/>
        </w:rPr>
      </w:pPr>
    </w:p>
    <w:p>
      <w:pPr>
        <w:ind w:left="4100"/>
        <w:spacing w:after="0"/>
        <w:rPr>
          <w:sz w:val="20"/>
          <w:szCs w:val="20"/>
          <w:color w:val="auto"/>
        </w:rPr>
      </w:pPr>
      <w:r>
        <w:rPr>
          <w:rFonts w:ascii="Arial" w:cs="Arial" w:eastAsia="Arial" w:hAnsi="Arial"/>
          <w:sz w:val="28"/>
          <w:szCs w:val="28"/>
          <w:color w:val="481F6E"/>
        </w:rPr>
        <w:t>Meeting of Shareholders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233680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980"/>
          </w:cols>
          <w:pgMar w:left="1440" w:top="1440" w:right="479" w:bottom="1440" w:gutter="0" w:footer="0" w:header="0"/>
        </w:sectPr>
      </w:pPr>
    </w:p>
    <w:bookmarkStart w:id="2" w:name="page3"/>
    <w:bookmarkEnd w:id="2"/>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2048510" cy="409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48510" cy="40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
        <w:spacing w:after="0"/>
        <w:rPr>
          <w:sz w:val="20"/>
          <w:szCs w:val="20"/>
          <w:color w:val="auto"/>
        </w:rPr>
      </w:pPr>
      <w:r>
        <w:rPr>
          <w:rFonts w:ascii="Arial" w:cs="Arial" w:eastAsia="Arial" w:hAnsi="Arial"/>
          <w:sz w:val="32"/>
          <w:szCs w:val="32"/>
          <w:color w:val="481F6E"/>
        </w:rPr>
        <w:t>Notice of 2020 Annual General Meeting of Shareholders</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TechnipFMC plc</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1"/>
          <w:szCs w:val="11"/>
          <w:color w:val="333740"/>
        </w:rPr>
        <w:t>(a public limited company having its registered office at One St. Paul’s Churchyard, London EC4M 8AP, United Kingdom and incorporated in England and Wales with company number 09909709)</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April 24, 2020</w:t>
      </w:r>
    </w:p>
    <w:p>
      <w:pPr>
        <w:spacing w:after="0" w:line="34"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10:00 a.m., London time</w:t>
      </w:r>
    </w:p>
    <w:p>
      <w:pPr>
        <w:spacing w:after="0" w:line="74" w:lineRule="exact"/>
        <w:rPr>
          <w:sz w:val="20"/>
          <w:szCs w:val="20"/>
          <w:color w:val="auto"/>
        </w:rPr>
      </w:pPr>
    </w:p>
    <w:p>
      <w:pPr>
        <w:ind w:left="4"/>
        <w:spacing w:after="0"/>
        <w:rPr>
          <w:sz w:val="20"/>
          <w:szCs w:val="20"/>
          <w:color w:val="auto"/>
        </w:rPr>
      </w:pPr>
      <w:r>
        <w:rPr>
          <w:rFonts w:ascii="Arial" w:cs="Arial" w:eastAsia="Arial" w:hAnsi="Arial"/>
          <w:sz w:val="11"/>
          <w:szCs w:val="11"/>
          <w:color w:val="333740"/>
        </w:rPr>
        <w:t>One St. Paul’s Churchyard, London EC4M 8AP,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148195" cy="2253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2253615"/>
                    </a:xfrm>
                    <a:prstGeom prst="rect">
                      <a:avLst/>
                    </a:prstGeom>
                    <a:noFill/>
                  </pic:spPr>
                </pic:pic>
              </a:graphicData>
            </a:graphic>
          </wp:anchor>
        </w:drawing>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309"/>
        </w:trPr>
        <w:tc>
          <w:tcPr>
            <w:tcW w:w="1280" w:type="dxa"/>
            <w:vAlign w:val="bottom"/>
            <w:shd w:val="clear" w:color="auto" w:fill="481F6E"/>
          </w:tcPr>
          <w:p>
            <w:pPr>
              <w:ind w:left="140"/>
              <w:spacing w:after="0"/>
              <w:rPr>
                <w:sz w:val="20"/>
                <w:szCs w:val="20"/>
                <w:color w:val="auto"/>
              </w:rPr>
            </w:pPr>
            <w:r>
              <w:rPr>
                <w:rFonts w:ascii="Arial" w:cs="Arial" w:eastAsia="Arial" w:hAnsi="Arial"/>
                <w:sz w:val="11"/>
                <w:szCs w:val="11"/>
                <w:color w:val="FFFFFF"/>
              </w:rPr>
              <w:t>Proposal</w:t>
            </w:r>
          </w:p>
        </w:tc>
        <w:tc>
          <w:tcPr>
            <w:tcW w:w="2340" w:type="dxa"/>
            <w:vAlign w:val="bottom"/>
            <w:shd w:val="clear" w:color="auto" w:fill="481F6E"/>
          </w:tcPr>
          <w:p>
            <w:pPr>
              <w:ind w:left="20"/>
              <w:spacing w:after="0"/>
              <w:rPr>
                <w:sz w:val="20"/>
                <w:szCs w:val="20"/>
                <w:color w:val="auto"/>
              </w:rPr>
            </w:pPr>
            <w:r>
              <w:rPr>
                <w:rFonts w:ascii="Arial" w:cs="Arial" w:eastAsia="Arial" w:hAnsi="Arial"/>
                <w:sz w:val="11"/>
                <w:szCs w:val="11"/>
                <w:color w:val="FFFFFF"/>
              </w:rPr>
              <w:t>Description</w:t>
            </w:r>
          </w:p>
        </w:tc>
        <w:tc>
          <w:tcPr>
            <w:tcW w:w="1720" w:type="dxa"/>
            <w:vAlign w:val="bottom"/>
            <w:shd w:val="clear" w:color="auto" w:fill="481F6E"/>
          </w:tcPr>
          <w:p>
            <w:pPr>
              <w:spacing w:after="0"/>
              <w:rPr>
                <w:sz w:val="24"/>
                <w:szCs w:val="24"/>
                <w:color w:val="auto"/>
              </w:rPr>
            </w:pPr>
          </w:p>
        </w:tc>
        <w:tc>
          <w:tcPr>
            <w:tcW w:w="2480" w:type="dxa"/>
            <w:vAlign w:val="bottom"/>
            <w:shd w:val="clear" w:color="auto" w:fill="481F6E"/>
          </w:tcPr>
          <w:p>
            <w:pPr>
              <w:spacing w:after="0"/>
              <w:rPr>
                <w:sz w:val="24"/>
                <w:szCs w:val="24"/>
                <w:color w:val="auto"/>
              </w:rPr>
            </w:pPr>
          </w:p>
        </w:tc>
        <w:tc>
          <w:tcPr>
            <w:tcW w:w="3420" w:type="dxa"/>
            <w:vAlign w:val="bottom"/>
            <w:shd w:val="clear" w:color="auto" w:fill="481F6E"/>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80" w:type="dxa"/>
            <w:vAlign w:val="bottom"/>
            <w:shd w:val="clear" w:color="auto" w:fill="481F6E"/>
          </w:tcPr>
          <w:p>
            <w:pPr>
              <w:spacing w:after="0"/>
              <w:rPr>
                <w:sz w:val="11"/>
                <w:szCs w:val="11"/>
                <w:color w:val="auto"/>
              </w:rPr>
            </w:pPr>
          </w:p>
        </w:tc>
        <w:tc>
          <w:tcPr>
            <w:tcW w:w="9960" w:type="dxa"/>
            <w:vAlign w:val="bottom"/>
            <w:gridSpan w:val="4"/>
            <w:shd w:val="clear" w:color="auto" w:fill="481F6E"/>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1280" w:type="dxa"/>
            <w:vAlign w:val="bottom"/>
            <w:shd w:val="clear" w:color="auto" w:fill="D7D8D6"/>
          </w:tcPr>
          <w:p>
            <w:pPr>
              <w:ind w:left="140"/>
              <w:spacing w:after="0"/>
              <w:rPr>
                <w:sz w:val="20"/>
                <w:szCs w:val="20"/>
                <w:color w:val="auto"/>
              </w:rPr>
            </w:pPr>
            <w:r>
              <w:rPr>
                <w:rFonts w:ascii="Arial" w:cs="Arial" w:eastAsia="Arial" w:hAnsi="Arial"/>
                <w:sz w:val="11"/>
                <w:szCs w:val="11"/>
                <w:b w:val="1"/>
                <w:bCs w:val="1"/>
                <w:color w:val="333740"/>
              </w:rPr>
              <w:t>1(a) – 1(n)</w:t>
            </w:r>
          </w:p>
        </w:tc>
        <w:tc>
          <w:tcPr>
            <w:tcW w:w="9960" w:type="dxa"/>
            <w:vAlign w:val="bottom"/>
            <w:gridSpan w:val="4"/>
            <w:shd w:val="clear" w:color="auto" w:fill="D7D8D6"/>
          </w:tcPr>
          <w:p>
            <w:pPr>
              <w:ind w:left="20"/>
              <w:spacing w:after="0"/>
              <w:rPr>
                <w:sz w:val="20"/>
                <w:szCs w:val="20"/>
                <w:color w:val="auto"/>
              </w:rPr>
            </w:pPr>
            <w:r>
              <w:rPr>
                <w:rFonts w:ascii="Arial" w:cs="Arial" w:eastAsia="Arial" w:hAnsi="Arial"/>
                <w:sz w:val="11"/>
                <w:szCs w:val="11"/>
                <w:b w:val="1"/>
                <w:bCs w:val="1"/>
                <w:color w:val="333740"/>
              </w:rPr>
              <w:t>Election of Directors</w:t>
            </w:r>
            <w:r>
              <w:rPr>
                <w:rFonts w:ascii="Arial" w:cs="Arial" w:eastAsia="Arial" w:hAnsi="Arial"/>
                <w:sz w:val="11"/>
                <w:szCs w:val="11"/>
                <w:color w:val="333740"/>
              </w:rPr>
              <w:t>: To re-elect each of our 14 director nominees for a term expiring at the Company’s 2021 Annual General Meeting of Shareholders:</w:t>
            </w:r>
          </w:p>
        </w:tc>
        <w:tc>
          <w:tcPr>
            <w:tcW w:w="0" w:type="dxa"/>
            <w:vAlign w:val="bottom"/>
          </w:tcPr>
          <w:p>
            <w:pPr>
              <w:spacing w:after="0"/>
              <w:rPr>
                <w:sz w:val="1"/>
                <w:szCs w:val="1"/>
                <w:color w:val="auto"/>
              </w:rPr>
            </w:pPr>
          </w:p>
        </w:tc>
      </w:tr>
      <w:tr>
        <w:trPr>
          <w:trHeight w:val="247"/>
        </w:trPr>
        <w:tc>
          <w:tcPr>
            <w:tcW w:w="1280" w:type="dxa"/>
            <w:vAlign w:val="bottom"/>
            <w:shd w:val="clear" w:color="auto" w:fill="D7D8D6"/>
          </w:tcPr>
          <w:p>
            <w:pPr>
              <w:spacing w:after="0"/>
              <w:rPr>
                <w:sz w:val="21"/>
                <w:szCs w:val="21"/>
                <w:color w:val="auto"/>
              </w:rPr>
            </w:pPr>
          </w:p>
        </w:tc>
        <w:tc>
          <w:tcPr>
            <w:tcW w:w="2340" w:type="dxa"/>
            <w:vAlign w:val="bottom"/>
            <w:shd w:val="clear" w:color="auto" w:fill="D7D8D6"/>
          </w:tcPr>
          <w:p>
            <w:pPr>
              <w:ind w:left="20"/>
              <w:spacing w:after="0"/>
              <w:rPr>
                <w:sz w:val="20"/>
                <w:szCs w:val="20"/>
                <w:color w:val="auto"/>
              </w:rPr>
            </w:pPr>
            <w:r>
              <w:rPr>
                <w:rFonts w:ascii="Arial" w:cs="Arial" w:eastAsia="Arial" w:hAnsi="Arial"/>
                <w:sz w:val="11"/>
                <w:szCs w:val="11"/>
                <w:color w:val="333740"/>
              </w:rPr>
              <w:t>a. Douglas J. Pferdehirt</w:t>
            </w:r>
          </w:p>
        </w:tc>
        <w:tc>
          <w:tcPr>
            <w:tcW w:w="1720" w:type="dxa"/>
            <w:vAlign w:val="bottom"/>
            <w:shd w:val="clear" w:color="auto" w:fill="D7D8D6"/>
          </w:tcPr>
          <w:p>
            <w:pPr>
              <w:ind w:left="40"/>
              <w:spacing w:after="0"/>
              <w:rPr>
                <w:sz w:val="20"/>
                <w:szCs w:val="20"/>
                <w:color w:val="auto"/>
              </w:rPr>
            </w:pPr>
            <w:r>
              <w:rPr>
                <w:rFonts w:ascii="Arial" w:cs="Arial" w:eastAsia="Arial" w:hAnsi="Arial"/>
                <w:sz w:val="11"/>
                <w:szCs w:val="11"/>
                <w:color w:val="333740"/>
              </w:rPr>
              <w:t>e. Marie-Ange Debon</w:t>
            </w:r>
          </w:p>
        </w:tc>
        <w:tc>
          <w:tcPr>
            <w:tcW w:w="2480" w:type="dxa"/>
            <w:vAlign w:val="bottom"/>
            <w:shd w:val="clear" w:color="auto" w:fill="D7D8D6"/>
          </w:tcPr>
          <w:p>
            <w:pPr>
              <w:ind w:left="600"/>
              <w:spacing w:after="0"/>
              <w:rPr>
                <w:sz w:val="20"/>
                <w:szCs w:val="20"/>
                <w:color w:val="auto"/>
              </w:rPr>
            </w:pPr>
            <w:r>
              <w:rPr>
                <w:rFonts w:ascii="Arial" w:cs="Arial" w:eastAsia="Arial" w:hAnsi="Arial"/>
                <w:sz w:val="11"/>
                <w:szCs w:val="11"/>
                <w:color w:val="333740"/>
              </w:rPr>
              <w:t>i. John O’Leary</w:t>
            </w:r>
          </w:p>
        </w:tc>
        <w:tc>
          <w:tcPr>
            <w:tcW w:w="3420" w:type="dxa"/>
            <w:vAlign w:val="bottom"/>
            <w:shd w:val="clear" w:color="auto" w:fill="D7D8D6"/>
          </w:tcPr>
          <w:p>
            <w:pPr>
              <w:ind w:left="520"/>
              <w:spacing w:after="0"/>
              <w:rPr>
                <w:sz w:val="20"/>
                <w:szCs w:val="20"/>
                <w:color w:val="auto"/>
              </w:rPr>
            </w:pPr>
            <w:r>
              <w:rPr>
                <w:rFonts w:ascii="Arial" w:cs="Arial" w:eastAsia="Arial" w:hAnsi="Arial"/>
                <w:sz w:val="11"/>
                <w:szCs w:val="11"/>
                <w:color w:val="333740"/>
              </w:rPr>
              <w:t>m. James M. Ringler</w:t>
            </w:r>
          </w:p>
        </w:tc>
        <w:tc>
          <w:tcPr>
            <w:tcW w:w="0" w:type="dxa"/>
            <w:vAlign w:val="bottom"/>
          </w:tcPr>
          <w:p>
            <w:pPr>
              <w:spacing w:after="0"/>
              <w:rPr>
                <w:sz w:val="1"/>
                <w:szCs w:val="1"/>
                <w:color w:val="auto"/>
              </w:rPr>
            </w:pPr>
          </w:p>
        </w:tc>
      </w:tr>
      <w:tr>
        <w:trPr>
          <w:trHeight w:val="143"/>
        </w:trPr>
        <w:tc>
          <w:tcPr>
            <w:tcW w:w="1280" w:type="dxa"/>
            <w:vAlign w:val="bottom"/>
            <w:shd w:val="clear" w:color="auto" w:fill="D7D8D6"/>
          </w:tcPr>
          <w:p>
            <w:pPr>
              <w:spacing w:after="0"/>
              <w:rPr>
                <w:sz w:val="12"/>
                <w:szCs w:val="12"/>
                <w:color w:val="auto"/>
              </w:rPr>
            </w:pPr>
          </w:p>
        </w:tc>
        <w:tc>
          <w:tcPr>
            <w:tcW w:w="2340" w:type="dxa"/>
            <w:vAlign w:val="bottom"/>
            <w:shd w:val="clear" w:color="auto" w:fill="D7D8D6"/>
          </w:tcPr>
          <w:p>
            <w:pPr>
              <w:ind w:left="20"/>
              <w:spacing w:after="0"/>
              <w:rPr>
                <w:sz w:val="20"/>
                <w:szCs w:val="20"/>
                <w:color w:val="auto"/>
              </w:rPr>
            </w:pPr>
            <w:r>
              <w:rPr>
                <w:rFonts w:ascii="Arial" w:cs="Arial" w:eastAsia="Arial" w:hAnsi="Arial"/>
                <w:sz w:val="11"/>
                <w:szCs w:val="11"/>
                <w:color w:val="333740"/>
              </w:rPr>
              <w:t>b. Eleazar de Carvalho Filho</w:t>
            </w:r>
          </w:p>
        </w:tc>
        <w:tc>
          <w:tcPr>
            <w:tcW w:w="1720" w:type="dxa"/>
            <w:vAlign w:val="bottom"/>
            <w:shd w:val="clear" w:color="auto" w:fill="D7D8D6"/>
          </w:tcPr>
          <w:p>
            <w:pPr>
              <w:ind w:left="40"/>
              <w:spacing w:after="0"/>
              <w:rPr>
                <w:sz w:val="20"/>
                <w:szCs w:val="20"/>
                <w:color w:val="auto"/>
              </w:rPr>
            </w:pPr>
            <w:r>
              <w:rPr>
                <w:rFonts w:ascii="Arial" w:cs="Arial" w:eastAsia="Arial" w:hAnsi="Arial"/>
                <w:sz w:val="11"/>
                <w:szCs w:val="11"/>
                <w:color w:val="333740"/>
              </w:rPr>
              <w:t>f.  Claire S. Farley</w:t>
            </w:r>
          </w:p>
        </w:tc>
        <w:tc>
          <w:tcPr>
            <w:tcW w:w="2480" w:type="dxa"/>
            <w:vAlign w:val="bottom"/>
            <w:shd w:val="clear" w:color="auto" w:fill="D7D8D6"/>
          </w:tcPr>
          <w:p>
            <w:pPr>
              <w:ind w:left="600"/>
              <w:spacing w:after="0"/>
              <w:rPr>
                <w:sz w:val="20"/>
                <w:szCs w:val="20"/>
                <w:color w:val="auto"/>
              </w:rPr>
            </w:pPr>
            <w:r>
              <w:rPr>
                <w:rFonts w:ascii="Arial" w:cs="Arial" w:eastAsia="Arial" w:hAnsi="Arial"/>
                <w:sz w:val="11"/>
                <w:szCs w:val="11"/>
                <w:color w:val="333740"/>
              </w:rPr>
              <w:t>j. Olivier Piou</w:t>
            </w:r>
          </w:p>
        </w:tc>
        <w:tc>
          <w:tcPr>
            <w:tcW w:w="3420" w:type="dxa"/>
            <w:vAlign w:val="bottom"/>
            <w:shd w:val="clear" w:color="auto" w:fill="D7D8D6"/>
          </w:tcPr>
          <w:p>
            <w:pPr>
              <w:ind w:left="520"/>
              <w:spacing w:after="0"/>
              <w:rPr>
                <w:sz w:val="20"/>
                <w:szCs w:val="20"/>
                <w:color w:val="auto"/>
              </w:rPr>
            </w:pPr>
            <w:r>
              <w:rPr>
                <w:rFonts w:ascii="Arial" w:cs="Arial" w:eastAsia="Arial" w:hAnsi="Arial"/>
                <w:sz w:val="11"/>
                <w:szCs w:val="11"/>
                <w:color w:val="333740"/>
              </w:rPr>
              <w:t>n.  John Yearwood</w:t>
            </w:r>
          </w:p>
        </w:tc>
        <w:tc>
          <w:tcPr>
            <w:tcW w:w="0" w:type="dxa"/>
            <w:vAlign w:val="bottom"/>
          </w:tcPr>
          <w:p>
            <w:pPr>
              <w:spacing w:after="0"/>
              <w:rPr>
                <w:sz w:val="1"/>
                <w:szCs w:val="1"/>
                <w:color w:val="auto"/>
              </w:rPr>
            </w:pPr>
          </w:p>
        </w:tc>
      </w:tr>
      <w:tr>
        <w:trPr>
          <w:trHeight w:val="143"/>
        </w:trPr>
        <w:tc>
          <w:tcPr>
            <w:tcW w:w="1280" w:type="dxa"/>
            <w:vAlign w:val="bottom"/>
            <w:shd w:val="clear" w:color="auto" w:fill="D7D8D6"/>
          </w:tcPr>
          <w:p>
            <w:pPr>
              <w:spacing w:after="0"/>
              <w:rPr>
                <w:sz w:val="12"/>
                <w:szCs w:val="12"/>
                <w:color w:val="auto"/>
              </w:rPr>
            </w:pPr>
          </w:p>
        </w:tc>
        <w:tc>
          <w:tcPr>
            <w:tcW w:w="2340" w:type="dxa"/>
            <w:vAlign w:val="bottom"/>
            <w:shd w:val="clear" w:color="auto" w:fill="D7D8D6"/>
          </w:tcPr>
          <w:p>
            <w:pPr>
              <w:ind w:left="20"/>
              <w:spacing w:after="0"/>
              <w:rPr>
                <w:sz w:val="20"/>
                <w:szCs w:val="20"/>
                <w:color w:val="auto"/>
              </w:rPr>
            </w:pPr>
            <w:r>
              <w:rPr>
                <w:rFonts w:ascii="Arial" w:cs="Arial" w:eastAsia="Arial" w:hAnsi="Arial"/>
                <w:sz w:val="11"/>
                <w:szCs w:val="11"/>
                <w:color w:val="333740"/>
              </w:rPr>
              <w:t>c. Arnaud Caudoux</w:t>
            </w:r>
          </w:p>
        </w:tc>
        <w:tc>
          <w:tcPr>
            <w:tcW w:w="1720" w:type="dxa"/>
            <w:vAlign w:val="bottom"/>
            <w:shd w:val="clear" w:color="auto" w:fill="D7D8D6"/>
          </w:tcPr>
          <w:p>
            <w:pPr>
              <w:ind w:left="40"/>
              <w:spacing w:after="0"/>
              <w:rPr>
                <w:sz w:val="20"/>
                <w:szCs w:val="20"/>
                <w:color w:val="auto"/>
              </w:rPr>
            </w:pPr>
            <w:r>
              <w:rPr>
                <w:rFonts w:ascii="Arial" w:cs="Arial" w:eastAsia="Arial" w:hAnsi="Arial"/>
                <w:sz w:val="11"/>
                <w:szCs w:val="11"/>
                <w:color w:val="333740"/>
              </w:rPr>
              <w:t>g. Didier Houssin</w:t>
            </w:r>
          </w:p>
        </w:tc>
        <w:tc>
          <w:tcPr>
            <w:tcW w:w="2480" w:type="dxa"/>
            <w:vAlign w:val="bottom"/>
            <w:vMerge w:val="restart"/>
            <w:shd w:val="clear" w:color="auto" w:fill="D7D8D6"/>
          </w:tcPr>
          <w:p>
            <w:pPr>
              <w:ind w:left="600"/>
              <w:spacing w:after="0"/>
              <w:rPr>
                <w:sz w:val="20"/>
                <w:szCs w:val="20"/>
                <w:color w:val="auto"/>
              </w:rPr>
            </w:pPr>
            <w:r>
              <w:rPr>
                <w:rFonts w:ascii="Arial" w:cs="Arial" w:eastAsia="Arial" w:hAnsi="Arial"/>
                <w:sz w:val="11"/>
                <w:szCs w:val="11"/>
                <w:color w:val="333740"/>
              </w:rPr>
              <w:t>k. Kay G. Priestly</w:t>
            </w:r>
          </w:p>
        </w:tc>
        <w:tc>
          <w:tcPr>
            <w:tcW w:w="3420" w:type="dxa"/>
            <w:vAlign w:val="bottom"/>
            <w:shd w:val="clear" w:color="auto" w:fill="D7D8D6"/>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280" w:type="dxa"/>
            <w:vAlign w:val="bottom"/>
            <w:shd w:val="clear" w:color="auto" w:fill="D7D8D6"/>
          </w:tcPr>
          <w:p>
            <w:pPr>
              <w:spacing w:after="0"/>
              <w:rPr>
                <w:sz w:val="3"/>
                <w:szCs w:val="3"/>
                <w:color w:val="auto"/>
              </w:rPr>
            </w:pPr>
          </w:p>
        </w:tc>
        <w:tc>
          <w:tcPr>
            <w:tcW w:w="2340" w:type="dxa"/>
            <w:vAlign w:val="bottom"/>
            <w:vMerge w:val="restart"/>
            <w:shd w:val="clear" w:color="auto" w:fill="D7D8D6"/>
          </w:tcPr>
          <w:p>
            <w:pPr>
              <w:ind w:left="20"/>
              <w:spacing w:after="0"/>
              <w:rPr>
                <w:sz w:val="20"/>
                <w:szCs w:val="20"/>
                <w:color w:val="auto"/>
              </w:rPr>
            </w:pPr>
            <w:r>
              <w:rPr>
                <w:rFonts w:ascii="Arial" w:cs="Arial" w:eastAsia="Arial" w:hAnsi="Arial"/>
                <w:sz w:val="11"/>
                <w:szCs w:val="11"/>
                <w:color w:val="333740"/>
              </w:rPr>
              <w:t>d. Pascal Colombani</w:t>
            </w:r>
          </w:p>
        </w:tc>
        <w:tc>
          <w:tcPr>
            <w:tcW w:w="1720" w:type="dxa"/>
            <w:vAlign w:val="bottom"/>
            <w:vMerge w:val="restart"/>
            <w:shd w:val="clear" w:color="auto" w:fill="D7D8D6"/>
          </w:tcPr>
          <w:p>
            <w:pPr>
              <w:ind w:left="40"/>
              <w:spacing w:after="0"/>
              <w:rPr>
                <w:sz w:val="20"/>
                <w:szCs w:val="20"/>
                <w:color w:val="auto"/>
              </w:rPr>
            </w:pPr>
            <w:r>
              <w:rPr>
                <w:rFonts w:ascii="Arial" w:cs="Arial" w:eastAsia="Arial" w:hAnsi="Arial"/>
                <w:sz w:val="11"/>
                <w:szCs w:val="11"/>
                <w:color w:val="333740"/>
              </w:rPr>
              <w:t>h. Peter Mellbye</w:t>
            </w:r>
          </w:p>
        </w:tc>
        <w:tc>
          <w:tcPr>
            <w:tcW w:w="2480" w:type="dxa"/>
            <w:vAlign w:val="bottom"/>
            <w:vMerge w:val="continue"/>
            <w:shd w:val="clear" w:color="auto" w:fill="D7D8D6"/>
          </w:tcPr>
          <w:p>
            <w:pPr>
              <w:spacing w:after="0"/>
              <w:rPr>
                <w:sz w:val="3"/>
                <w:szCs w:val="3"/>
                <w:color w:val="auto"/>
              </w:rPr>
            </w:pPr>
          </w:p>
        </w:tc>
        <w:tc>
          <w:tcPr>
            <w:tcW w:w="3420" w:type="dxa"/>
            <w:vAlign w:val="bottom"/>
            <w:shd w:val="clear" w:color="auto" w:fill="D7D8D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1280" w:type="dxa"/>
            <w:vAlign w:val="bottom"/>
            <w:shd w:val="clear" w:color="auto" w:fill="D7D8D6"/>
          </w:tcPr>
          <w:p>
            <w:pPr>
              <w:spacing w:after="0"/>
              <w:rPr>
                <w:sz w:val="9"/>
                <w:szCs w:val="9"/>
                <w:color w:val="auto"/>
              </w:rPr>
            </w:pPr>
          </w:p>
        </w:tc>
        <w:tc>
          <w:tcPr>
            <w:tcW w:w="2340" w:type="dxa"/>
            <w:vAlign w:val="bottom"/>
            <w:vMerge w:val="continue"/>
            <w:shd w:val="clear" w:color="auto" w:fill="D7D8D6"/>
          </w:tcPr>
          <w:p>
            <w:pPr>
              <w:spacing w:after="0"/>
              <w:rPr>
                <w:sz w:val="9"/>
                <w:szCs w:val="9"/>
                <w:color w:val="auto"/>
              </w:rPr>
            </w:pPr>
          </w:p>
        </w:tc>
        <w:tc>
          <w:tcPr>
            <w:tcW w:w="1720" w:type="dxa"/>
            <w:vAlign w:val="bottom"/>
            <w:vMerge w:val="continue"/>
            <w:shd w:val="clear" w:color="auto" w:fill="D7D8D6"/>
          </w:tcPr>
          <w:p>
            <w:pPr>
              <w:spacing w:after="0"/>
              <w:rPr>
                <w:sz w:val="9"/>
                <w:szCs w:val="9"/>
                <w:color w:val="auto"/>
              </w:rPr>
            </w:pPr>
          </w:p>
        </w:tc>
        <w:tc>
          <w:tcPr>
            <w:tcW w:w="2480" w:type="dxa"/>
            <w:vAlign w:val="bottom"/>
            <w:vMerge w:val="restart"/>
            <w:shd w:val="clear" w:color="auto" w:fill="D7D8D6"/>
          </w:tcPr>
          <w:p>
            <w:pPr>
              <w:ind w:left="600"/>
              <w:spacing w:after="0"/>
              <w:rPr>
                <w:sz w:val="20"/>
                <w:szCs w:val="20"/>
                <w:color w:val="auto"/>
              </w:rPr>
            </w:pPr>
            <w:r>
              <w:rPr>
                <w:rFonts w:ascii="Arial" w:cs="Arial" w:eastAsia="Arial" w:hAnsi="Arial"/>
                <w:sz w:val="11"/>
                <w:szCs w:val="11"/>
                <w:color w:val="333740"/>
              </w:rPr>
              <w:t>l. Joseph Rinaldi</w:t>
            </w:r>
          </w:p>
        </w:tc>
        <w:tc>
          <w:tcPr>
            <w:tcW w:w="3420" w:type="dxa"/>
            <w:vAlign w:val="bottom"/>
            <w:shd w:val="clear" w:color="auto" w:fill="D7D8D6"/>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1280" w:type="dxa"/>
            <w:vAlign w:val="bottom"/>
            <w:shd w:val="clear" w:color="auto" w:fill="D7D8D6"/>
          </w:tcPr>
          <w:p>
            <w:pPr>
              <w:spacing w:after="0"/>
              <w:rPr>
                <w:sz w:val="4"/>
                <w:szCs w:val="4"/>
                <w:color w:val="auto"/>
              </w:rPr>
            </w:pPr>
          </w:p>
        </w:tc>
        <w:tc>
          <w:tcPr>
            <w:tcW w:w="2340" w:type="dxa"/>
            <w:vAlign w:val="bottom"/>
            <w:shd w:val="clear" w:color="auto" w:fill="D7D8D6"/>
          </w:tcPr>
          <w:p>
            <w:pPr>
              <w:spacing w:after="0"/>
              <w:rPr>
                <w:sz w:val="4"/>
                <w:szCs w:val="4"/>
                <w:color w:val="auto"/>
              </w:rPr>
            </w:pPr>
          </w:p>
        </w:tc>
        <w:tc>
          <w:tcPr>
            <w:tcW w:w="1720" w:type="dxa"/>
            <w:vAlign w:val="bottom"/>
            <w:shd w:val="clear" w:color="auto" w:fill="D7D8D6"/>
          </w:tcPr>
          <w:p>
            <w:pPr>
              <w:spacing w:after="0"/>
              <w:rPr>
                <w:sz w:val="4"/>
                <w:szCs w:val="4"/>
                <w:color w:val="auto"/>
              </w:rPr>
            </w:pPr>
          </w:p>
        </w:tc>
        <w:tc>
          <w:tcPr>
            <w:tcW w:w="2480" w:type="dxa"/>
            <w:vAlign w:val="bottom"/>
            <w:vMerge w:val="continue"/>
            <w:shd w:val="clear" w:color="auto" w:fill="D7D8D6"/>
          </w:tcPr>
          <w:p>
            <w:pPr>
              <w:spacing w:after="0"/>
              <w:rPr>
                <w:sz w:val="4"/>
                <w:szCs w:val="4"/>
                <w:color w:val="auto"/>
              </w:rPr>
            </w:pPr>
          </w:p>
        </w:tc>
        <w:tc>
          <w:tcPr>
            <w:tcW w:w="3420" w:type="dxa"/>
            <w:vAlign w:val="bottom"/>
            <w:shd w:val="clear" w:color="auto" w:fill="D7D8D6"/>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280" w:type="dxa"/>
            <w:vAlign w:val="bottom"/>
            <w:shd w:val="clear" w:color="auto" w:fill="D7D8D6"/>
          </w:tcPr>
          <w:p>
            <w:pPr>
              <w:ind w:left="140"/>
              <w:spacing w:after="0"/>
              <w:rPr>
                <w:sz w:val="20"/>
                <w:szCs w:val="20"/>
                <w:color w:val="auto"/>
              </w:rPr>
            </w:pPr>
            <w:r>
              <w:rPr>
                <w:rFonts w:ascii="Arial" w:cs="Arial" w:eastAsia="Arial" w:hAnsi="Arial"/>
                <w:sz w:val="11"/>
                <w:szCs w:val="11"/>
                <w:b w:val="1"/>
                <w:bCs w:val="1"/>
                <w:color w:val="333740"/>
              </w:rPr>
              <w:t>2</w:t>
            </w:r>
          </w:p>
        </w:tc>
        <w:tc>
          <w:tcPr>
            <w:tcW w:w="9960" w:type="dxa"/>
            <w:vAlign w:val="bottom"/>
            <w:gridSpan w:val="4"/>
            <w:shd w:val="clear" w:color="auto" w:fill="D7D8D6"/>
          </w:tcPr>
          <w:p>
            <w:pPr>
              <w:ind w:left="20"/>
              <w:spacing w:after="0"/>
              <w:rPr>
                <w:sz w:val="20"/>
                <w:szCs w:val="20"/>
                <w:color w:val="auto"/>
              </w:rPr>
            </w:pPr>
            <w:r>
              <w:rPr>
                <w:rFonts w:ascii="Arial" w:cs="Arial" w:eastAsia="Arial" w:hAnsi="Arial"/>
                <w:sz w:val="11"/>
                <w:szCs w:val="11"/>
                <w:b w:val="1"/>
                <w:bCs w:val="1"/>
                <w:color w:val="333740"/>
              </w:rPr>
              <w:t>2019 U.S. Say-on-Pay for Named Executive Officers</w:t>
            </w:r>
            <w:r>
              <w:rPr>
                <w:rFonts w:ascii="Arial" w:cs="Arial" w:eastAsia="Arial" w:hAnsi="Arial"/>
                <w:sz w:val="11"/>
                <w:szCs w:val="11"/>
                <w:color w:val="333740"/>
              </w:rPr>
              <w:t>: To approve, as a non-binding advisory resolution, the Company’s named executive officer compensation for the year ended December 31, 2019,</w:t>
            </w:r>
          </w:p>
        </w:tc>
        <w:tc>
          <w:tcPr>
            <w:tcW w:w="0" w:type="dxa"/>
            <w:vAlign w:val="bottom"/>
          </w:tcPr>
          <w:p>
            <w:pPr>
              <w:spacing w:after="0"/>
              <w:rPr>
                <w:sz w:val="1"/>
                <w:szCs w:val="1"/>
                <w:color w:val="auto"/>
              </w:rPr>
            </w:pPr>
          </w:p>
        </w:tc>
      </w:tr>
      <w:tr>
        <w:trPr>
          <w:trHeight w:val="133"/>
        </w:trPr>
        <w:tc>
          <w:tcPr>
            <w:tcW w:w="1280" w:type="dxa"/>
            <w:vAlign w:val="bottom"/>
            <w:shd w:val="clear" w:color="auto" w:fill="D7D8D6"/>
          </w:tcPr>
          <w:p>
            <w:pPr>
              <w:spacing w:after="0"/>
              <w:rPr>
                <w:sz w:val="11"/>
                <w:szCs w:val="11"/>
                <w:color w:val="auto"/>
              </w:rPr>
            </w:pPr>
          </w:p>
        </w:tc>
        <w:tc>
          <w:tcPr>
            <w:tcW w:w="2340" w:type="dxa"/>
            <w:vAlign w:val="bottom"/>
            <w:shd w:val="clear" w:color="auto" w:fill="D7D8D6"/>
          </w:tcPr>
          <w:p>
            <w:pPr>
              <w:ind w:left="20"/>
              <w:spacing w:after="0"/>
              <w:rPr>
                <w:sz w:val="20"/>
                <w:szCs w:val="20"/>
                <w:color w:val="auto"/>
              </w:rPr>
            </w:pPr>
            <w:r>
              <w:rPr>
                <w:rFonts w:ascii="Arial" w:cs="Arial" w:eastAsia="Arial" w:hAnsi="Arial"/>
                <w:sz w:val="11"/>
                <w:szCs w:val="11"/>
                <w:color w:val="333740"/>
              </w:rPr>
              <w:t>as reported in the Company’s Proxy Statement</w:t>
            </w:r>
          </w:p>
        </w:tc>
        <w:tc>
          <w:tcPr>
            <w:tcW w:w="1720" w:type="dxa"/>
            <w:vAlign w:val="bottom"/>
            <w:shd w:val="clear" w:color="auto" w:fill="D7D8D6"/>
          </w:tcPr>
          <w:p>
            <w:pPr>
              <w:spacing w:after="0"/>
              <w:rPr>
                <w:sz w:val="11"/>
                <w:szCs w:val="11"/>
                <w:color w:val="auto"/>
              </w:rPr>
            </w:pPr>
          </w:p>
        </w:tc>
        <w:tc>
          <w:tcPr>
            <w:tcW w:w="2480" w:type="dxa"/>
            <w:vAlign w:val="bottom"/>
            <w:shd w:val="clear" w:color="auto" w:fill="D7D8D6"/>
          </w:tcPr>
          <w:p>
            <w:pPr>
              <w:spacing w:after="0"/>
              <w:rPr>
                <w:sz w:val="11"/>
                <w:szCs w:val="11"/>
                <w:color w:val="auto"/>
              </w:rPr>
            </w:pPr>
          </w:p>
        </w:tc>
        <w:tc>
          <w:tcPr>
            <w:tcW w:w="3420" w:type="dxa"/>
            <w:vAlign w:val="bottom"/>
            <w:shd w:val="clear" w:color="auto" w:fill="D7D8D6"/>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1280" w:type="dxa"/>
            <w:vAlign w:val="bottom"/>
            <w:shd w:val="clear" w:color="auto" w:fill="D7D8D6"/>
          </w:tcPr>
          <w:p>
            <w:pPr>
              <w:ind w:left="140"/>
              <w:spacing w:after="0"/>
              <w:rPr>
                <w:sz w:val="20"/>
                <w:szCs w:val="20"/>
                <w:color w:val="auto"/>
              </w:rPr>
            </w:pPr>
            <w:r>
              <w:rPr>
                <w:rFonts w:ascii="Arial" w:cs="Arial" w:eastAsia="Arial" w:hAnsi="Arial"/>
                <w:sz w:val="11"/>
                <w:szCs w:val="11"/>
                <w:b w:val="1"/>
                <w:bCs w:val="1"/>
                <w:color w:val="333740"/>
              </w:rPr>
              <w:t>3</w:t>
            </w:r>
          </w:p>
        </w:tc>
        <w:tc>
          <w:tcPr>
            <w:tcW w:w="9960" w:type="dxa"/>
            <w:vAlign w:val="bottom"/>
            <w:gridSpan w:val="4"/>
            <w:shd w:val="clear" w:color="auto" w:fill="D7D8D6"/>
          </w:tcPr>
          <w:p>
            <w:pPr>
              <w:ind w:left="20"/>
              <w:spacing w:after="0"/>
              <w:rPr>
                <w:sz w:val="20"/>
                <w:szCs w:val="20"/>
                <w:color w:val="auto"/>
              </w:rPr>
            </w:pPr>
            <w:r>
              <w:rPr>
                <w:rFonts w:ascii="Arial" w:cs="Arial" w:eastAsia="Arial" w:hAnsi="Arial"/>
                <w:sz w:val="11"/>
                <w:szCs w:val="11"/>
                <w:b w:val="1"/>
                <w:bCs w:val="1"/>
                <w:color w:val="333740"/>
              </w:rPr>
              <w:t>2019 U.K. Directors’ Remuneration Report</w:t>
            </w:r>
            <w:r>
              <w:rPr>
                <w:rFonts w:ascii="Arial" w:cs="Arial" w:eastAsia="Arial" w:hAnsi="Arial"/>
                <w:sz w:val="11"/>
                <w:szCs w:val="11"/>
                <w:color w:val="333740"/>
              </w:rPr>
              <w:t>: To approve, as a non-binding advisory resolution, the Company’s directors’ remuneration report for the year ended December 31, 2019, as reported in the</w:t>
            </w:r>
          </w:p>
        </w:tc>
        <w:tc>
          <w:tcPr>
            <w:tcW w:w="0" w:type="dxa"/>
            <w:vAlign w:val="bottom"/>
          </w:tcPr>
          <w:p>
            <w:pPr>
              <w:spacing w:after="0"/>
              <w:rPr>
                <w:sz w:val="1"/>
                <w:szCs w:val="1"/>
                <w:color w:val="auto"/>
              </w:rPr>
            </w:pPr>
          </w:p>
        </w:tc>
      </w:tr>
      <w:tr>
        <w:trPr>
          <w:trHeight w:val="133"/>
        </w:trPr>
        <w:tc>
          <w:tcPr>
            <w:tcW w:w="1280" w:type="dxa"/>
            <w:vAlign w:val="bottom"/>
            <w:shd w:val="clear" w:color="auto" w:fill="D7D8D6"/>
          </w:tcPr>
          <w:p>
            <w:pPr>
              <w:spacing w:after="0"/>
              <w:rPr>
                <w:sz w:val="11"/>
                <w:szCs w:val="11"/>
                <w:color w:val="auto"/>
              </w:rPr>
            </w:pPr>
          </w:p>
        </w:tc>
        <w:tc>
          <w:tcPr>
            <w:tcW w:w="2340" w:type="dxa"/>
            <w:vAlign w:val="bottom"/>
            <w:shd w:val="clear" w:color="auto" w:fill="D7D8D6"/>
          </w:tcPr>
          <w:p>
            <w:pPr>
              <w:ind w:left="20"/>
              <w:spacing w:after="0"/>
              <w:rPr>
                <w:sz w:val="20"/>
                <w:szCs w:val="20"/>
                <w:color w:val="auto"/>
              </w:rPr>
            </w:pPr>
            <w:r>
              <w:rPr>
                <w:rFonts w:ascii="Arial" w:cs="Arial" w:eastAsia="Arial" w:hAnsi="Arial"/>
                <w:sz w:val="11"/>
                <w:szCs w:val="11"/>
                <w:color w:val="333740"/>
              </w:rPr>
              <w:t>Company’s U.K. Annual Report and Accounts</w:t>
            </w:r>
          </w:p>
        </w:tc>
        <w:tc>
          <w:tcPr>
            <w:tcW w:w="1720" w:type="dxa"/>
            <w:vAlign w:val="bottom"/>
            <w:shd w:val="clear" w:color="auto" w:fill="D7D8D6"/>
          </w:tcPr>
          <w:p>
            <w:pPr>
              <w:spacing w:after="0"/>
              <w:rPr>
                <w:sz w:val="11"/>
                <w:szCs w:val="11"/>
                <w:color w:val="auto"/>
              </w:rPr>
            </w:pPr>
          </w:p>
        </w:tc>
        <w:tc>
          <w:tcPr>
            <w:tcW w:w="2480" w:type="dxa"/>
            <w:vAlign w:val="bottom"/>
            <w:shd w:val="clear" w:color="auto" w:fill="D7D8D6"/>
          </w:tcPr>
          <w:p>
            <w:pPr>
              <w:spacing w:after="0"/>
              <w:rPr>
                <w:sz w:val="11"/>
                <w:szCs w:val="11"/>
                <w:color w:val="auto"/>
              </w:rPr>
            </w:pPr>
          </w:p>
        </w:tc>
        <w:tc>
          <w:tcPr>
            <w:tcW w:w="3420" w:type="dxa"/>
            <w:vAlign w:val="bottom"/>
            <w:shd w:val="clear" w:color="auto" w:fill="D7D8D6"/>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280" w:type="dxa"/>
            <w:vAlign w:val="bottom"/>
            <w:shd w:val="clear" w:color="auto" w:fill="D7D8D6"/>
          </w:tcPr>
          <w:p>
            <w:pPr>
              <w:ind w:left="140"/>
              <w:spacing w:after="0"/>
              <w:rPr>
                <w:sz w:val="20"/>
                <w:szCs w:val="20"/>
                <w:color w:val="auto"/>
              </w:rPr>
            </w:pPr>
            <w:r>
              <w:rPr>
                <w:rFonts w:ascii="Arial" w:cs="Arial" w:eastAsia="Arial" w:hAnsi="Arial"/>
                <w:sz w:val="11"/>
                <w:szCs w:val="11"/>
                <w:b w:val="1"/>
                <w:bCs w:val="1"/>
                <w:color w:val="333740"/>
              </w:rPr>
              <w:t>4</w:t>
            </w:r>
          </w:p>
        </w:tc>
        <w:tc>
          <w:tcPr>
            <w:tcW w:w="9960" w:type="dxa"/>
            <w:vAlign w:val="bottom"/>
            <w:gridSpan w:val="4"/>
            <w:shd w:val="clear" w:color="auto" w:fill="D7D8D6"/>
          </w:tcPr>
          <w:p>
            <w:pPr>
              <w:ind w:left="20"/>
              <w:spacing w:after="0"/>
              <w:rPr>
                <w:sz w:val="20"/>
                <w:szCs w:val="20"/>
                <w:color w:val="auto"/>
              </w:rPr>
            </w:pPr>
            <w:r>
              <w:rPr>
                <w:rFonts w:ascii="Arial" w:cs="Arial" w:eastAsia="Arial" w:hAnsi="Arial"/>
                <w:sz w:val="11"/>
                <w:szCs w:val="11"/>
                <w:b w:val="1"/>
                <w:bCs w:val="1"/>
                <w:color w:val="333740"/>
              </w:rPr>
              <w:t>Receipt of U.K. Annual Report and Accounts</w:t>
            </w:r>
            <w:r>
              <w:rPr>
                <w:rFonts w:ascii="Arial" w:cs="Arial" w:eastAsia="Arial" w:hAnsi="Arial"/>
                <w:sz w:val="11"/>
                <w:szCs w:val="11"/>
                <w:color w:val="333740"/>
              </w:rPr>
              <w:t>: To receive the Company’s audited U.K. accounts for the year ended December 31, 2019, including the reports of the directors and the auditor thereon</w:t>
            </w:r>
          </w:p>
        </w:tc>
        <w:tc>
          <w:tcPr>
            <w:tcW w:w="0" w:type="dxa"/>
            <w:vAlign w:val="bottom"/>
          </w:tcPr>
          <w:p>
            <w:pPr>
              <w:spacing w:after="0"/>
              <w:rPr>
                <w:sz w:val="1"/>
                <w:szCs w:val="1"/>
                <w:color w:val="auto"/>
              </w:rPr>
            </w:pPr>
          </w:p>
        </w:tc>
      </w:tr>
      <w:tr>
        <w:trPr>
          <w:trHeight w:val="246"/>
        </w:trPr>
        <w:tc>
          <w:tcPr>
            <w:tcW w:w="1280" w:type="dxa"/>
            <w:vAlign w:val="bottom"/>
            <w:shd w:val="clear" w:color="auto" w:fill="D7D8D6"/>
          </w:tcPr>
          <w:p>
            <w:pPr>
              <w:ind w:left="140"/>
              <w:spacing w:after="0"/>
              <w:rPr>
                <w:sz w:val="20"/>
                <w:szCs w:val="20"/>
                <w:color w:val="auto"/>
              </w:rPr>
            </w:pPr>
            <w:r>
              <w:rPr>
                <w:rFonts w:ascii="Arial" w:cs="Arial" w:eastAsia="Arial" w:hAnsi="Arial"/>
                <w:sz w:val="11"/>
                <w:szCs w:val="11"/>
                <w:b w:val="1"/>
                <w:bCs w:val="1"/>
                <w:color w:val="333740"/>
              </w:rPr>
              <w:t>5</w:t>
            </w:r>
          </w:p>
        </w:tc>
        <w:tc>
          <w:tcPr>
            <w:tcW w:w="9960" w:type="dxa"/>
            <w:vAlign w:val="bottom"/>
            <w:gridSpan w:val="4"/>
            <w:shd w:val="clear" w:color="auto" w:fill="D7D8D6"/>
          </w:tcPr>
          <w:p>
            <w:pPr>
              <w:ind w:left="20"/>
              <w:spacing w:after="0"/>
              <w:rPr>
                <w:sz w:val="20"/>
                <w:szCs w:val="20"/>
                <w:color w:val="auto"/>
              </w:rPr>
            </w:pPr>
            <w:r>
              <w:rPr>
                <w:rFonts w:ascii="Arial" w:cs="Arial" w:eastAsia="Arial" w:hAnsi="Arial"/>
                <w:sz w:val="11"/>
                <w:szCs w:val="11"/>
                <w:b w:val="1"/>
                <w:bCs w:val="1"/>
                <w:color w:val="333740"/>
              </w:rPr>
              <w:t>Ratification of PwC as U.S. Audito</w:t>
            </w:r>
            <w:r>
              <w:rPr>
                <w:rFonts w:ascii="Arial" w:cs="Arial" w:eastAsia="Arial" w:hAnsi="Arial"/>
                <w:sz w:val="11"/>
                <w:szCs w:val="11"/>
                <w:color w:val="333740"/>
              </w:rPr>
              <w:t>r: To ratify the appointment of PricewaterhouseCoopers LLP (“</w:t>
            </w:r>
            <w:r>
              <w:rPr>
                <w:rFonts w:ascii="Arial" w:cs="Arial" w:eastAsia="Arial" w:hAnsi="Arial"/>
                <w:sz w:val="11"/>
                <w:szCs w:val="11"/>
                <w:b w:val="1"/>
                <w:bCs w:val="1"/>
                <w:color w:val="333740"/>
              </w:rPr>
              <w:t>PwC</w:t>
            </w:r>
            <w:r>
              <w:rPr>
                <w:rFonts w:ascii="Arial" w:cs="Arial" w:eastAsia="Arial" w:hAnsi="Arial"/>
                <w:sz w:val="11"/>
                <w:szCs w:val="11"/>
                <w:color w:val="333740"/>
              </w:rPr>
              <w:t>”) as the Company’s U.S. independent registered public accounting firm for the year ending</w:t>
            </w:r>
          </w:p>
        </w:tc>
        <w:tc>
          <w:tcPr>
            <w:tcW w:w="0" w:type="dxa"/>
            <w:vAlign w:val="bottom"/>
          </w:tcPr>
          <w:p>
            <w:pPr>
              <w:spacing w:after="0"/>
              <w:rPr>
                <w:sz w:val="1"/>
                <w:szCs w:val="1"/>
                <w:color w:val="auto"/>
              </w:rPr>
            </w:pPr>
          </w:p>
        </w:tc>
      </w:tr>
      <w:tr>
        <w:trPr>
          <w:trHeight w:val="133"/>
        </w:trPr>
        <w:tc>
          <w:tcPr>
            <w:tcW w:w="1280" w:type="dxa"/>
            <w:vAlign w:val="bottom"/>
            <w:shd w:val="clear" w:color="auto" w:fill="D7D8D6"/>
          </w:tcPr>
          <w:p>
            <w:pPr>
              <w:spacing w:after="0"/>
              <w:rPr>
                <w:sz w:val="11"/>
                <w:szCs w:val="11"/>
                <w:color w:val="auto"/>
              </w:rPr>
            </w:pPr>
          </w:p>
        </w:tc>
        <w:tc>
          <w:tcPr>
            <w:tcW w:w="2340" w:type="dxa"/>
            <w:vAlign w:val="bottom"/>
            <w:shd w:val="clear" w:color="auto" w:fill="D7D8D6"/>
          </w:tcPr>
          <w:p>
            <w:pPr>
              <w:ind w:left="20"/>
              <w:spacing w:after="0"/>
              <w:rPr>
                <w:sz w:val="20"/>
                <w:szCs w:val="20"/>
                <w:color w:val="auto"/>
              </w:rPr>
            </w:pPr>
            <w:r>
              <w:rPr>
                <w:rFonts w:ascii="Arial" w:cs="Arial" w:eastAsia="Arial" w:hAnsi="Arial"/>
                <w:sz w:val="11"/>
                <w:szCs w:val="11"/>
                <w:color w:val="333740"/>
              </w:rPr>
              <w:t>December 31, 2020</w:t>
            </w:r>
          </w:p>
        </w:tc>
        <w:tc>
          <w:tcPr>
            <w:tcW w:w="1720" w:type="dxa"/>
            <w:vAlign w:val="bottom"/>
            <w:shd w:val="clear" w:color="auto" w:fill="D7D8D6"/>
          </w:tcPr>
          <w:p>
            <w:pPr>
              <w:spacing w:after="0"/>
              <w:rPr>
                <w:sz w:val="11"/>
                <w:szCs w:val="11"/>
                <w:color w:val="auto"/>
              </w:rPr>
            </w:pPr>
          </w:p>
        </w:tc>
        <w:tc>
          <w:tcPr>
            <w:tcW w:w="2480" w:type="dxa"/>
            <w:vAlign w:val="bottom"/>
            <w:shd w:val="clear" w:color="auto" w:fill="D7D8D6"/>
          </w:tcPr>
          <w:p>
            <w:pPr>
              <w:spacing w:after="0"/>
              <w:rPr>
                <w:sz w:val="11"/>
                <w:szCs w:val="11"/>
                <w:color w:val="auto"/>
              </w:rPr>
            </w:pPr>
          </w:p>
        </w:tc>
        <w:tc>
          <w:tcPr>
            <w:tcW w:w="3420" w:type="dxa"/>
            <w:vAlign w:val="bottom"/>
            <w:shd w:val="clear" w:color="auto" w:fill="D7D8D6"/>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1280" w:type="dxa"/>
            <w:vAlign w:val="bottom"/>
            <w:shd w:val="clear" w:color="auto" w:fill="D7D8D6"/>
          </w:tcPr>
          <w:p>
            <w:pPr>
              <w:ind w:left="140"/>
              <w:spacing w:after="0"/>
              <w:rPr>
                <w:sz w:val="20"/>
                <w:szCs w:val="20"/>
                <w:color w:val="auto"/>
              </w:rPr>
            </w:pPr>
            <w:r>
              <w:rPr>
                <w:rFonts w:ascii="Arial" w:cs="Arial" w:eastAsia="Arial" w:hAnsi="Arial"/>
                <w:sz w:val="11"/>
                <w:szCs w:val="11"/>
                <w:b w:val="1"/>
                <w:bCs w:val="1"/>
                <w:color w:val="333740"/>
              </w:rPr>
              <w:t>6</w:t>
            </w:r>
          </w:p>
        </w:tc>
        <w:tc>
          <w:tcPr>
            <w:tcW w:w="9960" w:type="dxa"/>
            <w:vAlign w:val="bottom"/>
            <w:gridSpan w:val="4"/>
            <w:shd w:val="clear" w:color="auto" w:fill="D7D8D6"/>
          </w:tcPr>
          <w:p>
            <w:pPr>
              <w:ind w:left="20"/>
              <w:spacing w:after="0"/>
              <w:rPr>
                <w:sz w:val="20"/>
                <w:szCs w:val="20"/>
                <w:color w:val="auto"/>
              </w:rPr>
            </w:pPr>
            <w:r>
              <w:rPr>
                <w:rFonts w:ascii="Arial" w:cs="Arial" w:eastAsia="Arial" w:hAnsi="Arial"/>
                <w:sz w:val="11"/>
                <w:szCs w:val="11"/>
                <w:b w:val="1"/>
                <w:bCs w:val="1"/>
                <w:color w:val="333740"/>
              </w:rPr>
              <w:t>Reappointment of PwC as U.K. Statutory Auditor</w:t>
            </w:r>
            <w:r>
              <w:rPr>
                <w:rFonts w:ascii="Arial" w:cs="Arial" w:eastAsia="Arial" w:hAnsi="Arial"/>
                <w:sz w:val="11"/>
                <w:szCs w:val="11"/>
                <w:color w:val="333740"/>
              </w:rPr>
              <w:t>: To reappoint PwC as the Company’s U.K. statutory auditor under the U.K. Companies Act 2006, to hold office from the conclusion of the 2020</w:t>
            </w:r>
          </w:p>
        </w:tc>
        <w:tc>
          <w:tcPr>
            <w:tcW w:w="0" w:type="dxa"/>
            <w:vAlign w:val="bottom"/>
          </w:tcPr>
          <w:p>
            <w:pPr>
              <w:spacing w:after="0"/>
              <w:rPr>
                <w:sz w:val="1"/>
                <w:szCs w:val="1"/>
                <w:color w:val="auto"/>
              </w:rPr>
            </w:pPr>
          </w:p>
        </w:tc>
      </w:tr>
      <w:tr>
        <w:trPr>
          <w:trHeight w:val="133"/>
        </w:trPr>
        <w:tc>
          <w:tcPr>
            <w:tcW w:w="1280" w:type="dxa"/>
            <w:vAlign w:val="bottom"/>
            <w:shd w:val="clear" w:color="auto" w:fill="D7D8D6"/>
          </w:tcPr>
          <w:p>
            <w:pPr>
              <w:spacing w:after="0"/>
              <w:rPr>
                <w:sz w:val="11"/>
                <w:szCs w:val="11"/>
                <w:color w:val="auto"/>
              </w:rPr>
            </w:pPr>
          </w:p>
        </w:tc>
        <w:tc>
          <w:tcPr>
            <w:tcW w:w="6540" w:type="dxa"/>
            <w:vAlign w:val="bottom"/>
            <w:gridSpan w:val="3"/>
            <w:shd w:val="clear" w:color="auto" w:fill="D7D8D6"/>
          </w:tcPr>
          <w:p>
            <w:pPr>
              <w:ind w:left="20"/>
              <w:spacing w:after="0"/>
              <w:rPr>
                <w:sz w:val="20"/>
                <w:szCs w:val="20"/>
                <w:color w:val="auto"/>
              </w:rPr>
            </w:pPr>
            <w:r>
              <w:rPr>
                <w:rFonts w:ascii="Arial" w:cs="Arial" w:eastAsia="Arial" w:hAnsi="Arial"/>
                <w:sz w:val="11"/>
                <w:szCs w:val="11"/>
                <w:color w:val="333740"/>
              </w:rPr>
              <w:t>Annual General Meeting of Shareholders until the next annual general meeting of shareholders at which accounts are laid</w:t>
            </w:r>
          </w:p>
        </w:tc>
        <w:tc>
          <w:tcPr>
            <w:tcW w:w="3420" w:type="dxa"/>
            <w:vAlign w:val="bottom"/>
            <w:shd w:val="clear" w:color="auto" w:fill="D7D8D6"/>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1280" w:type="dxa"/>
            <w:vAlign w:val="bottom"/>
            <w:shd w:val="clear" w:color="auto" w:fill="D7D8D6"/>
          </w:tcPr>
          <w:p>
            <w:pPr>
              <w:ind w:left="140"/>
              <w:spacing w:after="0"/>
              <w:rPr>
                <w:sz w:val="20"/>
                <w:szCs w:val="20"/>
                <w:color w:val="auto"/>
              </w:rPr>
            </w:pPr>
            <w:r>
              <w:rPr>
                <w:rFonts w:ascii="Arial" w:cs="Arial" w:eastAsia="Arial" w:hAnsi="Arial"/>
                <w:sz w:val="11"/>
                <w:szCs w:val="11"/>
                <w:b w:val="1"/>
                <w:bCs w:val="1"/>
                <w:color w:val="333740"/>
              </w:rPr>
              <w:t>7</w:t>
            </w:r>
          </w:p>
        </w:tc>
        <w:tc>
          <w:tcPr>
            <w:tcW w:w="9960" w:type="dxa"/>
            <w:vAlign w:val="bottom"/>
            <w:gridSpan w:val="4"/>
            <w:shd w:val="clear" w:color="auto" w:fill="D7D8D6"/>
          </w:tcPr>
          <w:p>
            <w:pPr>
              <w:ind w:left="20"/>
              <w:spacing w:after="0"/>
              <w:rPr>
                <w:sz w:val="20"/>
                <w:szCs w:val="20"/>
                <w:color w:val="auto"/>
              </w:rPr>
            </w:pPr>
            <w:r>
              <w:rPr>
                <w:rFonts w:ascii="Arial" w:cs="Arial" w:eastAsia="Arial" w:hAnsi="Arial"/>
                <w:sz w:val="11"/>
                <w:szCs w:val="11"/>
                <w:b w:val="1"/>
                <w:bCs w:val="1"/>
                <w:color w:val="333740"/>
              </w:rPr>
              <w:t>Approval of U.K. Statutory Auditor Fees</w:t>
            </w:r>
            <w:r>
              <w:rPr>
                <w:rFonts w:ascii="Arial" w:cs="Arial" w:eastAsia="Arial" w:hAnsi="Arial"/>
                <w:sz w:val="11"/>
                <w:szCs w:val="11"/>
                <w:color w:val="333740"/>
              </w:rPr>
              <w:t>: To authorize the Board and/or the Audit Committee to determine the remuneration of PwC, in its capacity as the Company’s U.K. statutory auditor for the year</w:t>
            </w:r>
          </w:p>
        </w:tc>
        <w:tc>
          <w:tcPr>
            <w:tcW w:w="0" w:type="dxa"/>
            <w:vAlign w:val="bottom"/>
          </w:tcPr>
          <w:p>
            <w:pPr>
              <w:spacing w:after="0"/>
              <w:rPr>
                <w:sz w:val="1"/>
                <w:szCs w:val="1"/>
                <w:color w:val="auto"/>
              </w:rPr>
            </w:pPr>
          </w:p>
        </w:tc>
      </w:tr>
      <w:tr>
        <w:trPr>
          <w:trHeight w:val="133"/>
        </w:trPr>
        <w:tc>
          <w:tcPr>
            <w:tcW w:w="1280" w:type="dxa"/>
            <w:vAlign w:val="bottom"/>
            <w:shd w:val="clear" w:color="auto" w:fill="D7D8D6"/>
          </w:tcPr>
          <w:p>
            <w:pPr>
              <w:spacing w:after="0"/>
              <w:rPr>
                <w:sz w:val="11"/>
                <w:szCs w:val="11"/>
                <w:color w:val="auto"/>
              </w:rPr>
            </w:pPr>
          </w:p>
        </w:tc>
        <w:tc>
          <w:tcPr>
            <w:tcW w:w="2340" w:type="dxa"/>
            <w:vAlign w:val="bottom"/>
            <w:shd w:val="clear" w:color="auto" w:fill="D7D8D6"/>
          </w:tcPr>
          <w:p>
            <w:pPr>
              <w:ind w:left="20"/>
              <w:spacing w:after="0"/>
              <w:rPr>
                <w:sz w:val="20"/>
                <w:szCs w:val="20"/>
                <w:color w:val="auto"/>
              </w:rPr>
            </w:pPr>
            <w:r>
              <w:rPr>
                <w:rFonts w:ascii="Arial" w:cs="Arial" w:eastAsia="Arial" w:hAnsi="Arial"/>
                <w:sz w:val="11"/>
                <w:szCs w:val="11"/>
                <w:color w:val="333740"/>
              </w:rPr>
              <w:t>ending December 31, 2020</w:t>
            </w:r>
          </w:p>
        </w:tc>
        <w:tc>
          <w:tcPr>
            <w:tcW w:w="1720" w:type="dxa"/>
            <w:vAlign w:val="bottom"/>
            <w:shd w:val="clear" w:color="auto" w:fill="D7D8D6"/>
          </w:tcPr>
          <w:p>
            <w:pPr>
              <w:spacing w:after="0"/>
              <w:rPr>
                <w:sz w:val="11"/>
                <w:szCs w:val="11"/>
                <w:color w:val="auto"/>
              </w:rPr>
            </w:pPr>
          </w:p>
        </w:tc>
        <w:tc>
          <w:tcPr>
            <w:tcW w:w="2480" w:type="dxa"/>
            <w:vAlign w:val="bottom"/>
            <w:shd w:val="clear" w:color="auto" w:fill="D7D8D6"/>
          </w:tcPr>
          <w:p>
            <w:pPr>
              <w:spacing w:after="0"/>
              <w:rPr>
                <w:sz w:val="11"/>
                <w:szCs w:val="11"/>
                <w:color w:val="auto"/>
              </w:rPr>
            </w:pPr>
          </w:p>
        </w:tc>
        <w:tc>
          <w:tcPr>
            <w:tcW w:w="3420" w:type="dxa"/>
            <w:vAlign w:val="bottom"/>
            <w:shd w:val="clear" w:color="auto" w:fill="D7D8D6"/>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280" w:type="dxa"/>
            <w:vAlign w:val="bottom"/>
            <w:shd w:val="clear" w:color="auto" w:fill="D7D8D6"/>
          </w:tcPr>
          <w:p>
            <w:pPr>
              <w:spacing w:after="0"/>
              <w:rPr>
                <w:sz w:val="2"/>
                <w:szCs w:val="2"/>
                <w:color w:val="auto"/>
              </w:rPr>
            </w:pPr>
          </w:p>
        </w:tc>
        <w:tc>
          <w:tcPr>
            <w:tcW w:w="2340" w:type="dxa"/>
            <w:vAlign w:val="bottom"/>
            <w:shd w:val="clear" w:color="auto" w:fill="D7D8D6"/>
          </w:tcPr>
          <w:p>
            <w:pPr>
              <w:spacing w:after="0"/>
              <w:rPr>
                <w:sz w:val="2"/>
                <w:szCs w:val="2"/>
                <w:color w:val="auto"/>
              </w:rPr>
            </w:pPr>
          </w:p>
        </w:tc>
        <w:tc>
          <w:tcPr>
            <w:tcW w:w="1720" w:type="dxa"/>
            <w:vAlign w:val="bottom"/>
            <w:shd w:val="clear" w:color="auto" w:fill="D7D8D6"/>
          </w:tcPr>
          <w:p>
            <w:pPr>
              <w:spacing w:after="0"/>
              <w:rPr>
                <w:sz w:val="2"/>
                <w:szCs w:val="2"/>
                <w:color w:val="auto"/>
              </w:rPr>
            </w:pPr>
          </w:p>
        </w:tc>
        <w:tc>
          <w:tcPr>
            <w:tcW w:w="2480" w:type="dxa"/>
            <w:vAlign w:val="bottom"/>
            <w:shd w:val="clear" w:color="auto" w:fill="D7D8D6"/>
          </w:tcPr>
          <w:p>
            <w:pPr>
              <w:spacing w:after="0"/>
              <w:rPr>
                <w:sz w:val="2"/>
                <w:szCs w:val="2"/>
                <w:color w:val="auto"/>
              </w:rPr>
            </w:pPr>
          </w:p>
        </w:tc>
        <w:tc>
          <w:tcPr>
            <w:tcW w:w="3420" w:type="dxa"/>
            <w:vAlign w:val="bottom"/>
            <w:shd w:val="clear" w:color="auto" w:fill="D7D8D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4" w:right="120"/>
        <w:spacing w:after="0" w:line="239" w:lineRule="auto"/>
        <w:rPr>
          <w:sz w:val="20"/>
          <w:szCs w:val="20"/>
          <w:color w:val="auto"/>
        </w:rPr>
      </w:pPr>
      <w:r>
        <w:rPr>
          <w:rFonts w:ascii="Arial" w:cs="Arial" w:eastAsia="Arial" w:hAnsi="Arial"/>
          <w:sz w:val="11"/>
          <w:szCs w:val="11"/>
          <w:color w:val="333740"/>
        </w:rPr>
        <w:t>These items are more fully described in the Proxy Statement attached, which forms a part of this Notice of Annual Meeting. As of the date of the Proxy Statement, TechnipFMC does not know of any other matters to be raised at the 2020 Annual General Meeting of Shareholders.</w:t>
      </w:r>
    </w:p>
    <w:p>
      <w:pPr>
        <w:spacing w:after="0" w:line="69" w:lineRule="exact"/>
        <w:rPr>
          <w:sz w:val="20"/>
          <w:szCs w:val="20"/>
          <w:color w:val="auto"/>
        </w:rPr>
      </w:pPr>
    </w:p>
    <w:p>
      <w:pPr>
        <w:jc w:val="both"/>
        <w:ind w:left="4"/>
        <w:spacing w:after="0" w:line="246" w:lineRule="auto"/>
        <w:rPr>
          <w:sz w:val="20"/>
          <w:szCs w:val="20"/>
          <w:color w:val="auto"/>
        </w:rPr>
      </w:pPr>
      <w:r>
        <w:rPr>
          <w:rFonts w:ascii="Arial" w:cs="Arial" w:eastAsia="Arial" w:hAnsi="Arial"/>
          <w:sz w:val="11"/>
          <w:szCs w:val="11"/>
          <w:b w:val="1"/>
          <w:bCs w:val="1"/>
          <w:color w:val="333740"/>
        </w:rPr>
        <w:t>Your vote is very important. Whether or not you plan to attend the 2020 Annual General Meeting of Shareholders in person, please (i) promptly return the enclosed proxy card in the enclosed envelope, or (ii) grant a proxy and give voting instructions by telephone or internet, so that you may be represented at the meeting. Voting instructions are provided on your proxy card or on the voting instruction form provided by your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5486400</wp:posOffset>
            </wp:positionH>
            <wp:positionV relativeFrom="paragraph">
              <wp:posOffset>129540</wp:posOffset>
            </wp:positionV>
            <wp:extent cx="1661795" cy="1464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1795" cy="1464310"/>
                    </a:xfrm>
                    <a:prstGeom prst="rect">
                      <a:avLst/>
                    </a:prstGeom>
                    <a:noFill/>
                  </pic:spPr>
                </pic:pic>
              </a:graphicData>
            </a:graphic>
          </wp:anchor>
        </w:drawing>
      </w:r>
    </w:p>
    <w:p>
      <w:pPr>
        <w:spacing w:after="0" w:line="262" w:lineRule="exact"/>
        <w:rPr>
          <w:sz w:val="20"/>
          <w:szCs w:val="20"/>
          <w:color w:val="auto"/>
        </w:rPr>
      </w:pPr>
    </w:p>
    <w:p>
      <w:pPr>
        <w:ind w:left="4"/>
        <w:spacing w:after="0"/>
        <w:rPr>
          <w:sz w:val="20"/>
          <w:szCs w:val="20"/>
          <w:color w:val="auto"/>
        </w:rPr>
      </w:pPr>
      <w:r>
        <w:rPr>
          <w:rFonts w:ascii="Arial" w:cs="Arial" w:eastAsia="Arial" w:hAnsi="Arial"/>
          <w:sz w:val="11"/>
          <w:szCs w:val="11"/>
          <w:color w:val="333740"/>
        </w:rPr>
        <w:t>March 13, 2020</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1"/>
          <w:szCs w:val="11"/>
          <w:color w:val="333740"/>
        </w:rPr>
        <w:t>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108075" cy="212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0807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
        <w:spacing w:after="0"/>
        <w:rPr>
          <w:sz w:val="20"/>
          <w:szCs w:val="20"/>
          <w:color w:val="auto"/>
        </w:rPr>
      </w:pPr>
      <w:r>
        <w:rPr>
          <w:rFonts w:ascii="Arial" w:cs="Arial" w:eastAsia="Arial" w:hAnsi="Arial"/>
          <w:sz w:val="11"/>
          <w:szCs w:val="11"/>
          <w:b w:val="1"/>
          <w:bCs w:val="1"/>
          <w:color w:val="333740"/>
        </w:rPr>
        <w:t>Dianne B. Ralston</w:t>
      </w:r>
    </w:p>
    <w:p>
      <w:pPr>
        <w:spacing w:after="0" w:line="53" w:lineRule="exact"/>
        <w:rPr>
          <w:sz w:val="20"/>
          <w:szCs w:val="20"/>
          <w:color w:val="auto"/>
        </w:rPr>
      </w:pPr>
    </w:p>
    <w:p>
      <w:pPr>
        <w:ind w:left="4"/>
        <w:spacing w:after="0"/>
        <w:rPr>
          <w:sz w:val="20"/>
          <w:szCs w:val="20"/>
          <w:color w:val="auto"/>
        </w:rPr>
      </w:pPr>
      <w:r>
        <w:rPr>
          <w:rFonts w:ascii="Arial" w:cs="Arial" w:eastAsia="Arial" w:hAnsi="Arial"/>
          <w:sz w:val="11"/>
          <w:szCs w:val="11"/>
          <w:b w:val="1"/>
          <w:bCs w:val="1"/>
          <w:color w:val="333740"/>
        </w:rPr>
        <w:t>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 w:hanging="564"/>
        <w:spacing w:after="0"/>
        <w:tabs>
          <w:tab w:leader="none" w:pos="564" w:val="left"/>
        </w:tabs>
        <w:numPr>
          <w:ilvl w:val="0"/>
          <w:numId w:val="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128" w:right="339" w:bottom="1440" w:gutter="0" w:footer="0" w:header="0"/>
        </w:sectPr>
      </w:pPr>
    </w:p>
    <w:bookmarkStart w:id="3" w:name="page4"/>
    <w:bookmarkEnd w:id="3"/>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71" w:lineRule="exact"/>
        <w:rPr>
          <w:sz w:val="20"/>
          <w:szCs w:val="20"/>
          <w:color w:val="auto"/>
        </w:rPr>
      </w:pPr>
    </w:p>
    <w:p>
      <w:pPr>
        <w:ind w:left="4" w:right="5040"/>
        <w:spacing w:after="0" w:line="283" w:lineRule="auto"/>
        <w:rPr>
          <w:sz w:val="20"/>
          <w:szCs w:val="20"/>
          <w:color w:val="auto"/>
        </w:rPr>
      </w:pPr>
      <w:r>
        <w:rPr>
          <w:rFonts w:ascii="Arial" w:cs="Arial" w:eastAsia="Arial" w:hAnsi="Arial"/>
          <w:sz w:val="33"/>
          <w:szCs w:val="33"/>
          <w:color w:val="481F6E"/>
        </w:rPr>
        <w:t>Proxy Statement for the 2020 Annual General Meeting of Shareholders</w:t>
      </w:r>
    </w:p>
    <w:p>
      <w:pPr>
        <w:spacing w:after="0" w:line="2" w:lineRule="exact"/>
        <w:rPr>
          <w:sz w:val="20"/>
          <w:szCs w:val="20"/>
          <w:color w:val="auto"/>
        </w:rPr>
      </w:pPr>
    </w:p>
    <w:p>
      <w:pPr>
        <w:ind w:left="4" w:right="200"/>
        <w:spacing w:after="0" w:line="242" w:lineRule="auto"/>
        <w:rPr>
          <w:sz w:val="20"/>
          <w:szCs w:val="20"/>
          <w:color w:val="auto"/>
        </w:rPr>
      </w:pPr>
      <w:r>
        <w:rPr>
          <w:rFonts w:ascii="Arial" w:cs="Arial" w:eastAsia="Arial" w:hAnsi="Arial"/>
          <w:sz w:val="19"/>
          <w:szCs w:val="19"/>
          <w:color w:val="333740"/>
        </w:rPr>
        <w:t>This Proxy Statement relates to the solicitation of votes or proxies by the Board of Directors (the “</w:t>
      </w:r>
      <w:r>
        <w:rPr>
          <w:rFonts w:ascii="Arial" w:cs="Arial" w:eastAsia="Arial" w:hAnsi="Arial"/>
          <w:sz w:val="19"/>
          <w:szCs w:val="19"/>
          <w:b w:val="1"/>
          <w:bCs w:val="1"/>
          <w:color w:val="333740"/>
        </w:rPr>
        <w:t>Board</w:t>
      </w:r>
      <w:r>
        <w:rPr>
          <w:rFonts w:ascii="Arial" w:cs="Arial" w:eastAsia="Arial" w:hAnsi="Arial"/>
          <w:sz w:val="19"/>
          <w:szCs w:val="19"/>
          <w:color w:val="333740"/>
        </w:rPr>
        <w:t>”) of TechnipFMC plc (the “</w:t>
      </w:r>
      <w:r>
        <w:rPr>
          <w:rFonts w:ascii="Arial" w:cs="Arial" w:eastAsia="Arial" w:hAnsi="Arial"/>
          <w:sz w:val="19"/>
          <w:szCs w:val="19"/>
          <w:b w:val="1"/>
          <w:bCs w:val="1"/>
          <w:color w:val="333740"/>
        </w:rPr>
        <w:t>Company</w:t>
      </w:r>
      <w:r>
        <w:rPr>
          <w:rFonts w:ascii="Arial" w:cs="Arial" w:eastAsia="Arial" w:hAnsi="Arial"/>
          <w:sz w:val="19"/>
          <w:szCs w:val="19"/>
          <w:color w:val="333740"/>
        </w:rPr>
        <w:t>,” “</w:t>
      </w:r>
      <w:r>
        <w:rPr>
          <w:rFonts w:ascii="Arial" w:cs="Arial" w:eastAsia="Arial" w:hAnsi="Arial"/>
          <w:sz w:val="19"/>
          <w:szCs w:val="19"/>
          <w:b w:val="1"/>
          <w:bCs w:val="1"/>
          <w:color w:val="333740"/>
        </w:rPr>
        <w:t>TechnipFMC</w:t>
      </w:r>
      <w:r>
        <w:rPr>
          <w:rFonts w:ascii="Arial" w:cs="Arial" w:eastAsia="Arial" w:hAnsi="Arial"/>
          <w:sz w:val="19"/>
          <w:szCs w:val="19"/>
          <w:color w:val="333740"/>
        </w:rPr>
        <w:t>,” “</w:t>
      </w:r>
      <w:r>
        <w:rPr>
          <w:rFonts w:ascii="Arial" w:cs="Arial" w:eastAsia="Arial" w:hAnsi="Arial"/>
          <w:sz w:val="19"/>
          <w:szCs w:val="19"/>
          <w:b w:val="1"/>
          <w:bCs w:val="1"/>
          <w:color w:val="333740"/>
        </w:rPr>
        <w:t>us</w:t>
      </w:r>
      <w:r>
        <w:rPr>
          <w:rFonts w:ascii="Arial" w:cs="Arial" w:eastAsia="Arial" w:hAnsi="Arial"/>
          <w:sz w:val="19"/>
          <w:szCs w:val="19"/>
          <w:color w:val="333740"/>
        </w:rPr>
        <w:t>,” or “</w:t>
      </w:r>
      <w:r>
        <w:rPr>
          <w:rFonts w:ascii="Arial" w:cs="Arial" w:eastAsia="Arial" w:hAnsi="Arial"/>
          <w:sz w:val="19"/>
          <w:szCs w:val="19"/>
          <w:b w:val="1"/>
          <w:bCs w:val="1"/>
          <w:color w:val="333740"/>
        </w:rPr>
        <w:t>we</w:t>
      </w:r>
      <w:r>
        <w:rPr>
          <w:rFonts w:ascii="Arial" w:cs="Arial" w:eastAsia="Arial" w:hAnsi="Arial"/>
          <w:sz w:val="19"/>
          <w:szCs w:val="19"/>
          <w:color w:val="333740"/>
        </w:rPr>
        <w:t>”) for use at our 2020 Annual General Meeting of Shareholders and at any adjournment or postponement of such meeting (the “</w:t>
      </w:r>
      <w:r>
        <w:rPr>
          <w:rFonts w:ascii="Arial" w:cs="Arial" w:eastAsia="Arial" w:hAnsi="Arial"/>
          <w:sz w:val="19"/>
          <w:szCs w:val="19"/>
          <w:b w:val="1"/>
          <w:bCs w:val="1"/>
          <w:color w:val="333740"/>
        </w:rPr>
        <w:t>Annual Meeting</w:t>
      </w:r>
      <w:r>
        <w:rPr>
          <w:rFonts w:ascii="Arial" w:cs="Arial" w:eastAsia="Arial" w:hAnsi="Arial"/>
          <w:sz w:val="19"/>
          <w:szCs w:val="19"/>
          <w:color w:val="333740"/>
        </w:rPr>
        <w:t>”).</w:t>
      </w:r>
    </w:p>
    <w:p>
      <w:pPr>
        <w:spacing w:after="0" w:line="56" w:lineRule="exact"/>
        <w:rPr>
          <w:sz w:val="20"/>
          <w:szCs w:val="20"/>
          <w:color w:val="auto"/>
        </w:rPr>
      </w:pPr>
    </w:p>
    <w:p>
      <w:pPr>
        <w:jc w:val="both"/>
        <w:ind w:left="4" w:right="100"/>
        <w:spacing w:after="0" w:line="255" w:lineRule="auto"/>
        <w:rPr>
          <w:sz w:val="20"/>
          <w:szCs w:val="20"/>
          <w:color w:val="auto"/>
        </w:rPr>
      </w:pPr>
      <w:r>
        <w:rPr>
          <w:rFonts w:ascii="Arial" w:cs="Arial" w:eastAsia="Arial" w:hAnsi="Arial"/>
          <w:sz w:val="19"/>
          <w:szCs w:val="19"/>
          <w:color w:val="333740"/>
        </w:rPr>
        <w:t>The Notice of Internet Availability of Proxy Materials (the “</w:t>
      </w:r>
      <w:r>
        <w:rPr>
          <w:rFonts w:ascii="Arial" w:cs="Arial" w:eastAsia="Arial" w:hAnsi="Arial"/>
          <w:sz w:val="19"/>
          <w:szCs w:val="19"/>
          <w:b w:val="1"/>
          <w:bCs w:val="1"/>
          <w:color w:val="333740"/>
        </w:rPr>
        <w:t>Notice of Materials</w:t>
      </w:r>
      <w:r>
        <w:rPr>
          <w:rFonts w:ascii="Arial" w:cs="Arial" w:eastAsia="Arial" w:hAnsi="Arial"/>
          <w:sz w:val="19"/>
          <w:szCs w:val="19"/>
          <w:color w:val="333740"/>
        </w:rPr>
        <w:t xml:space="preserve">”) and related Proxy Materials (as defined below) were first made available to shareholders on or about March 13, 2020 at </w:t>
      </w:r>
      <w:r>
        <w:rPr>
          <w:rFonts w:ascii="Arial" w:cs="Arial" w:eastAsia="Arial" w:hAnsi="Arial"/>
          <w:sz w:val="19"/>
          <w:szCs w:val="19"/>
          <w:i w:val="1"/>
          <w:iCs w:val="1"/>
          <w:color w:val="481F6E"/>
        </w:rPr>
        <w:t>www.proxyvote.com</w:t>
      </w:r>
      <w:r>
        <w:rPr>
          <w:rFonts w:ascii="Arial" w:cs="Arial" w:eastAsia="Arial" w:hAnsi="Arial"/>
          <w:sz w:val="19"/>
          <w:szCs w:val="19"/>
          <w:color w:val="333740"/>
        </w:rPr>
        <w:t>. You may also request a printed copy of this Proxy Statement and the form of proxy by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123190</wp:posOffset>
            </wp:positionV>
            <wp:extent cx="4287520" cy="774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87520" cy="774065"/>
                    </a:xfrm>
                    <a:prstGeom prst="rect">
                      <a:avLst/>
                    </a:prstGeom>
                    <a:noFill/>
                  </pic:spPr>
                </pic:pic>
              </a:graphicData>
            </a:graphic>
          </wp:anchor>
        </w:drawing>
      </w:r>
    </w:p>
    <w:p>
      <w:pPr>
        <w:spacing w:after="0" w:line="136" w:lineRule="exact"/>
        <w:rPr>
          <w:sz w:val="20"/>
          <w:szCs w:val="20"/>
          <w:color w:val="auto"/>
        </w:rPr>
      </w:pPr>
    </w:p>
    <w:p>
      <w:pPr>
        <w:ind w:left="2724" w:hanging="448"/>
        <w:spacing w:after="0"/>
        <w:tabs>
          <w:tab w:leader="none" w:pos="2724" w:val="left"/>
        </w:tabs>
        <w:numPr>
          <w:ilvl w:val="0"/>
          <w:numId w:val="7"/>
        </w:numPr>
        <w:rPr>
          <w:rFonts w:ascii="Arial" w:cs="Arial" w:eastAsia="Arial" w:hAnsi="Arial"/>
          <w:sz w:val="29"/>
          <w:szCs w:val="29"/>
          <w:color w:val="333740"/>
          <w:vertAlign w:val="superscript"/>
        </w:rPr>
      </w:pPr>
      <w:r>
        <w:rPr>
          <w:sz w:val="1"/>
          <w:szCs w:val="1"/>
          <w:color w:val="auto"/>
        </w:rPr>
        <w:drawing>
          <wp:inline distT="0" distB="0" distL="0" distR="0">
            <wp:extent cx="257810" cy="19748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810" cy="197485"/>
                    </a:xfrm>
                    <a:prstGeom prst="rect">
                      <a:avLst/>
                    </a:prstGeom>
                    <a:noFill/>
                    <a:ln>
                      <a:noFill/>
                    </a:ln>
                  </pic:spPr>
                </pic:pic>
              </a:graphicData>
            </a:graphic>
          </wp:inline>
        </w:drawing>
      </w:r>
      <w:r>
        <w:rPr>
          <w:rFonts w:ascii="Arial" w:cs="Arial" w:eastAsia="Arial" w:hAnsi="Arial"/>
          <w:sz w:val="14"/>
          <w:szCs w:val="14"/>
          <w:color w:val="333740"/>
        </w:rPr>
        <w:t xml:space="preserve">  Internet at </w:t>
      </w:r>
      <w:r>
        <w:rPr>
          <w:rFonts w:ascii="Arial" w:cs="Arial" w:eastAsia="Arial" w:hAnsi="Arial"/>
          <w:sz w:val="14"/>
          <w:szCs w:val="14"/>
          <w:i w:val="1"/>
          <w:iCs w:val="1"/>
          <w:color w:val="481F6E"/>
        </w:rPr>
        <w:t>www.proxyvote.com</w:t>
      </w:r>
      <w:r>
        <w:rPr>
          <w:rFonts w:ascii="Arial" w:cs="Arial" w:eastAsia="Arial" w:hAnsi="Arial"/>
          <w:sz w:val="14"/>
          <w:szCs w:val="14"/>
          <w:color w:val="333740"/>
        </w:rPr>
        <w:t>;</w:t>
      </w:r>
    </w:p>
    <w:p>
      <w:pPr>
        <w:spacing w:after="0" w:line="61" w:lineRule="exact"/>
        <w:rPr>
          <w:sz w:val="20"/>
          <w:szCs w:val="20"/>
          <w:color w:val="auto"/>
        </w:rPr>
      </w:pPr>
    </w:p>
    <w:tbl>
      <w:tblPr>
        <w:tblLayout w:type="fixed"/>
        <w:tblInd w:w="2284" w:type="dxa"/>
        <w:tblCellMar>
          <w:top w:w="0" w:type="dxa"/>
          <w:left w:w="0" w:type="dxa"/>
          <w:bottom w:w="0" w:type="dxa"/>
          <w:right w:w="0" w:type="dxa"/>
        </w:tblCellMar>
      </w:tblPr>
      <w:tr>
        <w:trPr>
          <w:trHeight w:val="172"/>
        </w:trPr>
        <w:tc>
          <w:tcPr>
            <w:tcW w:w="580" w:type="dxa"/>
            <w:vAlign w:val="bottom"/>
          </w:tcPr>
          <w:p>
            <w:pPr>
              <w:spacing w:after="0"/>
              <w:rPr>
                <w:sz w:val="20"/>
                <w:szCs w:val="20"/>
                <w:color w:val="auto"/>
              </w:rPr>
            </w:pPr>
            <w:r>
              <w:rPr>
                <w:rFonts w:ascii="Arial" w:cs="Arial" w:eastAsia="Arial" w:hAnsi="Arial"/>
                <w:sz w:val="14"/>
                <w:szCs w:val="14"/>
                <w:color w:val="333740"/>
              </w:rPr>
              <w:t>(b)</w:t>
            </w:r>
          </w:p>
        </w:tc>
        <w:tc>
          <w:tcPr>
            <w:tcW w:w="2500" w:type="dxa"/>
            <w:vAlign w:val="bottom"/>
            <w:vMerge w:val="restart"/>
          </w:tcPr>
          <w:p>
            <w:pPr>
              <w:ind w:left="420"/>
              <w:spacing w:after="0"/>
              <w:rPr>
                <w:sz w:val="20"/>
                <w:szCs w:val="20"/>
                <w:color w:val="auto"/>
              </w:rPr>
            </w:pPr>
            <w:r>
              <w:rPr>
                <w:rFonts w:ascii="Arial" w:cs="Arial" w:eastAsia="Arial" w:hAnsi="Arial"/>
                <w:sz w:val="14"/>
                <w:szCs w:val="14"/>
                <w:color w:val="333740"/>
              </w:rPr>
              <w:t>Telephone at 1-800-579-1639; or</w:t>
            </w:r>
          </w:p>
        </w:tc>
        <w:tc>
          <w:tcPr>
            <w:tcW w:w="0" w:type="dxa"/>
            <w:vAlign w:val="bottom"/>
          </w:tcPr>
          <w:p>
            <w:pPr>
              <w:spacing w:after="0"/>
              <w:rPr>
                <w:sz w:val="1"/>
                <w:szCs w:val="1"/>
                <w:color w:val="auto"/>
              </w:rPr>
            </w:pPr>
          </w:p>
        </w:tc>
      </w:tr>
      <w:tr>
        <w:trPr>
          <w:trHeight w:val="60"/>
        </w:trPr>
        <w:tc>
          <w:tcPr>
            <w:tcW w:w="58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764" w:hanging="488"/>
        <w:spacing w:after="0"/>
        <w:tabs>
          <w:tab w:leader="none" w:pos="2764" w:val="left"/>
        </w:tabs>
        <w:numPr>
          <w:ilvl w:val="0"/>
          <w:numId w:val="8"/>
        </w:numPr>
        <w:rPr>
          <w:rFonts w:ascii="Arial" w:cs="Arial" w:eastAsia="Arial" w:hAnsi="Arial"/>
          <w:sz w:val="29"/>
          <w:szCs w:val="29"/>
          <w:color w:val="333740"/>
          <w:vertAlign w:val="superscript"/>
        </w:rPr>
      </w:pPr>
      <w:r>
        <w:rPr>
          <w:sz w:val="1"/>
          <w:szCs w:val="1"/>
          <w:color w:val="auto"/>
        </w:rPr>
        <w:drawing>
          <wp:inline distT="0" distB="0" distL="0" distR="0">
            <wp:extent cx="242570" cy="19748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570" cy="197485"/>
                    </a:xfrm>
                    <a:prstGeom prst="rect">
                      <a:avLst/>
                    </a:prstGeom>
                    <a:noFill/>
                    <a:ln>
                      <a:noFill/>
                    </a:ln>
                  </pic:spPr>
                </pic:pic>
              </a:graphicData>
            </a:graphic>
          </wp:inline>
        </w:drawing>
      </w:r>
      <w:r>
        <w:rPr>
          <w:rFonts w:ascii="Arial" w:cs="Arial" w:eastAsia="Arial" w:hAnsi="Arial"/>
          <w:sz w:val="14"/>
          <w:szCs w:val="14"/>
          <w:color w:val="333740"/>
        </w:rPr>
        <w:t xml:space="preserve">  Email at </w:t>
      </w:r>
      <w:r>
        <w:rPr>
          <w:rFonts w:ascii="Arial" w:cs="Arial" w:eastAsia="Arial" w:hAnsi="Arial"/>
          <w:sz w:val="14"/>
          <w:szCs w:val="14"/>
          <w:i w:val="1"/>
          <w:iCs w:val="1"/>
          <w:color w:val="481F6E"/>
        </w:rPr>
        <w:t>sendmaterial@proxyvote.com</w:t>
      </w:r>
      <w:r>
        <w:rPr>
          <w:rFonts w:ascii="Arial" w:cs="Arial" w:eastAsia="Arial" w:hAnsi="Arial"/>
          <w:sz w:val="14"/>
          <w:szCs w:val="14"/>
          <w:color w:val="333740"/>
        </w:rPr>
        <w:t>.</w:t>
      </w:r>
    </w:p>
    <w:p>
      <w:pPr>
        <w:spacing w:after="0" w:line="257" w:lineRule="exact"/>
        <w:rPr>
          <w:sz w:val="20"/>
          <w:szCs w:val="20"/>
          <w:color w:val="auto"/>
        </w:rPr>
      </w:pPr>
    </w:p>
    <w:p>
      <w:pPr>
        <w:ind w:left="4"/>
        <w:spacing w:after="0" w:line="274" w:lineRule="auto"/>
        <w:rPr>
          <w:sz w:val="20"/>
          <w:szCs w:val="20"/>
          <w:color w:val="auto"/>
        </w:rPr>
      </w:pPr>
      <w:r>
        <w:rPr>
          <w:rFonts w:ascii="Arial" w:cs="Arial" w:eastAsia="Arial" w:hAnsi="Arial"/>
          <w:sz w:val="19"/>
          <w:szCs w:val="19"/>
          <w:color w:val="333740"/>
        </w:rPr>
        <w:t>Our Annual Report on Form 10-K, including consolidated financial statements, for the year ended December 31, 2019 (our “</w:t>
      </w:r>
      <w:r>
        <w:rPr>
          <w:rFonts w:ascii="Arial" w:cs="Arial" w:eastAsia="Arial" w:hAnsi="Arial"/>
          <w:sz w:val="19"/>
          <w:szCs w:val="19"/>
          <w:b w:val="1"/>
          <w:bCs w:val="1"/>
          <w:color w:val="333740"/>
        </w:rPr>
        <w:t>Form 10-K</w:t>
      </w:r>
      <w:r>
        <w:rPr>
          <w:rFonts w:ascii="Arial" w:cs="Arial" w:eastAsia="Arial" w:hAnsi="Arial"/>
          <w:sz w:val="19"/>
          <w:szCs w:val="19"/>
          <w:color w:val="333740"/>
        </w:rPr>
        <w:t>”) and our U.K. Annual Report and Accounts are being made available at the same time and by the same methods.</w:t>
      </w:r>
    </w:p>
    <w:p>
      <w:pPr>
        <w:spacing w:after="0" w:line="39" w:lineRule="exact"/>
        <w:rPr>
          <w:sz w:val="20"/>
          <w:szCs w:val="20"/>
          <w:color w:val="auto"/>
        </w:rPr>
      </w:pPr>
    </w:p>
    <w:p>
      <w:pPr>
        <w:ind w:left="4" w:right="60"/>
        <w:spacing w:after="0"/>
        <w:rPr>
          <w:sz w:val="20"/>
          <w:szCs w:val="20"/>
          <w:color w:val="auto"/>
        </w:rPr>
      </w:pPr>
      <w:r>
        <w:rPr>
          <w:rFonts w:ascii="Arial" w:cs="Arial" w:eastAsia="Arial" w:hAnsi="Arial"/>
          <w:sz w:val="19"/>
          <w:szCs w:val="19"/>
          <w:color w:val="333740"/>
        </w:rPr>
        <w:t>Our registered office is located at One St. Paul’s Churchyard, London EC4M 8AP, United Kingdom. Our telephone number in our London office is +44 20 3429 3950. Information regarding the Annual Meeting, including the information required by Section 311A of the U.K. Companies Act 2006 (the “</w:t>
      </w:r>
      <w:r>
        <w:rPr>
          <w:rFonts w:ascii="Arial" w:cs="Arial" w:eastAsia="Arial" w:hAnsi="Arial"/>
          <w:sz w:val="19"/>
          <w:szCs w:val="19"/>
          <w:b w:val="1"/>
          <w:bCs w:val="1"/>
          <w:color w:val="333740"/>
        </w:rPr>
        <w:t>Companies Act</w:t>
      </w:r>
      <w:r>
        <w:rPr>
          <w:rFonts w:ascii="Arial" w:cs="Arial" w:eastAsia="Arial" w:hAnsi="Arial"/>
          <w:sz w:val="19"/>
          <w:szCs w:val="19"/>
          <w:color w:val="333740"/>
        </w:rPr>
        <w:t xml:space="preserve">”), can be found at </w:t>
      </w:r>
      <w:r>
        <w:rPr>
          <w:rFonts w:ascii="Arial" w:cs="Arial" w:eastAsia="Arial" w:hAnsi="Arial"/>
          <w:sz w:val="19"/>
          <w:szCs w:val="19"/>
          <w:i w:val="1"/>
          <w:iCs w:val="1"/>
          <w:color w:val="481F6E"/>
        </w:rPr>
        <w:t>www.TechnipFMC.com</w:t>
      </w:r>
      <w:r>
        <w:rPr>
          <w:rFonts w:ascii="Arial" w:cs="Arial" w:eastAsia="Arial" w:hAnsi="Arial"/>
          <w:sz w:val="19"/>
          <w:szCs w:val="19"/>
          <w:color w:val="333740"/>
        </w:rPr>
        <w:t>. Information contained on our website is not to be considered as part of the proxy solicitation material and is not incorporated into this Proxy Statement.</w:t>
      </w:r>
    </w:p>
    <w:p>
      <w:pPr>
        <w:spacing w:after="0" w:line="58" w:lineRule="exact"/>
        <w:rPr>
          <w:sz w:val="20"/>
          <w:szCs w:val="20"/>
          <w:color w:val="auto"/>
        </w:rPr>
      </w:pPr>
    </w:p>
    <w:p>
      <w:pPr>
        <w:ind w:left="4" w:right="100"/>
        <w:spacing w:after="0" w:line="245" w:lineRule="auto"/>
        <w:rPr>
          <w:sz w:val="20"/>
          <w:szCs w:val="20"/>
          <w:color w:val="auto"/>
        </w:rPr>
      </w:pPr>
      <w:r>
        <w:rPr>
          <w:rFonts w:ascii="Arial" w:cs="Arial" w:eastAsia="Arial" w:hAnsi="Arial"/>
          <w:sz w:val="19"/>
          <w:szCs w:val="19"/>
          <w:color w:val="333740"/>
        </w:rPr>
        <w:t>TechnipFMC is a public limited company incorporated under the laws of England and Wales, and our ordinary shares (the “</w:t>
      </w:r>
      <w:r>
        <w:rPr>
          <w:rFonts w:ascii="Arial" w:cs="Arial" w:eastAsia="Arial" w:hAnsi="Arial"/>
          <w:sz w:val="19"/>
          <w:szCs w:val="19"/>
          <w:b w:val="1"/>
          <w:bCs w:val="1"/>
          <w:color w:val="333740"/>
        </w:rPr>
        <w:t>Ordinary</w:t>
      </w:r>
      <w:r>
        <w:rPr>
          <w:rFonts w:ascii="Arial" w:cs="Arial" w:eastAsia="Arial" w:hAnsi="Arial"/>
          <w:sz w:val="19"/>
          <w:szCs w:val="19"/>
          <w:color w:val="333740"/>
        </w:rPr>
        <w:t xml:space="preserve"> </w:t>
      </w:r>
      <w:r>
        <w:rPr>
          <w:rFonts w:ascii="Arial" w:cs="Arial" w:eastAsia="Arial" w:hAnsi="Arial"/>
          <w:sz w:val="19"/>
          <w:szCs w:val="19"/>
          <w:b w:val="1"/>
          <w:bCs w:val="1"/>
          <w:color w:val="333740"/>
        </w:rPr>
        <w:t>Shares</w:t>
      </w:r>
      <w:r>
        <w:rPr>
          <w:rFonts w:ascii="Arial" w:cs="Arial" w:eastAsia="Arial" w:hAnsi="Arial"/>
          <w:sz w:val="19"/>
          <w:szCs w:val="19"/>
          <w:color w:val="333740"/>
        </w:rPr>
        <w:t>”) trade on the New York Stock Exchange in the United States (the “</w:t>
      </w:r>
      <w:r>
        <w:rPr>
          <w:rFonts w:ascii="Arial" w:cs="Arial" w:eastAsia="Arial" w:hAnsi="Arial"/>
          <w:sz w:val="19"/>
          <w:szCs w:val="19"/>
          <w:b w:val="1"/>
          <w:bCs w:val="1"/>
          <w:color w:val="333740"/>
        </w:rPr>
        <w:t>NYSE</w:t>
      </w:r>
      <w:r>
        <w:rPr>
          <w:rFonts w:ascii="Arial" w:cs="Arial" w:eastAsia="Arial" w:hAnsi="Arial"/>
          <w:sz w:val="19"/>
          <w:szCs w:val="19"/>
          <w:color w:val="333740"/>
        </w:rPr>
        <w:t>”) and the Euronext Paris exchange (“</w:t>
      </w:r>
      <w:r>
        <w:rPr>
          <w:rFonts w:ascii="Arial" w:cs="Arial" w:eastAsia="Arial" w:hAnsi="Arial"/>
          <w:sz w:val="19"/>
          <w:szCs w:val="19"/>
          <w:b w:val="1"/>
          <w:bCs w:val="1"/>
          <w:color w:val="333740"/>
        </w:rPr>
        <w:t>Euronext</w:t>
      </w:r>
      <w:r>
        <w:rPr>
          <w:rFonts w:ascii="Arial" w:cs="Arial" w:eastAsia="Arial" w:hAnsi="Arial"/>
          <w:sz w:val="19"/>
          <w:szCs w:val="19"/>
          <w:color w:val="333740"/>
        </w:rPr>
        <w:t>”)</w:t>
      </w:r>
      <w:r>
        <w:rPr>
          <w:rFonts w:ascii="Arial" w:cs="Arial" w:eastAsia="Arial" w:hAnsi="Arial"/>
          <w:sz w:val="19"/>
          <w:szCs w:val="19"/>
          <w:b w:val="1"/>
          <w:bCs w:val="1"/>
          <w:color w:val="333740"/>
        </w:rPr>
        <w:t xml:space="preserve"> </w:t>
      </w:r>
      <w:r>
        <w:rPr>
          <w:rFonts w:ascii="Arial" w:cs="Arial" w:eastAsia="Arial" w:hAnsi="Arial"/>
          <w:sz w:val="19"/>
          <w:szCs w:val="19"/>
          <w:color w:val="333740"/>
        </w:rPr>
        <w:t>under the symbol “FTI.” As a result, the Company is governed by the</w:t>
      </w:r>
    </w:p>
    <w:p>
      <w:pPr>
        <w:ind w:left="4" w:right="860"/>
        <w:spacing w:after="0" w:line="247" w:lineRule="auto"/>
        <w:rPr>
          <w:sz w:val="20"/>
          <w:szCs w:val="20"/>
          <w:color w:val="auto"/>
        </w:rPr>
      </w:pPr>
      <w:r>
        <w:rPr>
          <w:rFonts w:ascii="Arial" w:cs="Arial" w:eastAsia="Arial" w:hAnsi="Arial"/>
          <w:sz w:val="19"/>
          <w:szCs w:val="19"/>
          <w:color w:val="333740"/>
        </w:rPr>
        <w:t>Companies Act, U.S. securities laws and regulations, E.U. securities regulations, and the listing standards of the NYSE and Euronext.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148195" cy="576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576580"/>
                    </a:xfrm>
                    <a:prstGeom prst="rect">
                      <a:avLst/>
                    </a:prstGeom>
                    <a:noFill/>
                  </pic:spPr>
                </pic:pic>
              </a:graphicData>
            </a:graphic>
          </wp:anchor>
        </w:drawing>
      </w:r>
    </w:p>
    <w:p>
      <w:pPr>
        <w:spacing w:after="0" w:line="273" w:lineRule="exact"/>
        <w:rPr>
          <w:sz w:val="20"/>
          <w:szCs w:val="20"/>
          <w:color w:val="auto"/>
        </w:rPr>
      </w:pPr>
    </w:p>
    <w:p>
      <w:pPr>
        <w:jc w:val="center"/>
        <w:ind w:right="16"/>
        <w:spacing w:after="0" w:line="260" w:lineRule="auto"/>
        <w:rPr>
          <w:sz w:val="20"/>
          <w:szCs w:val="20"/>
          <w:color w:val="auto"/>
        </w:rPr>
      </w:pPr>
      <w:r>
        <w:rPr>
          <w:rFonts w:ascii="Arial" w:cs="Arial" w:eastAsia="Arial" w:hAnsi="Arial"/>
          <w:sz w:val="14"/>
          <w:szCs w:val="14"/>
          <w:b w:val="1"/>
          <w:bCs w:val="1"/>
          <w:color w:val="333740"/>
        </w:rPr>
        <w:t xml:space="preserve">IMPORTANT NOTICE REGARDING THE AVAILABILITY OF PROXY MATERIALS FOR THE 2020 ANNUAL GENERAL MEETING OF SHAREHOLDERS TO BE HELD ON APRIL 24, 2020 </w:t>
      </w:r>
      <w:r>
        <w:rPr>
          <w:rFonts w:ascii="Arial" w:cs="Arial" w:eastAsia="Arial" w:hAnsi="Arial"/>
          <w:sz w:val="14"/>
          <w:szCs w:val="14"/>
          <w:color w:val="333740"/>
        </w:rPr>
        <w:t>The Notice of Annual Meeting and Proxy Statement, Annual Report on Form 10-K, and our U.K.</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333740"/>
        </w:rPr>
        <w:t xml:space="preserve">Annual Report and Accounts are available at </w:t>
      </w:r>
      <w:r>
        <w:rPr>
          <w:rFonts w:ascii="Arial" w:cs="Arial" w:eastAsia="Arial" w:hAnsi="Arial"/>
          <w:sz w:val="14"/>
          <w:szCs w:val="14"/>
          <w:i w:val="1"/>
          <w:iCs w:val="1"/>
          <w:color w:val="481F6E"/>
        </w:rPr>
        <w:t>www.proxyvote.com</w:t>
      </w:r>
      <w:r>
        <w:rPr>
          <w:rFonts w:ascii="Arial" w:cs="Arial" w:eastAsia="Arial" w:hAnsi="Arial"/>
          <w:sz w:val="14"/>
          <w:szCs w:val="14"/>
          <w:color w:val="333740"/>
        </w:rPr>
        <w:t>.</w:t>
      </w:r>
    </w:p>
    <w:p>
      <w:pPr>
        <w:spacing w:after="0" w:line="200" w:lineRule="exact"/>
        <w:rPr>
          <w:sz w:val="20"/>
          <w:szCs w:val="20"/>
          <w:color w:val="auto"/>
        </w:rPr>
      </w:pPr>
    </w:p>
    <w:p>
      <w:pPr>
        <w:spacing w:after="0" w:line="294" w:lineRule="exact"/>
        <w:rPr>
          <w:sz w:val="20"/>
          <w:szCs w:val="20"/>
          <w:color w:val="auto"/>
        </w:rPr>
      </w:pPr>
    </w:p>
    <w:p>
      <w:pPr>
        <w:ind w:left="564" w:hanging="564"/>
        <w:spacing w:after="0"/>
        <w:tabs>
          <w:tab w:leader="none" w:pos="564" w:val="left"/>
        </w:tabs>
        <w:numPr>
          <w:ilvl w:val="0"/>
          <w:numId w:val="9"/>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4" w:name="page5"/>
    <w:bookmarkEnd w:id="4"/>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p>
    <w:p>
      <w:pPr>
        <w:ind w:left="4"/>
        <w:spacing w:after="0"/>
        <w:rPr>
          <w:sz w:val="20"/>
          <w:szCs w:val="20"/>
          <w:color w:val="auto"/>
        </w:rPr>
      </w:pPr>
      <w:r>
        <w:rPr>
          <w:rFonts w:ascii="Arial" w:cs="Arial" w:eastAsia="Arial" w:hAnsi="Arial"/>
          <w:sz w:val="57"/>
          <w:szCs w:val="57"/>
          <w:color w:val="481F6E"/>
        </w:rPr>
        <w:t>Contents</w:t>
      </w:r>
    </w:p>
    <w:p>
      <w:pPr>
        <w:spacing w:after="0" w:line="378" w:lineRule="exact"/>
        <w:rPr>
          <w:sz w:val="20"/>
          <w:szCs w:val="20"/>
          <w:color w:val="auto"/>
        </w:rPr>
      </w:pPr>
    </w:p>
    <w:tbl>
      <w:tblPr>
        <w:tblLayout w:type="fixed"/>
        <w:tblInd w:w="44" w:type="dxa"/>
        <w:tblCellMar>
          <w:top w:w="0" w:type="dxa"/>
          <w:left w:w="0" w:type="dxa"/>
          <w:bottom w:w="0" w:type="dxa"/>
          <w:right w:w="0" w:type="dxa"/>
        </w:tblCellMar>
      </w:tblPr>
      <w:tr>
        <w:trPr>
          <w:trHeight w:val="190"/>
        </w:trPr>
        <w:tc>
          <w:tcPr>
            <w:tcW w:w="8380" w:type="dxa"/>
            <w:vAlign w:val="bottom"/>
          </w:tcPr>
          <w:p>
            <w:pPr>
              <w:spacing w:after="0"/>
              <w:rPr>
                <w:sz w:val="20"/>
                <w:szCs w:val="20"/>
                <w:color w:val="auto"/>
              </w:rPr>
            </w:pPr>
            <w:r>
              <w:rPr>
                <w:rFonts w:ascii="Arial" w:cs="Arial" w:eastAsia="Arial" w:hAnsi="Arial"/>
                <w:sz w:val="14"/>
                <w:szCs w:val="14"/>
                <w:b w:val="1"/>
                <w:bCs w:val="1"/>
                <w:color w:val="333740"/>
              </w:rPr>
              <w:t>2020 Proxy Summary</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333740"/>
              </w:rPr>
              <w:t>7</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Annual Meeting Information</w:t>
            </w:r>
          </w:p>
        </w:tc>
        <w:tc>
          <w:tcPr>
            <w:tcW w:w="2800" w:type="dxa"/>
            <w:vAlign w:val="bottom"/>
          </w:tcPr>
          <w:p>
            <w:pPr>
              <w:jc w:val="right"/>
              <w:spacing w:after="0"/>
              <w:rPr>
                <w:sz w:val="20"/>
                <w:szCs w:val="20"/>
                <w:color w:val="auto"/>
              </w:rPr>
            </w:pPr>
            <w:r>
              <w:rPr>
                <w:rFonts w:ascii="Arial" w:cs="Arial" w:eastAsia="Arial" w:hAnsi="Arial"/>
                <w:sz w:val="14"/>
                <w:szCs w:val="14"/>
                <w:color w:val="333740"/>
              </w:rPr>
              <w:t>7</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Voting Matters and Board Recommendations</w:t>
            </w:r>
          </w:p>
        </w:tc>
        <w:tc>
          <w:tcPr>
            <w:tcW w:w="2800" w:type="dxa"/>
            <w:vAlign w:val="bottom"/>
          </w:tcPr>
          <w:p>
            <w:pPr>
              <w:jc w:val="right"/>
              <w:spacing w:after="0"/>
              <w:rPr>
                <w:sz w:val="20"/>
                <w:szCs w:val="20"/>
                <w:color w:val="auto"/>
              </w:rPr>
            </w:pPr>
            <w:r>
              <w:rPr>
                <w:rFonts w:ascii="Arial" w:cs="Arial" w:eastAsia="Arial" w:hAnsi="Arial"/>
                <w:sz w:val="14"/>
                <w:szCs w:val="14"/>
                <w:color w:val="333740"/>
              </w:rPr>
              <w:t>8</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Core Values and Foundational Beliefs</w:t>
            </w:r>
          </w:p>
        </w:tc>
        <w:tc>
          <w:tcPr>
            <w:tcW w:w="2800" w:type="dxa"/>
            <w:vAlign w:val="bottom"/>
          </w:tcPr>
          <w:p>
            <w:pPr>
              <w:jc w:val="right"/>
              <w:spacing w:after="0"/>
              <w:rPr>
                <w:sz w:val="20"/>
                <w:szCs w:val="20"/>
                <w:color w:val="auto"/>
              </w:rPr>
            </w:pPr>
            <w:r>
              <w:rPr>
                <w:rFonts w:ascii="Arial" w:cs="Arial" w:eastAsia="Arial" w:hAnsi="Arial"/>
                <w:sz w:val="14"/>
                <w:szCs w:val="14"/>
                <w:color w:val="333740"/>
              </w:rPr>
              <w:t>9</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Governance Highlights</w:t>
            </w:r>
          </w:p>
        </w:tc>
        <w:tc>
          <w:tcPr>
            <w:tcW w:w="2800" w:type="dxa"/>
            <w:vAlign w:val="bottom"/>
          </w:tcPr>
          <w:p>
            <w:pPr>
              <w:jc w:val="right"/>
              <w:spacing w:after="0"/>
              <w:rPr>
                <w:sz w:val="20"/>
                <w:szCs w:val="20"/>
                <w:color w:val="auto"/>
              </w:rPr>
            </w:pPr>
            <w:r>
              <w:rPr>
                <w:rFonts w:ascii="Arial" w:cs="Arial" w:eastAsia="Arial" w:hAnsi="Arial"/>
                <w:sz w:val="14"/>
                <w:szCs w:val="14"/>
                <w:color w:val="333740"/>
              </w:rPr>
              <w:t>10</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2019-2020 Shareholder Engagement Program</w:t>
            </w:r>
          </w:p>
        </w:tc>
        <w:tc>
          <w:tcPr>
            <w:tcW w:w="2800" w:type="dxa"/>
            <w:vAlign w:val="bottom"/>
          </w:tcPr>
          <w:p>
            <w:pPr>
              <w:jc w:val="right"/>
              <w:spacing w:after="0"/>
              <w:rPr>
                <w:sz w:val="20"/>
                <w:szCs w:val="20"/>
                <w:color w:val="auto"/>
              </w:rPr>
            </w:pPr>
            <w:r>
              <w:rPr>
                <w:rFonts w:ascii="Arial" w:cs="Arial" w:eastAsia="Arial" w:hAnsi="Arial"/>
                <w:sz w:val="14"/>
                <w:szCs w:val="14"/>
                <w:color w:val="333740"/>
              </w:rPr>
              <w:t>11</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Director Nominees</w:t>
            </w:r>
          </w:p>
        </w:tc>
        <w:tc>
          <w:tcPr>
            <w:tcW w:w="2800" w:type="dxa"/>
            <w:vAlign w:val="bottom"/>
          </w:tcPr>
          <w:p>
            <w:pPr>
              <w:jc w:val="right"/>
              <w:spacing w:after="0"/>
              <w:rPr>
                <w:sz w:val="20"/>
                <w:szCs w:val="20"/>
                <w:color w:val="auto"/>
              </w:rPr>
            </w:pPr>
            <w:r>
              <w:rPr>
                <w:rFonts w:ascii="Arial" w:cs="Arial" w:eastAsia="Arial" w:hAnsi="Arial"/>
                <w:sz w:val="14"/>
                <w:szCs w:val="14"/>
                <w:color w:val="333740"/>
              </w:rPr>
              <w:t>12</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2019 At-a-Glance</w:t>
            </w:r>
          </w:p>
        </w:tc>
        <w:tc>
          <w:tcPr>
            <w:tcW w:w="2800" w:type="dxa"/>
            <w:vAlign w:val="bottom"/>
          </w:tcPr>
          <w:p>
            <w:pPr>
              <w:jc w:val="right"/>
              <w:spacing w:after="0"/>
              <w:rPr>
                <w:sz w:val="20"/>
                <w:szCs w:val="20"/>
                <w:color w:val="auto"/>
              </w:rPr>
            </w:pPr>
            <w:r>
              <w:rPr>
                <w:rFonts w:ascii="Arial" w:cs="Arial" w:eastAsia="Arial" w:hAnsi="Arial"/>
                <w:sz w:val="14"/>
                <w:szCs w:val="14"/>
                <w:color w:val="333740"/>
              </w:rPr>
              <w:t>13</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Executive Compensation</w:t>
            </w:r>
          </w:p>
        </w:tc>
        <w:tc>
          <w:tcPr>
            <w:tcW w:w="2800" w:type="dxa"/>
            <w:vAlign w:val="bottom"/>
          </w:tcPr>
          <w:p>
            <w:pPr>
              <w:jc w:val="right"/>
              <w:spacing w:after="0"/>
              <w:rPr>
                <w:sz w:val="20"/>
                <w:szCs w:val="20"/>
                <w:color w:val="auto"/>
              </w:rPr>
            </w:pPr>
            <w:r>
              <w:rPr>
                <w:rFonts w:ascii="Arial" w:cs="Arial" w:eastAsia="Arial" w:hAnsi="Arial"/>
                <w:sz w:val="14"/>
                <w:szCs w:val="14"/>
                <w:color w:val="333740"/>
              </w:rPr>
              <w:t>14</w:t>
            </w:r>
          </w:p>
        </w:tc>
      </w:tr>
      <w:tr>
        <w:trPr>
          <w:trHeight w:val="239"/>
        </w:trPr>
        <w:tc>
          <w:tcPr>
            <w:tcW w:w="8380" w:type="dxa"/>
            <w:vAlign w:val="bottom"/>
          </w:tcPr>
          <w:p>
            <w:pPr>
              <w:spacing w:after="0"/>
              <w:rPr>
                <w:sz w:val="20"/>
                <w:szCs w:val="20"/>
                <w:color w:val="auto"/>
              </w:rPr>
            </w:pPr>
            <w:r>
              <w:rPr>
                <w:rFonts w:ascii="Arial" w:cs="Arial" w:eastAsia="Arial" w:hAnsi="Arial"/>
                <w:sz w:val="14"/>
                <w:szCs w:val="14"/>
                <w:b w:val="1"/>
                <w:bCs w:val="1"/>
                <w:color w:val="333740"/>
              </w:rPr>
              <w:t>Corporate Responsibility and Sustainability</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333740"/>
              </w:rPr>
              <w:t>16</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Core Values and Foundational Beliefs</w:t>
            </w:r>
          </w:p>
        </w:tc>
        <w:tc>
          <w:tcPr>
            <w:tcW w:w="2800" w:type="dxa"/>
            <w:vAlign w:val="bottom"/>
          </w:tcPr>
          <w:p>
            <w:pPr>
              <w:jc w:val="right"/>
              <w:spacing w:after="0"/>
              <w:rPr>
                <w:sz w:val="20"/>
                <w:szCs w:val="20"/>
                <w:color w:val="auto"/>
              </w:rPr>
            </w:pPr>
            <w:r>
              <w:rPr>
                <w:rFonts w:ascii="Arial" w:cs="Arial" w:eastAsia="Arial" w:hAnsi="Arial"/>
                <w:sz w:val="14"/>
                <w:szCs w:val="14"/>
                <w:color w:val="333740"/>
              </w:rPr>
              <w:t>16</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Code of Business Conduct</w:t>
            </w:r>
          </w:p>
        </w:tc>
        <w:tc>
          <w:tcPr>
            <w:tcW w:w="2800" w:type="dxa"/>
            <w:vAlign w:val="bottom"/>
          </w:tcPr>
          <w:p>
            <w:pPr>
              <w:jc w:val="right"/>
              <w:spacing w:after="0"/>
              <w:rPr>
                <w:sz w:val="20"/>
                <w:szCs w:val="20"/>
                <w:color w:val="auto"/>
              </w:rPr>
            </w:pPr>
            <w:r>
              <w:rPr>
                <w:rFonts w:ascii="Arial" w:cs="Arial" w:eastAsia="Arial" w:hAnsi="Arial"/>
                <w:sz w:val="14"/>
                <w:szCs w:val="14"/>
                <w:color w:val="333740"/>
              </w:rPr>
              <w:t>17</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Sustainability</w:t>
            </w:r>
          </w:p>
        </w:tc>
        <w:tc>
          <w:tcPr>
            <w:tcW w:w="2800" w:type="dxa"/>
            <w:vAlign w:val="bottom"/>
          </w:tcPr>
          <w:p>
            <w:pPr>
              <w:jc w:val="right"/>
              <w:spacing w:after="0"/>
              <w:rPr>
                <w:sz w:val="20"/>
                <w:szCs w:val="20"/>
                <w:color w:val="auto"/>
              </w:rPr>
            </w:pPr>
            <w:r>
              <w:rPr>
                <w:rFonts w:ascii="Arial" w:cs="Arial" w:eastAsia="Arial" w:hAnsi="Arial"/>
                <w:sz w:val="14"/>
                <w:szCs w:val="14"/>
                <w:color w:val="333740"/>
              </w:rPr>
              <w:t>18</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Supporting Communities</w:t>
            </w:r>
          </w:p>
        </w:tc>
        <w:tc>
          <w:tcPr>
            <w:tcW w:w="2800" w:type="dxa"/>
            <w:vAlign w:val="bottom"/>
          </w:tcPr>
          <w:p>
            <w:pPr>
              <w:jc w:val="right"/>
              <w:spacing w:after="0"/>
              <w:rPr>
                <w:sz w:val="20"/>
                <w:szCs w:val="20"/>
                <w:color w:val="auto"/>
              </w:rPr>
            </w:pPr>
            <w:r>
              <w:rPr>
                <w:rFonts w:ascii="Arial" w:cs="Arial" w:eastAsia="Arial" w:hAnsi="Arial"/>
                <w:sz w:val="14"/>
                <w:szCs w:val="14"/>
                <w:color w:val="333740"/>
              </w:rPr>
              <w:t>20</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Advancing Gender Diversity</w:t>
            </w:r>
          </w:p>
        </w:tc>
        <w:tc>
          <w:tcPr>
            <w:tcW w:w="2800" w:type="dxa"/>
            <w:vAlign w:val="bottom"/>
          </w:tcPr>
          <w:p>
            <w:pPr>
              <w:jc w:val="right"/>
              <w:spacing w:after="0"/>
              <w:rPr>
                <w:sz w:val="20"/>
                <w:szCs w:val="20"/>
                <w:color w:val="auto"/>
              </w:rPr>
            </w:pPr>
            <w:r>
              <w:rPr>
                <w:rFonts w:ascii="Arial" w:cs="Arial" w:eastAsia="Arial" w:hAnsi="Arial"/>
                <w:sz w:val="14"/>
                <w:szCs w:val="14"/>
                <w:color w:val="333740"/>
              </w:rPr>
              <w:t>24</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Respecting the Environment</w:t>
            </w:r>
          </w:p>
        </w:tc>
        <w:tc>
          <w:tcPr>
            <w:tcW w:w="2800" w:type="dxa"/>
            <w:vAlign w:val="bottom"/>
          </w:tcPr>
          <w:p>
            <w:pPr>
              <w:jc w:val="right"/>
              <w:spacing w:after="0"/>
              <w:rPr>
                <w:sz w:val="20"/>
                <w:szCs w:val="20"/>
                <w:color w:val="auto"/>
              </w:rPr>
            </w:pPr>
            <w:r>
              <w:rPr>
                <w:rFonts w:ascii="Arial" w:cs="Arial" w:eastAsia="Arial" w:hAnsi="Arial"/>
                <w:sz w:val="14"/>
                <w:szCs w:val="14"/>
                <w:color w:val="333740"/>
              </w:rPr>
              <w:t>27</w:t>
            </w:r>
          </w:p>
        </w:tc>
      </w:tr>
      <w:tr>
        <w:trPr>
          <w:trHeight w:val="239"/>
        </w:trPr>
        <w:tc>
          <w:tcPr>
            <w:tcW w:w="8380" w:type="dxa"/>
            <w:vAlign w:val="bottom"/>
          </w:tcPr>
          <w:p>
            <w:pPr>
              <w:spacing w:after="0"/>
              <w:rPr>
                <w:sz w:val="20"/>
                <w:szCs w:val="20"/>
                <w:color w:val="auto"/>
              </w:rPr>
            </w:pPr>
            <w:r>
              <w:rPr>
                <w:rFonts w:ascii="Arial" w:cs="Arial" w:eastAsia="Arial" w:hAnsi="Arial"/>
                <w:sz w:val="14"/>
                <w:szCs w:val="14"/>
                <w:b w:val="1"/>
                <w:bCs w:val="1"/>
                <w:color w:val="333740"/>
              </w:rPr>
              <w:t>Corporate Governance</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333740"/>
              </w:rPr>
              <w:t>33</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Governance Guidelines and Key Board Practices</w:t>
            </w:r>
          </w:p>
        </w:tc>
        <w:tc>
          <w:tcPr>
            <w:tcW w:w="2800" w:type="dxa"/>
            <w:vAlign w:val="bottom"/>
          </w:tcPr>
          <w:p>
            <w:pPr>
              <w:jc w:val="right"/>
              <w:spacing w:after="0"/>
              <w:rPr>
                <w:sz w:val="20"/>
                <w:szCs w:val="20"/>
                <w:color w:val="auto"/>
              </w:rPr>
            </w:pPr>
            <w:r>
              <w:rPr>
                <w:rFonts w:ascii="Arial" w:cs="Arial" w:eastAsia="Arial" w:hAnsi="Arial"/>
                <w:sz w:val="14"/>
                <w:szCs w:val="14"/>
                <w:color w:val="333740"/>
              </w:rPr>
              <w:t>33</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Shareholder Engagement</w:t>
            </w:r>
          </w:p>
        </w:tc>
        <w:tc>
          <w:tcPr>
            <w:tcW w:w="2800" w:type="dxa"/>
            <w:vAlign w:val="bottom"/>
          </w:tcPr>
          <w:p>
            <w:pPr>
              <w:jc w:val="right"/>
              <w:spacing w:after="0"/>
              <w:rPr>
                <w:sz w:val="20"/>
                <w:szCs w:val="20"/>
                <w:color w:val="auto"/>
              </w:rPr>
            </w:pPr>
            <w:r>
              <w:rPr>
                <w:rFonts w:ascii="Arial" w:cs="Arial" w:eastAsia="Arial" w:hAnsi="Arial"/>
                <w:sz w:val="14"/>
                <w:szCs w:val="14"/>
                <w:color w:val="333740"/>
              </w:rPr>
              <w:t>34</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Leadership Structure of the Board</w:t>
            </w:r>
          </w:p>
        </w:tc>
        <w:tc>
          <w:tcPr>
            <w:tcW w:w="2800" w:type="dxa"/>
            <w:vAlign w:val="bottom"/>
          </w:tcPr>
          <w:p>
            <w:pPr>
              <w:jc w:val="right"/>
              <w:spacing w:after="0"/>
              <w:rPr>
                <w:sz w:val="20"/>
                <w:szCs w:val="20"/>
                <w:color w:val="auto"/>
              </w:rPr>
            </w:pPr>
            <w:r>
              <w:rPr>
                <w:rFonts w:ascii="Arial" w:cs="Arial" w:eastAsia="Arial" w:hAnsi="Arial"/>
                <w:sz w:val="14"/>
                <w:szCs w:val="14"/>
                <w:color w:val="333740"/>
              </w:rPr>
              <w:t>37</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Board Composition and Criteria for Board Membership</w:t>
            </w:r>
          </w:p>
        </w:tc>
        <w:tc>
          <w:tcPr>
            <w:tcW w:w="2800" w:type="dxa"/>
            <w:vAlign w:val="bottom"/>
          </w:tcPr>
          <w:p>
            <w:pPr>
              <w:jc w:val="right"/>
              <w:spacing w:after="0"/>
              <w:rPr>
                <w:sz w:val="20"/>
                <w:szCs w:val="20"/>
                <w:color w:val="auto"/>
              </w:rPr>
            </w:pPr>
            <w:r>
              <w:rPr>
                <w:rFonts w:ascii="Arial" w:cs="Arial" w:eastAsia="Arial" w:hAnsi="Arial"/>
                <w:sz w:val="14"/>
                <w:szCs w:val="14"/>
                <w:color w:val="333740"/>
              </w:rPr>
              <w:t>39</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Enterprise Risk Management</w:t>
            </w:r>
          </w:p>
        </w:tc>
        <w:tc>
          <w:tcPr>
            <w:tcW w:w="2800" w:type="dxa"/>
            <w:vAlign w:val="bottom"/>
          </w:tcPr>
          <w:p>
            <w:pPr>
              <w:jc w:val="right"/>
              <w:spacing w:after="0"/>
              <w:rPr>
                <w:sz w:val="20"/>
                <w:szCs w:val="20"/>
                <w:color w:val="auto"/>
              </w:rPr>
            </w:pPr>
            <w:r>
              <w:rPr>
                <w:rFonts w:ascii="Arial" w:cs="Arial" w:eastAsia="Arial" w:hAnsi="Arial"/>
                <w:sz w:val="14"/>
                <w:szCs w:val="14"/>
                <w:color w:val="333740"/>
              </w:rPr>
              <w:t>44</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Committees of the Board of Directors</w:t>
            </w:r>
          </w:p>
        </w:tc>
        <w:tc>
          <w:tcPr>
            <w:tcW w:w="2800" w:type="dxa"/>
            <w:vAlign w:val="bottom"/>
          </w:tcPr>
          <w:p>
            <w:pPr>
              <w:jc w:val="right"/>
              <w:spacing w:after="0"/>
              <w:rPr>
                <w:sz w:val="20"/>
                <w:szCs w:val="20"/>
                <w:color w:val="auto"/>
              </w:rPr>
            </w:pPr>
            <w:r>
              <w:rPr>
                <w:rFonts w:ascii="Arial" w:cs="Arial" w:eastAsia="Arial" w:hAnsi="Arial"/>
                <w:sz w:val="14"/>
                <w:szCs w:val="14"/>
                <w:color w:val="333740"/>
              </w:rPr>
              <w:t>45</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Board Meetings and Attendance</w:t>
            </w:r>
          </w:p>
        </w:tc>
        <w:tc>
          <w:tcPr>
            <w:tcW w:w="2800" w:type="dxa"/>
            <w:vAlign w:val="bottom"/>
          </w:tcPr>
          <w:p>
            <w:pPr>
              <w:jc w:val="right"/>
              <w:spacing w:after="0"/>
              <w:rPr>
                <w:sz w:val="20"/>
                <w:szCs w:val="20"/>
                <w:color w:val="auto"/>
              </w:rPr>
            </w:pPr>
            <w:r>
              <w:rPr>
                <w:rFonts w:ascii="Arial" w:cs="Arial" w:eastAsia="Arial" w:hAnsi="Arial"/>
                <w:sz w:val="14"/>
                <w:szCs w:val="14"/>
                <w:color w:val="333740"/>
              </w:rPr>
              <w:t>47</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Director Independence</w:t>
            </w:r>
          </w:p>
        </w:tc>
        <w:tc>
          <w:tcPr>
            <w:tcW w:w="2800" w:type="dxa"/>
            <w:vAlign w:val="bottom"/>
          </w:tcPr>
          <w:p>
            <w:pPr>
              <w:jc w:val="right"/>
              <w:spacing w:after="0"/>
              <w:rPr>
                <w:sz w:val="20"/>
                <w:szCs w:val="20"/>
                <w:color w:val="auto"/>
              </w:rPr>
            </w:pPr>
            <w:r>
              <w:rPr>
                <w:rFonts w:ascii="Arial" w:cs="Arial" w:eastAsia="Arial" w:hAnsi="Arial"/>
                <w:sz w:val="14"/>
                <w:szCs w:val="14"/>
                <w:color w:val="333740"/>
              </w:rPr>
              <w:t>48</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Compensation Committee Interlocks and Insider Participation in Compensation Decisions</w:t>
            </w:r>
          </w:p>
        </w:tc>
        <w:tc>
          <w:tcPr>
            <w:tcW w:w="28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39"/>
        </w:trPr>
        <w:tc>
          <w:tcPr>
            <w:tcW w:w="8380" w:type="dxa"/>
            <w:vAlign w:val="bottom"/>
          </w:tcPr>
          <w:p>
            <w:pPr>
              <w:ind w:left="140"/>
              <w:spacing w:after="0"/>
              <w:rPr>
                <w:sz w:val="20"/>
                <w:szCs w:val="20"/>
                <w:color w:val="auto"/>
              </w:rPr>
            </w:pPr>
            <w:r>
              <w:rPr>
                <w:rFonts w:ascii="Arial" w:cs="Arial" w:eastAsia="Arial" w:hAnsi="Arial"/>
                <w:sz w:val="14"/>
                <w:szCs w:val="14"/>
                <w:color w:val="333740"/>
              </w:rPr>
              <w:t>Communications with Directors</w:t>
            </w:r>
          </w:p>
        </w:tc>
        <w:tc>
          <w:tcPr>
            <w:tcW w:w="2800" w:type="dxa"/>
            <w:vAlign w:val="bottom"/>
          </w:tcPr>
          <w:p>
            <w:pPr>
              <w:jc w:val="right"/>
              <w:spacing w:after="0"/>
              <w:rPr>
                <w:sz w:val="20"/>
                <w:szCs w:val="20"/>
                <w:color w:val="auto"/>
              </w:rPr>
            </w:pPr>
            <w:r>
              <w:rPr>
                <w:rFonts w:ascii="Arial" w:cs="Arial" w:eastAsia="Arial" w:hAnsi="Arial"/>
                <w:sz w:val="14"/>
                <w:szCs w:val="14"/>
                <w:color w:val="333740"/>
              </w:rPr>
              <w:t>49</w:t>
            </w:r>
          </w:p>
        </w:tc>
      </w:tr>
      <w:tr>
        <w:trPr>
          <w:trHeight w:val="239"/>
        </w:trPr>
        <w:tc>
          <w:tcPr>
            <w:tcW w:w="8380" w:type="dxa"/>
            <w:vAlign w:val="bottom"/>
          </w:tcPr>
          <w:p>
            <w:pPr>
              <w:spacing w:after="0"/>
              <w:rPr>
                <w:sz w:val="20"/>
                <w:szCs w:val="20"/>
                <w:color w:val="auto"/>
              </w:rPr>
            </w:pPr>
            <w:r>
              <w:rPr>
                <w:rFonts w:ascii="Arial" w:cs="Arial" w:eastAsia="Arial" w:hAnsi="Arial"/>
                <w:sz w:val="14"/>
                <w:szCs w:val="14"/>
                <w:b w:val="1"/>
                <w:bCs w:val="1"/>
                <w:color w:val="333740"/>
              </w:rPr>
              <w:t>Director Compensation</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333740"/>
              </w:rPr>
              <w:t>50</w:t>
            </w:r>
          </w:p>
        </w:tc>
      </w:tr>
      <w:tr>
        <w:trPr>
          <w:trHeight w:val="255"/>
        </w:trPr>
        <w:tc>
          <w:tcPr>
            <w:tcW w:w="8380" w:type="dxa"/>
            <w:vAlign w:val="bottom"/>
          </w:tcPr>
          <w:p>
            <w:pPr>
              <w:ind w:left="140"/>
              <w:spacing w:after="0"/>
              <w:rPr>
                <w:sz w:val="20"/>
                <w:szCs w:val="20"/>
                <w:color w:val="auto"/>
              </w:rPr>
            </w:pPr>
            <w:r>
              <w:rPr>
                <w:rFonts w:ascii="Arial" w:cs="Arial" w:eastAsia="Arial" w:hAnsi="Arial"/>
                <w:sz w:val="14"/>
                <w:szCs w:val="14"/>
                <w:color w:val="333740"/>
              </w:rPr>
              <w:t>Non-executive Director Compensation</w:t>
            </w:r>
          </w:p>
        </w:tc>
        <w:tc>
          <w:tcPr>
            <w:tcW w:w="2800" w:type="dxa"/>
            <w:vAlign w:val="bottom"/>
          </w:tcPr>
          <w:p>
            <w:pPr>
              <w:jc w:val="right"/>
              <w:spacing w:after="0"/>
              <w:rPr>
                <w:sz w:val="20"/>
                <w:szCs w:val="20"/>
                <w:color w:val="auto"/>
              </w:rPr>
            </w:pPr>
            <w:r>
              <w:rPr>
                <w:rFonts w:ascii="Arial" w:cs="Arial" w:eastAsia="Arial" w:hAnsi="Arial"/>
                <w:sz w:val="14"/>
                <w:szCs w:val="14"/>
                <w:color w:val="333740"/>
              </w:rPr>
              <w:t>50</w:t>
            </w:r>
          </w:p>
        </w:tc>
      </w:tr>
    </w:tbl>
    <w:p>
      <w:pPr>
        <w:spacing w:after="0" w:line="376" w:lineRule="exact"/>
        <w:rPr>
          <w:sz w:val="20"/>
          <w:szCs w:val="20"/>
          <w:color w:val="auto"/>
        </w:rPr>
      </w:pPr>
    </w:p>
    <w:p>
      <w:pPr>
        <w:ind w:left="564" w:hanging="564"/>
        <w:spacing w:after="0"/>
        <w:tabs>
          <w:tab w:leader="none" w:pos="564" w:val="left"/>
        </w:tabs>
        <w:numPr>
          <w:ilvl w:val="0"/>
          <w:numId w:val="10"/>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5" w:name="page6"/>
    <w:bookmarkEnd w:id="5"/>
    <w:tbl>
      <w:tblPr>
        <w:tblLayout w:type="fixed"/>
        <w:tblInd w:w="24" w:type="dxa"/>
        <w:tblCellMar>
          <w:top w:w="0" w:type="dxa"/>
          <w:left w:w="0" w:type="dxa"/>
          <w:bottom w:w="0" w:type="dxa"/>
          <w:right w:w="0" w:type="dxa"/>
        </w:tblCellMar>
      </w:tblPr>
      <w:tr>
        <w:trPr>
          <w:trHeight w:val="169"/>
        </w:trPr>
        <w:tc>
          <w:tcPr>
            <w:tcW w:w="9140" w:type="dxa"/>
            <w:vAlign w:val="bottom"/>
          </w:tcPr>
          <w:p>
            <w:pPr>
              <w:spacing w:after="0"/>
              <w:rPr>
                <w:sz w:val="20"/>
                <w:szCs w:val="20"/>
                <w:color w:val="auto"/>
              </w:rPr>
            </w:pPr>
            <w:r>
              <w:rPr>
                <w:rFonts w:ascii="Arial" w:cs="Arial" w:eastAsia="Arial" w:hAnsi="Arial"/>
                <w:sz w:val="13"/>
                <w:szCs w:val="13"/>
                <w:b w:val="1"/>
                <w:bCs w:val="1"/>
                <w:color w:val="481F6E"/>
              </w:rPr>
              <w:t>TechnipFMC Proxy Statement 2020</w:t>
            </w:r>
          </w:p>
        </w:tc>
        <w:tc>
          <w:tcPr>
            <w:tcW w:w="2060" w:type="dxa"/>
            <w:vAlign w:val="bottom"/>
          </w:tcPr>
          <w:p>
            <w:pPr>
              <w:spacing w:after="0"/>
              <w:rPr>
                <w:sz w:val="14"/>
                <w:szCs w:val="14"/>
                <w:color w:val="auto"/>
              </w:rPr>
            </w:pPr>
          </w:p>
        </w:tc>
      </w:tr>
      <w:tr>
        <w:trPr>
          <w:trHeight w:val="339"/>
        </w:trPr>
        <w:tc>
          <w:tcPr>
            <w:tcW w:w="9140" w:type="dxa"/>
            <w:vAlign w:val="bottom"/>
          </w:tcPr>
          <w:p>
            <w:pPr>
              <w:ind w:left="20"/>
              <w:spacing w:after="0"/>
              <w:rPr>
                <w:sz w:val="20"/>
                <w:szCs w:val="20"/>
                <w:color w:val="auto"/>
              </w:rPr>
            </w:pPr>
            <w:r>
              <w:rPr>
                <w:rFonts w:ascii="Arial" w:cs="Arial" w:eastAsia="Arial" w:hAnsi="Arial"/>
                <w:sz w:val="14"/>
                <w:szCs w:val="14"/>
                <w:b w:val="1"/>
                <w:bCs w:val="1"/>
                <w:color w:val="333740"/>
              </w:rPr>
              <w:t>Executive Compensation Discussion and Analysis</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33740"/>
              </w:rPr>
              <w:t>54</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Named Executive Officers</w:t>
            </w:r>
          </w:p>
        </w:tc>
        <w:tc>
          <w:tcPr>
            <w:tcW w:w="2060" w:type="dxa"/>
            <w:vAlign w:val="bottom"/>
          </w:tcPr>
          <w:p>
            <w:pPr>
              <w:jc w:val="right"/>
              <w:spacing w:after="0"/>
              <w:rPr>
                <w:sz w:val="20"/>
                <w:szCs w:val="20"/>
                <w:color w:val="auto"/>
              </w:rPr>
            </w:pPr>
            <w:r>
              <w:rPr>
                <w:rFonts w:ascii="Arial" w:cs="Arial" w:eastAsia="Arial" w:hAnsi="Arial"/>
                <w:sz w:val="14"/>
                <w:szCs w:val="14"/>
                <w:color w:val="333740"/>
              </w:rPr>
              <w:t>55</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Business Overview</w:t>
            </w:r>
          </w:p>
        </w:tc>
        <w:tc>
          <w:tcPr>
            <w:tcW w:w="2060" w:type="dxa"/>
            <w:vAlign w:val="bottom"/>
          </w:tcPr>
          <w:p>
            <w:pPr>
              <w:jc w:val="right"/>
              <w:spacing w:after="0"/>
              <w:rPr>
                <w:sz w:val="20"/>
                <w:szCs w:val="20"/>
                <w:color w:val="auto"/>
              </w:rPr>
            </w:pPr>
            <w:r>
              <w:rPr>
                <w:rFonts w:ascii="Arial" w:cs="Arial" w:eastAsia="Arial" w:hAnsi="Arial"/>
                <w:sz w:val="14"/>
                <w:szCs w:val="14"/>
                <w:color w:val="333740"/>
              </w:rPr>
              <w:t>55</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Executive Compensation Highlights</w:t>
            </w:r>
          </w:p>
        </w:tc>
        <w:tc>
          <w:tcPr>
            <w:tcW w:w="2060" w:type="dxa"/>
            <w:vAlign w:val="bottom"/>
          </w:tcPr>
          <w:p>
            <w:pPr>
              <w:jc w:val="right"/>
              <w:spacing w:after="0"/>
              <w:rPr>
                <w:sz w:val="20"/>
                <w:szCs w:val="20"/>
                <w:color w:val="auto"/>
              </w:rPr>
            </w:pPr>
            <w:r>
              <w:rPr>
                <w:rFonts w:ascii="Arial" w:cs="Arial" w:eastAsia="Arial" w:hAnsi="Arial"/>
                <w:sz w:val="14"/>
                <w:szCs w:val="14"/>
                <w:color w:val="333740"/>
              </w:rPr>
              <w:t>56</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Compensation Governance</w:t>
            </w:r>
          </w:p>
        </w:tc>
        <w:tc>
          <w:tcPr>
            <w:tcW w:w="2060" w:type="dxa"/>
            <w:vAlign w:val="bottom"/>
          </w:tcPr>
          <w:p>
            <w:pPr>
              <w:jc w:val="right"/>
              <w:spacing w:after="0"/>
              <w:rPr>
                <w:sz w:val="20"/>
                <w:szCs w:val="20"/>
                <w:color w:val="auto"/>
              </w:rPr>
            </w:pPr>
            <w:r>
              <w:rPr>
                <w:rFonts w:ascii="Arial" w:cs="Arial" w:eastAsia="Arial" w:hAnsi="Arial"/>
                <w:sz w:val="14"/>
                <w:szCs w:val="14"/>
                <w:color w:val="333740"/>
              </w:rPr>
              <w:t>67</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Elements of 2019 Executive Compensation</w:t>
            </w:r>
          </w:p>
        </w:tc>
        <w:tc>
          <w:tcPr>
            <w:tcW w:w="2060" w:type="dxa"/>
            <w:vAlign w:val="bottom"/>
          </w:tcPr>
          <w:p>
            <w:pPr>
              <w:jc w:val="right"/>
              <w:spacing w:after="0"/>
              <w:rPr>
                <w:sz w:val="20"/>
                <w:szCs w:val="20"/>
                <w:color w:val="auto"/>
              </w:rPr>
            </w:pPr>
            <w:r>
              <w:rPr>
                <w:rFonts w:ascii="Arial" w:cs="Arial" w:eastAsia="Arial" w:hAnsi="Arial"/>
                <w:sz w:val="14"/>
                <w:szCs w:val="14"/>
                <w:color w:val="333740"/>
              </w:rPr>
              <w:t>72</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Other Compensation, Benefits, and Considerations</w:t>
            </w:r>
          </w:p>
        </w:tc>
        <w:tc>
          <w:tcPr>
            <w:tcW w:w="2060" w:type="dxa"/>
            <w:vAlign w:val="bottom"/>
          </w:tcPr>
          <w:p>
            <w:pPr>
              <w:jc w:val="right"/>
              <w:spacing w:after="0"/>
              <w:rPr>
                <w:sz w:val="20"/>
                <w:szCs w:val="20"/>
                <w:color w:val="auto"/>
              </w:rPr>
            </w:pPr>
            <w:r>
              <w:rPr>
                <w:rFonts w:ascii="Arial" w:cs="Arial" w:eastAsia="Arial" w:hAnsi="Arial"/>
                <w:sz w:val="14"/>
                <w:szCs w:val="14"/>
                <w:color w:val="333740"/>
              </w:rPr>
              <w:t>87</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Summary Compensation Table for the Year Ended December 31, 2019</w:t>
            </w:r>
          </w:p>
        </w:tc>
        <w:tc>
          <w:tcPr>
            <w:tcW w:w="2060" w:type="dxa"/>
            <w:vAlign w:val="bottom"/>
          </w:tcPr>
          <w:p>
            <w:pPr>
              <w:jc w:val="right"/>
              <w:spacing w:after="0"/>
              <w:rPr>
                <w:sz w:val="20"/>
                <w:szCs w:val="20"/>
                <w:color w:val="auto"/>
              </w:rPr>
            </w:pPr>
            <w:r>
              <w:rPr>
                <w:rFonts w:ascii="Arial" w:cs="Arial" w:eastAsia="Arial" w:hAnsi="Arial"/>
                <w:sz w:val="14"/>
                <w:szCs w:val="14"/>
                <w:color w:val="333740"/>
              </w:rPr>
              <w:t>91</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Grants of Plan-Based Awards Table</w:t>
            </w:r>
          </w:p>
        </w:tc>
        <w:tc>
          <w:tcPr>
            <w:tcW w:w="2060" w:type="dxa"/>
            <w:vAlign w:val="bottom"/>
          </w:tcPr>
          <w:p>
            <w:pPr>
              <w:jc w:val="right"/>
              <w:spacing w:after="0"/>
              <w:rPr>
                <w:sz w:val="20"/>
                <w:szCs w:val="20"/>
                <w:color w:val="auto"/>
              </w:rPr>
            </w:pPr>
            <w:r>
              <w:rPr>
                <w:rFonts w:ascii="Arial" w:cs="Arial" w:eastAsia="Arial" w:hAnsi="Arial"/>
                <w:sz w:val="14"/>
                <w:szCs w:val="14"/>
                <w:color w:val="333740"/>
              </w:rPr>
              <w:t>93</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Outstanding Equity Awards at Fiscal Year-End Table</w:t>
            </w:r>
          </w:p>
        </w:tc>
        <w:tc>
          <w:tcPr>
            <w:tcW w:w="2060" w:type="dxa"/>
            <w:vAlign w:val="bottom"/>
          </w:tcPr>
          <w:p>
            <w:pPr>
              <w:jc w:val="right"/>
              <w:spacing w:after="0"/>
              <w:rPr>
                <w:sz w:val="20"/>
                <w:szCs w:val="20"/>
                <w:color w:val="auto"/>
              </w:rPr>
            </w:pPr>
            <w:r>
              <w:rPr>
                <w:rFonts w:ascii="Arial" w:cs="Arial" w:eastAsia="Arial" w:hAnsi="Arial"/>
                <w:sz w:val="14"/>
                <w:szCs w:val="14"/>
                <w:color w:val="333740"/>
              </w:rPr>
              <w:t>94</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Option Exercises and Stock Vested Table</w:t>
            </w:r>
          </w:p>
        </w:tc>
        <w:tc>
          <w:tcPr>
            <w:tcW w:w="2060" w:type="dxa"/>
            <w:vAlign w:val="bottom"/>
          </w:tcPr>
          <w:p>
            <w:pPr>
              <w:jc w:val="right"/>
              <w:spacing w:after="0"/>
              <w:rPr>
                <w:sz w:val="20"/>
                <w:szCs w:val="20"/>
                <w:color w:val="auto"/>
              </w:rPr>
            </w:pPr>
            <w:r>
              <w:rPr>
                <w:rFonts w:ascii="Arial" w:cs="Arial" w:eastAsia="Arial" w:hAnsi="Arial"/>
                <w:sz w:val="14"/>
                <w:szCs w:val="14"/>
                <w:color w:val="333740"/>
              </w:rPr>
              <w:t>95</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Pension Benefits Table</w:t>
            </w:r>
          </w:p>
        </w:tc>
        <w:tc>
          <w:tcPr>
            <w:tcW w:w="2060" w:type="dxa"/>
            <w:vAlign w:val="bottom"/>
          </w:tcPr>
          <w:p>
            <w:pPr>
              <w:jc w:val="right"/>
              <w:spacing w:after="0"/>
              <w:rPr>
                <w:sz w:val="20"/>
                <w:szCs w:val="20"/>
                <w:color w:val="auto"/>
              </w:rPr>
            </w:pPr>
            <w:r>
              <w:rPr>
                <w:rFonts w:ascii="Arial" w:cs="Arial" w:eastAsia="Arial" w:hAnsi="Arial"/>
                <w:sz w:val="14"/>
                <w:szCs w:val="14"/>
                <w:color w:val="333740"/>
              </w:rPr>
              <w:t>96</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Non-Qualified Deferred Compensation Table</w:t>
            </w:r>
          </w:p>
        </w:tc>
        <w:tc>
          <w:tcPr>
            <w:tcW w:w="2060" w:type="dxa"/>
            <w:vAlign w:val="bottom"/>
          </w:tcPr>
          <w:p>
            <w:pPr>
              <w:jc w:val="right"/>
              <w:spacing w:after="0"/>
              <w:rPr>
                <w:sz w:val="20"/>
                <w:szCs w:val="20"/>
                <w:color w:val="auto"/>
              </w:rPr>
            </w:pPr>
            <w:r>
              <w:rPr>
                <w:rFonts w:ascii="Arial" w:cs="Arial" w:eastAsia="Arial" w:hAnsi="Arial"/>
                <w:sz w:val="14"/>
                <w:szCs w:val="14"/>
                <w:color w:val="333740"/>
              </w:rPr>
              <w:t>98</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Potential Payments upon Termination</w:t>
            </w:r>
          </w:p>
        </w:tc>
        <w:tc>
          <w:tcPr>
            <w:tcW w:w="2060" w:type="dxa"/>
            <w:vAlign w:val="bottom"/>
          </w:tcPr>
          <w:p>
            <w:pPr>
              <w:jc w:val="right"/>
              <w:spacing w:after="0"/>
              <w:rPr>
                <w:sz w:val="20"/>
                <w:szCs w:val="20"/>
                <w:color w:val="auto"/>
              </w:rPr>
            </w:pPr>
            <w:r>
              <w:rPr>
                <w:rFonts w:ascii="Arial" w:cs="Arial" w:eastAsia="Arial" w:hAnsi="Arial"/>
                <w:sz w:val="14"/>
                <w:szCs w:val="14"/>
                <w:color w:val="333740"/>
              </w:rPr>
              <w:t>99</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CEO Pay Ratio</w:t>
            </w:r>
          </w:p>
        </w:tc>
        <w:tc>
          <w:tcPr>
            <w:tcW w:w="2060" w:type="dxa"/>
            <w:vAlign w:val="bottom"/>
          </w:tcPr>
          <w:p>
            <w:pPr>
              <w:jc w:val="right"/>
              <w:spacing w:after="0"/>
              <w:rPr>
                <w:sz w:val="20"/>
                <w:szCs w:val="20"/>
                <w:color w:val="auto"/>
              </w:rPr>
            </w:pPr>
            <w:r>
              <w:rPr>
                <w:rFonts w:ascii="Arial" w:cs="Arial" w:eastAsia="Arial" w:hAnsi="Arial"/>
                <w:sz w:val="14"/>
                <w:szCs w:val="14"/>
                <w:color w:val="333740"/>
              </w:rPr>
              <w:t>102</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Compensation of Former Executive Chairman</w:t>
            </w:r>
          </w:p>
        </w:tc>
        <w:tc>
          <w:tcPr>
            <w:tcW w:w="2060" w:type="dxa"/>
            <w:vAlign w:val="bottom"/>
          </w:tcPr>
          <w:p>
            <w:pPr>
              <w:jc w:val="right"/>
              <w:spacing w:after="0"/>
              <w:rPr>
                <w:sz w:val="20"/>
                <w:szCs w:val="20"/>
                <w:color w:val="auto"/>
              </w:rPr>
            </w:pPr>
            <w:r>
              <w:rPr>
                <w:rFonts w:ascii="Arial" w:cs="Arial" w:eastAsia="Arial" w:hAnsi="Arial"/>
                <w:sz w:val="14"/>
                <w:szCs w:val="14"/>
                <w:color w:val="333740"/>
              </w:rPr>
              <w:t>103</w:t>
            </w:r>
          </w:p>
        </w:tc>
      </w:tr>
      <w:tr>
        <w:trPr>
          <w:trHeight w:val="239"/>
        </w:trPr>
        <w:tc>
          <w:tcPr>
            <w:tcW w:w="9140" w:type="dxa"/>
            <w:vAlign w:val="bottom"/>
          </w:tcPr>
          <w:p>
            <w:pPr>
              <w:ind w:left="20"/>
              <w:spacing w:after="0"/>
              <w:rPr>
                <w:sz w:val="20"/>
                <w:szCs w:val="20"/>
                <w:color w:val="auto"/>
              </w:rPr>
            </w:pPr>
            <w:r>
              <w:rPr>
                <w:rFonts w:ascii="Arial" w:cs="Arial" w:eastAsia="Arial" w:hAnsi="Arial"/>
                <w:sz w:val="14"/>
                <w:szCs w:val="14"/>
                <w:b w:val="1"/>
                <w:bCs w:val="1"/>
                <w:color w:val="333740"/>
              </w:rPr>
              <w:t>Compensation Committee Report</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33740"/>
              </w:rPr>
              <w:t>107</w:t>
            </w:r>
          </w:p>
        </w:tc>
      </w:tr>
      <w:tr>
        <w:trPr>
          <w:trHeight w:val="239"/>
        </w:trPr>
        <w:tc>
          <w:tcPr>
            <w:tcW w:w="9140" w:type="dxa"/>
            <w:vAlign w:val="bottom"/>
          </w:tcPr>
          <w:p>
            <w:pPr>
              <w:ind w:left="20"/>
              <w:spacing w:after="0"/>
              <w:rPr>
                <w:sz w:val="20"/>
                <w:szCs w:val="20"/>
                <w:color w:val="auto"/>
              </w:rPr>
            </w:pPr>
            <w:r>
              <w:rPr>
                <w:rFonts w:ascii="Arial" w:cs="Arial" w:eastAsia="Arial" w:hAnsi="Arial"/>
                <w:sz w:val="14"/>
                <w:szCs w:val="14"/>
                <w:b w:val="1"/>
                <w:bCs w:val="1"/>
                <w:color w:val="333740"/>
              </w:rPr>
              <w:t>Audit Committee Report</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33740"/>
              </w:rPr>
              <w:t>108</w:t>
            </w:r>
          </w:p>
        </w:tc>
      </w:tr>
      <w:tr>
        <w:trPr>
          <w:trHeight w:val="239"/>
        </w:trPr>
        <w:tc>
          <w:tcPr>
            <w:tcW w:w="9140" w:type="dxa"/>
            <w:vAlign w:val="bottom"/>
          </w:tcPr>
          <w:p>
            <w:pPr>
              <w:ind w:left="20"/>
              <w:spacing w:after="0"/>
              <w:rPr>
                <w:sz w:val="20"/>
                <w:szCs w:val="20"/>
                <w:color w:val="auto"/>
              </w:rPr>
            </w:pPr>
            <w:r>
              <w:rPr>
                <w:rFonts w:ascii="Arial" w:cs="Arial" w:eastAsia="Arial" w:hAnsi="Arial"/>
                <w:sz w:val="14"/>
                <w:szCs w:val="14"/>
                <w:b w:val="1"/>
                <w:bCs w:val="1"/>
                <w:color w:val="333740"/>
              </w:rPr>
              <w:t>Proposals 1(a) – 1(n) – Election of Directors</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33740"/>
              </w:rPr>
              <w:t>109</w:t>
            </w:r>
          </w:p>
        </w:tc>
      </w:tr>
      <w:tr>
        <w:trPr>
          <w:trHeight w:val="239"/>
        </w:trPr>
        <w:tc>
          <w:tcPr>
            <w:tcW w:w="9140" w:type="dxa"/>
            <w:vAlign w:val="bottom"/>
          </w:tcPr>
          <w:p>
            <w:pPr>
              <w:ind w:left="160"/>
              <w:spacing w:after="0"/>
              <w:rPr>
                <w:sz w:val="20"/>
                <w:szCs w:val="20"/>
                <w:color w:val="auto"/>
              </w:rPr>
            </w:pPr>
            <w:r>
              <w:rPr>
                <w:rFonts w:ascii="Arial" w:cs="Arial" w:eastAsia="Arial" w:hAnsi="Arial"/>
                <w:sz w:val="14"/>
                <w:szCs w:val="14"/>
                <w:color w:val="333740"/>
              </w:rPr>
              <w:t>Director Nominees</w:t>
            </w:r>
          </w:p>
        </w:tc>
        <w:tc>
          <w:tcPr>
            <w:tcW w:w="2060" w:type="dxa"/>
            <w:vAlign w:val="bottom"/>
          </w:tcPr>
          <w:p>
            <w:pPr>
              <w:jc w:val="right"/>
              <w:spacing w:after="0"/>
              <w:rPr>
                <w:sz w:val="20"/>
                <w:szCs w:val="20"/>
                <w:color w:val="auto"/>
              </w:rPr>
            </w:pPr>
            <w:r>
              <w:rPr>
                <w:rFonts w:ascii="Arial" w:cs="Arial" w:eastAsia="Arial" w:hAnsi="Arial"/>
                <w:sz w:val="14"/>
                <w:szCs w:val="14"/>
                <w:color w:val="333740"/>
              </w:rPr>
              <w:t>111</w:t>
            </w:r>
          </w:p>
        </w:tc>
      </w:tr>
      <w:tr>
        <w:trPr>
          <w:trHeight w:val="239"/>
        </w:trPr>
        <w:tc>
          <w:tcPr>
            <w:tcW w:w="9140" w:type="dxa"/>
            <w:vAlign w:val="bottom"/>
          </w:tcPr>
          <w:p>
            <w:pPr>
              <w:ind w:left="20"/>
              <w:spacing w:after="0"/>
              <w:rPr>
                <w:sz w:val="20"/>
                <w:szCs w:val="20"/>
                <w:color w:val="auto"/>
              </w:rPr>
            </w:pPr>
            <w:r>
              <w:rPr>
                <w:rFonts w:ascii="Arial" w:cs="Arial" w:eastAsia="Arial" w:hAnsi="Arial"/>
                <w:sz w:val="14"/>
                <w:szCs w:val="14"/>
                <w:b w:val="1"/>
                <w:bCs w:val="1"/>
                <w:color w:val="333740"/>
              </w:rPr>
              <w:t>Proposal 2 – 2019 Say-on-Pay for NEOs</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33740"/>
              </w:rPr>
              <w:t>125</w:t>
            </w:r>
          </w:p>
        </w:tc>
      </w:tr>
      <w:tr>
        <w:trPr>
          <w:trHeight w:val="239"/>
        </w:trPr>
        <w:tc>
          <w:tcPr>
            <w:tcW w:w="9140" w:type="dxa"/>
            <w:vAlign w:val="bottom"/>
          </w:tcPr>
          <w:p>
            <w:pPr>
              <w:ind w:left="20"/>
              <w:spacing w:after="0"/>
              <w:rPr>
                <w:sz w:val="20"/>
                <w:szCs w:val="20"/>
                <w:color w:val="auto"/>
              </w:rPr>
            </w:pPr>
            <w:r>
              <w:rPr>
                <w:rFonts w:ascii="Arial" w:cs="Arial" w:eastAsia="Arial" w:hAnsi="Arial"/>
                <w:sz w:val="14"/>
                <w:szCs w:val="14"/>
                <w:b w:val="1"/>
                <w:bCs w:val="1"/>
                <w:color w:val="333740"/>
              </w:rPr>
              <w:t>Proposal 3 – 2019 Directors’ Remuneration Report</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33740"/>
              </w:rPr>
              <w:t>126</w:t>
            </w:r>
          </w:p>
        </w:tc>
      </w:tr>
      <w:tr>
        <w:trPr>
          <w:trHeight w:val="239"/>
        </w:trPr>
        <w:tc>
          <w:tcPr>
            <w:tcW w:w="9140" w:type="dxa"/>
            <w:vAlign w:val="bottom"/>
          </w:tcPr>
          <w:p>
            <w:pPr>
              <w:ind w:left="20"/>
              <w:spacing w:after="0"/>
              <w:rPr>
                <w:sz w:val="20"/>
                <w:szCs w:val="20"/>
                <w:color w:val="auto"/>
              </w:rPr>
            </w:pPr>
            <w:r>
              <w:rPr>
                <w:rFonts w:ascii="Arial" w:cs="Arial" w:eastAsia="Arial" w:hAnsi="Arial"/>
                <w:sz w:val="14"/>
                <w:szCs w:val="14"/>
                <w:b w:val="1"/>
                <w:bCs w:val="1"/>
                <w:color w:val="333740"/>
              </w:rPr>
              <w:t>Proposal 4 – Receipt of U.K. Annual Report and Accounts</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33740"/>
              </w:rPr>
              <w:t>127</w:t>
            </w:r>
          </w:p>
        </w:tc>
      </w:tr>
      <w:tr>
        <w:trPr>
          <w:trHeight w:val="239"/>
        </w:trPr>
        <w:tc>
          <w:tcPr>
            <w:tcW w:w="9140" w:type="dxa"/>
            <w:vAlign w:val="bottom"/>
          </w:tcPr>
          <w:p>
            <w:pPr>
              <w:ind w:left="20"/>
              <w:spacing w:after="0"/>
              <w:rPr>
                <w:sz w:val="20"/>
                <w:szCs w:val="20"/>
                <w:color w:val="auto"/>
              </w:rPr>
            </w:pPr>
            <w:r>
              <w:rPr>
                <w:rFonts w:ascii="Arial" w:cs="Arial" w:eastAsia="Arial" w:hAnsi="Arial"/>
                <w:sz w:val="14"/>
                <w:szCs w:val="14"/>
                <w:b w:val="1"/>
                <w:bCs w:val="1"/>
                <w:color w:val="333740"/>
              </w:rPr>
              <w:t>Proposal 5 – Ratification of U.S. Auditor</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33740"/>
              </w:rPr>
              <w:t>128</w:t>
            </w:r>
          </w:p>
        </w:tc>
      </w:tr>
      <w:tr>
        <w:trPr>
          <w:trHeight w:val="239"/>
        </w:trPr>
        <w:tc>
          <w:tcPr>
            <w:tcW w:w="9140" w:type="dxa"/>
            <w:vAlign w:val="bottom"/>
          </w:tcPr>
          <w:p>
            <w:pPr>
              <w:ind w:left="20"/>
              <w:spacing w:after="0"/>
              <w:rPr>
                <w:sz w:val="20"/>
                <w:szCs w:val="20"/>
                <w:color w:val="auto"/>
              </w:rPr>
            </w:pPr>
            <w:r>
              <w:rPr>
                <w:rFonts w:ascii="Arial" w:cs="Arial" w:eastAsia="Arial" w:hAnsi="Arial"/>
                <w:sz w:val="14"/>
                <w:szCs w:val="14"/>
                <w:b w:val="1"/>
                <w:bCs w:val="1"/>
                <w:color w:val="333740"/>
              </w:rPr>
              <w:t>Proposal 6 – Reappointment of U.K. Statutory Auditor</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33740"/>
              </w:rPr>
              <w:t>129</w:t>
            </w:r>
          </w:p>
        </w:tc>
      </w:tr>
      <w:tr>
        <w:trPr>
          <w:trHeight w:val="239"/>
        </w:trPr>
        <w:tc>
          <w:tcPr>
            <w:tcW w:w="9140" w:type="dxa"/>
            <w:vAlign w:val="bottom"/>
          </w:tcPr>
          <w:p>
            <w:pPr>
              <w:ind w:left="20"/>
              <w:spacing w:after="0"/>
              <w:rPr>
                <w:sz w:val="20"/>
                <w:szCs w:val="20"/>
                <w:color w:val="auto"/>
              </w:rPr>
            </w:pPr>
            <w:r>
              <w:rPr>
                <w:rFonts w:ascii="Arial" w:cs="Arial" w:eastAsia="Arial" w:hAnsi="Arial"/>
                <w:sz w:val="14"/>
                <w:szCs w:val="14"/>
                <w:b w:val="1"/>
                <w:bCs w:val="1"/>
                <w:color w:val="333740"/>
              </w:rPr>
              <w:t>Proposal 7 – Approval of U.K. Statutory Auditor Fees</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33740"/>
              </w:rPr>
              <w:t>130</w:t>
            </w:r>
          </w:p>
        </w:tc>
      </w:tr>
      <w:tr>
        <w:trPr>
          <w:trHeight w:val="239"/>
        </w:trPr>
        <w:tc>
          <w:tcPr>
            <w:tcW w:w="9140" w:type="dxa"/>
            <w:vAlign w:val="bottom"/>
          </w:tcPr>
          <w:p>
            <w:pPr>
              <w:ind w:left="20"/>
              <w:spacing w:after="0"/>
              <w:rPr>
                <w:sz w:val="20"/>
                <w:szCs w:val="20"/>
                <w:color w:val="auto"/>
              </w:rPr>
            </w:pPr>
            <w:r>
              <w:rPr>
                <w:rFonts w:ascii="Arial" w:cs="Arial" w:eastAsia="Arial" w:hAnsi="Arial"/>
                <w:sz w:val="14"/>
                <w:szCs w:val="14"/>
                <w:b w:val="1"/>
                <w:bCs w:val="1"/>
                <w:color w:val="333740"/>
              </w:rPr>
              <w:t>Transactions with Related Persons</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33740"/>
              </w:rPr>
              <w:t>131</w:t>
            </w:r>
          </w:p>
        </w:tc>
      </w:tr>
      <w:tr>
        <w:trPr>
          <w:trHeight w:val="239"/>
        </w:trPr>
        <w:tc>
          <w:tcPr>
            <w:tcW w:w="9140" w:type="dxa"/>
            <w:vAlign w:val="bottom"/>
          </w:tcPr>
          <w:p>
            <w:pPr>
              <w:ind w:left="20"/>
              <w:spacing w:after="0"/>
              <w:rPr>
                <w:sz w:val="20"/>
                <w:szCs w:val="20"/>
                <w:color w:val="auto"/>
              </w:rPr>
            </w:pPr>
            <w:r>
              <w:rPr>
                <w:rFonts w:ascii="Arial" w:cs="Arial" w:eastAsia="Arial" w:hAnsi="Arial"/>
                <w:sz w:val="14"/>
                <w:szCs w:val="14"/>
                <w:b w:val="1"/>
                <w:bCs w:val="1"/>
                <w:color w:val="333740"/>
              </w:rPr>
              <w:t>Security Ownership of Our Management and Holders of More Than 5% of Our Outstanding Ordinary Shares</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33740"/>
              </w:rPr>
              <w:t>132</w:t>
            </w:r>
          </w:p>
        </w:tc>
      </w:tr>
      <w:tr>
        <w:trPr>
          <w:trHeight w:val="239"/>
        </w:trPr>
        <w:tc>
          <w:tcPr>
            <w:tcW w:w="9140" w:type="dxa"/>
            <w:vAlign w:val="bottom"/>
          </w:tcPr>
          <w:p>
            <w:pPr>
              <w:ind w:left="20"/>
              <w:spacing w:after="0"/>
              <w:rPr>
                <w:sz w:val="20"/>
                <w:szCs w:val="20"/>
                <w:color w:val="auto"/>
              </w:rPr>
            </w:pPr>
            <w:r>
              <w:rPr>
                <w:rFonts w:ascii="Arial" w:cs="Arial" w:eastAsia="Arial" w:hAnsi="Arial"/>
                <w:sz w:val="14"/>
                <w:szCs w:val="14"/>
                <w:b w:val="1"/>
                <w:bCs w:val="1"/>
                <w:color w:val="333740"/>
              </w:rPr>
              <w:t>Section 16(a) Beneficial Ownership Reporting Compliance</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33740"/>
              </w:rPr>
              <w:t>134</w:t>
            </w:r>
          </w:p>
        </w:tc>
      </w:tr>
      <w:tr>
        <w:trPr>
          <w:trHeight w:val="239"/>
        </w:trPr>
        <w:tc>
          <w:tcPr>
            <w:tcW w:w="9140" w:type="dxa"/>
            <w:vAlign w:val="bottom"/>
          </w:tcPr>
          <w:p>
            <w:pPr>
              <w:ind w:left="20"/>
              <w:spacing w:after="0"/>
              <w:rPr>
                <w:sz w:val="20"/>
                <w:szCs w:val="20"/>
                <w:color w:val="auto"/>
              </w:rPr>
            </w:pPr>
            <w:r>
              <w:rPr>
                <w:rFonts w:ascii="Arial" w:cs="Arial" w:eastAsia="Arial" w:hAnsi="Arial"/>
                <w:sz w:val="14"/>
                <w:szCs w:val="14"/>
                <w:b w:val="1"/>
                <w:bCs w:val="1"/>
                <w:color w:val="333740"/>
              </w:rPr>
              <w:t>Proposals for the 2021 Annual General Meeting of Shareholders</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33740"/>
              </w:rPr>
              <w:t>135</w:t>
            </w:r>
          </w:p>
        </w:tc>
      </w:tr>
      <w:tr>
        <w:trPr>
          <w:trHeight w:val="239"/>
        </w:trPr>
        <w:tc>
          <w:tcPr>
            <w:tcW w:w="9140" w:type="dxa"/>
            <w:vAlign w:val="bottom"/>
          </w:tcPr>
          <w:p>
            <w:pPr>
              <w:ind w:left="20"/>
              <w:spacing w:after="0"/>
              <w:rPr>
                <w:sz w:val="20"/>
                <w:szCs w:val="20"/>
                <w:color w:val="auto"/>
              </w:rPr>
            </w:pPr>
            <w:r>
              <w:rPr>
                <w:rFonts w:ascii="Arial" w:cs="Arial" w:eastAsia="Arial" w:hAnsi="Arial"/>
                <w:sz w:val="14"/>
                <w:szCs w:val="14"/>
                <w:b w:val="1"/>
                <w:bCs w:val="1"/>
                <w:color w:val="333740"/>
              </w:rPr>
              <w:t>Shareholders Sharing an Address</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333740"/>
              </w:rPr>
              <w:t>136</w:t>
            </w:r>
          </w:p>
        </w:tc>
      </w:tr>
    </w:tbl>
    <w:p>
      <w:pPr>
        <w:spacing w:after="0" w:line="392" w:lineRule="exact"/>
        <w:rPr>
          <w:sz w:val="20"/>
          <w:szCs w:val="20"/>
          <w:color w:val="auto"/>
        </w:rPr>
      </w:pPr>
    </w:p>
    <w:p>
      <w:pPr>
        <w:ind w:left="564" w:hanging="564"/>
        <w:spacing w:after="0"/>
        <w:tabs>
          <w:tab w:leader="none" w:pos="564" w:val="left"/>
        </w:tabs>
        <w:numPr>
          <w:ilvl w:val="0"/>
          <w:numId w:val="11"/>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6" w:name="page7"/>
    <w:bookmarkEnd w:id="6"/>
    <w:tbl>
      <w:tblPr>
        <w:tblLayout w:type="fixed"/>
        <w:tblInd w:w="24" w:type="dxa"/>
        <w:tblCellMar>
          <w:top w:w="0" w:type="dxa"/>
          <w:left w:w="0" w:type="dxa"/>
          <w:bottom w:w="0" w:type="dxa"/>
          <w:right w:w="0" w:type="dxa"/>
        </w:tblCellMar>
      </w:tblPr>
      <w:tr>
        <w:trPr>
          <w:trHeight w:val="169"/>
        </w:trPr>
        <w:tc>
          <w:tcPr>
            <w:tcW w:w="9080" w:type="dxa"/>
            <w:vAlign w:val="bottom"/>
          </w:tcPr>
          <w:p>
            <w:pPr>
              <w:spacing w:after="0"/>
              <w:rPr>
                <w:sz w:val="20"/>
                <w:szCs w:val="20"/>
                <w:color w:val="auto"/>
              </w:rPr>
            </w:pPr>
            <w:r>
              <w:rPr>
                <w:rFonts w:ascii="Arial" w:cs="Arial" w:eastAsia="Arial" w:hAnsi="Arial"/>
                <w:sz w:val="13"/>
                <w:szCs w:val="13"/>
                <w:b w:val="1"/>
                <w:bCs w:val="1"/>
                <w:color w:val="481F6E"/>
              </w:rPr>
              <w:t>TechnipFMC Proxy Statement 2020</w:t>
            </w:r>
          </w:p>
        </w:tc>
        <w:tc>
          <w:tcPr>
            <w:tcW w:w="2120" w:type="dxa"/>
            <w:vAlign w:val="bottom"/>
          </w:tcPr>
          <w:p>
            <w:pPr>
              <w:spacing w:after="0"/>
              <w:rPr>
                <w:sz w:val="14"/>
                <w:szCs w:val="14"/>
                <w:color w:val="auto"/>
              </w:rPr>
            </w:pPr>
          </w:p>
        </w:tc>
      </w:tr>
      <w:tr>
        <w:trPr>
          <w:trHeight w:val="339"/>
        </w:trPr>
        <w:tc>
          <w:tcPr>
            <w:tcW w:w="9080" w:type="dxa"/>
            <w:vAlign w:val="bottom"/>
          </w:tcPr>
          <w:p>
            <w:pPr>
              <w:ind w:left="20"/>
              <w:spacing w:after="0"/>
              <w:rPr>
                <w:sz w:val="20"/>
                <w:szCs w:val="20"/>
                <w:color w:val="auto"/>
              </w:rPr>
            </w:pPr>
            <w:r>
              <w:rPr>
                <w:rFonts w:ascii="Arial" w:cs="Arial" w:eastAsia="Arial" w:hAnsi="Arial"/>
                <w:sz w:val="14"/>
                <w:szCs w:val="14"/>
                <w:b w:val="1"/>
                <w:bCs w:val="1"/>
                <w:color w:val="333740"/>
              </w:rPr>
              <w:t>General Information about the Annual Meeting</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333740"/>
              </w:rPr>
              <w:t>137</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What is the location of the Annual Meeting?</w:t>
            </w:r>
          </w:p>
        </w:tc>
        <w:tc>
          <w:tcPr>
            <w:tcW w:w="2120" w:type="dxa"/>
            <w:vAlign w:val="bottom"/>
          </w:tcPr>
          <w:p>
            <w:pPr>
              <w:jc w:val="right"/>
              <w:spacing w:after="0"/>
              <w:rPr>
                <w:sz w:val="20"/>
                <w:szCs w:val="20"/>
                <w:color w:val="auto"/>
              </w:rPr>
            </w:pPr>
            <w:r>
              <w:rPr>
                <w:rFonts w:ascii="Arial" w:cs="Arial" w:eastAsia="Arial" w:hAnsi="Arial"/>
                <w:sz w:val="14"/>
                <w:szCs w:val="14"/>
                <w:color w:val="333740"/>
              </w:rPr>
              <w:t>137</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What is a proxy statement?</w:t>
            </w:r>
          </w:p>
        </w:tc>
        <w:tc>
          <w:tcPr>
            <w:tcW w:w="2120" w:type="dxa"/>
            <w:vAlign w:val="bottom"/>
          </w:tcPr>
          <w:p>
            <w:pPr>
              <w:jc w:val="right"/>
              <w:spacing w:after="0"/>
              <w:rPr>
                <w:sz w:val="20"/>
                <w:szCs w:val="20"/>
                <w:color w:val="auto"/>
              </w:rPr>
            </w:pPr>
            <w:r>
              <w:rPr>
                <w:rFonts w:ascii="Arial" w:cs="Arial" w:eastAsia="Arial" w:hAnsi="Arial"/>
                <w:sz w:val="14"/>
                <w:szCs w:val="14"/>
                <w:color w:val="333740"/>
              </w:rPr>
              <w:t>137</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What is a proxy?</w:t>
            </w:r>
          </w:p>
        </w:tc>
        <w:tc>
          <w:tcPr>
            <w:tcW w:w="2120" w:type="dxa"/>
            <w:vAlign w:val="bottom"/>
          </w:tcPr>
          <w:p>
            <w:pPr>
              <w:jc w:val="right"/>
              <w:spacing w:after="0"/>
              <w:rPr>
                <w:sz w:val="20"/>
                <w:szCs w:val="20"/>
                <w:color w:val="auto"/>
              </w:rPr>
            </w:pPr>
            <w:r>
              <w:rPr>
                <w:rFonts w:ascii="Arial" w:cs="Arial" w:eastAsia="Arial" w:hAnsi="Arial"/>
                <w:sz w:val="14"/>
                <w:szCs w:val="14"/>
                <w:color w:val="333740"/>
              </w:rPr>
              <w:t>137</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How will the Company distribute Proxy Materials?</w:t>
            </w:r>
          </w:p>
        </w:tc>
        <w:tc>
          <w:tcPr>
            <w:tcW w:w="2120" w:type="dxa"/>
            <w:vAlign w:val="bottom"/>
          </w:tcPr>
          <w:p>
            <w:pPr>
              <w:jc w:val="right"/>
              <w:spacing w:after="0"/>
              <w:rPr>
                <w:sz w:val="20"/>
                <w:szCs w:val="20"/>
                <w:color w:val="auto"/>
              </w:rPr>
            </w:pPr>
            <w:r>
              <w:rPr>
                <w:rFonts w:ascii="Arial" w:cs="Arial" w:eastAsia="Arial" w:hAnsi="Arial"/>
                <w:sz w:val="14"/>
                <w:szCs w:val="14"/>
                <w:color w:val="333740"/>
              </w:rPr>
              <w:t>137</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Where can I find governance documents related to the Company?</w:t>
            </w:r>
          </w:p>
        </w:tc>
        <w:tc>
          <w:tcPr>
            <w:tcW w:w="2120" w:type="dxa"/>
            <w:vAlign w:val="bottom"/>
          </w:tcPr>
          <w:p>
            <w:pPr>
              <w:jc w:val="right"/>
              <w:spacing w:after="0"/>
              <w:rPr>
                <w:sz w:val="20"/>
                <w:szCs w:val="20"/>
                <w:color w:val="auto"/>
              </w:rPr>
            </w:pPr>
            <w:r>
              <w:rPr>
                <w:rFonts w:ascii="Arial" w:cs="Arial" w:eastAsia="Arial" w:hAnsi="Arial"/>
                <w:sz w:val="14"/>
                <w:szCs w:val="14"/>
                <w:color w:val="333740"/>
              </w:rPr>
              <w:t>138</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Who is entitled to vote at the Annual Meeting?</w:t>
            </w:r>
          </w:p>
        </w:tc>
        <w:tc>
          <w:tcPr>
            <w:tcW w:w="2120" w:type="dxa"/>
            <w:vAlign w:val="bottom"/>
          </w:tcPr>
          <w:p>
            <w:pPr>
              <w:jc w:val="right"/>
              <w:spacing w:after="0"/>
              <w:rPr>
                <w:sz w:val="20"/>
                <w:szCs w:val="20"/>
                <w:color w:val="auto"/>
              </w:rPr>
            </w:pPr>
            <w:r>
              <w:rPr>
                <w:rFonts w:ascii="Arial" w:cs="Arial" w:eastAsia="Arial" w:hAnsi="Arial"/>
                <w:sz w:val="14"/>
                <w:szCs w:val="14"/>
                <w:color w:val="333740"/>
              </w:rPr>
              <w:t>138</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What is the difference between holding Ordinary Shares as a shareholder of record and as a beneficial owner?</w:t>
            </w:r>
          </w:p>
        </w:tc>
        <w:tc>
          <w:tcPr>
            <w:tcW w:w="2120" w:type="dxa"/>
            <w:vAlign w:val="bottom"/>
          </w:tcPr>
          <w:p>
            <w:pPr>
              <w:jc w:val="right"/>
              <w:spacing w:after="0"/>
              <w:rPr>
                <w:sz w:val="20"/>
                <w:szCs w:val="20"/>
                <w:color w:val="auto"/>
              </w:rPr>
            </w:pPr>
            <w:r>
              <w:rPr>
                <w:rFonts w:ascii="Arial" w:cs="Arial" w:eastAsia="Arial" w:hAnsi="Arial"/>
                <w:sz w:val="14"/>
                <w:szCs w:val="14"/>
                <w:color w:val="333740"/>
              </w:rPr>
              <w:t>139</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Do I have to attend the Annual Meeting to vote?</w:t>
            </w:r>
          </w:p>
        </w:tc>
        <w:tc>
          <w:tcPr>
            <w:tcW w:w="2120" w:type="dxa"/>
            <w:vAlign w:val="bottom"/>
          </w:tcPr>
          <w:p>
            <w:pPr>
              <w:jc w:val="right"/>
              <w:spacing w:after="0"/>
              <w:rPr>
                <w:sz w:val="20"/>
                <w:szCs w:val="20"/>
                <w:color w:val="auto"/>
              </w:rPr>
            </w:pPr>
            <w:r>
              <w:rPr>
                <w:rFonts w:ascii="Arial" w:cs="Arial" w:eastAsia="Arial" w:hAnsi="Arial"/>
                <w:sz w:val="14"/>
                <w:szCs w:val="14"/>
                <w:color w:val="333740"/>
              </w:rPr>
              <w:t>139</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Who can attend the Annual Meeting?</w:t>
            </w:r>
          </w:p>
        </w:tc>
        <w:tc>
          <w:tcPr>
            <w:tcW w:w="2120" w:type="dxa"/>
            <w:vAlign w:val="bottom"/>
          </w:tcPr>
          <w:p>
            <w:pPr>
              <w:jc w:val="right"/>
              <w:spacing w:after="0"/>
              <w:rPr>
                <w:sz w:val="20"/>
                <w:szCs w:val="20"/>
                <w:color w:val="auto"/>
              </w:rPr>
            </w:pPr>
            <w:r>
              <w:rPr>
                <w:rFonts w:ascii="Arial" w:cs="Arial" w:eastAsia="Arial" w:hAnsi="Arial"/>
                <w:sz w:val="14"/>
                <w:szCs w:val="14"/>
                <w:color w:val="333740"/>
              </w:rPr>
              <w:t>139</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How do I vote?</w:t>
            </w:r>
          </w:p>
        </w:tc>
        <w:tc>
          <w:tcPr>
            <w:tcW w:w="2120" w:type="dxa"/>
            <w:vAlign w:val="bottom"/>
          </w:tcPr>
          <w:p>
            <w:pPr>
              <w:jc w:val="right"/>
              <w:spacing w:after="0"/>
              <w:rPr>
                <w:sz w:val="20"/>
                <w:szCs w:val="20"/>
                <w:color w:val="auto"/>
              </w:rPr>
            </w:pPr>
            <w:r>
              <w:rPr>
                <w:rFonts w:ascii="Arial" w:cs="Arial" w:eastAsia="Arial" w:hAnsi="Arial"/>
                <w:sz w:val="14"/>
                <w:szCs w:val="14"/>
                <w:color w:val="333740"/>
              </w:rPr>
              <w:t>140</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Can I change my vote?</w:t>
            </w:r>
          </w:p>
        </w:tc>
        <w:tc>
          <w:tcPr>
            <w:tcW w:w="2120" w:type="dxa"/>
            <w:vAlign w:val="bottom"/>
          </w:tcPr>
          <w:p>
            <w:pPr>
              <w:jc w:val="right"/>
              <w:spacing w:after="0"/>
              <w:rPr>
                <w:sz w:val="20"/>
                <w:szCs w:val="20"/>
                <w:color w:val="auto"/>
              </w:rPr>
            </w:pPr>
            <w:r>
              <w:rPr>
                <w:rFonts w:ascii="Arial" w:cs="Arial" w:eastAsia="Arial" w:hAnsi="Arial"/>
                <w:sz w:val="14"/>
                <w:szCs w:val="14"/>
                <w:color w:val="333740"/>
              </w:rPr>
              <w:t>142</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What should I do if I receive more than one proxy card?</w:t>
            </w:r>
          </w:p>
        </w:tc>
        <w:tc>
          <w:tcPr>
            <w:tcW w:w="2120" w:type="dxa"/>
            <w:vAlign w:val="bottom"/>
          </w:tcPr>
          <w:p>
            <w:pPr>
              <w:jc w:val="right"/>
              <w:spacing w:after="0"/>
              <w:rPr>
                <w:sz w:val="20"/>
                <w:szCs w:val="20"/>
                <w:color w:val="auto"/>
              </w:rPr>
            </w:pPr>
            <w:r>
              <w:rPr>
                <w:rFonts w:ascii="Arial" w:cs="Arial" w:eastAsia="Arial" w:hAnsi="Arial"/>
                <w:sz w:val="14"/>
                <w:szCs w:val="14"/>
                <w:color w:val="333740"/>
              </w:rPr>
              <w:t>142</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How many votes must be present to hold the Annual Meeting?</w:t>
            </w:r>
          </w:p>
        </w:tc>
        <w:tc>
          <w:tcPr>
            <w:tcW w:w="2120" w:type="dxa"/>
            <w:vAlign w:val="bottom"/>
          </w:tcPr>
          <w:p>
            <w:pPr>
              <w:jc w:val="right"/>
              <w:spacing w:after="0"/>
              <w:rPr>
                <w:sz w:val="20"/>
                <w:szCs w:val="20"/>
                <w:color w:val="auto"/>
              </w:rPr>
            </w:pPr>
            <w:r>
              <w:rPr>
                <w:rFonts w:ascii="Arial" w:cs="Arial" w:eastAsia="Arial" w:hAnsi="Arial"/>
                <w:sz w:val="14"/>
                <w:szCs w:val="14"/>
                <w:color w:val="333740"/>
              </w:rPr>
              <w:t>142</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What if I have been nominated by a shareholder of record to have information rights under the Companies Act?</w:t>
            </w:r>
          </w:p>
        </w:tc>
        <w:tc>
          <w:tcPr>
            <w:tcW w:w="2120" w:type="dxa"/>
            <w:vAlign w:val="bottom"/>
          </w:tcPr>
          <w:p>
            <w:pPr>
              <w:jc w:val="right"/>
              <w:spacing w:after="0"/>
              <w:rPr>
                <w:sz w:val="20"/>
                <w:szCs w:val="20"/>
                <w:color w:val="auto"/>
              </w:rPr>
            </w:pPr>
            <w:r>
              <w:rPr>
                <w:rFonts w:ascii="Arial" w:cs="Arial" w:eastAsia="Arial" w:hAnsi="Arial"/>
                <w:sz w:val="14"/>
                <w:szCs w:val="14"/>
                <w:color w:val="333740"/>
              </w:rPr>
              <w:t>142</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What is a broker non-vote?</w:t>
            </w:r>
          </w:p>
        </w:tc>
        <w:tc>
          <w:tcPr>
            <w:tcW w:w="2120" w:type="dxa"/>
            <w:vAlign w:val="bottom"/>
          </w:tcPr>
          <w:p>
            <w:pPr>
              <w:jc w:val="right"/>
              <w:spacing w:after="0"/>
              <w:rPr>
                <w:sz w:val="20"/>
                <w:szCs w:val="20"/>
                <w:color w:val="auto"/>
              </w:rPr>
            </w:pPr>
            <w:r>
              <w:rPr>
                <w:rFonts w:ascii="Arial" w:cs="Arial" w:eastAsia="Arial" w:hAnsi="Arial"/>
                <w:sz w:val="14"/>
                <w:szCs w:val="14"/>
                <w:color w:val="333740"/>
              </w:rPr>
              <w:t>143</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What are the voting requirements to approve the resolutions?</w:t>
            </w:r>
          </w:p>
        </w:tc>
        <w:tc>
          <w:tcPr>
            <w:tcW w:w="2120" w:type="dxa"/>
            <w:vAlign w:val="bottom"/>
          </w:tcPr>
          <w:p>
            <w:pPr>
              <w:jc w:val="right"/>
              <w:spacing w:after="0"/>
              <w:rPr>
                <w:sz w:val="20"/>
                <w:szCs w:val="20"/>
                <w:color w:val="auto"/>
              </w:rPr>
            </w:pPr>
            <w:r>
              <w:rPr>
                <w:rFonts w:ascii="Arial" w:cs="Arial" w:eastAsia="Arial" w:hAnsi="Arial"/>
                <w:sz w:val="14"/>
                <w:szCs w:val="14"/>
                <w:color w:val="333740"/>
              </w:rPr>
              <w:t>143</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Who will pay the costs of this proxy solicitation?</w:t>
            </w:r>
          </w:p>
        </w:tc>
        <w:tc>
          <w:tcPr>
            <w:tcW w:w="2120" w:type="dxa"/>
            <w:vAlign w:val="bottom"/>
          </w:tcPr>
          <w:p>
            <w:pPr>
              <w:jc w:val="right"/>
              <w:spacing w:after="0"/>
              <w:rPr>
                <w:sz w:val="20"/>
                <w:szCs w:val="20"/>
                <w:color w:val="auto"/>
              </w:rPr>
            </w:pPr>
            <w:r>
              <w:rPr>
                <w:rFonts w:ascii="Arial" w:cs="Arial" w:eastAsia="Arial" w:hAnsi="Arial"/>
                <w:sz w:val="14"/>
                <w:szCs w:val="14"/>
                <w:color w:val="333740"/>
              </w:rPr>
              <w:t>143</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Who will count the votes?</w:t>
            </w:r>
          </w:p>
        </w:tc>
        <w:tc>
          <w:tcPr>
            <w:tcW w:w="2120" w:type="dxa"/>
            <w:vAlign w:val="bottom"/>
          </w:tcPr>
          <w:p>
            <w:pPr>
              <w:jc w:val="right"/>
              <w:spacing w:after="0"/>
              <w:rPr>
                <w:sz w:val="20"/>
                <w:szCs w:val="20"/>
                <w:color w:val="auto"/>
              </w:rPr>
            </w:pPr>
            <w:r>
              <w:rPr>
                <w:rFonts w:ascii="Arial" w:cs="Arial" w:eastAsia="Arial" w:hAnsi="Arial"/>
                <w:sz w:val="14"/>
                <w:szCs w:val="14"/>
                <w:color w:val="333740"/>
              </w:rPr>
              <w:t>144</w:t>
            </w:r>
          </w:p>
        </w:tc>
      </w:tr>
      <w:tr>
        <w:trPr>
          <w:trHeight w:val="239"/>
        </w:trPr>
        <w:tc>
          <w:tcPr>
            <w:tcW w:w="9080" w:type="dxa"/>
            <w:vAlign w:val="bottom"/>
          </w:tcPr>
          <w:p>
            <w:pPr>
              <w:ind w:left="160"/>
              <w:spacing w:after="0"/>
              <w:rPr>
                <w:sz w:val="20"/>
                <w:szCs w:val="20"/>
                <w:color w:val="auto"/>
              </w:rPr>
            </w:pPr>
            <w:r>
              <w:rPr>
                <w:rFonts w:ascii="Arial" w:cs="Arial" w:eastAsia="Arial" w:hAnsi="Arial"/>
                <w:sz w:val="14"/>
                <w:szCs w:val="14"/>
                <w:color w:val="333740"/>
              </w:rPr>
              <w:t>Where can I find the voting results of the Annual Meeting?</w:t>
            </w:r>
          </w:p>
        </w:tc>
        <w:tc>
          <w:tcPr>
            <w:tcW w:w="2120" w:type="dxa"/>
            <w:vAlign w:val="bottom"/>
          </w:tcPr>
          <w:p>
            <w:pPr>
              <w:jc w:val="right"/>
              <w:spacing w:after="0"/>
              <w:rPr>
                <w:sz w:val="20"/>
                <w:szCs w:val="20"/>
                <w:color w:val="auto"/>
              </w:rPr>
            </w:pPr>
            <w:r>
              <w:rPr>
                <w:rFonts w:ascii="Arial" w:cs="Arial" w:eastAsia="Arial" w:hAnsi="Arial"/>
                <w:sz w:val="14"/>
                <w:szCs w:val="14"/>
                <w:color w:val="333740"/>
              </w:rPr>
              <w:t>144</w:t>
            </w:r>
          </w:p>
        </w:tc>
      </w:tr>
    </w:tbl>
    <w:p>
      <w:pPr>
        <w:spacing w:after="0" w:line="392" w:lineRule="exact"/>
        <w:rPr>
          <w:sz w:val="20"/>
          <w:szCs w:val="20"/>
          <w:color w:val="auto"/>
        </w:rPr>
      </w:pPr>
    </w:p>
    <w:p>
      <w:pPr>
        <w:ind w:left="564" w:hanging="564"/>
        <w:spacing w:after="0"/>
        <w:tabs>
          <w:tab w:leader="none" w:pos="564" w:val="left"/>
        </w:tabs>
        <w:numPr>
          <w:ilvl w:val="0"/>
          <w:numId w:val="12"/>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7" w:name="page8"/>
    <w:bookmarkEnd w:id="7"/>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90" w:lineRule="exact"/>
        <w:rPr>
          <w:sz w:val="20"/>
          <w:szCs w:val="20"/>
          <w:color w:val="auto"/>
        </w:rPr>
      </w:pPr>
    </w:p>
    <w:p>
      <w:pPr>
        <w:ind w:left="64"/>
        <w:spacing w:after="0"/>
        <w:rPr>
          <w:sz w:val="20"/>
          <w:szCs w:val="20"/>
          <w:color w:val="auto"/>
        </w:rPr>
      </w:pPr>
      <w:r>
        <w:rPr>
          <w:rFonts w:ascii="Arial" w:cs="Arial" w:eastAsia="Arial" w:hAnsi="Arial"/>
          <w:sz w:val="57"/>
          <w:szCs w:val="57"/>
          <w:color w:val="481F6E"/>
        </w:rPr>
        <w:t>2020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-381000</wp:posOffset>
            </wp:positionV>
            <wp:extent cx="7176135" cy="5551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5551805"/>
                    </a:xfrm>
                    <a:prstGeom prst="rect">
                      <a:avLst/>
                    </a:prstGeom>
                    <a:noFill/>
                  </pic:spPr>
                </pic:pic>
              </a:graphicData>
            </a:graphic>
          </wp:anchor>
        </w:drawing>
      </w:r>
    </w:p>
    <w:p>
      <w:pPr>
        <w:spacing w:after="0" w:line="381" w:lineRule="exact"/>
        <w:rPr>
          <w:sz w:val="20"/>
          <w:szCs w:val="20"/>
          <w:color w:val="auto"/>
        </w:rPr>
      </w:pPr>
    </w:p>
    <w:p>
      <w:pPr>
        <w:ind w:left="64" w:right="380"/>
        <w:spacing w:after="0" w:line="247" w:lineRule="auto"/>
        <w:rPr>
          <w:sz w:val="20"/>
          <w:szCs w:val="20"/>
          <w:color w:val="auto"/>
        </w:rPr>
      </w:pPr>
      <w:r>
        <w:rPr>
          <w:rFonts w:ascii="Arial" w:cs="Arial" w:eastAsia="Arial" w:hAnsi="Arial"/>
          <w:sz w:val="19"/>
          <w:szCs w:val="19"/>
          <w:color w:val="333740"/>
        </w:rPr>
        <w:t>Along with the Notice of Annual Meeting, we are providing this Proxy Statement, the U.K. Annual Report and Accounts, and our Form 10-K in connection with the Annual Meeting (collectively, the “</w:t>
      </w:r>
      <w:r>
        <w:rPr>
          <w:rFonts w:ascii="Arial" w:cs="Arial" w:eastAsia="Arial" w:hAnsi="Arial"/>
          <w:sz w:val="19"/>
          <w:szCs w:val="19"/>
          <w:b w:val="1"/>
          <w:bCs w:val="1"/>
          <w:color w:val="333740"/>
        </w:rPr>
        <w:t>Proxy Materials</w:t>
      </w:r>
      <w:r>
        <w:rPr>
          <w:rFonts w:ascii="Arial" w:cs="Arial" w:eastAsia="Arial" w:hAnsi="Arial"/>
          <w:sz w:val="19"/>
          <w:szCs w:val="19"/>
          <w:color w:val="333740"/>
        </w:rPr>
        <w:t>”).</w:t>
      </w:r>
    </w:p>
    <w:p>
      <w:pPr>
        <w:spacing w:after="0" w:line="64" w:lineRule="exact"/>
        <w:rPr>
          <w:sz w:val="20"/>
          <w:szCs w:val="20"/>
          <w:color w:val="auto"/>
        </w:rPr>
      </w:pPr>
    </w:p>
    <w:p>
      <w:pPr>
        <w:ind w:left="64" w:right="140"/>
        <w:spacing w:after="0"/>
        <w:rPr>
          <w:sz w:val="20"/>
          <w:szCs w:val="20"/>
          <w:color w:val="auto"/>
        </w:rPr>
      </w:pPr>
      <w:r>
        <w:rPr>
          <w:rFonts w:ascii="Arial" w:cs="Arial" w:eastAsia="Arial" w:hAnsi="Arial"/>
          <w:sz w:val="19"/>
          <w:szCs w:val="19"/>
          <w:color w:val="333740"/>
        </w:rPr>
        <w:t>This summary highlights information contained elsewhere in this Proxy Statement. This summary does not contain all the information that you should consider regarding each of the proposals to be voted on at the Annual Meeting. Please read the entire Proxy Statement carefully before voting. For further information regarding our 2019 financial performance, please review our Form 10-K and our U.K. Annual Report and Accounts.</w:t>
      </w:r>
    </w:p>
    <w:p>
      <w:pPr>
        <w:spacing w:after="0" w:line="203" w:lineRule="exact"/>
        <w:rPr>
          <w:sz w:val="20"/>
          <w:szCs w:val="20"/>
          <w:color w:val="auto"/>
        </w:rPr>
      </w:pPr>
    </w:p>
    <w:p>
      <w:pPr>
        <w:ind w:left="64"/>
        <w:spacing w:after="0"/>
        <w:rPr>
          <w:sz w:val="20"/>
          <w:szCs w:val="20"/>
          <w:color w:val="auto"/>
        </w:rPr>
      </w:pPr>
      <w:r>
        <w:rPr>
          <w:rFonts w:ascii="Arial" w:cs="Arial" w:eastAsia="Arial" w:hAnsi="Arial"/>
          <w:sz w:val="33"/>
          <w:szCs w:val="33"/>
          <w:color w:val="481F6E"/>
        </w:rPr>
        <w:t>Annual Meeting Information</w:t>
      </w:r>
    </w:p>
    <w:p>
      <w:pPr>
        <w:sectPr>
          <w:pgSz w:w="11900" w:h="16838" w:orient="portrait"/>
          <w:cols w:equalWidth="0" w:num="1">
            <w:col w:w="11204"/>
          </w:cols>
          <w:pgMar w:left="316" w:top="128" w:right="37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784"/>
        <w:spacing w:after="0"/>
        <w:rPr>
          <w:sz w:val="20"/>
          <w:szCs w:val="20"/>
          <w:color w:val="auto"/>
        </w:rPr>
      </w:pPr>
      <w:r>
        <w:rPr>
          <w:rFonts w:ascii="Arial" w:cs="Arial" w:eastAsia="Arial" w:hAnsi="Arial"/>
          <w:sz w:val="14"/>
          <w:szCs w:val="14"/>
          <w:b w:val="1"/>
          <w:bCs w:val="1"/>
          <w:color w:val="00B2EC"/>
        </w:rPr>
        <w:t>Time and Date</w:t>
      </w:r>
    </w:p>
    <w:p>
      <w:pPr>
        <w:spacing w:after="0" w:line="21" w:lineRule="exact"/>
        <w:rPr>
          <w:sz w:val="20"/>
          <w:szCs w:val="20"/>
          <w:color w:val="auto"/>
        </w:rPr>
      </w:pPr>
    </w:p>
    <w:p>
      <w:pPr>
        <w:ind w:left="1784"/>
        <w:spacing w:after="0"/>
        <w:rPr>
          <w:sz w:val="20"/>
          <w:szCs w:val="20"/>
          <w:color w:val="auto"/>
        </w:rPr>
      </w:pPr>
      <w:r>
        <w:rPr>
          <w:rFonts w:ascii="Arial" w:cs="Arial" w:eastAsia="Arial" w:hAnsi="Arial"/>
          <w:sz w:val="14"/>
          <w:szCs w:val="14"/>
          <w:b w:val="1"/>
          <w:bCs w:val="1"/>
          <w:color w:val="333740"/>
        </w:rPr>
        <w:t>April 24, 2020 at 10:00 a.m.,</w:t>
      </w:r>
    </w:p>
    <w:p>
      <w:pPr>
        <w:spacing w:after="0" w:line="6" w:lineRule="exact"/>
        <w:rPr>
          <w:sz w:val="20"/>
          <w:szCs w:val="20"/>
          <w:color w:val="auto"/>
        </w:rPr>
      </w:pPr>
    </w:p>
    <w:p>
      <w:pPr>
        <w:ind w:left="1784"/>
        <w:spacing w:after="0"/>
        <w:rPr>
          <w:sz w:val="20"/>
          <w:szCs w:val="20"/>
          <w:color w:val="auto"/>
        </w:rPr>
      </w:pPr>
      <w:r>
        <w:rPr>
          <w:rFonts w:ascii="Arial" w:cs="Arial" w:eastAsia="Arial" w:hAnsi="Arial"/>
          <w:sz w:val="14"/>
          <w:szCs w:val="14"/>
          <w:b w:val="1"/>
          <w:bCs w:val="1"/>
          <w:color w:val="333740"/>
        </w:rPr>
        <w:t>London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00B2EC"/>
        </w:rPr>
        <w:t>Place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One St. Paul’s Churchyard,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London EC4M 8AP, United Kingdom</w:t>
      </w:r>
    </w:p>
    <w:p>
      <w:pPr>
        <w:spacing w:after="0" w:line="200" w:lineRule="exact"/>
        <w:rPr>
          <w:sz w:val="20"/>
          <w:szCs w:val="20"/>
          <w:color w:val="auto"/>
        </w:rPr>
      </w:pPr>
    </w:p>
    <w:p>
      <w:pPr>
        <w:sectPr>
          <w:pgSz w:w="11900" w:h="16838" w:orient="portrait"/>
          <w:cols w:equalWidth="0" w:num="2">
            <w:col w:w="7204" w:space="720"/>
            <w:col w:w="3280"/>
          </w:cols>
          <w:pgMar w:left="316" w:top="128" w:right="379" w:bottom="1440" w:gutter="0" w:footer="0" w:header="0"/>
          <w:type w:val="continuous"/>
        </w:sectPr>
      </w:pPr>
    </w:p>
    <w:p>
      <w:pPr>
        <w:spacing w:after="0" w:line="368" w:lineRule="exact"/>
        <w:rPr>
          <w:sz w:val="20"/>
          <w:szCs w:val="20"/>
          <w:color w:val="auto"/>
        </w:rPr>
      </w:pPr>
    </w:p>
    <w:p>
      <w:pPr>
        <w:ind w:left="1784"/>
        <w:spacing w:after="0"/>
        <w:rPr>
          <w:sz w:val="20"/>
          <w:szCs w:val="20"/>
          <w:color w:val="auto"/>
        </w:rPr>
      </w:pPr>
      <w:r>
        <w:rPr>
          <w:rFonts w:ascii="Arial" w:cs="Arial" w:eastAsia="Arial" w:hAnsi="Arial"/>
          <w:sz w:val="14"/>
          <w:szCs w:val="14"/>
          <w:b w:val="1"/>
          <w:bCs w:val="1"/>
          <w:color w:val="00B2EC"/>
        </w:rPr>
        <w:t>Record Date</w:t>
      </w:r>
    </w:p>
    <w:p>
      <w:pPr>
        <w:spacing w:after="0" w:line="42" w:lineRule="exact"/>
        <w:rPr>
          <w:sz w:val="20"/>
          <w:szCs w:val="20"/>
          <w:color w:val="auto"/>
        </w:rPr>
      </w:pPr>
    </w:p>
    <w:p>
      <w:pPr>
        <w:ind w:left="1784"/>
        <w:spacing w:after="0"/>
        <w:rPr>
          <w:sz w:val="20"/>
          <w:szCs w:val="20"/>
          <w:color w:val="auto"/>
        </w:rPr>
      </w:pPr>
      <w:r>
        <w:rPr>
          <w:rFonts w:ascii="Arial" w:cs="Arial" w:eastAsia="Arial" w:hAnsi="Arial"/>
          <w:sz w:val="14"/>
          <w:szCs w:val="14"/>
          <w:b w:val="1"/>
          <w:bCs w:val="1"/>
          <w:color w:val="333740"/>
        </w:rPr>
        <w:t>February 27, 2020, 5:00 p.m.,</w:t>
      </w:r>
    </w:p>
    <w:p>
      <w:pPr>
        <w:spacing w:after="0" w:line="21" w:lineRule="exact"/>
        <w:rPr>
          <w:sz w:val="20"/>
          <w:szCs w:val="20"/>
          <w:color w:val="auto"/>
        </w:rPr>
      </w:pPr>
    </w:p>
    <w:p>
      <w:pPr>
        <w:ind w:left="1784"/>
        <w:spacing w:after="0"/>
        <w:rPr>
          <w:sz w:val="20"/>
          <w:szCs w:val="20"/>
          <w:color w:val="auto"/>
        </w:rPr>
      </w:pPr>
      <w:r>
        <w:rPr>
          <w:rFonts w:ascii="Arial" w:cs="Arial" w:eastAsia="Arial" w:hAnsi="Arial"/>
          <w:sz w:val="14"/>
          <w:szCs w:val="14"/>
          <w:b w:val="1"/>
          <w:bCs w:val="1"/>
          <w:color w:val="333740"/>
        </w:rPr>
        <w:t>New York time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00B2EC"/>
        </w:rPr>
        <w:t>Admission</w:t>
      </w:r>
    </w:p>
    <w:p>
      <w:pPr>
        <w:spacing w:after="0" w:line="60" w:lineRule="exact"/>
        <w:rPr>
          <w:sz w:val="20"/>
          <w:szCs w:val="20"/>
          <w:color w:val="auto"/>
        </w:rPr>
      </w:pPr>
    </w:p>
    <w:p>
      <w:pPr>
        <w:ind w:right="260"/>
        <w:spacing w:after="0" w:line="302" w:lineRule="auto"/>
        <w:rPr>
          <w:sz w:val="20"/>
          <w:szCs w:val="20"/>
          <w:color w:val="auto"/>
        </w:rPr>
      </w:pPr>
      <w:r>
        <w:rPr>
          <w:rFonts w:ascii="Arial" w:cs="Arial" w:eastAsia="Arial" w:hAnsi="Arial"/>
          <w:sz w:val="14"/>
          <w:szCs w:val="14"/>
          <w:color w:val="333740"/>
        </w:rPr>
        <w:t>Admission ticket and valid photo identification required. Please see “</w:t>
      </w:r>
      <w:r>
        <w:rPr>
          <w:rFonts w:ascii="Arial" w:cs="Arial" w:eastAsia="Arial" w:hAnsi="Arial"/>
          <w:sz w:val="14"/>
          <w:szCs w:val="14"/>
          <w:i w:val="1"/>
          <w:iCs w:val="1"/>
          <w:color w:val="333740"/>
        </w:rPr>
        <w:t>General Information</w:t>
      </w:r>
      <w:r>
        <w:rPr>
          <w:rFonts w:ascii="Arial" w:cs="Arial" w:eastAsia="Arial" w:hAnsi="Arial"/>
          <w:sz w:val="14"/>
          <w:szCs w:val="14"/>
          <w:color w:val="333740"/>
        </w:rPr>
        <w:t xml:space="preserve"> </w:t>
      </w:r>
      <w:r>
        <w:rPr>
          <w:rFonts w:ascii="Arial" w:cs="Arial" w:eastAsia="Arial" w:hAnsi="Arial"/>
          <w:sz w:val="14"/>
          <w:szCs w:val="14"/>
          <w:i w:val="1"/>
          <w:iCs w:val="1"/>
          <w:color w:val="333740"/>
        </w:rPr>
        <w:t>about the Annual Meeting—Who can attend the Annual Meeting?</w:t>
      </w:r>
      <w:r>
        <w:rPr>
          <w:rFonts w:ascii="Arial" w:cs="Arial" w:eastAsia="Arial" w:hAnsi="Arial"/>
          <w:sz w:val="14"/>
          <w:szCs w:val="14"/>
          <w:color w:val="333740"/>
        </w:rPr>
        <w:t>” for more information.</w:t>
      </w:r>
    </w:p>
    <w:p>
      <w:pPr>
        <w:spacing w:after="0" w:line="116" w:lineRule="exact"/>
        <w:rPr>
          <w:sz w:val="20"/>
          <w:szCs w:val="20"/>
          <w:color w:val="auto"/>
        </w:rPr>
      </w:pPr>
    </w:p>
    <w:p>
      <w:pPr>
        <w:sectPr>
          <w:pgSz w:w="11900" w:h="16838" w:orient="portrait"/>
          <w:cols w:equalWidth="0" w:num="2">
            <w:col w:w="7204" w:space="720"/>
            <w:col w:w="3280"/>
          </w:cols>
          <w:pgMar w:left="316" w:top="128" w:right="37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784"/>
        <w:spacing w:after="0"/>
        <w:rPr>
          <w:sz w:val="20"/>
          <w:szCs w:val="20"/>
          <w:color w:val="auto"/>
        </w:rPr>
      </w:pPr>
      <w:r>
        <w:rPr>
          <w:rFonts w:ascii="Arial" w:cs="Arial" w:eastAsia="Arial" w:hAnsi="Arial"/>
          <w:sz w:val="14"/>
          <w:szCs w:val="14"/>
          <w:b w:val="1"/>
          <w:bCs w:val="1"/>
          <w:color w:val="00B2EC"/>
        </w:rPr>
        <w:t>Voting</w:t>
      </w:r>
    </w:p>
    <w:p>
      <w:pPr>
        <w:spacing w:after="0" w:line="21" w:lineRule="exact"/>
        <w:rPr>
          <w:sz w:val="20"/>
          <w:szCs w:val="20"/>
          <w:color w:val="auto"/>
        </w:rPr>
      </w:pPr>
    </w:p>
    <w:p>
      <w:pPr>
        <w:ind w:left="1784"/>
        <w:spacing w:after="0"/>
        <w:rPr>
          <w:sz w:val="20"/>
          <w:szCs w:val="20"/>
          <w:color w:val="auto"/>
        </w:rPr>
      </w:pPr>
      <w:r>
        <w:rPr>
          <w:rFonts w:ascii="Arial" w:cs="Arial" w:eastAsia="Arial" w:hAnsi="Arial"/>
          <w:sz w:val="14"/>
          <w:szCs w:val="14"/>
          <w:color w:val="333740"/>
        </w:rPr>
        <w:t>Each Ordinary Share is</w:t>
      </w:r>
    </w:p>
    <w:p>
      <w:pPr>
        <w:spacing w:after="0" w:line="6" w:lineRule="exact"/>
        <w:rPr>
          <w:sz w:val="20"/>
          <w:szCs w:val="20"/>
          <w:color w:val="auto"/>
        </w:rPr>
      </w:pPr>
    </w:p>
    <w:p>
      <w:pPr>
        <w:ind w:left="1784"/>
        <w:spacing w:after="0"/>
        <w:rPr>
          <w:sz w:val="20"/>
          <w:szCs w:val="20"/>
          <w:color w:val="auto"/>
        </w:rPr>
      </w:pPr>
      <w:r>
        <w:rPr>
          <w:rFonts w:ascii="Arial" w:cs="Arial" w:eastAsia="Arial" w:hAnsi="Arial"/>
          <w:sz w:val="14"/>
          <w:szCs w:val="14"/>
          <w:color w:val="333740"/>
        </w:rPr>
        <w:t>entitled to one vote for</w:t>
      </w:r>
    </w:p>
    <w:p>
      <w:pPr>
        <w:spacing w:after="0" w:line="6" w:lineRule="exact"/>
        <w:rPr>
          <w:sz w:val="20"/>
          <w:szCs w:val="20"/>
          <w:color w:val="auto"/>
        </w:rPr>
      </w:pPr>
    </w:p>
    <w:p>
      <w:pPr>
        <w:ind w:left="1784"/>
        <w:spacing w:after="0"/>
        <w:rPr>
          <w:sz w:val="20"/>
          <w:szCs w:val="20"/>
          <w:color w:val="auto"/>
        </w:rPr>
      </w:pPr>
      <w:r>
        <w:rPr>
          <w:rFonts w:ascii="Arial" w:cs="Arial" w:eastAsia="Arial" w:hAnsi="Arial"/>
          <w:sz w:val="14"/>
          <w:szCs w:val="14"/>
          <w:color w:val="333740"/>
        </w:rPr>
        <w:t>each of the proposals</w:t>
      </w:r>
    </w:p>
    <w:p>
      <w:pPr>
        <w:spacing w:after="0" w:line="6" w:lineRule="exact"/>
        <w:rPr>
          <w:sz w:val="20"/>
          <w:szCs w:val="20"/>
          <w:color w:val="auto"/>
        </w:rPr>
      </w:pPr>
    </w:p>
    <w:p>
      <w:pPr>
        <w:ind w:left="1784"/>
        <w:spacing w:after="0"/>
        <w:rPr>
          <w:sz w:val="20"/>
          <w:szCs w:val="20"/>
          <w:color w:val="auto"/>
        </w:rPr>
      </w:pPr>
      <w:r>
        <w:rPr>
          <w:rFonts w:ascii="Arial" w:cs="Arial" w:eastAsia="Arial" w:hAnsi="Arial"/>
          <w:sz w:val="14"/>
          <w:szCs w:val="14"/>
          <w:color w:val="333740"/>
        </w:rPr>
        <w:t>to be voted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00B2EC"/>
        </w:rPr>
        <w:t>Voting Deadlines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New York Stock Exchange shares: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333740"/>
        </w:rPr>
        <w:t>11:59 PM, New York time, on April 23, 2020</w:t>
      </w:r>
    </w:p>
    <w:p>
      <w:pPr>
        <w:spacing w:after="0" w:line="120" w:lineRule="exact"/>
        <w:rPr>
          <w:sz w:val="20"/>
          <w:szCs w:val="20"/>
          <w:color w:val="auto"/>
        </w:rPr>
      </w:pPr>
    </w:p>
    <w:p>
      <w:pPr>
        <w:ind w:right="840"/>
        <w:spacing w:after="0" w:line="258" w:lineRule="auto"/>
        <w:rPr>
          <w:sz w:val="20"/>
          <w:szCs w:val="20"/>
          <w:color w:val="auto"/>
        </w:rPr>
      </w:pPr>
      <w:r>
        <w:rPr>
          <w:rFonts w:ascii="Arial" w:cs="Arial" w:eastAsia="Arial" w:hAnsi="Arial"/>
          <w:sz w:val="14"/>
          <w:szCs w:val="14"/>
          <w:b w:val="1"/>
          <w:bCs w:val="1"/>
          <w:color w:val="333740"/>
        </w:rPr>
        <w:t xml:space="preserve">Euronext Paris Exchange shares: </w:t>
      </w:r>
      <w:r>
        <w:rPr>
          <w:rFonts w:ascii="Arial" w:cs="Arial" w:eastAsia="Arial" w:hAnsi="Arial"/>
          <w:sz w:val="14"/>
          <w:szCs w:val="14"/>
          <w:color w:val="333740"/>
        </w:rPr>
        <w:t xml:space="preserve">Direct or indirect nominative form </w:t>
      </w:r>
      <w:r>
        <w:rPr>
          <w:rFonts w:ascii="Arial" w:cs="Arial" w:eastAsia="Arial" w:hAnsi="Arial"/>
          <w:sz w:val="14"/>
          <w:szCs w:val="14"/>
          <w:i w:val="1"/>
          <w:iCs w:val="1"/>
          <w:color w:val="333740"/>
        </w:rPr>
        <w:t>(au nominatif pur ou administré)</w:t>
      </w:r>
      <w:r>
        <w:rPr>
          <w:rFonts w:ascii="Arial" w:cs="Arial" w:eastAsia="Arial" w:hAnsi="Arial"/>
          <w:sz w:val="14"/>
          <w:szCs w:val="14"/>
          <w:color w:val="333740"/>
        </w:rPr>
        <w: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33740"/>
        </w:rPr>
        <w:t>11:59 PM, New York time, on April 23, 2020</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333740"/>
        </w:rPr>
        <w:t xml:space="preserve">Anonymous/bearer form </w:t>
      </w:r>
      <w:r>
        <w:rPr>
          <w:rFonts w:ascii="Arial" w:cs="Arial" w:eastAsia="Arial" w:hAnsi="Arial"/>
          <w:sz w:val="14"/>
          <w:szCs w:val="14"/>
          <w:i w:val="1"/>
          <w:iCs w:val="1"/>
          <w:color w:val="333740"/>
        </w:rPr>
        <w:t>(au porteur)</w:t>
      </w:r>
      <w:r>
        <w:rPr>
          <w:rFonts w:ascii="Arial" w:cs="Arial" w:eastAsia="Arial" w:hAnsi="Arial"/>
          <w:sz w:val="14"/>
          <w:szCs w:val="14"/>
          <w:color w:val="333740"/>
        </w:rPr>
        <w:t>: Return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333740"/>
        </w:rPr>
        <w:t>voting card to your bank, broker, or financial</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333740"/>
        </w:rPr>
        <w:t>intermediary before April 21, 2020</w:t>
      </w:r>
    </w:p>
    <w:p>
      <w:pPr>
        <w:spacing w:after="0" w:line="200" w:lineRule="exact"/>
        <w:rPr>
          <w:sz w:val="20"/>
          <w:szCs w:val="20"/>
          <w:color w:val="auto"/>
        </w:rPr>
      </w:pPr>
    </w:p>
    <w:p>
      <w:pPr>
        <w:sectPr>
          <w:pgSz w:w="11900" w:h="16838" w:orient="portrait"/>
          <w:cols w:equalWidth="0" w:num="2">
            <w:col w:w="7204" w:space="720"/>
            <w:col w:w="3280"/>
          </w:cols>
          <w:pgMar w:left="316" w:top="128" w:right="379" w:bottom="1440" w:gutter="0" w:footer="0" w:header="0"/>
          <w:type w:val="continuous"/>
        </w:sectPr>
      </w:pPr>
    </w:p>
    <w:p>
      <w:pPr>
        <w:spacing w:after="0" w:line="203" w:lineRule="exact"/>
        <w:rPr>
          <w:sz w:val="20"/>
          <w:szCs w:val="20"/>
          <w:color w:val="auto"/>
        </w:rPr>
      </w:pPr>
    </w:p>
    <w:p>
      <w:pPr>
        <w:ind w:left="64"/>
        <w:spacing w:after="0" w:line="344" w:lineRule="auto"/>
        <w:rPr>
          <w:sz w:val="20"/>
          <w:szCs w:val="20"/>
          <w:color w:val="auto"/>
        </w:rPr>
      </w:pPr>
      <w:r>
        <w:rPr>
          <w:rFonts w:ascii="Arial" w:cs="Arial" w:eastAsia="Arial" w:hAnsi="Arial"/>
          <w:sz w:val="14"/>
          <w:szCs w:val="14"/>
          <w:color w:val="333740"/>
        </w:rPr>
        <w:t xml:space="preserve">Please follow the voting instructions on your proxy card and/or your voting instruction form as diﬀerent voting deadlines may be applicable across markets. Please also review </w:t>
      </w:r>
      <w:r>
        <w:rPr>
          <w:rFonts w:ascii="Arial" w:cs="Arial" w:eastAsia="Arial" w:hAnsi="Arial"/>
          <w:sz w:val="14"/>
          <w:szCs w:val="14"/>
          <w:i w:val="1"/>
          <w:iCs w:val="1"/>
          <w:color w:val="333740"/>
          <w:highlight w:val="white"/>
        </w:rPr>
        <w:t>“How do I vote?”</w:t>
      </w:r>
      <w:r>
        <w:rPr>
          <w:rFonts w:ascii="Arial" w:cs="Arial" w:eastAsia="Arial" w:hAnsi="Arial"/>
          <w:sz w:val="14"/>
          <w:szCs w:val="14"/>
          <w:color w:val="333740"/>
        </w:rPr>
        <w:t xml:space="preserve"> in the section entitled </w:t>
      </w:r>
      <w:r>
        <w:rPr>
          <w:rFonts w:ascii="Arial" w:cs="Arial" w:eastAsia="Arial" w:hAnsi="Arial"/>
          <w:sz w:val="14"/>
          <w:szCs w:val="14"/>
          <w:i w:val="1"/>
          <w:iCs w:val="1"/>
          <w:color w:val="333740"/>
          <w:highlight w:val="white"/>
        </w:rPr>
        <w:t>“General Information about the Annual Meeting.”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4" w:hanging="564"/>
        <w:spacing w:after="0"/>
        <w:tabs>
          <w:tab w:leader="none" w:pos="564" w:val="left"/>
        </w:tabs>
        <w:numPr>
          <w:ilvl w:val="0"/>
          <w:numId w:val="13"/>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4"/>
          </w:cols>
          <w:pgMar w:left="316" w:top="128" w:right="379" w:bottom="1440" w:gutter="0" w:footer="0" w:header="0"/>
          <w:type w:val="continuous"/>
        </w:sectPr>
      </w:pPr>
    </w:p>
    <w:bookmarkStart w:id="8" w:name="page9"/>
    <w:bookmarkEnd w:id="8"/>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176135" cy="2433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2433320"/>
                    </a:xfrm>
                    <a:prstGeom prst="rect">
                      <a:avLst/>
                    </a:prstGeom>
                    <a:noFill/>
                  </pic:spPr>
                </pic:pic>
              </a:graphicData>
            </a:graphic>
          </wp:anchor>
        </w:drawing>
      </w:r>
    </w:p>
    <w:p>
      <w:pPr>
        <w:spacing w:after="0" w:line="280" w:lineRule="exact"/>
        <w:rPr>
          <w:sz w:val="20"/>
          <w:szCs w:val="20"/>
          <w:color w:val="auto"/>
        </w:rPr>
      </w:pPr>
    </w:p>
    <w:p>
      <w:pPr>
        <w:ind w:left="64"/>
        <w:spacing w:after="0"/>
        <w:rPr>
          <w:sz w:val="20"/>
          <w:szCs w:val="20"/>
          <w:color w:val="auto"/>
        </w:rPr>
      </w:pPr>
      <w:r>
        <w:rPr>
          <w:rFonts w:ascii="Arial" w:cs="Arial" w:eastAsia="Arial" w:hAnsi="Arial"/>
          <w:sz w:val="33"/>
          <w:szCs w:val="33"/>
          <w:color w:val="481F6E"/>
        </w:rPr>
        <w:t>Voting Matters and Board Recommendations</w:t>
      </w:r>
    </w:p>
    <w:p>
      <w:pPr>
        <w:spacing w:after="0" w:line="25" w:lineRule="exact"/>
        <w:rPr>
          <w:sz w:val="20"/>
          <w:szCs w:val="20"/>
          <w:color w:val="auto"/>
        </w:rPr>
      </w:pPr>
    </w:p>
    <w:p>
      <w:pPr>
        <w:ind w:left="64"/>
        <w:spacing w:after="0"/>
        <w:rPr>
          <w:sz w:val="20"/>
          <w:szCs w:val="20"/>
          <w:color w:val="auto"/>
        </w:rPr>
      </w:pPr>
      <w:r>
        <w:rPr>
          <w:rFonts w:ascii="Arial" w:cs="Arial" w:eastAsia="Arial" w:hAnsi="Arial"/>
          <w:sz w:val="19"/>
          <w:szCs w:val="19"/>
          <w:color w:val="333740"/>
        </w:rPr>
        <w:t>The full text of each resolution to be voted on at the Annual Meeting is set out in the Notice of Annual Meeting.</w:t>
      </w:r>
    </w:p>
    <w:p>
      <w:pPr>
        <w:spacing w:after="0" w:line="217" w:lineRule="exact"/>
        <w:rPr>
          <w:sz w:val="20"/>
          <w:szCs w:val="20"/>
          <w:color w:val="auto"/>
        </w:rPr>
      </w:pPr>
    </w:p>
    <w:tbl>
      <w:tblPr>
        <w:tblLayout w:type="fixed"/>
        <w:tblInd w:w="64" w:type="dxa"/>
        <w:tblCellMar>
          <w:top w:w="0" w:type="dxa"/>
          <w:left w:w="0" w:type="dxa"/>
          <w:bottom w:w="0" w:type="dxa"/>
          <w:right w:w="0" w:type="dxa"/>
        </w:tblCellMar>
      </w:tblPr>
      <w:tr>
        <w:trPr>
          <w:trHeight w:val="229"/>
        </w:trPr>
        <w:tc>
          <w:tcPr>
            <w:tcW w:w="5780" w:type="dxa"/>
            <w:vAlign w:val="bottom"/>
            <w:vMerge w:val="restart"/>
            <w:shd w:val="clear" w:color="auto" w:fill="4B1F67"/>
          </w:tcPr>
          <w:p>
            <w:pPr>
              <w:ind w:left="220"/>
              <w:spacing w:after="0"/>
              <w:rPr>
                <w:sz w:val="20"/>
                <w:szCs w:val="20"/>
                <w:color w:val="auto"/>
              </w:rPr>
            </w:pPr>
            <w:r>
              <w:rPr>
                <w:rFonts w:ascii="Arial" w:cs="Arial" w:eastAsia="Arial" w:hAnsi="Arial"/>
                <w:sz w:val="14"/>
                <w:szCs w:val="14"/>
                <w:color w:val="FFFFFF"/>
              </w:rPr>
              <w:t>Proposal to be Voted Upon</w:t>
            </w:r>
          </w:p>
        </w:tc>
        <w:tc>
          <w:tcPr>
            <w:tcW w:w="3200" w:type="dxa"/>
            <w:vAlign w:val="bottom"/>
            <w:vMerge w:val="restart"/>
            <w:shd w:val="clear" w:color="auto" w:fill="4B1F67"/>
          </w:tcPr>
          <w:p>
            <w:pPr>
              <w:jc w:val="center"/>
              <w:ind w:left="788"/>
              <w:spacing w:after="0"/>
              <w:rPr>
                <w:sz w:val="20"/>
                <w:szCs w:val="20"/>
                <w:color w:val="auto"/>
              </w:rPr>
            </w:pPr>
            <w:r>
              <w:rPr>
                <w:rFonts w:ascii="Arial" w:cs="Arial" w:eastAsia="Arial" w:hAnsi="Arial"/>
                <w:sz w:val="14"/>
                <w:szCs w:val="14"/>
                <w:color w:val="FFFFFF"/>
              </w:rPr>
              <w:t>Board Recommendation</w:t>
            </w:r>
          </w:p>
        </w:tc>
        <w:tc>
          <w:tcPr>
            <w:tcW w:w="2160" w:type="dxa"/>
            <w:vAlign w:val="bottom"/>
            <w:shd w:val="clear" w:color="auto" w:fill="4B1F67"/>
          </w:tcPr>
          <w:p>
            <w:pPr>
              <w:jc w:val="center"/>
              <w:spacing w:after="0"/>
              <w:rPr>
                <w:sz w:val="20"/>
                <w:szCs w:val="20"/>
                <w:color w:val="auto"/>
              </w:rPr>
            </w:pPr>
            <w:r>
              <w:rPr>
                <w:rFonts w:ascii="Arial" w:cs="Arial" w:eastAsia="Arial" w:hAnsi="Arial"/>
                <w:sz w:val="14"/>
                <w:szCs w:val="14"/>
                <w:color w:val="FFFFFF"/>
              </w:rPr>
              <w:t>Where You Can Find</w:t>
            </w:r>
          </w:p>
        </w:tc>
        <w:tc>
          <w:tcPr>
            <w:tcW w:w="0" w:type="dxa"/>
            <w:vAlign w:val="bottom"/>
          </w:tcPr>
          <w:p>
            <w:pPr>
              <w:spacing w:after="0"/>
              <w:rPr>
                <w:sz w:val="1"/>
                <w:szCs w:val="1"/>
                <w:color w:val="auto"/>
              </w:rPr>
            </w:pPr>
          </w:p>
        </w:tc>
      </w:tr>
      <w:tr>
        <w:trPr>
          <w:trHeight w:val="88"/>
        </w:trPr>
        <w:tc>
          <w:tcPr>
            <w:tcW w:w="5780" w:type="dxa"/>
            <w:vAlign w:val="bottom"/>
            <w:vMerge w:val="continue"/>
            <w:shd w:val="clear" w:color="auto" w:fill="4B1F67"/>
          </w:tcPr>
          <w:p>
            <w:pPr>
              <w:spacing w:after="0"/>
              <w:rPr>
                <w:sz w:val="7"/>
                <w:szCs w:val="7"/>
                <w:color w:val="auto"/>
              </w:rPr>
            </w:pPr>
          </w:p>
        </w:tc>
        <w:tc>
          <w:tcPr>
            <w:tcW w:w="3200" w:type="dxa"/>
            <w:vAlign w:val="bottom"/>
            <w:vMerge w:val="continue"/>
            <w:shd w:val="clear" w:color="auto" w:fill="4B1F67"/>
          </w:tcPr>
          <w:p>
            <w:pPr>
              <w:spacing w:after="0"/>
              <w:rPr>
                <w:sz w:val="7"/>
                <w:szCs w:val="7"/>
                <w:color w:val="auto"/>
              </w:rPr>
            </w:pPr>
          </w:p>
        </w:tc>
        <w:tc>
          <w:tcPr>
            <w:tcW w:w="2160" w:type="dxa"/>
            <w:vAlign w:val="bottom"/>
            <w:vMerge w:val="restart"/>
            <w:shd w:val="clear" w:color="auto" w:fill="4B1F67"/>
          </w:tcPr>
          <w:p>
            <w:pPr>
              <w:ind w:left="480"/>
              <w:spacing w:after="0"/>
              <w:rPr>
                <w:sz w:val="20"/>
                <w:szCs w:val="20"/>
                <w:color w:val="auto"/>
              </w:rPr>
            </w:pPr>
            <w:r>
              <w:rPr>
                <w:rFonts w:ascii="Arial" w:cs="Arial" w:eastAsia="Arial" w:hAnsi="Arial"/>
                <w:sz w:val="14"/>
                <w:szCs w:val="14"/>
                <w:color w:val="FFFFFF"/>
              </w:rPr>
              <w:t>More Information</w:t>
            </w:r>
          </w:p>
        </w:tc>
        <w:tc>
          <w:tcPr>
            <w:tcW w:w="0" w:type="dxa"/>
            <w:vAlign w:val="bottom"/>
          </w:tcPr>
          <w:p>
            <w:pPr>
              <w:spacing w:after="0"/>
              <w:rPr>
                <w:sz w:val="1"/>
                <w:szCs w:val="1"/>
                <w:color w:val="auto"/>
              </w:rPr>
            </w:pPr>
          </w:p>
        </w:tc>
      </w:tr>
      <w:tr>
        <w:trPr>
          <w:trHeight w:val="105"/>
        </w:trPr>
        <w:tc>
          <w:tcPr>
            <w:tcW w:w="5780" w:type="dxa"/>
            <w:vAlign w:val="bottom"/>
            <w:tcBorders>
              <w:bottom w:val="single" w:sz="8" w:color="4B1F67"/>
            </w:tcBorders>
            <w:shd w:val="clear" w:color="auto" w:fill="4B1F67"/>
          </w:tcPr>
          <w:p>
            <w:pPr>
              <w:spacing w:after="0"/>
              <w:rPr>
                <w:sz w:val="9"/>
                <w:szCs w:val="9"/>
                <w:color w:val="auto"/>
              </w:rPr>
            </w:pPr>
          </w:p>
        </w:tc>
        <w:tc>
          <w:tcPr>
            <w:tcW w:w="3200" w:type="dxa"/>
            <w:vAlign w:val="bottom"/>
            <w:tcBorders>
              <w:bottom w:val="single" w:sz="8" w:color="4B1F67"/>
            </w:tcBorders>
            <w:shd w:val="clear" w:color="auto" w:fill="4B1F67"/>
          </w:tcPr>
          <w:p>
            <w:pPr>
              <w:spacing w:after="0"/>
              <w:rPr>
                <w:sz w:val="9"/>
                <w:szCs w:val="9"/>
                <w:color w:val="auto"/>
              </w:rPr>
            </w:pPr>
          </w:p>
        </w:tc>
        <w:tc>
          <w:tcPr>
            <w:tcW w:w="2160" w:type="dxa"/>
            <w:vAlign w:val="bottom"/>
            <w:tcBorders>
              <w:bottom w:val="single" w:sz="8" w:color="4B1F67"/>
            </w:tcBorders>
            <w:vMerge w:val="continue"/>
            <w:shd w:val="clear" w:color="auto" w:fill="4B1F67"/>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5780" w:type="dxa"/>
            <w:vAlign w:val="bottom"/>
            <w:vMerge w:val="restart"/>
          </w:tcPr>
          <w:p>
            <w:pPr>
              <w:ind w:left="220"/>
              <w:spacing w:after="0"/>
              <w:rPr>
                <w:sz w:val="20"/>
                <w:szCs w:val="20"/>
                <w:color w:val="auto"/>
              </w:rPr>
            </w:pPr>
            <w:r>
              <w:rPr>
                <w:rFonts w:ascii="Arial" w:cs="Arial" w:eastAsia="Arial" w:hAnsi="Arial"/>
                <w:sz w:val="14"/>
                <w:szCs w:val="14"/>
                <w:b w:val="1"/>
                <w:bCs w:val="1"/>
                <w:color w:val="333740"/>
              </w:rPr>
              <w:t>1(a) – 1(n): Election of Directors</w:t>
            </w:r>
          </w:p>
        </w:tc>
        <w:tc>
          <w:tcPr>
            <w:tcW w:w="3200" w:type="dxa"/>
            <w:vAlign w:val="bottom"/>
          </w:tcPr>
          <w:p>
            <w:pPr>
              <w:jc w:val="center"/>
              <w:ind w:left="788"/>
              <w:spacing w:after="0"/>
              <w:rPr>
                <w:sz w:val="20"/>
                <w:szCs w:val="20"/>
                <w:color w:val="auto"/>
              </w:rPr>
            </w:pPr>
            <w:r>
              <w:rPr>
                <w:rFonts w:ascii="Arial" w:cs="Arial" w:eastAsia="Arial" w:hAnsi="Arial"/>
                <w:sz w:val="14"/>
                <w:szCs w:val="14"/>
                <w:b w:val="1"/>
                <w:bCs w:val="1"/>
                <w:color w:val="333740"/>
              </w:rPr>
              <w:t>FOR</w:t>
            </w:r>
          </w:p>
        </w:tc>
        <w:tc>
          <w:tcPr>
            <w:tcW w:w="2160" w:type="dxa"/>
            <w:vAlign w:val="bottom"/>
            <w:vMerge w:val="restart"/>
          </w:tcPr>
          <w:p>
            <w:pPr>
              <w:jc w:val="center"/>
              <w:spacing w:after="0"/>
              <w:rPr>
                <w:sz w:val="20"/>
                <w:szCs w:val="20"/>
                <w:color w:val="auto"/>
              </w:rPr>
            </w:pPr>
            <w:r>
              <w:rPr>
                <w:rFonts w:ascii="Arial" w:cs="Arial" w:eastAsia="Arial" w:hAnsi="Arial"/>
                <w:sz w:val="14"/>
                <w:szCs w:val="14"/>
                <w:color w:val="333740"/>
              </w:rPr>
              <w:t>Page 109</w:t>
            </w:r>
          </w:p>
        </w:tc>
        <w:tc>
          <w:tcPr>
            <w:tcW w:w="0" w:type="dxa"/>
            <w:vAlign w:val="bottom"/>
          </w:tcPr>
          <w:p>
            <w:pPr>
              <w:spacing w:after="0"/>
              <w:rPr>
                <w:sz w:val="1"/>
                <w:szCs w:val="1"/>
                <w:color w:val="auto"/>
              </w:rPr>
            </w:pPr>
          </w:p>
        </w:tc>
      </w:tr>
      <w:tr>
        <w:trPr>
          <w:trHeight w:val="106"/>
        </w:trPr>
        <w:tc>
          <w:tcPr>
            <w:tcW w:w="5780" w:type="dxa"/>
            <w:vAlign w:val="bottom"/>
            <w:vMerge w:val="continue"/>
          </w:tcPr>
          <w:p>
            <w:pPr>
              <w:spacing w:after="0"/>
              <w:rPr>
                <w:sz w:val="9"/>
                <w:szCs w:val="9"/>
                <w:color w:val="auto"/>
              </w:rPr>
            </w:pPr>
          </w:p>
        </w:tc>
        <w:tc>
          <w:tcPr>
            <w:tcW w:w="3200" w:type="dxa"/>
            <w:vAlign w:val="bottom"/>
            <w:vMerge w:val="restart"/>
          </w:tcPr>
          <w:p>
            <w:pPr>
              <w:jc w:val="center"/>
              <w:ind w:left="788"/>
              <w:spacing w:after="0"/>
              <w:rPr>
                <w:sz w:val="20"/>
                <w:szCs w:val="20"/>
                <w:color w:val="auto"/>
              </w:rPr>
            </w:pPr>
            <w:r>
              <w:rPr>
                <w:rFonts w:ascii="Arial" w:cs="Arial" w:eastAsia="Arial" w:hAnsi="Arial"/>
                <w:sz w:val="14"/>
                <w:szCs w:val="14"/>
                <w:b w:val="1"/>
                <w:bCs w:val="1"/>
                <w:color w:val="333740"/>
              </w:rPr>
              <w:t>Each Director Nominee</w:t>
            </w: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578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578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780" w:type="dxa"/>
            <w:vAlign w:val="bottom"/>
            <w:tcBorders>
              <w:bottom w:val="single" w:sz="8" w:color="D7D8D6"/>
            </w:tcBorders>
            <w:shd w:val="clear" w:color="auto" w:fill="D7D8D6"/>
          </w:tcPr>
          <w:p>
            <w:pPr>
              <w:ind w:left="220"/>
              <w:spacing w:after="0"/>
              <w:rPr>
                <w:sz w:val="20"/>
                <w:szCs w:val="20"/>
                <w:color w:val="auto"/>
              </w:rPr>
            </w:pPr>
            <w:r>
              <w:rPr>
                <w:rFonts w:ascii="Arial" w:cs="Arial" w:eastAsia="Arial" w:hAnsi="Arial"/>
                <w:sz w:val="14"/>
                <w:szCs w:val="14"/>
                <w:b w:val="1"/>
                <w:bCs w:val="1"/>
                <w:color w:val="333740"/>
              </w:rPr>
              <w:t>2: 2019 U.S. Say-on-Pay Proposal for Named Executive Officers</w:t>
            </w:r>
          </w:p>
        </w:tc>
        <w:tc>
          <w:tcPr>
            <w:tcW w:w="3200" w:type="dxa"/>
            <w:vAlign w:val="bottom"/>
            <w:tcBorders>
              <w:bottom w:val="single" w:sz="8" w:color="D7D8D6"/>
            </w:tcBorders>
            <w:shd w:val="clear" w:color="auto" w:fill="D7D8D6"/>
          </w:tcPr>
          <w:p>
            <w:pPr>
              <w:jc w:val="center"/>
              <w:ind w:left="788"/>
              <w:spacing w:after="0"/>
              <w:rPr>
                <w:sz w:val="20"/>
                <w:szCs w:val="20"/>
                <w:color w:val="auto"/>
              </w:rPr>
            </w:pPr>
            <w:r>
              <w:rPr>
                <w:rFonts w:ascii="Arial" w:cs="Arial" w:eastAsia="Arial" w:hAnsi="Arial"/>
                <w:sz w:val="14"/>
                <w:szCs w:val="14"/>
                <w:b w:val="1"/>
                <w:bCs w:val="1"/>
                <w:color w:val="333740"/>
              </w:rPr>
              <w:t>FOR</w:t>
            </w:r>
          </w:p>
        </w:tc>
        <w:tc>
          <w:tcPr>
            <w:tcW w:w="21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4"/>
                <w:szCs w:val="14"/>
                <w:color w:val="333740"/>
              </w:rPr>
              <w:t>Page 125</w:t>
            </w:r>
          </w:p>
        </w:tc>
        <w:tc>
          <w:tcPr>
            <w:tcW w:w="0" w:type="dxa"/>
            <w:vAlign w:val="bottom"/>
          </w:tcPr>
          <w:p>
            <w:pPr>
              <w:spacing w:after="0"/>
              <w:rPr>
                <w:sz w:val="1"/>
                <w:szCs w:val="1"/>
                <w:color w:val="auto"/>
              </w:rPr>
            </w:pPr>
          </w:p>
        </w:tc>
      </w:tr>
      <w:tr>
        <w:trPr>
          <w:trHeight w:val="233"/>
        </w:trPr>
        <w:tc>
          <w:tcPr>
            <w:tcW w:w="5780" w:type="dxa"/>
            <w:vAlign w:val="bottom"/>
          </w:tcPr>
          <w:p>
            <w:pPr>
              <w:ind w:left="220"/>
              <w:spacing w:after="0"/>
              <w:rPr>
                <w:sz w:val="20"/>
                <w:szCs w:val="20"/>
                <w:color w:val="auto"/>
              </w:rPr>
            </w:pPr>
            <w:r>
              <w:rPr>
                <w:rFonts w:ascii="Arial" w:cs="Arial" w:eastAsia="Arial" w:hAnsi="Arial"/>
                <w:sz w:val="14"/>
                <w:szCs w:val="14"/>
                <w:b w:val="1"/>
                <w:bCs w:val="1"/>
                <w:color w:val="333740"/>
              </w:rPr>
              <w:t>3: 2019 U.K. Directors’ Remuneration Report</w:t>
            </w:r>
          </w:p>
        </w:tc>
        <w:tc>
          <w:tcPr>
            <w:tcW w:w="3200" w:type="dxa"/>
            <w:vAlign w:val="bottom"/>
          </w:tcPr>
          <w:p>
            <w:pPr>
              <w:jc w:val="center"/>
              <w:ind w:left="788"/>
              <w:spacing w:after="0"/>
              <w:rPr>
                <w:sz w:val="20"/>
                <w:szCs w:val="20"/>
                <w:color w:val="auto"/>
              </w:rPr>
            </w:pPr>
            <w:r>
              <w:rPr>
                <w:rFonts w:ascii="Arial" w:cs="Arial" w:eastAsia="Arial" w:hAnsi="Arial"/>
                <w:sz w:val="14"/>
                <w:szCs w:val="14"/>
                <w:b w:val="1"/>
                <w:bCs w:val="1"/>
                <w:color w:val="333740"/>
              </w:rPr>
              <w:t>FOR</w:t>
            </w:r>
          </w:p>
        </w:tc>
        <w:tc>
          <w:tcPr>
            <w:tcW w:w="2160" w:type="dxa"/>
            <w:vAlign w:val="bottom"/>
          </w:tcPr>
          <w:p>
            <w:pPr>
              <w:jc w:val="center"/>
              <w:spacing w:after="0"/>
              <w:rPr>
                <w:sz w:val="20"/>
                <w:szCs w:val="20"/>
                <w:color w:val="auto"/>
              </w:rPr>
            </w:pPr>
            <w:r>
              <w:rPr>
                <w:rFonts w:ascii="Arial" w:cs="Arial" w:eastAsia="Arial" w:hAnsi="Arial"/>
                <w:sz w:val="14"/>
                <w:szCs w:val="14"/>
                <w:color w:val="333740"/>
              </w:rPr>
              <w:t>Page 126</w:t>
            </w:r>
          </w:p>
        </w:tc>
        <w:tc>
          <w:tcPr>
            <w:tcW w:w="0" w:type="dxa"/>
            <w:vAlign w:val="bottom"/>
          </w:tcPr>
          <w:p>
            <w:pPr>
              <w:spacing w:after="0"/>
              <w:rPr>
                <w:sz w:val="1"/>
                <w:szCs w:val="1"/>
                <w:color w:val="auto"/>
              </w:rPr>
            </w:pPr>
          </w:p>
        </w:tc>
      </w:tr>
      <w:tr>
        <w:trPr>
          <w:trHeight w:val="42"/>
        </w:trPr>
        <w:tc>
          <w:tcPr>
            <w:tcW w:w="578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780" w:type="dxa"/>
            <w:vAlign w:val="bottom"/>
            <w:tcBorders>
              <w:bottom w:val="single" w:sz="8" w:color="D7D8D6"/>
            </w:tcBorders>
            <w:shd w:val="clear" w:color="auto" w:fill="D7D8D6"/>
          </w:tcPr>
          <w:p>
            <w:pPr>
              <w:ind w:left="220"/>
              <w:spacing w:after="0"/>
              <w:rPr>
                <w:sz w:val="20"/>
                <w:szCs w:val="20"/>
                <w:color w:val="auto"/>
              </w:rPr>
            </w:pPr>
            <w:r>
              <w:rPr>
                <w:rFonts w:ascii="Arial" w:cs="Arial" w:eastAsia="Arial" w:hAnsi="Arial"/>
                <w:sz w:val="14"/>
                <w:szCs w:val="14"/>
                <w:b w:val="1"/>
                <w:bCs w:val="1"/>
                <w:color w:val="333740"/>
              </w:rPr>
              <w:t>4: Receipt of U.K. Annual Report and Accounts</w:t>
            </w:r>
          </w:p>
        </w:tc>
        <w:tc>
          <w:tcPr>
            <w:tcW w:w="3200" w:type="dxa"/>
            <w:vAlign w:val="bottom"/>
            <w:tcBorders>
              <w:bottom w:val="single" w:sz="8" w:color="D7D8D6"/>
            </w:tcBorders>
            <w:shd w:val="clear" w:color="auto" w:fill="D7D8D6"/>
          </w:tcPr>
          <w:p>
            <w:pPr>
              <w:jc w:val="center"/>
              <w:ind w:left="788"/>
              <w:spacing w:after="0"/>
              <w:rPr>
                <w:sz w:val="20"/>
                <w:szCs w:val="20"/>
                <w:color w:val="auto"/>
              </w:rPr>
            </w:pPr>
            <w:r>
              <w:rPr>
                <w:rFonts w:ascii="Arial" w:cs="Arial" w:eastAsia="Arial" w:hAnsi="Arial"/>
                <w:sz w:val="14"/>
                <w:szCs w:val="14"/>
                <w:b w:val="1"/>
                <w:bCs w:val="1"/>
                <w:color w:val="333740"/>
              </w:rPr>
              <w:t>FOR</w:t>
            </w:r>
          </w:p>
        </w:tc>
        <w:tc>
          <w:tcPr>
            <w:tcW w:w="21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4"/>
                <w:szCs w:val="14"/>
                <w:color w:val="333740"/>
              </w:rPr>
              <w:t>Page 127</w:t>
            </w:r>
          </w:p>
        </w:tc>
        <w:tc>
          <w:tcPr>
            <w:tcW w:w="0" w:type="dxa"/>
            <w:vAlign w:val="bottom"/>
          </w:tcPr>
          <w:p>
            <w:pPr>
              <w:spacing w:after="0"/>
              <w:rPr>
                <w:sz w:val="1"/>
                <w:szCs w:val="1"/>
                <w:color w:val="auto"/>
              </w:rPr>
            </w:pPr>
          </w:p>
        </w:tc>
      </w:tr>
      <w:tr>
        <w:trPr>
          <w:trHeight w:val="233"/>
        </w:trPr>
        <w:tc>
          <w:tcPr>
            <w:tcW w:w="5780" w:type="dxa"/>
            <w:vAlign w:val="bottom"/>
          </w:tcPr>
          <w:p>
            <w:pPr>
              <w:ind w:left="220"/>
              <w:spacing w:after="0"/>
              <w:rPr>
                <w:sz w:val="20"/>
                <w:szCs w:val="20"/>
                <w:color w:val="auto"/>
              </w:rPr>
            </w:pPr>
            <w:r>
              <w:rPr>
                <w:rFonts w:ascii="Arial" w:cs="Arial" w:eastAsia="Arial" w:hAnsi="Arial"/>
                <w:sz w:val="14"/>
                <w:szCs w:val="14"/>
                <w:b w:val="1"/>
                <w:bCs w:val="1"/>
                <w:color w:val="333740"/>
              </w:rPr>
              <w:t>5: Ratification of PwC as U.S. Auditor</w:t>
            </w:r>
          </w:p>
        </w:tc>
        <w:tc>
          <w:tcPr>
            <w:tcW w:w="3200" w:type="dxa"/>
            <w:vAlign w:val="bottom"/>
          </w:tcPr>
          <w:p>
            <w:pPr>
              <w:jc w:val="center"/>
              <w:ind w:left="788"/>
              <w:spacing w:after="0"/>
              <w:rPr>
                <w:sz w:val="20"/>
                <w:szCs w:val="20"/>
                <w:color w:val="auto"/>
              </w:rPr>
            </w:pPr>
            <w:r>
              <w:rPr>
                <w:rFonts w:ascii="Arial" w:cs="Arial" w:eastAsia="Arial" w:hAnsi="Arial"/>
                <w:sz w:val="14"/>
                <w:szCs w:val="14"/>
                <w:b w:val="1"/>
                <w:bCs w:val="1"/>
                <w:color w:val="333740"/>
              </w:rPr>
              <w:t>FOR</w:t>
            </w:r>
          </w:p>
        </w:tc>
        <w:tc>
          <w:tcPr>
            <w:tcW w:w="2160" w:type="dxa"/>
            <w:vAlign w:val="bottom"/>
          </w:tcPr>
          <w:p>
            <w:pPr>
              <w:jc w:val="center"/>
              <w:spacing w:after="0"/>
              <w:rPr>
                <w:sz w:val="20"/>
                <w:szCs w:val="20"/>
                <w:color w:val="auto"/>
              </w:rPr>
            </w:pPr>
            <w:r>
              <w:rPr>
                <w:rFonts w:ascii="Arial" w:cs="Arial" w:eastAsia="Arial" w:hAnsi="Arial"/>
                <w:sz w:val="14"/>
                <w:szCs w:val="14"/>
                <w:color w:val="333740"/>
              </w:rPr>
              <w:t>Page 128</w:t>
            </w:r>
          </w:p>
        </w:tc>
        <w:tc>
          <w:tcPr>
            <w:tcW w:w="0" w:type="dxa"/>
            <w:vAlign w:val="bottom"/>
          </w:tcPr>
          <w:p>
            <w:pPr>
              <w:spacing w:after="0"/>
              <w:rPr>
                <w:sz w:val="1"/>
                <w:szCs w:val="1"/>
                <w:color w:val="auto"/>
              </w:rPr>
            </w:pPr>
          </w:p>
        </w:tc>
      </w:tr>
      <w:tr>
        <w:trPr>
          <w:trHeight w:val="42"/>
        </w:trPr>
        <w:tc>
          <w:tcPr>
            <w:tcW w:w="578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780" w:type="dxa"/>
            <w:vAlign w:val="bottom"/>
            <w:tcBorders>
              <w:bottom w:val="single" w:sz="8" w:color="D7D8D6"/>
            </w:tcBorders>
            <w:shd w:val="clear" w:color="auto" w:fill="D7D8D6"/>
          </w:tcPr>
          <w:p>
            <w:pPr>
              <w:ind w:left="220"/>
              <w:spacing w:after="0"/>
              <w:rPr>
                <w:sz w:val="20"/>
                <w:szCs w:val="20"/>
                <w:color w:val="auto"/>
              </w:rPr>
            </w:pPr>
            <w:r>
              <w:rPr>
                <w:rFonts w:ascii="Arial" w:cs="Arial" w:eastAsia="Arial" w:hAnsi="Arial"/>
                <w:sz w:val="14"/>
                <w:szCs w:val="14"/>
                <w:b w:val="1"/>
                <w:bCs w:val="1"/>
                <w:color w:val="333740"/>
              </w:rPr>
              <w:t>6: Reappointment of PwC as U.K. Statutory Auditor</w:t>
            </w:r>
          </w:p>
        </w:tc>
        <w:tc>
          <w:tcPr>
            <w:tcW w:w="3200" w:type="dxa"/>
            <w:vAlign w:val="bottom"/>
            <w:tcBorders>
              <w:bottom w:val="single" w:sz="8" w:color="D7D8D6"/>
            </w:tcBorders>
            <w:shd w:val="clear" w:color="auto" w:fill="D7D8D6"/>
          </w:tcPr>
          <w:p>
            <w:pPr>
              <w:jc w:val="center"/>
              <w:ind w:left="788"/>
              <w:spacing w:after="0"/>
              <w:rPr>
                <w:sz w:val="20"/>
                <w:szCs w:val="20"/>
                <w:color w:val="auto"/>
              </w:rPr>
            </w:pPr>
            <w:r>
              <w:rPr>
                <w:rFonts w:ascii="Arial" w:cs="Arial" w:eastAsia="Arial" w:hAnsi="Arial"/>
                <w:sz w:val="14"/>
                <w:szCs w:val="14"/>
                <w:b w:val="1"/>
                <w:bCs w:val="1"/>
                <w:color w:val="333740"/>
              </w:rPr>
              <w:t>FOR</w:t>
            </w:r>
          </w:p>
        </w:tc>
        <w:tc>
          <w:tcPr>
            <w:tcW w:w="21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4"/>
                <w:szCs w:val="14"/>
                <w:color w:val="333740"/>
              </w:rPr>
              <w:t>Page 129</w:t>
            </w:r>
          </w:p>
        </w:tc>
        <w:tc>
          <w:tcPr>
            <w:tcW w:w="0" w:type="dxa"/>
            <w:vAlign w:val="bottom"/>
          </w:tcPr>
          <w:p>
            <w:pPr>
              <w:spacing w:after="0"/>
              <w:rPr>
                <w:sz w:val="1"/>
                <w:szCs w:val="1"/>
                <w:color w:val="auto"/>
              </w:rPr>
            </w:pPr>
          </w:p>
        </w:tc>
      </w:tr>
      <w:tr>
        <w:trPr>
          <w:trHeight w:val="233"/>
        </w:trPr>
        <w:tc>
          <w:tcPr>
            <w:tcW w:w="5780" w:type="dxa"/>
            <w:vAlign w:val="bottom"/>
          </w:tcPr>
          <w:p>
            <w:pPr>
              <w:ind w:left="220"/>
              <w:spacing w:after="0"/>
              <w:rPr>
                <w:sz w:val="20"/>
                <w:szCs w:val="20"/>
                <w:color w:val="auto"/>
              </w:rPr>
            </w:pPr>
            <w:r>
              <w:rPr>
                <w:rFonts w:ascii="Arial" w:cs="Arial" w:eastAsia="Arial" w:hAnsi="Arial"/>
                <w:sz w:val="14"/>
                <w:szCs w:val="14"/>
                <w:b w:val="1"/>
                <w:bCs w:val="1"/>
                <w:color w:val="333740"/>
              </w:rPr>
              <w:t>7: Approval of U.K. Statutory Auditor Fees</w:t>
            </w:r>
          </w:p>
        </w:tc>
        <w:tc>
          <w:tcPr>
            <w:tcW w:w="3200" w:type="dxa"/>
            <w:vAlign w:val="bottom"/>
          </w:tcPr>
          <w:p>
            <w:pPr>
              <w:jc w:val="center"/>
              <w:ind w:left="788"/>
              <w:spacing w:after="0"/>
              <w:rPr>
                <w:sz w:val="20"/>
                <w:szCs w:val="20"/>
                <w:color w:val="auto"/>
              </w:rPr>
            </w:pPr>
            <w:r>
              <w:rPr>
                <w:rFonts w:ascii="Arial" w:cs="Arial" w:eastAsia="Arial" w:hAnsi="Arial"/>
                <w:sz w:val="14"/>
                <w:szCs w:val="14"/>
                <w:b w:val="1"/>
                <w:bCs w:val="1"/>
                <w:color w:val="333740"/>
              </w:rPr>
              <w:t>FOR</w:t>
            </w:r>
          </w:p>
        </w:tc>
        <w:tc>
          <w:tcPr>
            <w:tcW w:w="2160" w:type="dxa"/>
            <w:vAlign w:val="bottom"/>
          </w:tcPr>
          <w:p>
            <w:pPr>
              <w:jc w:val="center"/>
              <w:spacing w:after="0"/>
              <w:rPr>
                <w:sz w:val="20"/>
                <w:szCs w:val="20"/>
                <w:color w:val="auto"/>
              </w:rPr>
            </w:pPr>
            <w:r>
              <w:rPr>
                <w:rFonts w:ascii="Arial" w:cs="Arial" w:eastAsia="Arial" w:hAnsi="Arial"/>
                <w:sz w:val="14"/>
                <w:szCs w:val="14"/>
                <w:color w:val="333740"/>
              </w:rPr>
              <w:t>Page 130</w:t>
            </w:r>
          </w:p>
        </w:tc>
        <w:tc>
          <w:tcPr>
            <w:tcW w:w="0" w:type="dxa"/>
            <w:vAlign w:val="bottom"/>
          </w:tcPr>
          <w:p>
            <w:pPr>
              <w:spacing w:after="0"/>
              <w:rPr>
                <w:sz w:val="1"/>
                <w:szCs w:val="1"/>
                <w:color w:val="auto"/>
              </w:rPr>
            </w:pPr>
          </w:p>
        </w:tc>
      </w:tr>
      <w:tr>
        <w:trPr>
          <w:trHeight w:val="42"/>
        </w:trPr>
        <w:tc>
          <w:tcPr>
            <w:tcW w:w="5780" w:type="dxa"/>
            <w:vAlign w:val="bottom"/>
            <w:tcBorders>
              <w:bottom w:val="single" w:sz="8" w:color="999999"/>
            </w:tcBorders>
          </w:tcPr>
          <w:p>
            <w:pPr>
              <w:spacing w:after="0"/>
              <w:rPr>
                <w:sz w:val="3"/>
                <w:szCs w:val="3"/>
                <w:color w:val="auto"/>
              </w:rPr>
            </w:pPr>
          </w:p>
        </w:tc>
        <w:tc>
          <w:tcPr>
            <w:tcW w:w="3200" w:type="dxa"/>
            <w:vAlign w:val="bottom"/>
            <w:tcBorders>
              <w:bottom w:val="single" w:sz="8" w:color="999999"/>
            </w:tcBorders>
          </w:tcPr>
          <w:p>
            <w:pPr>
              <w:spacing w:after="0"/>
              <w:rPr>
                <w:sz w:val="3"/>
                <w:szCs w:val="3"/>
                <w:color w:val="auto"/>
              </w:rPr>
            </w:pPr>
          </w:p>
        </w:tc>
        <w:tc>
          <w:tcPr>
            <w:tcW w:w="216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4" w:hanging="564"/>
        <w:spacing w:after="0"/>
        <w:tabs>
          <w:tab w:leader="none" w:pos="564" w:val="left"/>
        </w:tabs>
        <w:numPr>
          <w:ilvl w:val="0"/>
          <w:numId w:val="1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4"/>
          </w:cols>
          <w:pgMar w:left="316" w:top="128" w:right="379" w:bottom="1440" w:gutter="0" w:footer="0" w:header="0"/>
        </w:sectPr>
      </w:pPr>
    </w:p>
    <w:bookmarkStart w:id="9" w:name="page10"/>
    <w:bookmarkEnd w:id="9"/>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3" w:lineRule="exact"/>
        <w:rPr>
          <w:sz w:val="20"/>
          <w:szCs w:val="20"/>
          <w:color w:val="auto"/>
        </w:rPr>
      </w:pPr>
    </w:p>
    <w:p>
      <w:pPr>
        <w:ind w:left="64"/>
        <w:spacing w:after="0"/>
        <w:rPr>
          <w:sz w:val="20"/>
          <w:szCs w:val="20"/>
          <w:color w:val="auto"/>
        </w:rPr>
      </w:pPr>
      <w:r>
        <w:rPr>
          <w:rFonts w:ascii="Arial" w:cs="Arial" w:eastAsia="Arial" w:hAnsi="Arial"/>
          <w:sz w:val="33"/>
          <w:szCs w:val="33"/>
          <w:color w:val="481F6E"/>
        </w:rPr>
        <w:t>Core Values and Foundational Beliefs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176135" cy="65766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6576695"/>
                    </a:xfrm>
                    <a:prstGeom prst="rect">
                      <a:avLst/>
                    </a:prstGeom>
                    <a:noFill/>
                  </pic:spPr>
                </pic:pic>
              </a:graphicData>
            </a:graphic>
          </wp:anchor>
        </w:drawing>
      </w:r>
    </w:p>
    <w:p>
      <w:pPr>
        <w:spacing w:after="0" w:line="91" w:lineRule="exact"/>
        <w:rPr>
          <w:sz w:val="20"/>
          <w:szCs w:val="20"/>
          <w:color w:val="auto"/>
        </w:rPr>
      </w:pPr>
    </w:p>
    <w:p>
      <w:pPr>
        <w:ind w:left="64" w:right="440"/>
        <w:spacing w:after="0" w:line="242" w:lineRule="auto"/>
        <w:rPr>
          <w:sz w:val="20"/>
          <w:szCs w:val="20"/>
          <w:color w:val="auto"/>
        </w:rPr>
      </w:pPr>
      <w:r>
        <w:rPr>
          <w:rFonts w:ascii="Arial" w:cs="Arial" w:eastAsia="Arial" w:hAnsi="Arial"/>
          <w:sz w:val="19"/>
          <w:szCs w:val="19"/>
          <w:color w:val="333740"/>
        </w:rPr>
        <w:t>Our decisions regarding corporate responsibility, governance, and sustainability are founded on the principles that guide our Company. Our core values provide the framework for all of our decision making and are based on our foundational beliefs (“</w:t>
      </w:r>
      <w:r>
        <w:rPr>
          <w:rFonts w:ascii="Arial" w:cs="Arial" w:eastAsia="Arial" w:hAnsi="Arial"/>
          <w:sz w:val="19"/>
          <w:szCs w:val="19"/>
          <w:b w:val="1"/>
          <w:bCs w:val="1"/>
          <w:color w:val="333740"/>
        </w:rPr>
        <w:t>Foundational Beliefs</w:t>
      </w:r>
      <w:r>
        <w:rPr>
          <w:rFonts w:ascii="Arial" w:cs="Arial" w:eastAsia="Arial" w:hAnsi="Arial"/>
          <w:sz w:val="19"/>
          <w:szCs w:val="19"/>
          <w:color w:val="33374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 w:right="120"/>
        <w:spacing w:after="0" w:line="338" w:lineRule="auto"/>
        <w:rPr>
          <w:sz w:val="20"/>
          <w:szCs w:val="20"/>
          <w:color w:val="auto"/>
        </w:rPr>
      </w:pPr>
      <w:r>
        <w:rPr>
          <w:rFonts w:ascii="Arial" w:cs="Arial" w:eastAsia="Arial" w:hAnsi="Arial"/>
          <w:sz w:val="19"/>
          <w:szCs w:val="19"/>
          <w:color w:val="333740"/>
        </w:rPr>
        <w:t>Our Foundational Beliefs are the cornerstone of our values that describe how we fundamentally do business and what we never compromise on, no matter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
        <w:spacing w:after="0" w:line="247" w:lineRule="auto"/>
        <w:rPr>
          <w:sz w:val="20"/>
          <w:szCs w:val="20"/>
          <w:color w:val="auto"/>
        </w:rPr>
      </w:pPr>
      <w:r>
        <w:rPr>
          <w:rFonts w:ascii="Arial" w:cs="Arial" w:eastAsia="Arial" w:hAnsi="Arial"/>
          <w:sz w:val="19"/>
          <w:szCs w:val="19"/>
          <w:color w:val="333740"/>
        </w:rPr>
        <w:t>For additional details on the Company’s core values, Foundational Beliefs, and our sustainability program, please see the section entitled “</w:t>
      </w:r>
      <w:r>
        <w:rPr>
          <w:rFonts w:ascii="Arial" w:cs="Arial" w:eastAsia="Arial" w:hAnsi="Arial"/>
          <w:sz w:val="19"/>
          <w:szCs w:val="19"/>
          <w:i w:val="1"/>
          <w:iCs w:val="1"/>
          <w:color w:val="333740"/>
          <w:highlight w:val="white"/>
        </w:rPr>
        <w:t>Corporate Responsibility and Sustainability</w:t>
      </w:r>
      <w:r>
        <w:rPr>
          <w:rFonts w:ascii="Arial" w:cs="Arial" w:eastAsia="Arial" w:hAnsi="Arial"/>
          <w:sz w:val="19"/>
          <w:szCs w:val="19"/>
          <w:color w:val="333740"/>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4" w:hanging="564"/>
        <w:spacing w:after="0"/>
        <w:tabs>
          <w:tab w:leader="none" w:pos="564" w:val="left"/>
        </w:tabs>
        <w:numPr>
          <w:ilvl w:val="0"/>
          <w:numId w:val="15"/>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964"/>
          </w:cols>
          <w:pgMar w:left="316" w:top="128" w:right="619" w:bottom="1440" w:gutter="0" w:footer="0" w:header="0"/>
        </w:sectPr>
      </w:pPr>
    </w:p>
    <w:bookmarkStart w:id="10" w:name="page11"/>
    <w:bookmarkEnd w:id="10"/>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3" w:lineRule="exact"/>
        <w:rPr>
          <w:sz w:val="20"/>
          <w:szCs w:val="20"/>
          <w:color w:val="auto"/>
        </w:rPr>
      </w:pPr>
    </w:p>
    <w:p>
      <w:pPr>
        <w:ind w:left="64"/>
        <w:spacing w:after="0"/>
        <w:rPr>
          <w:sz w:val="20"/>
          <w:szCs w:val="20"/>
          <w:color w:val="auto"/>
        </w:rPr>
      </w:pPr>
      <w:r>
        <w:rPr>
          <w:rFonts w:ascii="Arial" w:cs="Arial" w:eastAsia="Arial" w:hAnsi="Arial"/>
          <w:sz w:val="33"/>
          <w:szCs w:val="33"/>
          <w:color w:val="481F6E"/>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176135" cy="69030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6903085"/>
                    </a:xfrm>
                    <a:prstGeom prst="rect">
                      <a:avLst/>
                    </a:prstGeom>
                    <a:noFill/>
                  </pic:spPr>
                </pic:pic>
              </a:graphicData>
            </a:graphic>
          </wp:anchor>
        </w:drawing>
      </w:r>
    </w:p>
    <w:p>
      <w:pPr>
        <w:spacing w:after="0" w:line="266" w:lineRule="exact"/>
        <w:rPr>
          <w:sz w:val="20"/>
          <w:szCs w:val="20"/>
          <w:color w:val="auto"/>
        </w:rPr>
      </w:pPr>
    </w:p>
    <w:p>
      <w:pPr>
        <w:ind w:left="64"/>
        <w:spacing w:after="0"/>
        <w:rPr>
          <w:sz w:val="20"/>
          <w:szCs w:val="20"/>
          <w:color w:val="auto"/>
        </w:rPr>
      </w:pPr>
      <w:r>
        <w:rPr>
          <w:rFonts w:ascii="Arial" w:cs="Arial" w:eastAsia="Arial" w:hAnsi="Arial"/>
          <w:sz w:val="21"/>
          <w:szCs w:val="21"/>
          <w:b w:val="1"/>
          <w:bCs w:val="1"/>
          <w:color w:val="481F6E"/>
        </w:rPr>
        <w:t>Board and Governance Best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4" w:hanging="564"/>
        <w:spacing w:after="0"/>
        <w:tabs>
          <w:tab w:leader="none" w:pos="564" w:val="left"/>
        </w:tabs>
        <w:numPr>
          <w:ilvl w:val="0"/>
          <w:numId w:val="1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4"/>
          </w:cols>
          <w:pgMar w:left="316" w:top="128" w:right="1440" w:bottom="1440" w:gutter="0" w:footer="0" w:header="0"/>
        </w:sectPr>
      </w:pPr>
    </w:p>
    <w:bookmarkStart w:id="11" w:name="page12"/>
    <w:bookmarkEnd w:id="11"/>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3" w:lineRule="exact"/>
        <w:rPr>
          <w:sz w:val="20"/>
          <w:szCs w:val="20"/>
          <w:color w:val="auto"/>
        </w:rPr>
      </w:pPr>
    </w:p>
    <w:p>
      <w:pPr>
        <w:ind w:left="64"/>
        <w:spacing w:after="0"/>
        <w:rPr>
          <w:sz w:val="20"/>
          <w:szCs w:val="20"/>
          <w:color w:val="auto"/>
        </w:rPr>
      </w:pPr>
      <w:r>
        <w:rPr>
          <w:rFonts w:ascii="Arial" w:cs="Arial" w:eastAsia="Arial" w:hAnsi="Arial"/>
          <w:sz w:val="33"/>
          <w:szCs w:val="33"/>
          <w:color w:val="481F6E"/>
        </w:rPr>
        <w:t>2019-2020 Shareholder Engagement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176135" cy="2531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2531745"/>
                    </a:xfrm>
                    <a:prstGeom prst="rect">
                      <a:avLst/>
                    </a:prstGeom>
                    <a:noFill/>
                  </pic:spPr>
                </pic:pic>
              </a:graphicData>
            </a:graphic>
          </wp:anchor>
        </w:drawing>
      </w:r>
    </w:p>
    <w:p>
      <w:pPr>
        <w:spacing w:after="0" w:line="91" w:lineRule="exact"/>
        <w:rPr>
          <w:sz w:val="20"/>
          <w:szCs w:val="20"/>
          <w:color w:val="auto"/>
        </w:rPr>
      </w:pPr>
    </w:p>
    <w:p>
      <w:pPr>
        <w:ind w:left="64"/>
        <w:spacing w:after="0" w:line="242" w:lineRule="auto"/>
        <w:rPr>
          <w:sz w:val="20"/>
          <w:szCs w:val="20"/>
          <w:color w:val="auto"/>
        </w:rPr>
      </w:pPr>
      <w:r>
        <w:rPr>
          <w:rFonts w:ascii="Arial" w:cs="Arial" w:eastAsia="Arial" w:hAnsi="Arial"/>
          <w:sz w:val="19"/>
          <w:szCs w:val="19"/>
          <w:color w:val="333740"/>
        </w:rPr>
        <w:t>Our relationship and ongoing dialogue with our shareholders is an important part of our Board’s corporate governance commitment. Our Lead Independent Director and Compensation Committee Chair, or our executives and management from our Legal, People and Culture, and Investor Relations groups, meet with shareholders regularly on a variety of topics.</w:t>
      </w:r>
    </w:p>
    <w:p>
      <w:pPr>
        <w:spacing w:after="0" w:line="80" w:lineRule="exact"/>
        <w:rPr>
          <w:sz w:val="20"/>
          <w:szCs w:val="20"/>
          <w:color w:val="auto"/>
        </w:rPr>
      </w:pPr>
    </w:p>
    <w:p>
      <w:pPr>
        <w:ind w:left="64"/>
        <w:spacing w:after="0"/>
        <w:rPr>
          <w:sz w:val="20"/>
          <w:szCs w:val="20"/>
          <w:color w:val="auto"/>
        </w:rPr>
      </w:pPr>
      <w:r>
        <w:rPr>
          <w:rFonts w:ascii="Arial" w:cs="Arial" w:eastAsia="Arial" w:hAnsi="Arial"/>
          <w:sz w:val="19"/>
          <w:szCs w:val="19"/>
          <w:color w:val="333740"/>
        </w:rPr>
        <w:t>Management provides reports to the Board and its committees regarding the feedback received.</w:t>
      </w:r>
    </w:p>
    <w:p>
      <w:pPr>
        <w:spacing w:after="0" w:line="116" w:lineRule="exact"/>
        <w:rPr>
          <w:sz w:val="20"/>
          <w:szCs w:val="20"/>
          <w:color w:val="auto"/>
        </w:rPr>
      </w:pPr>
    </w:p>
    <w:p>
      <w:pPr>
        <w:ind w:left="64" w:right="160"/>
        <w:spacing w:after="0" w:line="239" w:lineRule="auto"/>
        <w:rPr>
          <w:sz w:val="20"/>
          <w:szCs w:val="20"/>
          <w:color w:val="auto"/>
        </w:rPr>
      </w:pPr>
      <w:r>
        <w:rPr>
          <w:rFonts w:ascii="Arial" w:cs="Arial" w:eastAsia="Arial" w:hAnsi="Arial"/>
          <w:sz w:val="19"/>
          <w:szCs w:val="19"/>
          <w:color w:val="333740"/>
        </w:rPr>
        <w:t>For our 2019-2020 engagement, we contacted proxy advisory firms and our top shareholders representing approximately 50% of our Ordinary Shares outstanding. Management, and in some instances, our Lead Independent Director or our Compensation Committee Chair, held meetings with proxy advisory firms and shareholders representing approximately 13% of our Ordinary Shares outstanding. Some shareholders did not require a meeting as they either indicated their support for our compensation and governance practices or did not have questions regarding our compensation or governance practices.</w:t>
      </w:r>
    </w:p>
    <w:p>
      <w:pPr>
        <w:spacing w:after="0" w:line="83" w:lineRule="exact"/>
        <w:rPr>
          <w:sz w:val="20"/>
          <w:szCs w:val="20"/>
          <w:color w:val="auto"/>
        </w:rPr>
      </w:pPr>
    </w:p>
    <w:p>
      <w:pPr>
        <w:ind w:left="64" w:right="280"/>
        <w:spacing w:after="0" w:line="247" w:lineRule="auto"/>
        <w:rPr>
          <w:sz w:val="20"/>
          <w:szCs w:val="20"/>
          <w:color w:val="auto"/>
        </w:rPr>
      </w:pPr>
      <w:r>
        <w:rPr>
          <w:rFonts w:ascii="Arial" w:cs="Arial" w:eastAsia="Arial" w:hAnsi="Arial"/>
          <w:sz w:val="19"/>
          <w:szCs w:val="19"/>
          <w:color w:val="333740"/>
        </w:rPr>
        <w:t>Our 2019-2020 shareholder engagement program allowed us to understand our shareholders’ priorities and perspectives, which prompted us to make several changes to our compensation program and to our disclosure philosophy.</w:t>
      </w:r>
    </w:p>
    <w:p>
      <w:pPr>
        <w:spacing w:after="0" w:line="76" w:lineRule="exact"/>
        <w:rPr>
          <w:sz w:val="20"/>
          <w:szCs w:val="20"/>
          <w:color w:val="auto"/>
        </w:rPr>
      </w:pPr>
    </w:p>
    <w:p>
      <w:pPr>
        <w:ind w:left="64" w:right="580"/>
        <w:spacing w:after="0" w:line="247" w:lineRule="auto"/>
        <w:rPr>
          <w:sz w:val="20"/>
          <w:szCs w:val="20"/>
          <w:color w:val="auto"/>
        </w:rPr>
      </w:pPr>
      <w:r>
        <w:rPr>
          <w:rFonts w:ascii="Arial" w:cs="Arial" w:eastAsia="Arial" w:hAnsi="Arial"/>
          <w:sz w:val="19"/>
          <w:szCs w:val="19"/>
          <w:color w:val="333740"/>
        </w:rPr>
        <w:t>For detailed descriptions of key shareholder feedback received, and our responses to such feedback, please see the section entitled “</w:t>
      </w:r>
      <w:r>
        <w:rPr>
          <w:rFonts w:ascii="Arial" w:cs="Arial" w:eastAsia="Arial" w:hAnsi="Arial"/>
          <w:sz w:val="19"/>
          <w:szCs w:val="19"/>
          <w:i w:val="1"/>
          <w:iCs w:val="1"/>
          <w:color w:val="333740"/>
        </w:rPr>
        <w:t>Corporate Governance—Shareholder Engagement.</w:t>
      </w:r>
      <w:r>
        <w:rPr>
          <w:rFonts w:ascii="Arial" w:cs="Arial" w:eastAsia="Arial" w:hAnsi="Arial"/>
          <w:sz w:val="19"/>
          <w:szCs w:val="19"/>
          <w:color w:val="333740"/>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4" w:hanging="564"/>
        <w:spacing w:after="0"/>
        <w:tabs>
          <w:tab w:leader="none" w:pos="564" w:val="left"/>
        </w:tabs>
        <w:numPr>
          <w:ilvl w:val="0"/>
          <w:numId w:val="17"/>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64"/>
          </w:cols>
          <w:pgMar w:left="316" w:top="128" w:right="419" w:bottom="1440" w:gutter="0" w:footer="0" w:header="0"/>
        </w:sectPr>
      </w:pPr>
    </w:p>
    <w:bookmarkStart w:id="12" w:name="page13"/>
    <w:bookmarkEnd w:id="12"/>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3" w:lineRule="exact"/>
        <w:rPr>
          <w:sz w:val="20"/>
          <w:szCs w:val="20"/>
          <w:color w:val="auto"/>
        </w:rPr>
      </w:pPr>
    </w:p>
    <w:p>
      <w:pPr>
        <w:ind w:left="64"/>
        <w:spacing w:after="0"/>
        <w:rPr>
          <w:sz w:val="20"/>
          <w:szCs w:val="20"/>
          <w:color w:val="auto"/>
        </w:rPr>
      </w:pPr>
      <w:r>
        <w:rPr>
          <w:rFonts w:ascii="Arial" w:cs="Arial" w:eastAsia="Arial" w:hAnsi="Arial"/>
          <w:sz w:val="33"/>
          <w:szCs w:val="33"/>
          <w:color w:val="481F6E"/>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176135" cy="5984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5984875"/>
                    </a:xfrm>
                    <a:prstGeom prst="rect">
                      <a:avLst/>
                    </a:prstGeom>
                    <a:noFill/>
                  </pic:spPr>
                </pic:pic>
              </a:graphicData>
            </a:graphic>
          </wp:anchor>
        </w:drawing>
      </w:r>
    </w:p>
    <w:p>
      <w:pPr>
        <w:spacing w:after="0" w:line="266" w:lineRule="exact"/>
        <w:rPr>
          <w:sz w:val="20"/>
          <w:szCs w:val="20"/>
          <w:color w:val="auto"/>
        </w:rPr>
      </w:pPr>
    </w:p>
    <w:p>
      <w:pPr>
        <w:jc w:val="center"/>
        <w:ind w:right="-83"/>
        <w:spacing w:after="0"/>
        <w:rPr>
          <w:sz w:val="20"/>
          <w:szCs w:val="20"/>
          <w:color w:val="auto"/>
        </w:rPr>
      </w:pPr>
      <w:r>
        <w:rPr>
          <w:rFonts w:ascii="Arial" w:cs="Arial" w:eastAsia="Arial" w:hAnsi="Arial"/>
          <w:sz w:val="21"/>
          <w:szCs w:val="21"/>
          <w:b w:val="1"/>
          <w:bCs w:val="1"/>
          <w:color w:val="FFFFFF"/>
        </w:rPr>
        <w:t>Key Board Statistics after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64" w:type="dxa"/>
        <w:tblCellMar>
          <w:top w:w="0" w:type="dxa"/>
          <w:left w:w="0" w:type="dxa"/>
          <w:bottom w:w="0" w:type="dxa"/>
          <w:right w:w="0" w:type="dxa"/>
        </w:tblCellMar>
      </w:tblPr>
      <w:tr>
        <w:trPr>
          <w:trHeight w:val="587"/>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481F6E"/>
              </w:rPr>
              <w:t>Douglas J. Pferdehirt</w:t>
            </w:r>
          </w:p>
        </w:tc>
        <w:tc>
          <w:tcPr>
            <w:tcW w:w="3780" w:type="dxa"/>
            <w:vAlign w:val="bottom"/>
            <w:shd w:val="clear" w:color="auto" w:fill="E0E1DF"/>
          </w:tcPr>
          <w:p>
            <w:pPr>
              <w:spacing w:after="0"/>
              <w:rPr>
                <w:sz w:val="24"/>
                <w:szCs w:val="24"/>
                <w:color w:val="auto"/>
              </w:rPr>
            </w:pPr>
          </w:p>
        </w:tc>
        <w:tc>
          <w:tcPr>
            <w:tcW w:w="3500" w:type="dxa"/>
            <w:vAlign w:val="bottom"/>
            <w:shd w:val="clear" w:color="auto" w:fill="E0E1DF"/>
          </w:tcPr>
          <w:p>
            <w:pPr>
              <w:spacing w:after="0"/>
              <w:rPr>
                <w:sz w:val="24"/>
                <w:szCs w:val="24"/>
                <w:color w:val="auto"/>
              </w:rPr>
            </w:pP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481F6E"/>
              </w:rPr>
              <w:t>Chairman and CEO</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Eleazar de Carvalho Filho</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Arnaud Caudoux</w:t>
            </w: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333740"/>
              </w:rPr>
              <w:t>Age</w:t>
            </w:r>
            <w:r>
              <w:rPr>
                <w:rFonts w:ascii="Arial" w:cs="Arial" w:eastAsia="Arial" w:hAnsi="Arial"/>
                <w:sz w:val="10"/>
                <w:szCs w:val="10"/>
                <w:color w:val="333740"/>
              </w:rPr>
              <w:t>: 56</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Independent</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Independent</w:t>
            </w: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333740"/>
              </w:rPr>
              <w:t>Committees</w:t>
            </w:r>
            <w:r>
              <w:rPr>
                <w:rFonts w:ascii="Arial" w:cs="Arial" w:eastAsia="Arial" w:hAnsi="Arial"/>
                <w:sz w:val="10"/>
                <w:szCs w:val="10"/>
                <w:color w:val="333740"/>
              </w:rPr>
              <w:t>: Strategy</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Age</w:t>
            </w:r>
            <w:r>
              <w:rPr>
                <w:rFonts w:ascii="Arial" w:cs="Arial" w:eastAsia="Arial" w:hAnsi="Arial"/>
                <w:sz w:val="10"/>
                <w:szCs w:val="10"/>
                <w:color w:val="333740"/>
              </w:rPr>
              <w:t>: 62</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Age</w:t>
            </w:r>
            <w:r>
              <w:rPr>
                <w:rFonts w:ascii="Arial" w:cs="Arial" w:eastAsia="Arial" w:hAnsi="Arial"/>
                <w:sz w:val="10"/>
                <w:szCs w:val="10"/>
                <w:color w:val="333740"/>
              </w:rPr>
              <w:t>: 49</w:t>
            </w:r>
          </w:p>
        </w:tc>
      </w:tr>
      <w:tr>
        <w:trPr>
          <w:trHeight w:val="130"/>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color w:val="333740"/>
              </w:rPr>
              <w:t>Committee (Chair)</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Committees</w:t>
            </w:r>
            <w:r>
              <w:rPr>
                <w:rFonts w:ascii="Arial" w:cs="Arial" w:eastAsia="Arial" w:hAnsi="Arial"/>
                <w:sz w:val="10"/>
                <w:szCs w:val="10"/>
                <w:color w:val="333740"/>
              </w:rPr>
              <w:t>: Audit</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Committees</w:t>
            </w:r>
            <w:r>
              <w:rPr>
                <w:rFonts w:ascii="Arial" w:cs="Arial" w:eastAsia="Arial" w:hAnsi="Arial"/>
                <w:sz w:val="10"/>
                <w:szCs w:val="10"/>
                <w:color w:val="333740"/>
              </w:rPr>
              <w:t>: Audit</w:t>
            </w:r>
          </w:p>
        </w:tc>
      </w:tr>
      <w:tr>
        <w:trPr>
          <w:trHeight w:val="623"/>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481F6E"/>
              </w:rPr>
              <w:t>Pascal Colombani</w:t>
            </w:r>
          </w:p>
        </w:tc>
        <w:tc>
          <w:tcPr>
            <w:tcW w:w="3780" w:type="dxa"/>
            <w:vAlign w:val="bottom"/>
            <w:shd w:val="clear" w:color="auto" w:fill="E0E1DF"/>
          </w:tcPr>
          <w:p>
            <w:pPr>
              <w:spacing w:after="0"/>
              <w:rPr>
                <w:sz w:val="24"/>
                <w:szCs w:val="24"/>
                <w:color w:val="auto"/>
              </w:rPr>
            </w:pPr>
          </w:p>
        </w:tc>
        <w:tc>
          <w:tcPr>
            <w:tcW w:w="3500" w:type="dxa"/>
            <w:vAlign w:val="bottom"/>
            <w:shd w:val="clear" w:color="auto" w:fill="E0E1DF"/>
          </w:tcPr>
          <w:p>
            <w:pPr>
              <w:spacing w:after="0"/>
              <w:rPr>
                <w:sz w:val="24"/>
                <w:szCs w:val="24"/>
                <w:color w:val="auto"/>
              </w:rPr>
            </w:pP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481F6E"/>
              </w:rPr>
              <w:t>Lead Independent Director</w:t>
            </w:r>
          </w:p>
        </w:tc>
        <w:tc>
          <w:tcPr>
            <w:tcW w:w="3780" w:type="dxa"/>
            <w:vAlign w:val="bottom"/>
            <w:shd w:val="clear" w:color="auto" w:fill="E0E1DF"/>
          </w:tcPr>
          <w:p>
            <w:pPr>
              <w:spacing w:after="0"/>
              <w:rPr>
                <w:sz w:val="10"/>
                <w:szCs w:val="10"/>
                <w:color w:val="auto"/>
              </w:rPr>
            </w:pP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Claire S. Farley</w:t>
            </w: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333740"/>
              </w:rPr>
              <w:t xml:space="preserve">Age: </w:t>
            </w:r>
            <w:r>
              <w:rPr>
                <w:rFonts w:ascii="Arial" w:cs="Arial" w:eastAsia="Arial" w:hAnsi="Arial"/>
                <w:sz w:val="10"/>
                <w:szCs w:val="10"/>
                <w:color w:val="333740"/>
              </w:rPr>
              <w:t>74</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Marie-Ange Debon</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Independent</w:t>
            </w: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333740"/>
              </w:rPr>
              <w:t>Committees</w:t>
            </w:r>
            <w:r>
              <w:rPr>
                <w:rFonts w:ascii="Arial" w:cs="Arial" w:eastAsia="Arial" w:hAnsi="Arial"/>
                <w:sz w:val="10"/>
                <w:szCs w:val="10"/>
                <w:color w:val="333740"/>
              </w:rPr>
              <w:t>: Nominating</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Independent</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Age</w:t>
            </w:r>
            <w:r>
              <w:rPr>
                <w:rFonts w:ascii="Arial" w:cs="Arial" w:eastAsia="Arial" w:hAnsi="Arial"/>
                <w:sz w:val="10"/>
                <w:szCs w:val="10"/>
                <w:color w:val="333740"/>
              </w:rPr>
              <w:t>: 61</w:t>
            </w:r>
          </w:p>
        </w:tc>
      </w:tr>
      <w:tr>
        <w:trPr>
          <w:trHeight w:val="131"/>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color w:val="333740"/>
              </w:rPr>
              <w:t>and Corporate Governance,</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Age</w:t>
            </w:r>
            <w:r>
              <w:rPr>
                <w:rFonts w:ascii="Arial" w:cs="Arial" w:eastAsia="Arial" w:hAnsi="Arial"/>
                <w:sz w:val="10"/>
                <w:szCs w:val="10"/>
                <w:color w:val="333740"/>
              </w:rPr>
              <w:t>: 54</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Committees:</w:t>
            </w:r>
          </w:p>
        </w:tc>
      </w:tr>
      <w:tr>
        <w:trPr>
          <w:trHeight w:val="118"/>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color w:val="333740"/>
              </w:rPr>
              <w:t>Strategy</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color w:val="333740"/>
              </w:rPr>
              <w:t>Committees: Audit (Chair)</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color w:val="333740"/>
              </w:rPr>
              <w:t>Compensation, Strategy</w:t>
            </w:r>
          </w:p>
        </w:tc>
      </w:tr>
      <w:tr>
        <w:trPr>
          <w:trHeight w:val="623"/>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481F6E"/>
              </w:rPr>
              <w:t>Didier Houssin</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Peter Mellbye</w:t>
            </w:r>
          </w:p>
        </w:tc>
        <w:tc>
          <w:tcPr>
            <w:tcW w:w="3500" w:type="dxa"/>
            <w:vAlign w:val="bottom"/>
            <w:shd w:val="clear" w:color="auto" w:fill="E0E1DF"/>
          </w:tcPr>
          <w:p>
            <w:pPr>
              <w:spacing w:after="0"/>
              <w:rPr>
                <w:sz w:val="24"/>
                <w:szCs w:val="24"/>
                <w:color w:val="auto"/>
              </w:rPr>
            </w:pP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481F6E"/>
              </w:rPr>
              <w:t>Independent</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Independent</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John O’Leary</w:t>
            </w: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333740"/>
              </w:rPr>
              <w:t>Age</w:t>
            </w:r>
            <w:r>
              <w:rPr>
                <w:rFonts w:ascii="Arial" w:cs="Arial" w:eastAsia="Arial" w:hAnsi="Arial"/>
                <w:sz w:val="10"/>
                <w:szCs w:val="10"/>
                <w:color w:val="333740"/>
              </w:rPr>
              <w:t>: 63</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Age</w:t>
            </w:r>
            <w:r>
              <w:rPr>
                <w:rFonts w:ascii="Arial" w:cs="Arial" w:eastAsia="Arial" w:hAnsi="Arial"/>
                <w:sz w:val="10"/>
                <w:szCs w:val="10"/>
                <w:color w:val="333740"/>
              </w:rPr>
              <w:t>: 70</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Independent</w:t>
            </w: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333740"/>
              </w:rPr>
              <w:t>Committees</w:t>
            </w:r>
            <w:r>
              <w:rPr>
                <w:rFonts w:ascii="Arial" w:cs="Arial" w:eastAsia="Arial" w:hAnsi="Arial"/>
                <w:sz w:val="10"/>
                <w:szCs w:val="10"/>
                <w:color w:val="333740"/>
              </w:rPr>
              <w:t>: Nominating</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Committees</w:t>
            </w:r>
            <w:r>
              <w:rPr>
                <w:rFonts w:ascii="Arial" w:cs="Arial" w:eastAsia="Arial" w:hAnsi="Arial"/>
                <w:sz w:val="10"/>
                <w:szCs w:val="10"/>
                <w:color w:val="333740"/>
              </w:rPr>
              <w:t>: Nominating</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Age</w:t>
            </w:r>
            <w:r>
              <w:rPr>
                <w:rFonts w:ascii="Arial" w:cs="Arial" w:eastAsia="Arial" w:hAnsi="Arial"/>
                <w:sz w:val="10"/>
                <w:szCs w:val="10"/>
                <w:color w:val="333740"/>
              </w:rPr>
              <w:t>: 64</w:t>
            </w:r>
          </w:p>
        </w:tc>
      </w:tr>
      <w:tr>
        <w:trPr>
          <w:trHeight w:val="131"/>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color w:val="333740"/>
              </w:rPr>
              <w:t>and Corporate Governance,</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color w:val="333740"/>
              </w:rPr>
              <w:t>and Corporate Governance</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Committees</w:t>
            </w:r>
            <w:r>
              <w:rPr>
                <w:rFonts w:ascii="Arial" w:cs="Arial" w:eastAsia="Arial" w:hAnsi="Arial"/>
                <w:sz w:val="10"/>
                <w:szCs w:val="10"/>
                <w:color w:val="333740"/>
              </w:rPr>
              <w:t>:</w:t>
            </w:r>
          </w:p>
        </w:tc>
      </w:tr>
      <w:tr>
        <w:trPr>
          <w:trHeight w:val="118"/>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color w:val="333740"/>
              </w:rPr>
              <w:t>Strategy</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color w:val="333740"/>
              </w:rPr>
              <w:t>(Chair), Strategy</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color w:val="333740"/>
              </w:rPr>
              <w:t>Compensation</w:t>
            </w:r>
          </w:p>
        </w:tc>
      </w:tr>
      <w:tr>
        <w:trPr>
          <w:trHeight w:val="635"/>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481F6E"/>
              </w:rPr>
              <w:t>Olivier Piou</w:t>
            </w:r>
          </w:p>
        </w:tc>
        <w:tc>
          <w:tcPr>
            <w:tcW w:w="3780" w:type="dxa"/>
            <w:vAlign w:val="bottom"/>
            <w:shd w:val="clear" w:color="auto" w:fill="E0E1DF"/>
          </w:tcPr>
          <w:p>
            <w:pPr>
              <w:spacing w:after="0"/>
              <w:rPr>
                <w:sz w:val="24"/>
                <w:szCs w:val="24"/>
                <w:color w:val="auto"/>
              </w:rPr>
            </w:pPr>
          </w:p>
        </w:tc>
        <w:tc>
          <w:tcPr>
            <w:tcW w:w="3500" w:type="dxa"/>
            <w:vAlign w:val="bottom"/>
            <w:shd w:val="clear" w:color="auto" w:fill="E0E1DF"/>
          </w:tcPr>
          <w:p>
            <w:pPr>
              <w:spacing w:after="0"/>
              <w:rPr>
                <w:sz w:val="24"/>
                <w:szCs w:val="24"/>
                <w:color w:val="auto"/>
              </w:rPr>
            </w:pP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481F6E"/>
              </w:rPr>
              <w:t>Independent</w:t>
            </w:r>
          </w:p>
        </w:tc>
        <w:tc>
          <w:tcPr>
            <w:tcW w:w="3780" w:type="dxa"/>
            <w:vAlign w:val="bottom"/>
            <w:shd w:val="clear" w:color="auto" w:fill="E0E1DF"/>
          </w:tcPr>
          <w:p>
            <w:pPr>
              <w:spacing w:after="0"/>
              <w:rPr>
                <w:sz w:val="10"/>
                <w:szCs w:val="10"/>
                <w:color w:val="auto"/>
              </w:rPr>
            </w:pP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Joseph Rinaldi</w:t>
            </w: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333740"/>
              </w:rPr>
              <w:t>Age</w:t>
            </w:r>
            <w:r>
              <w:rPr>
                <w:rFonts w:ascii="Arial" w:cs="Arial" w:eastAsia="Arial" w:hAnsi="Arial"/>
                <w:sz w:val="10"/>
                <w:szCs w:val="10"/>
                <w:color w:val="333740"/>
              </w:rPr>
              <w:t>: 61</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Kay G. Priestly</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Independent</w:t>
            </w: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333740"/>
              </w:rPr>
              <w:t>Committees</w:t>
            </w:r>
            <w:r>
              <w:rPr>
                <w:rFonts w:ascii="Arial" w:cs="Arial" w:eastAsia="Arial" w:hAnsi="Arial"/>
                <w:sz w:val="10"/>
                <w:szCs w:val="10"/>
                <w:color w:val="333740"/>
              </w:rPr>
              <w:t>: Nominating</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Independent</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Age</w:t>
            </w:r>
            <w:r>
              <w:rPr>
                <w:rFonts w:ascii="Arial" w:cs="Arial" w:eastAsia="Arial" w:hAnsi="Arial"/>
                <w:sz w:val="10"/>
                <w:szCs w:val="10"/>
                <w:color w:val="333740"/>
              </w:rPr>
              <w:t>: 62</w:t>
            </w: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color w:val="333740"/>
              </w:rPr>
              <w:t>and Corporate Governance,</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Age</w:t>
            </w:r>
            <w:r>
              <w:rPr>
                <w:rFonts w:ascii="Arial" w:cs="Arial" w:eastAsia="Arial" w:hAnsi="Arial"/>
                <w:sz w:val="10"/>
                <w:szCs w:val="10"/>
                <w:color w:val="333740"/>
              </w:rPr>
              <w:t>: 64</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Committees</w:t>
            </w:r>
            <w:r>
              <w:rPr>
                <w:rFonts w:ascii="Arial" w:cs="Arial" w:eastAsia="Arial" w:hAnsi="Arial"/>
                <w:sz w:val="10"/>
                <w:szCs w:val="10"/>
                <w:color w:val="333740"/>
              </w:rPr>
              <w:t>: Audit,</w:t>
            </w:r>
          </w:p>
        </w:tc>
      </w:tr>
      <w:tr>
        <w:trPr>
          <w:trHeight w:val="130"/>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color w:val="333740"/>
              </w:rPr>
              <w:t>Strategy</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Committees</w:t>
            </w:r>
            <w:r>
              <w:rPr>
                <w:rFonts w:ascii="Arial" w:cs="Arial" w:eastAsia="Arial" w:hAnsi="Arial"/>
                <w:sz w:val="10"/>
                <w:szCs w:val="10"/>
                <w:color w:val="333740"/>
              </w:rPr>
              <w:t>: Audit</w:t>
            </w:r>
          </w:p>
        </w:tc>
        <w:tc>
          <w:tcPr>
            <w:tcW w:w="3500" w:type="dxa"/>
            <w:vAlign w:val="bottom"/>
            <w:shd w:val="clear" w:color="auto" w:fill="E0E1DF"/>
          </w:tcPr>
          <w:p>
            <w:pPr>
              <w:ind w:left="1160"/>
              <w:spacing w:after="0"/>
              <w:rPr>
                <w:sz w:val="20"/>
                <w:szCs w:val="20"/>
                <w:color w:val="auto"/>
              </w:rPr>
            </w:pPr>
            <w:r>
              <w:rPr>
                <w:rFonts w:ascii="Arial" w:cs="Arial" w:eastAsia="Arial" w:hAnsi="Arial"/>
                <w:sz w:val="10"/>
                <w:szCs w:val="10"/>
                <w:color w:val="333740"/>
              </w:rPr>
              <w:t>Compensation</w:t>
            </w:r>
          </w:p>
        </w:tc>
      </w:tr>
      <w:tr>
        <w:trPr>
          <w:trHeight w:val="587"/>
        </w:trPr>
        <w:tc>
          <w:tcPr>
            <w:tcW w:w="3860" w:type="dxa"/>
            <w:vAlign w:val="bottom"/>
            <w:shd w:val="clear" w:color="auto" w:fill="E0E1DF"/>
          </w:tcPr>
          <w:p>
            <w:pPr>
              <w:spacing w:after="0"/>
              <w:rPr>
                <w:sz w:val="24"/>
                <w:szCs w:val="24"/>
                <w:color w:val="auto"/>
              </w:rPr>
            </w:pP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John Yearwood</w:t>
            </w:r>
          </w:p>
        </w:tc>
        <w:tc>
          <w:tcPr>
            <w:tcW w:w="3500" w:type="dxa"/>
            <w:vAlign w:val="bottom"/>
            <w:shd w:val="clear" w:color="auto" w:fill="E0E1DF"/>
          </w:tcPr>
          <w:p>
            <w:pPr>
              <w:spacing w:after="0"/>
              <w:rPr>
                <w:sz w:val="24"/>
                <w:szCs w:val="24"/>
                <w:color w:val="auto"/>
              </w:rPr>
            </w:pP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481F6E"/>
              </w:rPr>
              <w:t>James M. Ringler</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481F6E"/>
              </w:rPr>
              <w:t>Independent</w:t>
            </w:r>
          </w:p>
        </w:tc>
        <w:tc>
          <w:tcPr>
            <w:tcW w:w="3500" w:type="dxa"/>
            <w:vAlign w:val="bottom"/>
            <w:shd w:val="clear" w:color="auto" w:fill="E0E1DF"/>
          </w:tcPr>
          <w:p>
            <w:pPr>
              <w:spacing w:after="0"/>
              <w:rPr>
                <w:sz w:val="10"/>
                <w:szCs w:val="10"/>
                <w:color w:val="auto"/>
              </w:rPr>
            </w:pP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481F6E"/>
              </w:rPr>
              <w:t>Independent</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 xml:space="preserve">Age: </w:t>
            </w:r>
            <w:r>
              <w:rPr>
                <w:rFonts w:ascii="Arial" w:cs="Arial" w:eastAsia="Arial" w:hAnsi="Arial"/>
                <w:sz w:val="10"/>
                <w:szCs w:val="10"/>
                <w:color w:val="333740"/>
              </w:rPr>
              <w:t>60</w:t>
            </w:r>
          </w:p>
        </w:tc>
        <w:tc>
          <w:tcPr>
            <w:tcW w:w="3500" w:type="dxa"/>
            <w:vAlign w:val="bottom"/>
            <w:shd w:val="clear" w:color="auto" w:fill="E0E1DF"/>
          </w:tcPr>
          <w:p>
            <w:pPr>
              <w:spacing w:after="0"/>
              <w:rPr>
                <w:sz w:val="10"/>
                <w:szCs w:val="10"/>
                <w:color w:val="auto"/>
              </w:rPr>
            </w:pPr>
          </w:p>
        </w:tc>
      </w:tr>
      <w:tr>
        <w:trPr>
          <w:trHeight w:val="119"/>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333740"/>
              </w:rPr>
              <w:t>Age</w:t>
            </w:r>
            <w:r>
              <w:rPr>
                <w:rFonts w:ascii="Arial" w:cs="Arial" w:eastAsia="Arial" w:hAnsi="Arial"/>
                <w:sz w:val="10"/>
                <w:szCs w:val="10"/>
                <w:color w:val="333740"/>
              </w:rPr>
              <w:t>: 74</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b w:val="1"/>
                <w:bCs w:val="1"/>
                <w:color w:val="333740"/>
              </w:rPr>
              <w:t>Committees</w:t>
            </w:r>
            <w:r>
              <w:rPr>
                <w:rFonts w:ascii="Arial" w:cs="Arial" w:eastAsia="Arial" w:hAnsi="Arial"/>
                <w:sz w:val="10"/>
                <w:szCs w:val="10"/>
                <w:color w:val="333740"/>
              </w:rPr>
              <w:t>:</w:t>
            </w:r>
          </w:p>
        </w:tc>
        <w:tc>
          <w:tcPr>
            <w:tcW w:w="3500" w:type="dxa"/>
            <w:vAlign w:val="bottom"/>
            <w:shd w:val="clear" w:color="auto" w:fill="E0E1DF"/>
          </w:tcPr>
          <w:p>
            <w:pPr>
              <w:spacing w:after="0"/>
              <w:rPr>
                <w:sz w:val="10"/>
                <w:szCs w:val="10"/>
                <w:color w:val="auto"/>
              </w:rPr>
            </w:pPr>
          </w:p>
        </w:tc>
      </w:tr>
      <w:tr>
        <w:trPr>
          <w:trHeight w:val="131"/>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b w:val="1"/>
                <w:bCs w:val="1"/>
                <w:color w:val="333740"/>
              </w:rPr>
              <w:t>Committees</w:t>
            </w:r>
            <w:r>
              <w:rPr>
                <w:rFonts w:ascii="Arial" w:cs="Arial" w:eastAsia="Arial" w:hAnsi="Arial"/>
                <w:sz w:val="10"/>
                <w:szCs w:val="10"/>
                <w:color w:val="333740"/>
              </w:rPr>
              <w:t>: Compensation</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color w:val="333740"/>
              </w:rPr>
              <w:t>Compensation, Nominating</w:t>
            </w:r>
          </w:p>
        </w:tc>
        <w:tc>
          <w:tcPr>
            <w:tcW w:w="3500" w:type="dxa"/>
            <w:vAlign w:val="bottom"/>
            <w:shd w:val="clear" w:color="auto" w:fill="E0E1DF"/>
          </w:tcPr>
          <w:p>
            <w:pPr>
              <w:spacing w:after="0"/>
              <w:rPr>
                <w:sz w:val="11"/>
                <w:szCs w:val="11"/>
                <w:color w:val="auto"/>
              </w:rPr>
            </w:pPr>
          </w:p>
        </w:tc>
      </w:tr>
      <w:tr>
        <w:trPr>
          <w:trHeight w:val="118"/>
        </w:trPr>
        <w:tc>
          <w:tcPr>
            <w:tcW w:w="3860" w:type="dxa"/>
            <w:vAlign w:val="bottom"/>
            <w:shd w:val="clear" w:color="auto" w:fill="E0E1DF"/>
          </w:tcPr>
          <w:p>
            <w:pPr>
              <w:ind w:left="1260"/>
              <w:spacing w:after="0"/>
              <w:rPr>
                <w:sz w:val="20"/>
                <w:szCs w:val="20"/>
                <w:color w:val="auto"/>
              </w:rPr>
            </w:pPr>
            <w:r>
              <w:rPr>
                <w:rFonts w:ascii="Arial" w:cs="Arial" w:eastAsia="Arial" w:hAnsi="Arial"/>
                <w:sz w:val="10"/>
                <w:szCs w:val="10"/>
                <w:color w:val="333740"/>
              </w:rPr>
              <w:t>(Chair)</w:t>
            </w:r>
          </w:p>
        </w:tc>
        <w:tc>
          <w:tcPr>
            <w:tcW w:w="3780" w:type="dxa"/>
            <w:vAlign w:val="bottom"/>
            <w:shd w:val="clear" w:color="auto" w:fill="E0E1DF"/>
          </w:tcPr>
          <w:p>
            <w:pPr>
              <w:ind w:left="1160"/>
              <w:spacing w:after="0"/>
              <w:rPr>
                <w:sz w:val="20"/>
                <w:szCs w:val="20"/>
                <w:color w:val="auto"/>
              </w:rPr>
            </w:pPr>
            <w:r>
              <w:rPr>
                <w:rFonts w:ascii="Arial" w:cs="Arial" w:eastAsia="Arial" w:hAnsi="Arial"/>
                <w:sz w:val="10"/>
                <w:szCs w:val="10"/>
                <w:color w:val="333740"/>
              </w:rPr>
              <w:t>and Corporate Governance</w:t>
            </w:r>
          </w:p>
        </w:tc>
        <w:tc>
          <w:tcPr>
            <w:tcW w:w="3500" w:type="dxa"/>
            <w:vAlign w:val="bottom"/>
            <w:shd w:val="clear" w:color="auto" w:fill="E0E1DF"/>
          </w:tcPr>
          <w:p>
            <w:pPr>
              <w:spacing w:after="0"/>
              <w:rPr>
                <w:sz w:val="10"/>
                <w:szCs w:val="10"/>
                <w:color w:val="auto"/>
              </w:rPr>
            </w:pPr>
          </w:p>
        </w:tc>
      </w:tr>
    </w:tbl>
    <w:p>
      <w:pPr>
        <w:spacing w:after="0" w:line="82" w:lineRule="exact"/>
        <w:rPr>
          <w:sz w:val="20"/>
          <w:szCs w:val="20"/>
          <w:color w:val="auto"/>
        </w:rPr>
      </w:pPr>
    </w:p>
    <w:p>
      <w:pPr>
        <w:ind w:left="64" w:right="160"/>
        <w:spacing w:after="0" w:line="269" w:lineRule="auto"/>
        <w:rPr>
          <w:sz w:val="20"/>
          <w:szCs w:val="20"/>
          <w:color w:val="auto"/>
        </w:rPr>
      </w:pPr>
      <w:r>
        <w:rPr>
          <w:rFonts w:ascii="Arial" w:cs="Arial" w:eastAsia="Arial" w:hAnsi="Arial"/>
          <w:sz w:val="19"/>
          <w:szCs w:val="19"/>
          <w:color w:val="333740"/>
        </w:rPr>
        <w:t>Detailed biographies for each of our director nominees are disclosed in the section “</w:t>
      </w:r>
      <w:r>
        <w:rPr>
          <w:rFonts w:ascii="Arial" w:cs="Arial" w:eastAsia="Arial" w:hAnsi="Arial"/>
          <w:sz w:val="19"/>
          <w:szCs w:val="19"/>
          <w:i w:val="1"/>
          <w:iCs w:val="1"/>
          <w:color w:val="333740"/>
        </w:rPr>
        <w:t>Proposals 1(a) – 1(n)—Election of Directors—</w:t>
      </w:r>
      <w:r>
        <w:rPr>
          <w:rFonts w:ascii="Arial" w:cs="Arial" w:eastAsia="Arial" w:hAnsi="Arial"/>
          <w:sz w:val="19"/>
          <w:szCs w:val="19"/>
          <w:color w:val="333740"/>
        </w:rPr>
        <w:t xml:space="preserve"> </w:t>
      </w:r>
      <w:r>
        <w:rPr>
          <w:rFonts w:ascii="Arial" w:cs="Arial" w:eastAsia="Arial" w:hAnsi="Arial"/>
          <w:sz w:val="19"/>
          <w:szCs w:val="19"/>
          <w:i w:val="1"/>
          <w:iCs w:val="1"/>
          <w:color w:val="333740"/>
        </w:rPr>
        <w:t>Director Nominees</w:t>
      </w:r>
      <w:r>
        <w:rPr>
          <w:rFonts w:ascii="Arial" w:cs="Arial" w:eastAsia="Arial" w:hAnsi="Arial"/>
          <w:sz w:val="19"/>
          <w:szCs w:val="19"/>
          <w:color w:val="333740"/>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4" w:hanging="564"/>
        <w:spacing w:after="0"/>
        <w:tabs>
          <w:tab w:leader="none" w:pos="564" w:val="left"/>
        </w:tabs>
        <w:numPr>
          <w:ilvl w:val="0"/>
          <w:numId w:val="18"/>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4"/>
          </w:cols>
          <w:pgMar w:left="316" w:top="128" w:right="379" w:bottom="1440" w:gutter="0" w:footer="0" w:header="0"/>
        </w:sectPr>
      </w:pPr>
    </w:p>
    <w:bookmarkStart w:id="13" w:name="page14"/>
    <w:bookmarkEnd w:id="13"/>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3" w:lineRule="exact"/>
        <w:rPr>
          <w:sz w:val="20"/>
          <w:szCs w:val="20"/>
          <w:color w:val="auto"/>
        </w:rPr>
      </w:pPr>
    </w:p>
    <w:tbl>
      <w:tblPr>
        <w:tblLayout w:type="fixed"/>
        <w:tblInd w:w="64" w:type="dxa"/>
        <w:tblCellMar>
          <w:top w:w="0" w:type="dxa"/>
          <w:left w:w="0" w:type="dxa"/>
          <w:bottom w:w="0" w:type="dxa"/>
          <w:right w:w="0" w:type="dxa"/>
        </w:tblCellMar>
      </w:tblPr>
      <w:tr>
        <w:trPr>
          <w:trHeight w:val="527"/>
        </w:trPr>
        <w:tc>
          <w:tcPr>
            <w:tcW w:w="3260" w:type="dxa"/>
            <w:vAlign w:val="bottom"/>
          </w:tcPr>
          <w:p>
            <w:pPr>
              <w:spacing w:after="0"/>
              <w:rPr>
                <w:sz w:val="20"/>
                <w:szCs w:val="20"/>
                <w:color w:val="auto"/>
              </w:rPr>
            </w:pPr>
            <w:r>
              <w:rPr>
                <w:rFonts w:ascii="Arial" w:cs="Arial" w:eastAsia="Arial" w:hAnsi="Arial"/>
                <w:sz w:val="33"/>
                <w:szCs w:val="33"/>
                <w:color w:val="481F6E"/>
              </w:rPr>
              <w:t>2019 At-a-Glance</w:t>
            </w:r>
          </w:p>
        </w:tc>
        <w:tc>
          <w:tcPr>
            <w:tcW w:w="49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3260" w:type="dxa"/>
            <w:vAlign w:val="bottom"/>
            <w:tcBorders>
              <w:bottom w:val="single" w:sz="8" w:color="481F6E"/>
            </w:tcBorders>
            <w:shd w:val="clear" w:color="auto" w:fill="481F6E"/>
          </w:tcPr>
          <w:p>
            <w:pPr>
              <w:ind w:left="20"/>
              <w:spacing w:after="0"/>
              <w:rPr>
                <w:sz w:val="20"/>
                <w:szCs w:val="20"/>
                <w:color w:val="auto"/>
              </w:rPr>
            </w:pPr>
            <w:r>
              <w:rPr>
                <w:rFonts w:ascii="Arial" w:cs="Arial" w:eastAsia="Arial" w:hAnsi="Arial"/>
                <w:sz w:val="21"/>
                <w:szCs w:val="21"/>
                <w:b w:val="1"/>
                <w:bCs w:val="1"/>
                <w:color w:val="FFFFFF"/>
              </w:rPr>
              <w:t>Governance</w:t>
            </w:r>
          </w:p>
        </w:tc>
        <w:tc>
          <w:tcPr>
            <w:tcW w:w="4960" w:type="dxa"/>
            <w:vAlign w:val="bottom"/>
            <w:tcBorders>
              <w:bottom w:val="single" w:sz="8" w:color="481F6E"/>
            </w:tcBorders>
            <w:shd w:val="clear" w:color="auto" w:fill="481F6E"/>
          </w:tcPr>
          <w:p>
            <w:pPr>
              <w:spacing w:after="0"/>
              <w:rPr>
                <w:sz w:val="24"/>
                <w:szCs w:val="24"/>
                <w:color w:val="auto"/>
              </w:rPr>
            </w:pPr>
          </w:p>
        </w:tc>
        <w:tc>
          <w:tcPr>
            <w:tcW w:w="2920" w:type="dxa"/>
            <w:vAlign w:val="bottom"/>
            <w:tcBorders>
              <w:bottom w:val="single" w:sz="8" w:color="481F6E"/>
            </w:tcBorders>
            <w:shd w:val="clear" w:color="auto" w:fill="481F6E"/>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260" w:type="dxa"/>
            <w:vAlign w:val="bottom"/>
            <w:shd w:val="clear" w:color="auto" w:fill="D7D8D6"/>
          </w:tcPr>
          <w:p>
            <w:pPr>
              <w:spacing w:after="0"/>
              <w:rPr>
                <w:sz w:val="15"/>
                <w:szCs w:val="15"/>
                <w:color w:val="auto"/>
              </w:rPr>
            </w:pPr>
          </w:p>
        </w:tc>
        <w:tc>
          <w:tcPr>
            <w:tcW w:w="4960" w:type="dxa"/>
            <w:vAlign w:val="bottom"/>
            <w:vMerge w:val="restart"/>
            <w:shd w:val="clear" w:color="auto" w:fill="D7D8D6"/>
          </w:tcPr>
          <w:p>
            <w:pPr>
              <w:jc w:val="center"/>
              <w:ind w:right="212"/>
              <w:spacing w:after="0"/>
              <w:rPr>
                <w:sz w:val="20"/>
                <w:szCs w:val="20"/>
                <w:color w:val="auto"/>
              </w:rPr>
            </w:pPr>
            <w:r>
              <w:rPr>
                <w:rFonts w:ascii="Arial" w:cs="Arial" w:eastAsia="Arial" w:hAnsi="Arial"/>
                <w:sz w:val="18"/>
                <w:szCs w:val="18"/>
                <w:b w:val="1"/>
                <w:bCs w:val="1"/>
                <w:color w:val="333740"/>
                <w:w w:val="97"/>
              </w:rPr>
              <w:t>Olivier Piou and John Yearwood were appointed</w:t>
            </w:r>
          </w:p>
        </w:tc>
        <w:tc>
          <w:tcPr>
            <w:tcW w:w="2920" w:type="dxa"/>
            <w:vAlign w:val="bottom"/>
            <w:shd w:val="clear" w:color="auto" w:fill="D7D8D6"/>
          </w:tcPr>
          <w:p>
            <w:pPr>
              <w:ind w:left="700"/>
              <w:spacing w:after="0"/>
              <w:rPr>
                <w:sz w:val="20"/>
                <w:szCs w:val="20"/>
                <w:color w:val="auto"/>
              </w:rPr>
            </w:pPr>
            <w:r>
              <w:rPr>
                <w:rFonts w:ascii="Arial" w:cs="Arial" w:eastAsia="Arial" w:hAnsi="Arial"/>
                <w:sz w:val="14"/>
                <w:szCs w:val="14"/>
                <w:color w:val="333740"/>
              </w:rPr>
              <w:t>Enhanced disclosures regarding</w:t>
            </w:r>
          </w:p>
        </w:tc>
        <w:tc>
          <w:tcPr>
            <w:tcW w:w="0" w:type="dxa"/>
            <w:vAlign w:val="bottom"/>
          </w:tcPr>
          <w:p>
            <w:pPr>
              <w:spacing w:after="0"/>
              <w:rPr>
                <w:sz w:val="1"/>
                <w:szCs w:val="1"/>
                <w:color w:val="auto"/>
              </w:rPr>
            </w:pPr>
          </w:p>
        </w:tc>
      </w:tr>
      <w:tr>
        <w:trPr>
          <w:trHeight w:val="154"/>
        </w:trPr>
        <w:tc>
          <w:tcPr>
            <w:tcW w:w="3260" w:type="dxa"/>
            <w:vAlign w:val="bottom"/>
            <w:shd w:val="clear" w:color="auto" w:fill="D7D8D6"/>
          </w:tcPr>
          <w:p>
            <w:pPr>
              <w:ind w:left="560"/>
              <w:spacing w:after="0" w:line="154" w:lineRule="exact"/>
              <w:rPr>
                <w:sz w:val="20"/>
                <w:szCs w:val="20"/>
                <w:color w:val="auto"/>
              </w:rPr>
            </w:pPr>
            <w:r>
              <w:rPr>
                <w:rFonts w:ascii="Arial" w:cs="Arial" w:eastAsia="Arial" w:hAnsi="Arial"/>
                <w:sz w:val="14"/>
                <w:szCs w:val="14"/>
                <w:b w:val="1"/>
                <w:bCs w:val="1"/>
                <w:color w:val="333740"/>
              </w:rPr>
              <w:t>Combined the roles of</w:t>
            </w:r>
          </w:p>
        </w:tc>
        <w:tc>
          <w:tcPr>
            <w:tcW w:w="4960" w:type="dxa"/>
            <w:vAlign w:val="bottom"/>
            <w:vMerge w:val="continue"/>
            <w:shd w:val="clear" w:color="auto" w:fill="D7D8D6"/>
          </w:tcPr>
          <w:p>
            <w:pPr>
              <w:spacing w:after="0"/>
              <w:rPr>
                <w:sz w:val="13"/>
                <w:szCs w:val="13"/>
                <w:color w:val="auto"/>
              </w:rPr>
            </w:pPr>
          </w:p>
        </w:tc>
        <w:tc>
          <w:tcPr>
            <w:tcW w:w="2920" w:type="dxa"/>
            <w:vAlign w:val="bottom"/>
            <w:shd w:val="clear" w:color="auto" w:fill="D7D8D6"/>
          </w:tcPr>
          <w:p>
            <w:pPr>
              <w:ind w:left="640"/>
              <w:spacing w:after="0" w:line="154" w:lineRule="exact"/>
              <w:rPr>
                <w:sz w:val="20"/>
                <w:szCs w:val="20"/>
                <w:color w:val="auto"/>
              </w:rPr>
            </w:pPr>
            <w:r>
              <w:rPr>
                <w:rFonts w:ascii="Arial" w:cs="Arial" w:eastAsia="Arial" w:hAnsi="Arial"/>
                <w:sz w:val="14"/>
                <w:szCs w:val="14"/>
                <w:color w:val="333740"/>
              </w:rPr>
              <w:t>shareholder feedback and our</w:t>
            </w:r>
          </w:p>
        </w:tc>
        <w:tc>
          <w:tcPr>
            <w:tcW w:w="0" w:type="dxa"/>
            <w:vAlign w:val="bottom"/>
          </w:tcPr>
          <w:p>
            <w:pPr>
              <w:spacing w:after="0"/>
              <w:rPr>
                <w:sz w:val="1"/>
                <w:szCs w:val="1"/>
                <w:color w:val="auto"/>
              </w:rPr>
            </w:pPr>
          </w:p>
        </w:tc>
      </w:tr>
      <w:tr>
        <w:trPr>
          <w:trHeight w:val="233"/>
        </w:trPr>
        <w:tc>
          <w:tcPr>
            <w:tcW w:w="3260" w:type="dxa"/>
            <w:vAlign w:val="bottom"/>
            <w:shd w:val="clear" w:color="auto" w:fill="D7D8D6"/>
          </w:tcPr>
          <w:p>
            <w:pPr>
              <w:ind w:left="560"/>
              <w:spacing w:after="0"/>
              <w:rPr>
                <w:sz w:val="20"/>
                <w:szCs w:val="20"/>
                <w:color w:val="auto"/>
              </w:rPr>
            </w:pPr>
            <w:r>
              <w:rPr>
                <w:rFonts w:ascii="Arial" w:cs="Arial" w:eastAsia="Arial" w:hAnsi="Arial"/>
                <w:sz w:val="14"/>
                <w:szCs w:val="14"/>
                <w:b w:val="1"/>
                <w:bCs w:val="1"/>
                <w:color w:val="333740"/>
              </w:rPr>
              <w:t>Chairman and CEO</w:t>
            </w:r>
          </w:p>
        </w:tc>
        <w:tc>
          <w:tcPr>
            <w:tcW w:w="4960" w:type="dxa"/>
            <w:vAlign w:val="bottom"/>
            <w:shd w:val="clear" w:color="auto" w:fill="D7D8D6"/>
          </w:tcPr>
          <w:p>
            <w:pPr>
              <w:jc w:val="center"/>
              <w:ind w:right="212"/>
              <w:spacing w:after="0"/>
              <w:rPr>
                <w:sz w:val="20"/>
                <w:szCs w:val="20"/>
                <w:color w:val="auto"/>
              </w:rPr>
            </w:pPr>
            <w:r>
              <w:rPr>
                <w:rFonts w:ascii="Arial" w:cs="Arial" w:eastAsia="Arial" w:hAnsi="Arial"/>
                <w:sz w:val="18"/>
                <w:szCs w:val="18"/>
                <w:b w:val="1"/>
                <w:bCs w:val="1"/>
                <w:color w:val="333740"/>
                <w:w w:val="97"/>
              </w:rPr>
              <w:t>as directors to replace two retired directors</w:t>
            </w:r>
          </w:p>
        </w:tc>
        <w:tc>
          <w:tcPr>
            <w:tcW w:w="2920" w:type="dxa"/>
            <w:vAlign w:val="bottom"/>
            <w:shd w:val="clear" w:color="auto" w:fill="D7D8D6"/>
          </w:tcPr>
          <w:p>
            <w:pPr>
              <w:ind w:left="640"/>
              <w:spacing w:after="0"/>
              <w:rPr>
                <w:sz w:val="20"/>
                <w:szCs w:val="20"/>
                <w:color w:val="auto"/>
              </w:rPr>
            </w:pPr>
            <w:r>
              <w:rPr>
                <w:rFonts w:ascii="Arial" w:cs="Arial" w:eastAsia="Arial" w:hAnsi="Arial"/>
                <w:sz w:val="14"/>
                <w:szCs w:val="14"/>
                <w:color w:val="333740"/>
              </w:rPr>
              <w:t>response</w:t>
            </w:r>
          </w:p>
        </w:tc>
        <w:tc>
          <w:tcPr>
            <w:tcW w:w="0" w:type="dxa"/>
            <w:vAlign w:val="bottom"/>
          </w:tcPr>
          <w:p>
            <w:pPr>
              <w:spacing w:after="0"/>
              <w:rPr>
                <w:sz w:val="1"/>
                <w:szCs w:val="1"/>
                <w:color w:val="auto"/>
              </w:rPr>
            </w:pPr>
          </w:p>
        </w:tc>
      </w:tr>
      <w:tr>
        <w:trPr>
          <w:trHeight w:val="319"/>
        </w:trPr>
        <w:tc>
          <w:tcPr>
            <w:tcW w:w="3260" w:type="dxa"/>
            <w:vAlign w:val="bottom"/>
            <w:shd w:val="clear" w:color="auto" w:fill="D7D8D6"/>
          </w:tcPr>
          <w:p>
            <w:pPr>
              <w:spacing w:after="0"/>
              <w:rPr>
                <w:sz w:val="24"/>
                <w:szCs w:val="24"/>
                <w:color w:val="auto"/>
              </w:rPr>
            </w:pPr>
          </w:p>
        </w:tc>
        <w:tc>
          <w:tcPr>
            <w:tcW w:w="4960" w:type="dxa"/>
            <w:vAlign w:val="bottom"/>
            <w:shd w:val="clear" w:color="auto" w:fill="D7D8D6"/>
          </w:tcPr>
          <w:p>
            <w:pPr>
              <w:spacing w:after="0"/>
              <w:rPr>
                <w:sz w:val="24"/>
                <w:szCs w:val="24"/>
                <w:color w:val="auto"/>
              </w:rPr>
            </w:pPr>
          </w:p>
        </w:tc>
        <w:tc>
          <w:tcPr>
            <w:tcW w:w="2920" w:type="dxa"/>
            <w:vAlign w:val="bottom"/>
            <w:shd w:val="clear" w:color="auto" w:fill="D7D8D6"/>
          </w:tcPr>
          <w:p>
            <w:pPr>
              <w:ind w:left="660"/>
              <w:spacing w:after="0"/>
              <w:rPr>
                <w:sz w:val="20"/>
                <w:szCs w:val="20"/>
                <w:color w:val="auto"/>
              </w:rPr>
            </w:pPr>
            <w:r>
              <w:rPr>
                <w:rFonts w:ascii="Arial" w:cs="Arial" w:eastAsia="Arial" w:hAnsi="Arial"/>
                <w:sz w:val="14"/>
                <w:szCs w:val="14"/>
                <w:color w:val="333740"/>
              </w:rPr>
              <w:t>Improved disclosures regarding</w:t>
            </w:r>
          </w:p>
        </w:tc>
        <w:tc>
          <w:tcPr>
            <w:tcW w:w="0" w:type="dxa"/>
            <w:vAlign w:val="bottom"/>
          </w:tcPr>
          <w:p>
            <w:pPr>
              <w:spacing w:after="0"/>
              <w:rPr>
                <w:sz w:val="1"/>
                <w:szCs w:val="1"/>
                <w:color w:val="auto"/>
              </w:rPr>
            </w:pPr>
          </w:p>
        </w:tc>
      </w:tr>
      <w:tr>
        <w:trPr>
          <w:trHeight w:val="167"/>
        </w:trPr>
        <w:tc>
          <w:tcPr>
            <w:tcW w:w="3260" w:type="dxa"/>
            <w:vAlign w:val="bottom"/>
            <w:shd w:val="clear" w:color="auto" w:fill="D7D8D6"/>
          </w:tcPr>
          <w:p>
            <w:pPr>
              <w:spacing w:after="0"/>
              <w:rPr>
                <w:sz w:val="14"/>
                <w:szCs w:val="14"/>
                <w:color w:val="auto"/>
              </w:rPr>
            </w:pPr>
          </w:p>
        </w:tc>
        <w:tc>
          <w:tcPr>
            <w:tcW w:w="4960" w:type="dxa"/>
            <w:vAlign w:val="bottom"/>
            <w:shd w:val="clear" w:color="auto" w:fill="D7D8D6"/>
          </w:tcPr>
          <w:p>
            <w:pPr>
              <w:spacing w:after="0"/>
              <w:rPr>
                <w:sz w:val="14"/>
                <w:szCs w:val="14"/>
                <w:color w:val="auto"/>
              </w:rPr>
            </w:pPr>
          </w:p>
        </w:tc>
        <w:tc>
          <w:tcPr>
            <w:tcW w:w="2920" w:type="dxa"/>
            <w:vAlign w:val="bottom"/>
            <w:shd w:val="clear" w:color="auto" w:fill="D7D8D6"/>
          </w:tcPr>
          <w:p>
            <w:pPr>
              <w:ind w:left="640"/>
              <w:spacing w:after="0"/>
              <w:rPr>
                <w:sz w:val="20"/>
                <w:szCs w:val="20"/>
                <w:color w:val="auto"/>
              </w:rPr>
            </w:pPr>
            <w:r>
              <w:rPr>
                <w:rFonts w:ascii="Arial" w:cs="Arial" w:eastAsia="Arial" w:hAnsi="Arial"/>
                <w:sz w:val="14"/>
                <w:szCs w:val="14"/>
                <w:color w:val="333740"/>
              </w:rPr>
              <w:t>director service commitments and</w:t>
            </w:r>
          </w:p>
        </w:tc>
        <w:tc>
          <w:tcPr>
            <w:tcW w:w="0" w:type="dxa"/>
            <w:vAlign w:val="bottom"/>
          </w:tcPr>
          <w:p>
            <w:pPr>
              <w:spacing w:after="0"/>
              <w:rPr>
                <w:sz w:val="1"/>
                <w:szCs w:val="1"/>
                <w:color w:val="auto"/>
              </w:rPr>
            </w:pPr>
          </w:p>
        </w:tc>
      </w:tr>
      <w:tr>
        <w:trPr>
          <w:trHeight w:val="167"/>
        </w:trPr>
        <w:tc>
          <w:tcPr>
            <w:tcW w:w="3260" w:type="dxa"/>
            <w:vAlign w:val="bottom"/>
            <w:shd w:val="clear" w:color="auto" w:fill="D7D8D6"/>
          </w:tcPr>
          <w:p>
            <w:pPr>
              <w:spacing w:after="0"/>
              <w:rPr>
                <w:sz w:val="14"/>
                <w:szCs w:val="14"/>
                <w:color w:val="auto"/>
              </w:rPr>
            </w:pPr>
          </w:p>
        </w:tc>
        <w:tc>
          <w:tcPr>
            <w:tcW w:w="4960" w:type="dxa"/>
            <w:vAlign w:val="bottom"/>
            <w:shd w:val="clear" w:color="auto" w:fill="D7D8D6"/>
          </w:tcPr>
          <w:p>
            <w:pPr>
              <w:spacing w:after="0"/>
              <w:rPr>
                <w:sz w:val="14"/>
                <w:szCs w:val="14"/>
                <w:color w:val="auto"/>
              </w:rPr>
            </w:pPr>
          </w:p>
        </w:tc>
        <w:tc>
          <w:tcPr>
            <w:tcW w:w="2920" w:type="dxa"/>
            <w:vAlign w:val="bottom"/>
            <w:shd w:val="clear" w:color="auto" w:fill="D7D8D6"/>
          </w:tcPr>
          <w:p>
            <w:pPr>
              <w:ind w:left="640"/>
              <w:spacing w:after="0"/>
              <w:rPr>
                <w:sz w:val="20"/>
                <w:szCs w:val="20"/>
                <w:color w:val="auto"/>
              </w:rPr>
            </w:pPr>
            <w:r>
              <w:rPr>
                <w:rFonts w:ascii="Arial" w:cs="Arial" w:eastAsia="Arial" w:hAnsi="Arial"/>
                <w:sz w:val="14"/>
                <w:szCs w:val="14"/>
                <w:color w:val="333740"/>
              </w:rPr>
              <w:t>director independence</w:t>
            </w:r>
          </w:p>
        </w:tc>
        <w:tc>
          <w:tcPr>
            <w:tcW w:w="0" w:type="dxa"/>
            <w:vAlign w:val="bottom"/>
          </w:tcPr>
          <w:p>
            <w:pPr>
              <w:spacing w:after="0"/>
              <w:rPr>
                <w:sz w:val="1"/>
                <w:szCs w:val="1"/>
                <w:color w:val="auto"/>
              </w:rPr>
            </w:pPr>
          </w:p>
        </w:tc>
      </w:tr>
      <w:tr>
        <w:trPr>
          <w:trHeight w:val="172"/>
        </w:trPr>
        <w:tc>
          <w:tcPr>
            <w:tcW w:w="3260" w:type="dxa"/>
            <w:vAlign w:val="bottom"/>
            <w:shd w:val="clear" w:color="auto" w:fill="D7D8D6"/>
          </w:tcPr>
          <w:p>
            <w:pPr>
              <w:spacing w:after="0"/>
              <w:rPr>
                <w:sz w:val="14"/>
                <w:szCs w:val="14"/>
                <w:color w:val="auto"/>
              </w:rPr>
            </w:pPr>
          </w:p>
        </w:tc>
        <w:tc>
          <w:tcPr>
            <w:tcW w:w="4960" w:type="dxa"/>
            <w:vAlign w:val="bottom"/>
            <w:shd w:val="clear" w:color="auto" w:fill="D7D8D6"/>
          </w:tcPr>
          <w:p>
            <w:pPr>
              <w:spacing w:after="0"/>
              <w:rPr>
                <w:sz w:val="14"/>
                <w:szCs w:val="14"/>
                <w:color w:val="auto"/>
              </w:rPr>
            </w:pPr>
          </w:p>
        </w:tc>
        <w:tc>
          <w:tcPr>
            <w:tcW w:w="2920" w:type="dxa"/>
            <w:vAlign w:val="bottom"/>
            <w:shd w:val="clear" w:color="auto" w:fill="D7D8D6"/>
          </w:tcPr>
          <w:p>
            <w:pPr>
              <w:ind w:left="640"/>
              <w:spacing w:after="0"/>
              <w:rPr>
                <w:sz w:val="20"/>
                <w:szCs w:val="20"/>
                <w:color w:val="auto"/>
              </w:rPr>
            </w:pPr>
            <w:r>
              <w:rPr>
                <w:rFonts w:ascii="Arial" w:cs="Arial" w:eastAsia="Arial" w:hAnsi="Arial"/>
                <w:sz w:val="14"/>
                <w:szCs w:val="14"/>
                <w:color w:val="333740"/>
              </w:rPr>
              <w:t>determinations</w:t>
            </w:r>
          </w:p>
        </w:tc>
        <w:tc>
          <w:tcPr>
            <w:tcW w:w="0" w:type="dxa"/>
            <w:vAlign w:val="bottom"/>
          </w:tcPr>
          <w:p>
            <w:pPr>
              <w:spacing w:after="0"/>
              <w:rPr>
                <w:sz w:val="1"/>
                <w:szCs w:val="1"/>
                <w:color w:val="auto"/>
              </w:rPr>
            </w:pPr>
          </w:p>
        </w:tc>
      </w:tr>
      <w:tr>
        <w:trPr>
          <w:trHeight w:val="735"/>
        </w:trPr>
        <w:tc>
          <w:tcPr>
            <w:tcW w:w="3260" w:type="dxa"/>
            <w:vAlign w:val="bottom"/>
            <w:shd w:val="clear" w:color="auto" w:fill="D7D8D6"/>
          </w:tcPr>
          <w:p>
            <w:pPr>
              <w:spacing w:after="0"/>
              <w:rPr>
                <w:sz w:val="24"/>
                <w:szCs w:val="24"/>
                <w:color w:val="auto"/>
              </w:rPr>
            </w:pPr>
          </w:p>
        </w:tc>
        <w:tc>
          <w:tcPr>
            <w:tcW w:w="4960" w:type="dxa"/>
            <w:vAlign w:val="bottom"/>
            <w:shd w:val="clear" w:color="auto" w:fill="D7D8D6"/>
          </w:tcPr>
          <w:p>
            <w:pPr>
              <w:spacing w:after="0"/>
              <w:rPr>
                <w:sz w:val="24"/>
                <w:szCs w:val="24"/>
                <w:color w:val="auto"/>
              </w:rPr>
            </w:pPr>
          </w:p>
        </w:tc>
        <w:tc>
          <w:tcPr>
            <w:tcW w:w="2920" w:type="dxa"/>
            <w:vAlign w:val="bottom"/>
            <w:shd w:val="clear" w:color="auto" w:fill="D7D8D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-2028190</wp:posOffset>
            </wp:positionV>
            <wp:extent cx="7176135" cy="6106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6106160"/>
                    </a:xfrm>
                    <a:prstGeom prst="rect">
                      <a:avLst/>
                    </a:prstGeom>
                    <a:noFill/>
                  </pic:spPr>
                </pic:pic>
              </a:graphicData>
            </a:graphic>
          </wp:anchor>
        </w:drawing>
      </w:r>
    </w:p>
    <w:p>
      <w:pPr>
        <w:spacing w:after="0" w:line="195" w:lineRule="exact"/>
        <w:rPr>
          <w:sz w:val="20"/>
          <w:szCs w:val="20"/>
          <w:color w:val="auto"/>
        </w:rPr>
      </w:pPr>
    </w:p>
    <w:tbl>
      <w:tblPr>
        <w:tblLayout w:type="fixed"/>
        <w:tblInd w:w="64" w:type="dxa"/>
        <w:tblCellMar>
          <w:top w:w="0" w:type="dxa"/>
          <w:left w:w="0" w:type="dxa"/>
          <w:bottom w:w="0" w:type="dxa"/>
          <w:right w:w="0" w:type="dxa"/>
        </w:tblCellMar>
      </w:tblPr>
      <w:tr>
        <w:trPr>
          <w:trHeight w:val="410"/>
        </w:trPr>
        <w:tc>
          <w:tcPr>
            <w:tcW w:w="20" w:type="dxa"/>
            <w:vAlign w:val="bottom"/>
          </w:tcPr>
          <w:p>
            <w:pPr>
              <w:spacing w:after="0"/>
              <w:rPr>
                <w:sz w:val="24"/>
                <w:szCs w:val="24"/>
                <w:color w:val="auto"/>
              </w:rPr>
            </w:pPr>
          </w:p>
        </w:tc>
        <w:tc>
          <w:tcPr>
            <w:tcW w:w="3660" w:type="dxa"/>
            <w:vAlign w:val="bottom"/>
            <w:tcBorders>
              <w:bottom w:val="single" w:sz="8" w:color="481F6E"/>
            </w:tcBorders>
            <w:gridSpan w:val="2"/>
            <w:shd w:val="clear" w:color="auto" w:fill="481F6E"/>
          </w:tcPr>
          <w:p>
            <w:pPr>
              <w:ind w:left="20"/>
              <w:spacing w:after="0"/>
              <w:rPr>
                <w:sz w:val="20"/>
                <w:szCs w:val="20"/>
                <w:color w:val="auto"/>
              </w:rPr>
            </w:pPr>
            <w:r>
              <w:rPr>
                <w:rFonts w:ascii="Arial" w:cs="Arial" w:eastAsia="Arial" w:hAnsi="Arial"/>
                <w:sz w:val="21"/>
                <w:szCs w:val="21"/>
                <w:b w:val="1"/>
                <w:bCs w:val="1"/>
                <w:color w:val="FFFFFF"/>
              </w:rPr>
              <w:t>Strategic Transaction</w:t>
            </w:r>
          </w:p>
        </w:tc>
        <w:tc>
          <w:tcPr>
            <w:tcW w:w="600" w:type="dxa"/>
            <w:vAlign w:val="bottom"/>
            <w:tcBorders>
              <w:bottom w:val="single" w:sz="8" w:color="481F6E"/>
            </w:tcBorders>
            <w:shd w:val="clear" w:color="auto" w:fill="481F6E"/>
          </w:tcPr>
          <w:p>
            <w:pPr>
              <w:spacing w:after="0"/>
              <w:rPr>
                <w:sz w:val="24"/>
                <w:szCs w:val="24"/>
                <w:color w:val="auto"/>
              </w:rPr>
            </w:pPr>
          </w:p>
        </w:tc>
        <w:tc>
          <w:tcPr>
            <w:tcW w:w="1320" w:type="dxa"/>
            <w:vAlign w:val="bottom"/>
            <w:tcBorders>
              <w:bottom w:val="single" w:sz="8" w:color="481F6E"/>
            </w:tcBorders>
            <w:shd w:val="clear" w:color="auto" w:fill="481F6E"/>
          </w:tcPr>
          <w:p>
            <w:pPr>
              <w:spacing w:after="0"/>
              <w:rPr>
                <w:sz w:val="24"/>
                <w:szCs w:val="24"/>
                <w:color w:val="auto"/>
              </w:rPr>
            </w:pPr>
          </w:p>
        </w:tc>
        <w:tc>
          <w:tcPr>
            <w:tcW w:w="1880" w:type="dxa"/>
            <w:vAlign w:val="bottom"/>
            <w:tcBorders>
              <w:bottom w:val="single" w:sz="8" w:color="481F6E"/>
            </w:tcBorders>
            <w:shd w:val="clear" w:color="auto" w:fill="481F6E"/>
          </w:tcPr>
          <w:p>
            <w:pPr>
              <w:spacing w:after="0"/>
              <w:rPr>
                <w:sz w:val="24"/>
                <w:szCs w:val="24"/>
                <w:color w:val="auto"/>
              </w:rPr>
            </w:pPr>
          </w:p>
        </w:tc>
        <w:tc>
          <w:tcPr>
            <w:tcW w:w="600" w:type="dxa"/>
            <w:vAlign w:val="bottom"/>
            <w:tcBorders>
              <w:bottom w:val="single" w:sz="8" w:color="481F6E"/>
            </w:tcBorders>
            <w:shd w:val="clear" w:color="auto" w:fill="481F6E"/>
          </w:tcPr>
          <w:p>
            <w:pPr>
              <w:spacing w:after="0"/>
              <w:rPr>
                <w:sz w:val="24"/>
                <w:szCs w:val="24"/>
                <w:color w:val="auto"/>
              </w:rPr>
            </w:pPr>
          </w:p>
        </w:tc>
        <w:tc>
          <w:tcPr>
            <w:tcW w:w="3060" w:type="dxa"/>
            <w:vAlign w:val="bottom"/>
            <w:tcBorders>
              <w:bottom w:val="single" w:sz="8" w:color="481F6E"/>
            </w:tcBorders>
            <w:shd w:val="clear" w:color="auto" w:fill="481F6E"/>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1120" w:type="dxa"/>
            <w:vAlign w:val="bottom"/>
            <w:gridSpan w:val="7"/>
            <w:shd w:val="clear" w:color="auto" w:fill="D7D8D6"/>
          </w:tcPr>
          <w:p>
            <w:pPr>
              <w:ind w:left="20"/>
              <w:spacing w:after="0"/>
              <w:rPr>
                <w:sz w:val="20"/>
                <w:szCs w:val="20"/>
                <w:color w:val="auto"/>
              </w:rPr>
            </w:pPr>
            <w:r>
              <w:rPr>
                <w:rFonts w:ascii="Arial" w:cs="Arial" w:eastAsia="Arial" w:hAnsi="Arial"/>
                <w:sz w:val="14"/>
                <w:szCs w:val="14"/>
                <w:b w:val="1"/>
                <w:bCs w:val="1"/>
                <w:color w:val="333740"/>
              </w:rPr>
              <w:t>Announced spin-oﬀ of Technip Energies creating two industry-leading publicly traded companies</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660" w:type="dxa"/>
            <w:vAlign w:val="bottom"/>
            <w:gridSpan w:val="2"/>
            <w:shd w:val="clear" w:color="auto" w:fill="D7D8D6"/>
          </w:tcPr>
          <w:p>
            <w:pPr>
              <w:ind w:left="20"/>
              <w:spacing w:after="0"/>
              <w:rPr>
                <w:sz w:val="20"/>
                <w:szCs w:val="20"/>
                <w:color w:val="auto"/>
              </w:rPr>
            </w:pPr>
            <w:r>
              <w:rPr>
                <w:rFonts w:ascii="Arial" w:cs="Arial" w:eastAsia="Arial" w:hAnsi="Arial"/>
                <w:sz w:val="14"/>
                <w:szCs w:val="14"/>
                <w:b w:val="1"/>
                <w:bCs w:val="1"/>
                <w:color w:val="333740"/>
              </w:rPr>
              <w:t>TechnipFMC (RemainCo)</w:t>
            </w:r>
          </w:p>
        </w:tc>
        <w:tc>
          <w:tcPr>
            <w:tcW w:w="600" w:type="dxa"/>
            <w:vAlign w:val="bottom"/>
            <w:shd w:val="clear" w:color="auto" w:fill="D7D8D6"/>
          </w:tcPr>
          <w:p>
            <w:pPr>
              <w:spacing w:after="0"/>
              <w:rPr>
                <w:sz w:val="24"/>
                <w:szCs w:val="24"/>
                <w:color w:val="auto"/>
              </w:rPr>
            </w:pPr>
          </w:p>
        </w:tc>
        <w:tc>
          <w:tcPr>
            <w:tcW w:w="1320" w:type="dxa"/>
            <w:vAlign w:val="bottom"/>
            <w:shd w:val="clear" w:color="auto" w:fill="D7D8D6"/>
          </w:tcPr>
          <w:p>
            <w:pPr>
              <w:spacing w:after="0"/>
              <w:rPr>
                <w:sz w:val="24"/>
                <w:szCs w:val="24"/>
                <w:color w:val="auto"/>
              </w:rPr>
            </w:pPr>
          </w:p>
        </w:tc>
        <w:tc>
          <w:tcPr>
            <w:tcW w:w="1880" w:type="dxa"/>
            <w:vAlign w:val="bottom"/>
            <w:shd w:val="clear" w:color="auto" w:fill="D7D8D6"/>
          </w:tcPr>
          <w:p>
            <w:pPr>
              <w:ind w:left="20"/>
              <w:spacing w:after="0"/>
              <w:rPr>
                <w:sz w:val="20"/>
                <w:szCs w:val="20"/>
                <w:color w:val="auto"/>
              </w:rPr>
            </w:pPr>
            <w:r>
              <w:rPr>
                <w:rFonts w:ascii="Arial" w:cs="Arial" w:eastAsia="Arial" w:hAnsi="Arial"/>
                <w:sz w:val="14"/>
                <w:szCs w:val="14"/>
                <w:b w:val="1"/>
                <w:bCs w:val="1"/>
                <w:color w:val="333740"/>
              </w:rPr>
              <w:t>TechnipFMC (SpinCo)</w:t>
            </w:r>
          </w:p>
        </w:tc>
        <w:tc>
          <w:tcPr>
            <w:tcW w:w="600" w:type="dxa"/>
            <w:vAlign w:val="bottom"/>
            <w:shd w:val="clear" w:color="auto" w:fill="D7D8D6"/>
          </w:tcPr>
          <w:p>
            <w:pPr>
              <w:spacing w:after="0"/>
              <w:rPr>
                <w:sz w:val="24"/>
                <w:szCs w:val="24"/>
                <w:color w:val="auto"/>
              </w:rPr>
            </w:pPr>
          </w:p>
        </w:tc>
        <w:tc>
          <w:tcPr>
            <w:tcW w:w="3060" w:type="dxa"/>
            <w:vAlign w:val="bottom"/>
            <w:shd w:val="clear" w:color="auto" w:fill="D7D8D6"/>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gridSpan w:val="2"/>
            <w:shd w:val="clear" w:color="auto" w:fill="D7D8D6"/>
          </w:tcPr>
          <w:p>
            <w:pPr>
              <w:ind w:left="340"/>
              <w:spacing w:after="0"/>
              <w:rPr>
                <w:sz w:val="20"/>
                <w:szCs w:val="20"/>
                <w:color w:val="auto"/>
              </w:rPr>
            </w:pPr>
            <w:r>
              <w:rPr>
                <w:rFonts w:ascii="Arial" w:cs="Arial" w:eastAsia="Arial" w:hAnsi="Arial"/>
                <w:sz w:val="14"/>
                <w:szCs w:val="14"/>
                <w:color w:val="333740"/>
              </w:rPr>
              <w:t>Unlocking value, realizing potential</w:t>
            </w:r>
          </w:p>
        </w:tc>
        <w:tc>
          <w:tcPr>
            <w:tcW w:w="600" w:type="dxa"/>
            <w:vAlign w:val="bottom"/>
            <w:shd w:val="clear" w:color="auto" w:fill="D7D8D6"/>
          </w:tcPr>
          <w:p>
            <w:pPr>
              <w:spacing w:after="0"/>
              <w:rPr>
                <w:sz w:val="18"/>
                <w:szCs w:val="18"/>
                <w:color w:val="auto"/>
              </w:rPr>
            </w:pPr>
          </w:p>
        </w:tc>
        <w:tc>
          <w:tcPr>
            <w:tcW w:w="1320" w:type="dxa"/>
            <w:vAlign w:val="bottom"/>
            <w:shd w:val="clear" w:color="auto" w:fill="D7D8D6"/>
          </w:tcPr>
          <w:p>
            <w:pPr>
              <w:spacing w:after="0"/>
              <w:rPr>
                <w:sz w:val="18"/>
                <w:szCs w:val="18"/>
                <w:color w:val="auto"/>
              </w:rPr>
            </w:pPr>
          </w:p>
        </w:tc>
        <w:tc>
          <w:tcPr>
            <w:tcW w:w="5540" w:type="dxa"/>
            <w:vAlign w:val="bottom"/>
            <w:gridSpan w:val="3"/>
            <w:shd w:val="clear" w:color="auto" w:fill="D7D8D6"/>
          </w:tcPr>
          <w:p>
            <w:pPr>
              <w:ind w:left="360"/>
              <w:spacing w:after="0"/>
              <w:rPr>
                <w:sz w:val="20"/>
                <w:szCs w:val="20"/>
                <w:color w:val="auto"/>
              </w:rPr>
            </w:pPr>
            <w:r>
              <w:rPr>
                <w:rFonts w:ascii="Arial" w:cs="Arial" w:eastAsia="Arial" w:hAnsi="Arial"/>
                <w:sz w:val="14"/>
                <w:szCs w:val="14"/>
                <w:color w:val="333740"/>
              </w:rPr>
              <w:t>Capitalizing on structural growth trends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gridSpan w:val="4"/>
            <w:shd w:val="clear" w:color="auto" w:fill="D7D8D6"/>
          </w:tcPr>
          <w:p>
            <w:pPr>
              <w:ind w:left="340"/>
              <w:spacing w:after="0"/>
              <w:rPr>
                <w:sz w:val="20"/>
                <w:szCs w:val="20"/>
                <w:color w:val="auto"/>
              </w:rPr>
            </w:pPr>
            <w:r>
              <w:rPr>
                <w:rFonts w:ascii="Arial" w:cs="Arial" w:eastAsia="Arial" w:hAnsi="Arial"/>
                <w:sz w:val="14"/>
                <w:szCs w:val="14"/>
                <w:color w:val="333740"/>
              </w:rPr>
              <w:t>TechnipFMC will retain Subsea and Surface Technologies segments (</w:t>
            </w:r>
            <w:r>
              <w:rPr>
                <w:rFonts w:ascii="Arial" w:cs="Arial" w:eastAsia="Arial" w:hAnsi="Arial"/>
                <w:sz w:val="14"/>
                <w:szCs w:val="14"/>
                <w:i w:val="1"/>
                <w:iCs w:val="1"/>
                <w:color w:val="333740"/>
              </w:rPr>
              <w:t>noted</w:t>
            </w:r>
          </w:p>
        </w:tc>
        <w:tc>
          <w:tcPr>
            <w:tcW w:w="5540" w:type="dxa"/>
            <w:vAlign w:val="bottom"/>
            <w:gridSpan w:val="3"/>
            <w:shd w:val="clear" w:color="auto" w:fill="D7D8D6"/>
          </w:tcPr>
          <w:p>
            <w:pPr>
              <w:ind w:left="360"/>
              <w:spacing w:after="0"/>
              <w:rPr>
                <w:sz w:val="20"/>
                <w:szCs w:val="20"/>
                <w:color w:val="auto"/>
              </w:rPr>
            </w:pPr>
            <w:r>
              <w:rPr>
                <w:rFonts w:ascii="Arial" w:cs="Arial" w:eastAsia="Arial" w:hAnsi="Arial"/>
                <w:sz w:val="14"/>
                <w:szCs w:val="14"/>
                <w:color w:val="333740"/>
              </w:rPr>
              <w:t>Spin-off will include Onshore/Offshore segment (including Genesis), Loading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shd w:val="clear" w:color="auto" w:fill="D7D8D6"/>
          </w:tcPr>
          <w:p>
            <w:pPr>
              <w:ind w:left="320"/>
              <w:spacing w:after="0"/>
              <w:rPr>
                <w:sz w:val="20"/>
                <w:szCs w:val="20"/>
                <w:color w:val="auto"/>
              </w:rPr>
            </w:pPr>
            <w:r>
              <w:rPr>
                <w:rFonts w:ascii="Arial" w:cs="Arial" w:eastAsia="Arial" w:hAnsi="Arial"/>
                <w:sz w:val="14"/>
                <w:szCs w:val="14"/>
                <w:i w:val="1"/>
                <w:iCs w:val="1"/>
                <w:color w:val="333740"/>
              </w:rPr>
              <w:t>exceptions to SpinCo</w:t>
            </w:r>
            <w:r>
              <w:rPr>
                <w:rFonts w:ascii="Arial" w:cs="Arial" w:eastAsia="Arial" w:hAnsi="Arial"/>
                <w:sz w:val="14"/>
                <w:szCs w:val="14"/>
                <w:color w:val="333740"/>
              </w:rPr>
              <w:t>)</w:t>
            </w:r>
          </w:p>
        </w:tc>
        <w:tc>
          <w:tcPr>
            <w:tcW w:w="600" w:type="dxa"/>
            <w:vAlign w:val="bottom"/>
            <w:shd w:val="clear" w:color="auto" w:fill="D7D8D6"/>
          </w:tcPr>
          <w:p>
            <w:pPr>
              <w:spacing w:after="0"/>
              <w:rPr>
                <w:sz w:val="17"/>
                <w:szCs w:val="17"/>
                <w:color w:val="auto"/>
              </w:rPr>
            </w:pPr>
          </w:p>
        </w:tc>
        <w:tc>
          <w:tcPr>
            <w:tcW w:w="1320" w:type="dxa"/>
            <w:vAlign w:val="bottom"/>
            <w:shd w:val="clear" w:color="auto" w:fill="D7D8D6"/>
          </w:tcPr>
          <w:p>
            <w:pPr>
              <w:spacing w:after="0"/>
              <w:rPr>
                <w:sz w:val="17"/>
                <w:szCs w:val="17"/>
                <w:color w:val="auto"/>
              </w:rPr>
            </w:pPr>
          </w:p>
        </w:tc>
        <w:tc>
          <w:tcPr>
            <w:tcW w:w="5540" w:type="dxa"/>
            <w:vAlign w:val="bottom"/>
            <w:gridSpan w:val="3"/>
            <w:shd w:val="clear" w:color="auto" w:fill="D7D8D6"/>
          </w:tcPr>
          <w:p>
            <w:pPr>
              <w:ind w:left="300"/>
              <w:spacing w:after="0"/>
              <w:rPr>
                <w:sz w:val="20"/>
                <w:szCs w:val="20"/>
                <w:color w:val="auto"/>
              </w:rPr>
            </w:pPr>
            <w:r>
              <w:rPr>
                <w:rFonts w:ascii="Arial" w:cs="Arial" w:eastAsia="Arial" w:hAnsi="Arial"/>
                <w:sz w:val="14"/>
                <w:szCs w:val="14"/>
                <w:color w:val="333740"/>
              </w:rPr>
              <w:t>Systems (</w:t>
            </w:r>
            <w:r>
              <w:rPr>
                <w:rFonts w:ascii="Arial" w:cs="Arial" w:eastAsia="Arial" w:hAnsi="Arial"/>
                <w:sz w:val="14"/>
                <w:szCs w:val="14"/>
                <w:i w:val="1"/>
                <w:iCs w:val="1"/>
                <w:color w:val="333740"/>
              </w:rPr>
              <w:t>Surface Technologies</w:t>
            </w:r>
            <w:r>
              <w:rPr>
                <w:rFonts w:ascii="Arial" w:cs="Arial" w:eastAsia="Arial" w:hAnsi="Arial"/>
                <w:sz w:val="14"/>
                <w:szCs w:val="14"/>
                <w:color w:val="333740"/>
              </w:rPr>
              <w:t>), and Cybernetix (</w:t>
            </w:r>
            <w:r>
              <w:rPr>
                <w:rFonts w:ascii="Arial" w:cs="Arial" w:eastAsia="Arial" w:hAnsi="Arial"/>
                <w:sz w:val="14"/>
                <w:szCs w:val="14"/>
                <w:i w:val="1"/>
                <w:iCs w:val="1"/>
                <w:color w:val="333740"/>
              </w:rPr>
              <w:t>Subsea</w:t>
            </w:r>
            <w:r>
              <w:rPr>
                <w:rFonts w:ascii="Arial" w:cs="Arial" w:eastAsia="Arial" w:hAnsi="Arial"/>
                <w:sz w:val="14"/>
                <w:szCs w:val="14"/>
                <w:color w:val="333740"/>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gridSpan w:val="2"/>
            <w:shd w:val="clear" w:color="auto" w:fill="D7D8D6"/>
          </w:tcPr>
          <w:p>
            <w:pPr>
              <w:ind w:left="340"/>
              <w:spacing w:after="0"/>
              <w:rPr>
                <w:sz w:val="20"/>
                <w:szCs w:val="20"/>
                <w:color w:val="auto"/>
              </w:rPr>
            </w:pPr>
            <w:r>
              <w:rPr>
                <w:rFonts w:ascii="Arial" w:cs="Arial" w:eastAsia="Arial" w:hAnsi="Arial"/>
                <w:sz w:val="14"/>
                <w:szCs w:val="14"/>
                <w:color w:val="333740"/>
              </w:rPr>
              <w:t>Listings: NYSE, Euronext Paris</w:t>
            </w:r>
          </w:p>
        </w:tc>
        <w:tc>
          <w:tcPr>
            <w:tcW w:w="600" w:type="dxa"/>
            <w:vAlign w:val="bottom"/>
            <w:shd w:val="clear" w:color="auto" w:fill="D7D8D6"/>
          </w:tcPr>
          <w:p>
            <w:pPr>
              <w:spacing w:after="0"/>
              <w:rPr>
                <w:sz w:val="18"/>
                <w:szCs w:val="18"/>
                <w:color w:val="auto"/>
              </w:rPr>
            </w:pPr>
          </w:p>
        </w:tc>
        <w:tc>
          <w:tcPr>
            <w:tcW w:w="1320" w:type="dxa"/>
            <w:vAlign w:val="bottom"/>
            <w:shd w:val="clear" w:color="auto" w:fill="D7D8D6"/>
          </w:tcPr>
          <w:p>
            <w:pPr>
              <w:spacing w:after="0"/>
              <w:rPr>
                <w:sz w:val="18"/>
                <w:szCs w:val="18"/>
                <w:color w:val="auto"/>
              </w:rPr>
            </w:pPr>
          </w:p>
        </w:tc>
        <w:tc>
          <w:tcPr>
            <w:tcW w:w="1880" w:type="dxa"/>
            <w:vAlign w:val="bottom"/>
            <w:shd w:val="clear" w:color="auto" w:fill="D7D8D6"/>
          </w:tcPr>
          <w:p>
            <w:pPr>
              <w:ind w:left="360"/>
              <w:spacing w:after="0"/>
              <w:rPr>
                <w:sz w:val="20"/>
                <w:szCs w:val="20"/>
                <w:color w:val="auto"/>
              </w:rPr>
            </w:pPr>
            <w:r>
              <w:rPr>
                <w:rFonts w:ascii="Arial" w:cs="Arial" w:eastAsia="Arial" w:hAnsi="Arial"/>
                <w:sz w:val="14"/>
                <w:szCs w:val="14"/>
                <w:color w:val="333740"/>
              </w:rPr>
              <w:t>Listing: Euronext Paris</w:t>
            </w:r>
          </w:p>
        </w:tc>
        <w:tc>
          <w:tcPr>
            <w:tcW w:w="600" w:type="dxa"/>
            <w:vAlign w:val="bottom"/>
            <w:shd w:val="clear" w:color="auto" w:fill="D7D8D6"/>
          </w:tcPr>
          <w:p>
            <w:pPr>
              <w:spacing w:after="0"/>
              <w:rPr>
                <w:sz w:val="18"/>
                <w:szCs w:val="18"/>
                <w:color w:val="auto"/>
              </w:rPr>
            </w:pPr>
          </w:p>
        </w:tc>
        <w:tc>
          <w:tcPr>
            <w:tcW w:w="3060" w:type="dxa"/>
            <w:vAlign w:val="bottom"/>
            <w:shd w:val="clear" w:color="auto" w:fill="D7D8D6"/>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660" w:type="dxa"/>
            <w:vAlign w:val="bottom"/>
            <w:gridSpan w:val="2"/>
            <w:shd w:val="clear" w:color="auto" w:fill="D7D8D6"/>
          </w:tcPr>
          <w:p>
            <w:pPr>
              <w:ind w:left="340"/>
              <w:spacing w:after="0"/>
              <w:rPr>
                <w:sz w:val="20"/>
                <w:szCs w:val="20"/>
                <w:color w:val="auto"/>
              </w:rPr>
            </w:pPr>
            <w:r>
              <w:rPr>
                <w:rFonts w:ascii="Arial" w:cs="Arial" w:eastAsia="Arial" w:hAnsi="Arial"/>
                <w:sz w:val="14"/>
                <w:szCs w:val="14"/>
                <w:color w:val="333740"/>
              </w:rPr>
              <w:t>HQ: Houston; Domicile: United Kingdom</w:t>
            </w:r>
          </w:p>
        </w:tc>
        <w:tc>
          <w:tcPr>
            <w:tcW w:w="600" w:type="dxa"/>
            <w:vAlign w:val="bottom"/>
            <w:shd w:val="clear" w:color="auto" w:fill="D7D8D6"/>
          </w:tcPr>
          <w:p>
            <w:pPr>
              <w:spacing w:after="0"/>
              <w:rPr>
                <w:sz w:val="19"/>
                <w:szCs w:val="19"/>
                <w:color w:val="auto"/>
              </w:rPr>
            </w:pPr>
          </w:p>
        </w:tc>
        <w:tc>
          <w:tcPr>
            <w:tcW w:w="1320" w:type="dxa"/>
            <w:vAlign w:val="bottom"/>
            <w:shd w:val="clear" w:color="auto" w:fill="D7D8D6"/>
          </w:tcPr>
          <w:p>
            <w:pPr>
              <w:spacing w:after="0"/>
              <w:rPr>
                <w:sz w:val="19"/>
                <w:szCs w:val="19"/>
                <w:color w:val="auto"/>
              </w:rPr>
            </w:pPr>
          </w:p>
        </w:tc>
        <w:tc>
          <w:tcPr>
            <w:tcW w:w="5540" w:type="dxa"/>
            <w:vAlign w:val="bottom"/>
            <w:gridSpan w:val="3"/>
            <w:shd w:val="clear" w:color="auto" w:fill="D7D8D6"/>
          </w:tcPr>
          <w:p>
            <w:pPr>
              <w:ind w:left="360"/>
              <w:spacing w:after="0"/>
              <w:rPr>
                <w:sz w:val="20"/>
                <w:szCs w:val="20"/>
                <w:color w:val="auto"/>
              </w:rPr>
            </w:pPr>
            <w:r>
              <w:rPr>
                <w:rFonts w:ascii="Arial" w:cs="Arial" w:eastAsia="Arial" w:hAnsi="Arial"/>
                <w:sz w:val="14"/>
                <w:szCs w:val="14"/>
                <w:color w:val="333740"/>
              </w:rPr>
              <w:t>HQ: Paris; Domicile: Netherlands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660" w:type="dxa"/>
            <w:vAlign w:val="bottom"/>
            <w:gridSpan w:val="2"/>
            <w:shd w:val="clear" w:color="auto" w:fill="D7D8D6"/>
          </w:tcPr>
          <w:p>
            <w:pPr>
              <w:ind w:left="340"/>
              <w:spacing w:after="0"/>
              <w:rPr>
                <w:sz w:val="20"/>
                <w:szCs w:val="20"/>
                <w:color w:val="auto"/>
              </w:rPr>
            </w:pPr>
            <w:r>
              <w:rPr>
                <w:rFonts w:ascii="Arial" w:cs="Arial" w:eastAsia="Arial" w:hAnsi="Arial"/>
                <w:sz w:val="14"/>
                <w:szCs w:val="14"/>
                <w:color w:val="333740"/>
              </w:rPr>
              <w:t>Employees: ~22,000</w:t>
            </w:r>
          </w:p>
        </w:tc>
        <w:tc>
          <w:tcPr>
            <w:tcW w:w="600" w:type="dxa"/>
            <w:vAlign w:val="bottom"/>
            <w:shd w:val="clear" w:color="auto" w:fill="D7D8D6"/>
          </w:tcPr>
          <w:p>
            <w:pPr>
              <w:spacing w:after="0"/>
              <w:rPr>
                <w:sz w:val="19"/>
                <w:szCs w:val="19"/>
                <w:color w:val="auto"/>
              </w:rPr>
            </w:pPr>
          </w:p>
        </w:tc>
        <w:tc>
          <w:tcPr>
            <w:tcW w:w="1320" w:type="dxa"/>
            <w:vAlign w:val="bottom"/>
            <w:shd w:val="clear" w:color="auto" w:fill="D7D8D6"/>
          </w:tcPr>
          <w:p>
            <w:pPr>
              <w:spacing w:after="0"/>
              <w:rPr>
                <w:sz w:val="19"/>
                <w:szCs w:val="19"/>
                <w:color w:val="auto"/>
              </w:rPr>
            </w:pPr>
          </w:p>
        </w:tc>
        <w:tc>
          <w:tcPr>
            <w:tcW w:w="1880" w:type="dxa"/>
            <w:vAlign w:val="bottom"/>
            <w:shd w:val="clear" w:color="auto" w:fill="D7D8D6"/>
          </w:tcPr>
          <w:p>
            <w:pPr>
              <w:ind w:left="360"/>
              <w:spacing w:after="0"/>
              <w:rPr>
                <w:sz w:val="20"/>
                <w:szCs w:val="20"/>
                <w:color w:val="auto"/>
              </w:rPr>
            </w:pPr>
            <w:r>
              <w:rPr>
                <w:rFonts w:ascii="Arial" w:cs="Arial" w:eastAsia="Arial" w:hAnsi="Arial"/>
                <w:sz w:val="14"/>
                <w:szCs w:val="14"/>
                <w:color w:val="333740"/>
              </w:rPr>
              <w:t>Employees: ~15,000</w:t>
            </w:r>
          </w:p>
        </w:tc>
        <w:tc>
          <w:tcPr>
            <w:tcW w:w="600" w:type="dxa"/>
            <w:vAlign w:val="bottom"/>
            <w:shd w:val="clear" w:color="auto" w:fill="D7D8D6"/>
          </w:tcPr>
          <w:p>
            <w:pPr>
              <w:spacing w:after="0"/>
              <w:rPr>
                <w:sz w:val="19"/>
                <w:szCs w:val="19"/>
                <w:color w:val="auto"/>
              </w:rPr>
            </w:pPr>
          </w:p>
        </w:tc>
        <w:tc>
          <w:tcPr>
            <w:tcW w:w="3060" w:type="dxa"/>
            <w:vAlign w:val="bottom"/>
            <w:shd w:val="clear" w:color="auto" w:fill="D7D8D6"/>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 w:type="dxa"/>
            <w:vAlign w:val="bottom"/>
            <w:shd w:val="clear" w:color="auto" w:fill="D7D8D6"/>
          </w:tcPr>
          <w:p>
            <w:pPr>
              <w:spacing w:after="0"/>
              <w:rPr>
                <w:sz w:val="15"/>
                <w:szCs w:val="15"/>
                <w:color w:val="auto"/>
              </w:rPr>
            </w:pPr>
          </w:p>
        </w:tc>
        <w:tc>
          <w:tcPr>
            <w:tcW w:w="3080" w:type="dxa"/>
            <w:vAlign w:val="bottom"/>
            <w:shd w:val="clear" w:color="auto" w:fill="D7D8D6"/>
          </w:tcPr>
          <w:p>
            <w:pPr>
              <w:spacing w:after="0"/>
              <w:rPr>
                <w:sz w:val="15"/>
                <w:szCs w:val="15"/>
                <w:color w:val="auto"/>
              </w:rPr>
            </w:pPr>
          </w:p>
        </w:tc>
        <w:tc>
          <w:tcPr>
            <w:tcW w:w="600" w:type="dxa"/>
            <w:vAlign w:val="bottom"/>
            <w:shd w:val="clear" w:color="auto" w:fill="D7D8D6"/>
          </w:tcPr>
          <w:p>
            <w:pPr>
              <w:spacing w:after="0"/>
              <w:rPr>
                <w:sz w:val="15"/>
                <w:szCs w:val="15"/>
                <w:color w:val="auto"/>
              </w:rPr>
            </w:pPr>
          </w:p>
        </w:tc>
        <w:tc>
          <w:tcPr>
            <w:tcW w:w="1320" w:type="dxa"/>
            <w:vAlign w:val="bottom"/>
            <w:shd w:val="clear" w:color="auto" w:fill="D7D8D6"/>
          </w:tcPr>
          <w:p>
            <w:pPr>
              <w:spacing w:after="0"/>
              <w:rPr>
                <w:sz w:val="15"/>
                <w:szCs w:val="15"/>
                <w:color w:val="auto"/>
              </w:rPr>
            </w:pPr>
          </w:p>
        </w:tc>
        <w:tc>
          <w:tcPr>
            <w:tcW w:w="1880" w:type="dxa"/>
            <w:vAlign w:val="bottom"/>
            <w:shd w:val="clear" w:color="auto" w:fill="D7D8D6"/>
          </w:tcPr>
          <w:p>
            <w:pPr>
              <w:spacing w:after="0"/>
              <w:rPr>
                <w:sz w:val="15"/>
                <w:szCs w:val="15"/>
                <w:color w:val="auto"/>
              </w:rPr>
            </w:pPr>
          </w:p>
        </w:tc>
        <w:tc>
          <w:tcPr>
            <w:tcW w:w="600" w:type="dxa"/>
            <w:vAlign w:val="bottom"/>
            <w:shd w:val="clear" w:color="auto" w:fill="D7D8D6"/>
          </w:tcPr>
          <w:p>
            <w:pPr>
              <w:spacing w:after="0"/>
              <w:rPr>
                <w:sz w:val="15"/>
                <w:szCs w:val="15"/>
                <w:color w:val="auto"/>
              </w:rPr>
            </w:pPr>
          </w:p>
        </w:tc>
        <w:tc>
          <w:tcPr>
            <w:tcW w:w="3060" w:type="dxa"/>
            <w:vAlign w:val="bottom"/>
            <w:shd w:val="clear" w:color="auto" w:fill="D7D8D6"/>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0" w:type="dxa"/>
            <w:vAlign w:val="bottom"/>
            <w:gridSpan w:val="2"/>
          </w:tcPr>
          <w:p>
            <w:pPr>
              <w:spacing w:after="0"/>
              <w:rPr>
                <w:sz w:val="18"/>
                <w:szCs w:val="18"/>
                <w:color w:val="auto"/>
              </w:rPr>
            </w:pPr>
          </w:p>
        </w:tc>
        <w:tc>
          <w:tcPr>
            <w:tcW w:w="3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660" w:type="dxa"/>
            <w:vAlign w:val="bottom"/>
            <w:gridSpan w:val="2"/>
            <w:shd w:val="clear" w:color="auto" w:fill="481F6E"/>
          </w:tcPr>
          <w:p>
            <w:pPr>
              <w:spacing w:after="0"/>
              <w:rPr>
                <w:sz w:val="20"/>
                <w:szCs w:val="20"/>
                <w:color w:val="auto"/>
              </w:rPr>
            </w:pPr>
            <w:r>
              <w:rPr>
                <w:rFonts w:ascii="Arial" w:cs="Arial" w:eastAsia="Arial" w:hAnsi="Arial"/>
                <w:sz w:val="21"/>
                <w:szCs w:val="21"/>
                <w:b w:val="1"/>
                <w:bCs w:val="1"/>
                <w:color w:val="FFFFFF"/>
              </w:rPr>
              <w:t>Financials</w:t>
            </w:r>
            <w:r>
              <w:rPr>
                <w:rFonts w:ascii="Arial" w:cs="Arial" w:eastAsia="Arial" w:hAnsi="Arial"/>
                <w:sz w:val="11"/>
                <w:szCs w:val="11"/>
                <w:b w:val="1"/>
                <w:bCs w:val="1"/>
                <w:color w:val="FFFFFF"/>
              </w:rPr>
              <w:t>1</w:t>
            </w:r>
          </w:p>
        </w:tc>
        <w:tc>
          <w:tcPr>
            <w:tcW w:w="600" w:type="dxa"/>
            <w:vAlign w:val="bottom"/>
            <w:shd w:val="clear" w:color="auto" w:fill="481F6E"/>
          </w:tcPr>
          <w:p>
            <w:pPr>
              <w:spacing w:after="0"/>
              <w:rPr>
                <w:sz w:val="24"/>
                <w:szCs w:val="24"/>
                <w:color w:val="auto"/>
              </w:rPr>
            </w:pPr>
          </w:p>
        </w:tc>
        <w:tc>
          <w:tcPr>
            <w:tcW w:w="1320" w:type="dxa"/>
            <w:vAlign w:val="bottom"/>
            <w:shd w:val="clear" w:color="auto" w:fill="481F6E"/>
          </w:tcPr>
          <w:p>
            <w:pPr>
              <w:spacing w:after="0"/>
              <w:rPr>
                <w:sz w:val="24"/>
                <w:szCs w:val="24"/>
                <w:color w:val="auto"/>
              </w:rPr>
            </w:pPr>
          </w:p>
        </w:tc>
        <w:tc>
          <w:tcPr>
            <w:tcW w:w="1880" w:type="dxa"/>
            <w:vAlign w:val="bottom"/>
            <w:shd w:val="clear" w:color="auto" w:fill="481F6E"/>
          </w:tcPr>
          <w:p>
            <w:pPr>
              <w:spacing w:after="0"/>
              <w:rPr>
                <w:sz w:val="24"/>
                <w:szCs w:val="24"/>
                <w:color w:val="auto"/>
              </w:rPr>
            </w:pPr>
          </w:p>
        </w:tc>
        <w:tc>
          <w:tcPr>
            <w:tcW w:w="600" w:type="dxa"/>
            <w:vAlign w:val="bottom"/>
            <w:shd w:val="clear" w:color="auto" w:fill="481F6E"/>
          </w:tcPr>
          <w:p>
            <w:pPr>
              <w:spacing w:after="0"/>
              <w:rPr>
                <w:sz w:val="24"/>
                <w:szCs w:val="24"/>
                <w:color w:val="auto"/>
              </w:rPr>
            </w:pPr>
          </w:p>
        </w:tc>
        <w:tc>
          <w:tcPr>
            <w:tcW w:w="3060" w:type="dxa"/>
            <w:vAlign w:val="bottom"/>
            <w:shd w:val="clear" w:color="auto" w:fill="481F6E"/>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580" w:type="dxa"/>
            <w:vAlign w:val="bottom"/>
            <w:shd w:val="clear" w:color="auto" w:fill="481F6E"/>
          </w:tcPr>
          <w:p>
            <w:pPr>
              <w:spacing w:after="0"/>
              <w:rPr>
                <w:sz w:val="6"/>
                <w:szCs w:val="6"/>
                <w:color w:val="auto"/>
              </w:rPr>
            </w:pPr>
          </w:p>
        </w:tc>
        <w:tc>
          <w:tcPr>
            <w:tcW w:w="3080" w:type="dxa"/>
            <w:vAlign w:val="bottom"/>
            <w:shd w:val="clear" w:color="auto" w:fill="481F6E"/>
          </w:tcPr>
          <w:p>
            <w:pPr>
              <w:spacing w:after="0"/>
              <w:rPr>
                <w:sz w:val="6"/>
                <w:szCs w:val="6"/>
                <w:color w:val="auto"/>
              </w:rPr>
            </w:pPr>
          </w:p>
        </w:tc>
        <w:tc>
          <w:tcPr>
            <w:tcW w:w="600" w:type="dxa"/>
            <w:vAlign w:val="bottom"/>
            <w:shd w:val="clear" w:color="auto" w:fill="481F6E"/>
          </w:tcPr>
          <w:p>
            <w:pPr>
              <w:spacing w:after="0"/>
              <w:rPr>
                <w:sz w:val="6"/>
                <w:szCs w:val="6"/>
                <w:color w:val="auto"/>
              </w:rPr>
            </w:pPr>
          </w:p>
        </w:tc>
        <w:tc>
          <w:tcPr>
            <w:tcW w:w="1320" w:type="dxa"/>
            <w:vAlign w:val="bottom"/>
            <w:shd w:val="clear" w:color="auto" w:fill="481F6E"/>
          </w:tcPr>
          <w:p>
            <w:pPr>
              <w:spacing w:after="0"/>
              <w:rPr>
                <w:sz w:val="6"/>
                <w:szCs w:val="6"/>
                <w:color w:val="auto"/>
              </w:rPr>
            </w:pPr>
          </w:p>
        </w:tc>
        <w:tc>
          <w:tcPr>
            <w:tcW w:w="1880" w:type="dxa"/>
            <w:vAlign w:val="bottom"/>
            <w:shd w:val="clear" w:color="auto" w:fill="481F6E"/>
          </w:tcPr>
          <w:p>
            <w:pPr>
              <w:spacing w:after="0"/>
              <w:rPr>
                <w:sz w:val="6"/>
                <w:szCs w:val="6"/>
                <w:color w:val="auto"/>
              </w:rPr>
            </w:pPr>
          </w:p>
        </w:tc>
        <w:tc>
          <w:tcPr>
            <w:tcW w:w="600" w:type="dxa"/>
            <w:vAlign w:val="bottom"/>
            <w:shd w:val="clear" w:color="auto" w:fill="481F6E"/>
          </w:tcPr>
          <w:p>
            <w:pPr>
              <w:spacing w:after="0"/>
              <w:rPr>
                <w:sz w:val="6"/>
                <w:szCs w:val="6"/>
                <w:color w:val="auto"/>
              </w:rPr>
            </w:pPr>
          </w:p>
        </w:tc>
        <w:tc>
          <w:tcPr>
            <w:tcW w:w="3060" w:type="dxa"/>
            <w:vAlign w:val="bottom"/>
            <w:shd w:val="clear" w:color="auto" w:fill="481F6E"/>
          </w:tcPr>
          <w:p>
            <w:pPr>
              <w:spacing w:after="0"/>
              <w:rPr>
                <w:sz w:val="6"/>
                <w:szCs w:val="6"/>
                <w:color w:val="auto"/>
              </w:rPr>
            </w:pPr>
          </w:p>
        </w:tc>
        <w:tc>
          <w:tcPr>
            <w:tcW w:w="0" w:type="dxa"/>
            <w:vAlign w:val="bottom"/>
          </w:tcPr>
          <w:p>
            <w:pPr>
              <w:spacing w:after="0"/>
              <w:rPr>
                <w:sz w:val="1"/>
                <w:szCs w:val="1"/>
                <w:color w:val="auto"/>
              </w:rPr>
            </w:pPr>
          </w:p>
        </w:tc>
      </w:tr>
      <w:tr>
        <w:trPr>
          <w:trHeight w:val="490"/>
        </w:trPr>
        <w:tc>
          <w:tcPr>
            <w:tcW w:w="20" w:type="dxa"/>
            <w:vAlign w:val="bottom"/>
          </w:tcPr>
          <w:p>
            <w:pPr>
              <w:spacing w:after="0"/>
              <w:rPr>
                <w:sz w:val="24"/>
                <w:szCs w:val="24"/>
                <w:color w:val="auto"/>
              </w:rPr>
            </w:pPr>
          </w:p>
        </w:tc>
        <w:tc>
          <w:tcPr>
            <w:tcW w:w="3660" w:type="dxa"/>
            <w:vAlign w:val="bottom"/>
            <w:gridSpan w:val="2"/>
            <w:shd w:val="clear" w:color="auto" w:fill="333740"/>
          </w:tcPr>
          <w:p>
            <w:pPr>
              <w:ind w:left="380"/>
              <w:spacing w:after="0"/>
              <w:rPr>
                <w:sz w:val="20"/>
                <w:szCs w:val="20"/>
                <w:color w:val="auto"/>
              </w:rPr>
            </w:pPr>
            <w:r>
              <w:rPr>
                <w:rFonts w:ascii="Arial" w:cs="Arial" w:eastAsia="Arial" w:hAnsi="Arial"/>
                <w:sz w:val="14"/>
                <w:szCs w:val="14"/>
                <w:color w:val="FFFFFF"/>
              </w:rPr>
              <w:t>Subsea</w:t>
            </w:r>
          </w:p>
        </w:tc>
        <w:tc>
          <w:tcPr>
            <w:tcW w:w="1920" w:type="dxa"/>
            <w:vAlign w:val="bottom"/>
            <w:gridSpan w:val="2"/>
            <w:shd w:val="clear" w:color="auto" w:fill="333740"/>
          </w:tcPr>
          <w:p>
            <w:pPr>
              <w:ind w:left="520"/>
              <w:spacing w:after="0"/>
              <w:rPr>
                <w:sz w:val="20"/>
                <w:szCs w:val="20"/>
                <w:color w:val="auto"/>
              </w:rPr>
            </w:pPr>
            <w:r>
              <w:rPr>
                <w:rFonts w:ascii="Arial" w:cs="Arial" w:eastAsia="Arial" w:hAnsi="Arial"/>
                <w:sz w:val="18"/>
                <w:szCs w:val="18"/>
                <w:color w:val="FFFFFF"/>
                <w:w w:val="96"/>
              </w:rPr>
              <w:t>Onshore/Offshore</w:t>
            </w:r>
          </w:p>
        </w:tc>
        <w:tc>
          <w:tcPr>
            <w:tcW w:w="1880" w:type="dxa"/>
            <w:vAlign w:val="bottom"/>
            <w:shd w:val="clear" w:color="auto" w:fill="333740"/>
          </w:tcPr>
          <w:p>
            <w:pPr>
              <w:spacing w:after="0"/>
              <w:rPr>
                <w:sz w:val="24"/>
                <w:szCs w:val="24"/>
                <w:color w:val="auto"/>
              </w:rPr>
            </w:pPr>
          </w:p>
        </w:tc>
        <w:tc>
          <w:tcPr>
            <w:tcW w:w="3660" w:type="dxa"/>
            <w:vAlign w:val="bottom"/>
            <w:gridSpan w:val="2"/>
            <w:shd w:val="clear" w:color="auto" w:fill="333740"/>
          </w:tcPr>
          <w:p>
            <w:pPr>
              <w:ind w:left="360"/>
              <w:spacing w:after="0"/>
              <w:rPr>
                <w:sz w:val="20"/>
                <w:szCs w:val="20"/>
                <w:color w:val="auto"/>
              </w:rPr>
            </w:pPr>
            <w:r>
              <w:rPr>
                <w:rFonts w:ascii="Arial" w:cs="Arial" w:eastAsia="Arial" w:hAnsi="Arial"/>
                <w:sz w:val="14"/>
                <w:szCs w:val="14"/>
                <w:color w:val="FFFFFF"/>
              </w:rPr>
              <w:t>Surface Technologies</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80" w:type="dxa"/>
            <w:vAlign w:val="bottom"/>
          </w:tcPr>
          <w:p>
            <w:pPr>
              <w:spacing w:after="0"/>
              <w:rPr>
                <w:sz w:val="7"/>
                <w:szCs w:val="7"/>
                <w:color w:val="auto"/>
              </w:rPr>
            </w:pPr>
          </w:p>
        </w:tc>
        <w:tc>
          <w:tcPr>
            <w:tcW w:w="3080" w:type="dxa"/>
            <w:vAlign w:val="bottom"/>
            <w:vMerge w:val="restart"/>
          </w:tcPr>
          <w:p>
            <w:pPr>
              <w:spacing w:after="0"/>
              <w:rPr>
                <w:sz w:val="7"/>
                <w:szCs w:val="7"/>
                <w:color w:val="auto"/>
              </w:rPr>
            </w:pPr>
          </w:p>
        </w:tc>
        <w:tc>
          <w:tcPr>
            <w:tcW w:w="600" w:type="dxa"/>
            <w:vAlign w:val="bottom"/>
          </w:tcPr>
          <w:p>
            <w:pPr>
              <w:spacing w:after="0"/>
              <w:rPr>
                <w:sz w:val="7"/>
                <w:szCs w:val="7"/>
                <w:color w:val="auto"/>
              </w:rPr>
            </w:pPr>
          </w:p>
        </w:tc>
        <w:tc>
          <w:tcPr>
            <w:tcW w:w="13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580" w:type="dxa"/>
            <w:vAlign w:val="bottom"/>
            <w:shd w:val="clear" w:color="auto" w:fill="D7D8D6"/>
          </w:tcPr>
          <w:p>
            <w:pPr>
              <w:spacing w:after="0"/>
              <w:rPr>
                <w:sz w:val="20"/>
                <w:szCs w:val="20"/>
                <w:color w:val="auto"/>
              </w:rPr>
            </w:pPr>
            <w:r>
              <w:rPr>
                <w:rFonts w:ascii="Arial" w:cs="Arial" w:eastAsia="Arial" w:hAnsi="Arial"/>
                <w:sz w:val="14"/>
                <w:szCs w:val="14"/>
                <w:b w:val="1"/>
                <w:bCs w:val="1"/>
                <w:color w:val="auto"/>
                <w:highlight w:val="lightGray"/>
              </w:rPr>
              <w:t>Results</w:t>
            </w:r>
          </w:p>
        </w:tc>
        <w:tc>
          <w:tcPr>
            <w:tcW w:w="3080" w:type="dxa"/>
            <w:vAlign w:val="bottom"/>
            <w:vMerge w:val="continue"/>
          </w:tcPr>
          <w:p>
            <w:pPr>
              <w:spacing w:after="0"/>
              <w:rPr>
                <w:sz w:val="14"/>
                <w:szCs w:val="14"/>
                <w:color w:val="auto"/>
              </w:rPr>
            </w:pPr>
          </w:p>
        </w:tc>
        <w:tc>
          <w:tcPr>
            <w:tcW w:w="600" w:type="dxa"/>
            <w:vAlign w:val="bottom"/>
            <w:shd w:val="clear" w:color="auto" w:fill="D7D8D6"/>
          </w:tcPr>
          <w:p>
            <w:pPr>
              <w:spacing w:after="0"/>
              <w:rPr>
                <w:sz w:val="20"/>
                <w:szCs w:val="20"/>
                <w:color w:val="auto"/>
              </w:rPr>
            </w:pPr>
            <w:r>
              <w:rPr>
                <w:rFonts w:ascii="Arial" w:cs="Arial" w:eastAsia="Arial" w:hAnsi="Arial"/>
                <w:sz w:val="14"/>
                <w:szCs w:val="14"/>
                <w:b w:val="1"/>
                <w:bCs w:val="1"/>
                <w:color w:val="auto"/>
                <w:highlight w:val="lightGray"/>
              </w:rPr>
              <w:t>Results</w:t>
            </w:r>
          </w:p>
        </w:tc>
        <w:tc>
          <w:tcPr>
            <w:tcW w:w="132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600" w:type="dxa"/>
            <w:vAlign w:val="bottom"/>
            <w:shd w:val="clear" w:color="auto" w:fill="D7D8D6"/>
          </w:tcPr>
          <w:p>
            <w:pPr>
              <w:spacing w:after="0"/>
              <w:rPr>
                <w:sz w:val="20"/>
                <w:szCs w:val="20"/>
                <w:color w:val="auto"/>
              </w:rPr>
            </w:pPr>
            <w:r>
              <w:rPr>
                <w:rFonts w:ascii="Arial" w:cs="Arial" w:eastAsia="Arial" w:hAnsi="Arial"/>
                <w:sz w:val="14"/>
                <w:szCs w:val="14"/>
                <w:b w:val="1"/>
                <w:bCs w:val="1"/>
                <w:color w:val="auto"/>
                <w:highlight w:val="lightGray"/>
              </w:rPr>
              <w:t>Results</w:t>
            </w:r>
          </w:p>
        </w:tc>
        <w:tc>
          <w:tcPr>
            <w:tcW w:w="3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60" w:type="dxa"/>
            <w:vAlign w:val="bottom"/>
            <w:gridSpan w:val="2"/>
          </w:tcPr>
          <w:p>
            <w:pPr>
              <w:ind w:left="160"/>
              <w:spacing w:after="0"/>
              <w:rPr>
                <w:sz w:val="20"/>
                <w:szCs w:val="20"/>
                <w:color w:val="auto"/>
              </w:rPr>
            </w:pPr>
            <w:r>
              <w:rPr>
                <w:rFonts w:ascii="Arial" w:cs="Arial" w:eastAsia="Arial" w:hAnsi="Arial"/>
                <w:sz w:val="14"/>
                <w:szCs w:val="14"/>
                <w:color w:val="333740"/>
              </w:rPr>
              <w:t>Revenue growth of 14% versus the prior year, driven</w:t>
            </w:r>
          </w:p>
        </w:tc>
        <w:tc>
          <w:tcPr>
            <w:tcW w:w="3800" w:type="dxa"/>
            <w:vAlign w:val="bottom"/>
            <w:gridSpan w:val="3"/>
          </w:tcPr>
          <w:p>
            <w:pPr>
              <w:ind w:left="180"/>
              <w:spacing w:after="0"/>
              <w:rPr>
                <w:sz w:val="20"/>
                <w:szCs w:val="20"/>
                <w:color w:val="auto"/>
              </w:rPr>
            </w:pPr>
            <w:r>
              <w:rPr>
                <w:rFonts w:ascii="Arial" w:cs="Arial" w:eastAsia="Arial" w:hAnsi="Arial"/>
                <w:sz w:val="14"/>
                <w:szCs w:val="14"/>
                <w:color w:val="333740"/>
              </w:rPr>
              <w:t>Three quarters of sequential revenue growth, as</w:t>
            </w:r>
          </w:p>
        </w:tc>
        <w:tc>
          <w:tcPr>
            <w:tcW w:w="3660" w:type="dxa"/>
            <w:vAlign w:val="bottom"/>
            <w:gridSpan w:val="2"/>
          </w:tcPr>
          <w:p>
            <w:pPr>
              <w:ind w:left="340"/>
              <w:spacing w:after="0"/>
              <w:rPr>
                <w:sz w:val="20"/>
                <w:szCs w:val="20"/>
                <w:color w:val="auto"/>
              </w:rPr>
            </w:pPr>
            <w:r>
              <w:rPr>
                <w:rFonts w:ascii="Arial" w:cs="Arial" w:eastAsia="Arial" w:hAnsi="Arial"/>
                <w:sz w:val="14"/>
                <w:szCs w:val="14"/>
                <w:color w:val="333740"/>
              </w:rPr>
              <w:t>Revenue growth of more than 15% in markets</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60" w:type="dxa"/>
            <w:vAlign w:val="bottom"/>
            <w:gridSpan w:val="2"/>
          </w:tcPr>
          <w:p>
            <w:pPr>
              <w:ind w:left="280"/>
              <w:spacing w:after="0"/>
              <w:rPr>
                <w:sz w:val="20"/>
                <w:szCs w:val="20"/>
                <w:color w:val="auto"/>
              </w:rPr>
            </w:pPr>
            <w:r>
              <w:rPr>
                <w:rFonts w:ascii="Arial" w:cs="Arial" w:eastAsia="Arial" w:hAnsi="Arial"/>
                <w:sz w:val="14"/>
                <w:szCs w:val="14"/>
                <w:color w:val="333740"/>
              </w:rPr>
              <w:t>by double-digit growth in both project and service</w:t>
            </w:r>
          </w:p>
        </w:tc>
        <w:tc>
          <w:tcPr>
            <w:tcW w:w="3800" w:type="dxa"/>
            <w:vAlign w:val="bottom"/>
            <w:gridSpan w:val="3"/>
          </w:tcPr>
          <w:p>
            <w:pPr>
              <w:ind w:left="300"/>
              <w:spacing w:after="0"/>
              <w:rPr>
                <w:sz w:val="20"/>
                <w:szCs w:val="20"/>
                <w:color w:val="auto"/>
              </w:rPr>
            </w:pPr>
            <w:r>
              <w:rPr>
                <w:rFonts w:ascii="Arial" w:cs="Arial" w:eastAsia="Arial" w:hAnsi="Arial"/>
                <w:sz w:val="14"/>
                <w:szCs w:val="14"/>
                <w:color w:val="333740"/>
              </w:rPr>
              <w:t>segment revenue has inflected above the 2018 trough</w:t>
            </w:r>
          </w:p>
        </w:tc>
        <w:tc>
          <w:tcPr>
            <w:tcW w:w="3660" w:type="dxa"/>
            <w:vAlign w:val="bottom"/>
            <w:gridSpan w:val="2"/>
          </w:tcPr>
          <w:p>
            <w:pPr>
              <w:ind w:left="280"/>
              <w:spacing w:after="0"/>
              <w:rPr>
                <w:sz w:val="20"/>
                <w:szCs w:val="20"/>
                <w:color w:val="auto"/>
              </w:rPr>
            </w:pPr>
            <w:r>
              <w:rPr>
                <w:rFonts w:ascii="Arial" w:cs="Arial" w:eastAsia="Arial" w:hAnsi="Arial"/>
                <w:sz w:val="14"/>
                <w:szCs w:val="14"/>
                <w:color w:val="333740"/>
              </w:rPr>
              <w:t>outside of North America versus the prior year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gridSpan w:val="2"/>
          </w:tcPr>
          <w:p>
            <w:pPr>
              <w:ind w:left="280"/>
              <w:spacing w:after="0"/>
              <w:rPr>
                <w:sz w:val="20"/>
                <w:szCs w:val="20"/>
                <w:color w:val="auto"/>
              </w:rPr>
            </w:pPr>
            <w:r>
              <w:rPr>
                <w:rFonts w:ascii="Arial" w:cs="Arial" w:eastAsia="Arial" w:hAnsi="Arial"/>
                <w:sz w:val="14"/>
                <w:szCs w:val="14"/>
                <w:color w:val="333740"/>
              </w:rPr>
              <w:t>activities</w:t>
            </w:r>
          </w:p>
        </w:tc>
        <w:tc>
          <w:tcPr>
            <w:tcW w:w="3800" w:type="dxa"/>
            <w:vAlign w:val="bottom"/>
            <w:gridSpan w:val="3"/>
          </w:tcPr>
          <w:p>
            <w:pPr>
              <w:ind w:left="340"/>
              <w:spacing w:after="0"/>
              <w:rPr>
                <w:sz w:val="20"/>
                <w:szCs w:val="20"/>
                <w:color w:val="auto"/>
              </w:rPr>
            </w:pPr>
            <w:r>
              <w:rPr>
                <w:rFonts w:ascii="Arial" w:cs="Arial" w:eastAsia="Arial" w:hAnsi="Arial"/>
                <w:sz w:val="14"/>
                <w:szCs w:val="14"/>
                <w:color w:val="333740"/>
              </w:rPr>
              <w:t>Revenue growth, excluding the Yamal LNG project,</w:t>
            </w:r>
          </w:p>
        </w:tc>
        <w:tc>
          <w:tcPr>
            <w:tcW w:w="3660" w:type="dxa"/>
            <w:vAlign w:val="bottom"/>
            <w:gridSpan w:val="2"/>
          </w:tcPr>
          <w:p>
            <w:pPr>
              <w:ind w:left="320"/>
              <w:spacing w:after="0"/>
              <w:rPr>
                <w:sz w:val="20"/>
                <w:szCs w:val="20"/>
                <w:color w:val="auto"/>
              </w:rPr>
            </w:pPr>
            <w:r>
              <w:rPr>
                <w:rFonts w:ascii="Arial" w:cs="Arial" w:eastAsia="Arial" w:hAnsi="Arial"/>
                <w:sz w:val="14"/>
                <w:szCs w:val="14"/>
                <w:color w:val="333740"/>
              </w:rPr>
              <w:t>Surface international revenues account for more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60" w:type="dxa"/>
            <w:vAlign w:val="bottom"/>
            <w:gridSpan w:val="2"/>
          </w:tcPr>
          <w:p>
            <w:pPr>
              <w:ind w:left="340"/>
              <w:spacing w:after="0"/>
              <w:rPr>
                <w:sz w:val="20"/>
                <w:szCs w:val="20"/>
                <w:color w:val="auto"/>
              </w:rPr>
            </w:pPr>
            <w:r>
              <w:rPr>
                <w:rFonts w:ascii="Arial" w:cs="Arial" w:eastAsia="Arial" w:hAnsi="Arial"/>
                <w:sz w:val="14"/>
                <w:szCs w:val="14"/>
                <w:color w:val="333740"/>
              </w:rPr>
              <w:t>Integrated project activity a higher mix of business</w:t>
            </w:r>
          </w:p>
        </w:tc>
        <w:tc>
          <w:tcPr>
            <w:tcW w:w="3800" w:type="dxa"/>
            <w:vAlign w:val="bottom"/>
            <w:gridSpan w:val="3"/>
          </w:tcPr>
          <w:p>
            <w:pPr>
              <w:ind w:left="300"/>
              <w:spacing w:after="0"/>
              <w:rPr>
                <w:sz w:val="20"/>
                <w:szCs w:val="20"/>
                <w:color w:val="auto"/>
              </w:rPr>
            </w:pPr>
            <w:r>
              <w:rPr>
                <w:rFonts w:ascii="Arial" w:cs="Arial" w:eastAsia="Arial" w:hAnsi="Arial"/>
                <w:sz w:val="14"/>
                <w:szCs w:val="14"/>
                <w:color w:val="333740"/>
              </w:rPr>
              <w:t>exceeded 25% versus the prior year</w:t>
            </w:r>
          </w:p>
        </w:tc>
        <w:tc>
          <w:tcPr>
            <w:tcW w:w="3660" w:type="dxa"/>
            <w:vAlign w:val="bottom"/>
            <w:gridSpan w:val="2"/>
          </w:tcPr>
          <w:p>
            <w:pPr>
              <w:ind w:left="280"/>
              <w:spacing w:after="0"/>
              <w:rPr>
                <w:sz w:val="20"/>
                <w:szCs w:val="20"/>
                <w:color w:val="auto"/>
              </w:rPr>
            </w:pPr>
            <w:r>
              <w:rPr>
                <w:rFonts w:ascii="Arial" w:cs="Arial" w:eastAsia="Arial" w:hAnsi="Arial"/>
                <w:sz w:val="14"/>
                <w:szCs w:val="14"/>
                <w:color w:val="333740"/>
              </w:rPr>
              <w:t>than 50% of total segment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gridSpan w:val="2"/>
          </w:tcPr>
          <w:p>
            <w:pPr>
              <w:ind w:left="280"/>
              <w:spacing w:after="0"/>
              <w:rPr>
                <w:sz w:val="20"/>
                <w:szCs w:val="20"/>
                <w:color w:val="auto"/>
              </w:rPr>
            </w:pPr>
            <w:r>
              <w:rPr>
                <w:rFonts w:ascii="Arial" w:cs="Arial" w:eastAsia="Arial" w:hAnsi="Arial"/>
                <w:sz w:val="14"/>
                <w:szCs w:val="14"/>
                <w:color w:val="333740"/>
              </w:rPr>
              <w:t>portfolio</w:t>
            </w:r>
          </w:p>
        </w:tc>
        <w:tc>
          <w:tcPr>
            <w:tcW w:w="1920" w:type="dxa"/>
            <w:vAlign w:val="bottom"/>
            <w:gridSpan w:val="2"/>
          </w:tcPr>
          <w:p>
            <w:pPr>
              <w:ind w:left="340"/>
              <w:spacing w:after="0"/>
              <w:rPr>
                <w:sz w:val="20"/>
                <w:szCs w:val="20"/>
                <w:color w:val="auto"/>
              </w:rPr>
            </w:pPr>
            <w:r>
              <w:rPr>
                <w:rFonts w:ascii="Arial" w:cs="Arial" w:eastAsia="Arial" w:hAnsi="Arial"/>
                <w:sz w:val="14"/>
                <w:szCs w:val="14"/>
                <w:color w:val="333740"/>
              </w:rPr>
              <w:t>Backlog of $15.3 billion</w:t>
            </w:r>
          </w:p>
        </w:tc>
        <w:tc>
          <w:tcPr>
            <w:tcW w:w="1880" w:type="dxa"/>
            <w:vAlign w:val="bottom"/>
          </w:tcPr>
          <w:p>
            <w:pPr>
              <w:spacing w:after="0"/>
              <w:rPr>
                <w:sz w:val="18"/>
                <w:szCs w:val="18"/>
                <w:color w:val="auto"/>
              </w:rPr>
            </w:pPr>
          </w:p>
        </w:tc>
        <w:tc>
          <w:tcPr>
            <w:tcW w:w="3660" w:type="dxa"/>
            <w:vAlign w:val="bottom"/>
            <w:gridSpan w:val="2"/>
          </w:tcPr>
          <w:p>
            <w:pPr>
              <w:ind w:left="180"/>
              <w:spacing w:after="0"/>
              <w:rPr>
                <w:sz w:val="20"/>
                <w:szCs w:val="20"/>
                <w:color w:val="auto"/>
              </w:rPr>
            </w:pPr>
            <w:r>
              <w:rPr>
                <w:rFonts w:ascii="Arial" w:cs="Arial" w:eastAsia="Arial" w:hAnsi="Arial"/>
                <w:sz w:val="14"/>
                <w:szCs w:val="14"/>
                <w:color w:val="333740"/>
              </w:rPr>
              <w:t>Backlog of $0.5 billion</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404"/>
        <w:spacing w:after="0"/>
        <w:rPr>
          <w:sz w:val="20"/>
          <w:szCs w:val="20"/>
          <w:color w:val="auto"/>
        </w:rPr>
      </w:pPr>
      <w:r>
        <w:rPr>
          <w:rFonts w:ascii="Arial" w:cs="Arial" w:eastAsia="Arial" w:hAnsi="Arial"/>
          <w:sz w:val="14"/>
          <w:szCs w:val="14"/>
          <w:color w:val="333740"/>
        </w:rPr>
        <w:t>Backlog of $8.5 billion</w:t>
      </w:r>
    </w:p>
    <w:p>
      <w:pPr>
        <w:spacing w:after="0" w:line="226" w:lineRule="exact"/>
        <w:rPr>
          <w:sz w:val="20"/>
          <w:szCs w:val="20"/>
          <w:color w:val="auto"/>
        </w:rPr>
      </w:pPr>
    </w:p>
    <w:p>
      <w:pPr>
        <w:ind w:left="224" w:right="20" w:hanging="153"/>
        <w:spacing w:after="0" w:line="247" w:lineRule="auto"/>
        <w:tabs>
          <w:tab w:leader="none" w:pos="458" w:val="left"/>
        </w:tabs>
        <w:numPr>
          <w:ilvl w:val="0"/>
          <w:numId w:val="19"/>
        </w:numPr>
        <w:rPr>
          <w:rFonts w:ascii="Arial" w:cs="Arial" w:eastAsia="Arial" w:hAnsi="Arial"/>
          <w:sz w:val="19"/>
          <w:szCs w:val="19"/>
          <w:color w:val="333740"/>
        </w:rPr>
      </w:pPr>
      <w:r>
        <w:rPr>
          <w:rFonts w:ascii="Arial" w:cs="Arial" w:eastAsia="Arial" w:hAnsi="Arial"/>
          <w:sz w:val="19"/>
          <w:szCs w:val="19"/>
          <w:color w:val="333740"/>
        </w:rPr>
        <w:t>Reported financial results for the twelve months ended December 31, 2019 and inbound and backlog as of December 31, 2019 are as reported in our Form 10-K.</w:t>
      </w:r>
    </w:p>
    <w:p>
      <w:pPr>
        <w:spacing w:after="0" w:line="68" w:lineRule="exact"/>
        <w:rPr>
          <w:sz w:val="20"/>
          <w:szCs w:val="20"/>
          <w:color w:val="auto"/>
        </w:rPr>
      </w:pPr>
    </w:p>
    <w:p>
      <w:pPr>
        <w:ind w:left="64" w:right="1200"/>
        <w:spacing w:after="0" w:line="269" w:lineRule="auto"/>
        <w:rPr>
          <w:sz w:val="20"/>
          <w:szCs w:val="20"/>
          <w:color w:val="auto"/>
        </w:rPr>
      </w:pPr>
      <w:r>
        <w:rPr>
          <w:rFonts w:ascii="Arial" w:cs="Arial" w:eastAsia="Arial" w:hAnsi="Arial"/>
          <w:sz w:val="19"/>
          <w:szCs w:val="19"/>
          <w:color w:val="333740"/>
        </w:rPr>
        <w:t>For additional details regarding the Company’s 2019 financial performance, please see the section entitled “</w:t>
      </w:r>
      <w:r>
        <w:rPr>
          <w:rFonts w:ascii="Arial" w:cs="Arial" w:eastAsia="Arial" w:hAnsi="Arial"/>
          <w:sz w:val="19"/>
          <w:szCs w:val="19"/>
          <w:i w:val="1"/>
          <w:iCs w:val="1"/>
          <w:color w:val="333740"/>
        </w:rPr>
        <w:t>Executive</w:t>
      </w:r>
      <w:r>
        <w:rPr>
          <w:rFonts w:ascii="Arial" w:cs="Arial" w:eastAsia="Arial" w:hAnsi="Arial"/>
          <w:sz w:val="19"/>
          <w:szCs w:val="19"/>
          <w:color w:val="333740"/>
        </w:rPr>
        <w:t xml:space="preserve"> </w:t>
      </w:r>
      <w:r>
        <w:rPr>
          <w:rFonts w:ascii="Arial" w:cs="Arial" w:eastAsia="Arial" w:hAnsi="Arial"/>
          <w:sz w:val="19"/>
          <w:szCs w:val="19"/>
          <w:i w:val="1"/>
          <w:iCs w:val="1"/>
          <w:color w:val="333740"/>
        </w:rPr>
        <w:t>Compensation Discussion and Analysis—Business Overview</w:t>
      </w:r>
      <w:r>
        <w:rPr>
          <w:rFonts w:ascii="Arial" w:cs="Arial" w:eastAsia="Arial" w:hAnsi="Arial"/>
          <w:sz w:val="19"/>
          <w:szCs w:val="19"/>
          <w:color w:val="333740"/>
        </w:rPr>
        <w:t>.”</w:t>
      </w:r>
    </w:p>
    <w:p>
      <w:pPr>
        <w:spacing w:after="0" w:line="200" w:lineRule="exact"/>
        <w:rPr>
          <w:sz w:val="20"/>
          <w:szCs w:val="20"/>
          <w:color w:val="auto"/>
        </w:rPr>
      </w:pPr>
    </w:p>
    <w:p>
      <w:pPr>
        <w:spacing w:after="0" w:line="201" w:lineRule="exact"/>
        <w:rPr>
          <w:sz w:val="20"/>
          <w:szCs w:val="20"/>
          <w:color w:val="auto"/>
        </w:rPr>
      </w:pPr>
    </w:p>
    <w:p>
      <w:pPr>
        <w:ind w:left="564" w:hanging="564"/>
        <w:spacing w:after="0"/>
        <w:tabs>
          <w:tab w:leader="none" w:pos="564" w:val="left"/>
        </w:tabs>
        <w:numPr>
          <w:ilvl w:val="0"/>
          <w:numId w:val="20"/>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4"/>
          </w:cols>
          <w:pgMar w:left="316" w:top="128" w:right="379" w:bottom="1440" w:gutter="0" w:footer="0" w:header="0"/>
        </w:sectPr>
      </w:pPr>
    </w:p>
    <w:bookmarkStart w:id="14" w:name="page15"/>
    <w:bookmarkEnd w:id="14"/>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3" w:lineRule="exact"/>
        <w:rPr>
          <w:sz w:val="20"/>
          <w:szCs w:val="20"/>
          <w:color w:val="auto"/>
        </w:rPr>
      </w:pPr>
    </w:p>
    <w:p>
      <w:pPr>
        <w:ind w:left="64"/>
        <w:spacing w:after="0"/>
        <w:rPr>
          <w:sz w:val="20"/>
          <w:szCs w:val="20"/>
          <w:color w:val="auto"/>
        </w:rPr>
      </w:pPr>
      <w:r>
        <w:rPr>
          <w:rFonts w:ascii="Arial" w:cs="Arial" w:eastAsia="Arial" w:hAnsi="Arial"/>
          <w:sz w:val="33"/>
          <w:szCs w:val="33"/>
          <w:color w:val="481F6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7176135" cy="391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3912870"/>
                    </a:xfrm>
                    <a:prstGeom prst="rect">
                      <a:avLst/>
                    </a:prstGeom>
                    <a:noFill/>
                  </pic:spPr>
                </pic:pic>
              </a:graphicData>
            </a:graphic>
          </wp:anchor>
        </w:drawing>
      </w:r>
    </w:p>
    <w:p>
      <w:pPr>
        <w:spacing w:after="0" w:line="127" w:lineRule="exact"/>
        <w:rPr>
          <w:sz w:val="20"/>
          <w:szCs w:val="20"/>
          <w:color w:val="auto"/>
        </w:rPr>
      </w:pPr>
    </w:p>
    <w:p>
      <w:pPr>
        <w:ind w:left="64"/>
        <w:spacing w:after="0"/>
        <w:rPr>
          <w:sz w:val="20"/>
          <w:szCs w:val="20"/>
          <w:color w:val="auto"/>
        </w:rPr>
      </w:pPr>
      <w:r>
        <w:rPr>
          <w:rFonts w:ascii="Arial" w:cs="Arial" w:eastAsia="Arial" w:hAnsi="Arial"/>
          <w:sz w:val="19"/>
          <w:szCs w:val="19"/>
          <w:color w:val="333740"/>
        </w:rPr>
        <w:t>Our named executive officers (“</w:t>
      </w:r>
      <w:r>
        <w:rPr>
          <w:rFonts w:ascii="Arial" w:cs="Arial" w:eastAsia="Arial" w:hAnsi="Arial"/>
          <w:sz w:val="19"/>
          <w:szCs w:val="19"/>
          <w:b w:val="1"/>
          <w:bCs w:val="1"/>
          <w:color w:val="333740"/>
        </w:rPr>
        <w:t>NEOs</w:t>
      </w:r>
      <w:r>
        <w:rPr>
          <w:rFonts w:ascii="Arial" w:cs="Arial" w:eastAsia="Arial" w:hAnsi="Arial"/>
          <w:sz w:val="19"/>
          <w:szCs w:val="19"/>
          <w:color w:val="333740"/>
        </w:rPr>
        <w:t>”) for 2019 are:</w:t>
      </w:r>
    </w:p>
    <w:p>
      <w:pPr>
        <w:sectPr>
          <w:pgSz w:w="11900" w:h="16838" w:orient="portrait"/>
          <w:cols w:equalWidth="0" w:num="1">
            <w:col w:w="11204"/>
          </w:cols>
          <w:pgMar w:left="316" w:top="12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84" w:type="dxa"/>
        <w:tblCellMar>
          <w:top w:w="0" w:type="dxa"/>
          <w:left w:w="0" w:type="dxa"/>
          <w:bottom w:w="0" w:type="dxa"/>
          <w:right w:w="0" w:type="dxa"/>
        </w:tblCellMar>
      </w:tblPr>
      <w:tr>
        <w:trPr>
          <w:trHeight w:val="190"/>
        </w:trPr>
        <w:tc>
          <w:tcPr>
            <w:tcW w:w="2140" w:type="dxa"/>
            <w:vAlign w:val="bottom"/>
          </w:tcPr>
          <w:p>
            <w:pPr>
              <w:spacing w:after="0"/>
              <w:rPr>
                <w:sz w:val="20"/>
                <w:szCs w:val="20"/>
                <w:color w:val="auto"/>
              </w:rPr>
            </w:pPr>
            <w:r>
              <w:rPr>
                <w:rFonts w:ascii="Arial" w:cs="Arial" w:eastAsia="Arial" w:hAnsi="Arial"/>
                <w:sz w:val="14"/>
                <w:szCs w:val="14"/>
                <w:b w:val="1"/>
                <w:bCs w:val="1"/>
                <w:color w:val="333740"/>
              </w:rPr>
              <w:t>Douglas J. Pferdehirt</w:t>
            </w:r>
          </w:p>
        </w:tc>
        <w:tc>
          <w:tcPr>
            <w:tcW w:w="2100" w:type="dxa"/>
            <w:vAlign w:val="bottom"/>
          </w:tcPr>
          <w:p>
            <w:pPr>
              <w:ind w:left="100"/>
              <w:spacing w:after="0"/>
              <w:rPr>
                <w:sz w:val="20"/>
                <w:szCs w:val="20"/>
                <w:color w:val="auto"/>
              </w:rPr>
            </w:pPr>
            <w:r>
              <w:rPr>
                <w:rFonts w:ascii="Arial" w:cs="Arial" w:eastAsia="Arial" w:hAnsi="Arial"/>
                <w:sz w:val="14"/>
                <w:szCs w:val="14"/>
                <w:b w:val="1"/>
                <w:bCs w:val="1"/>
                <w:color w:val="333740"/>
              </w:rPr>
              <w:t>Maryann T. Mannen</w:t>
            </w:r>
          </w:p>
        </w:tc>
        <w:tc>
          <w:tcPr>
            <w:tcW w:w="2320" w:type="dxa"/>
            <w:vAlign w:val="bottom"/>
          </w:tcPr>
          <w:p>
            <w:pPr>
              <w:ind w:left="220"/>
              <w:spacing w:after="0"/>
              <w:rPr>
                <w:sz w:val="20"/>
                <w:szCs w:val="20"/>
                <w:color w:val="auto"/>
              </w:rPr>
            </w:pPr>
            <w:r>
              <w:rPr>
                <w:rFonts w:ascii="Arial" w:cs="Arial" w:eastAsia="Arial" w:hAnsi="Arial"/>
                <w:sz w:val="14"/>
                <w:szCs w:val="14"/>
                <w:b w:val="1"/>
                <w:bCs w:val="1"/>
                <w:color w:val="333740"/>
              </w:rPr>
              <w:t>Dianne B. Ralston</w:t>
            </w:r>
          </w:p>
        </w:tc>
        <w:tc>
          <w:tcPr>
            <w:tcW w:w="2020" w:type="dxa"/>
            <w:vAlign w:val="bottom"/>
          </w:tcPr>
          <w:p>
            <w:pPr>
              <w:ind w:left="120"/>
              <w:spacing w:after="0"/>
              <w:rPr>
                <w:sz w:val="20"/>
                <w:szCs w:val="20"/>
                <w:color w:val="auto"/>
              </w:rPr>
            </w:pPr>
            <w:r>
              <w:rPr>
                <w:rFonts w:ascii="Arial" w:cs="Arial" w:eastAsia="Arial" w:hAnsi="Arial"/>
                <w:sz w:val="14"/>
                <w:szCs w:val="14"/>
                <w:b w:val="1"/>
                <w:bCs w:val="1"/>
                <w:color w:val="333740"/>
              </w:rPr>
              <w:t>Justin Rounce</w:t>
            </w:r>
          </w:p>
        </w:tc>
      </w:tr>
      <w:tr>
        <w:trPr>
          <w:trHeight w:val="227"/>
        </w:trPr>
        <w:tc>
          <w:tcPr>
            <w:tcW w:w="2140" w:type="dxa"/>
            <w:vAlign w:val="bottom"/>
          </w:tcPr>
          <w:p>
            <w:pPr>
              <w:spacing w:after="0"/>
              <w:rPr>
                <w:sz w:val="20"/>
                <w:szCs w:val="20"/>
                <w:color w:val="auto"/>
              </w:rPr>
            </w:pPr>
            <w:r>
              <w:rPr>
                <w:rFonts w:ascii="Arial" w:cs="Arial" w:eastAsia="Arial" w:hAnsi="Arial"/>
                <w:sz w:val="10"/>
                <w:szCs w:val="10"/>
                <w:b w:val="1"/>
                <w:bCs w:val="1"/>
                <w:color w:val="333740"/>
              </w:rPr>
              <w:t>Age: 56</w:t>
            </w:r>
          </w:p>
        </w:tc>
        <w:tc>
          <w:tcPr>
            <w:tcW w:w="2100" w:type="dxa"/>
            <w:vAlign w:val="bottom"/>
          </w:tcPr>
          <w:p>
            <w:pPr>
              <w:ind w:left="100"/>
              <w:spacing w:after="0"/>
              <w:rPr>
                <w:sz w:val="20"/>
                <w:szCs w:val="20"/>
                <w:color w:val="auto"/>
              </w:rPr>
            </w:pPr>
            <w:r>
              <w:rPr>
                <w:rFonts w:ascii="Arial" w:cs="Arial" w:eastAsia="Arial" w:hAnsi="Arial"/>
                <w:sz w:val="10"/>
                <w:szCs w:val="10"/>
                <w:b w:val="1"/>
                <w:bCs w:val="1"/>
                <w:color w:val="333740"/>
              </w:rPr>
              <w:t>Age: 57</w:t>
            </w:r>
          </w:p>
        </w:tc>
        <w:tc>
          <w:tcPr>
            <w:tcW w:w="2320" w:type="dxa"/>
            <w:vAlign w:val="bottom"/>
          </w:tcPr>
          <w:p>
            <w:pPr>
              <w:ind w:left="220"/>
              <w:spacing w:after="0"/>
              <w:rPr>
                <w:sz w:val="20"/>
                <w:szCs w:val="20"/>
                <w:color w:val="auto"/>
              </w:rPr>
            </w:pPr>
            <w:r>
              <w:rPr>
                <w:rFonts w:ascii="Arial" w:cs="Arial" w:eastAsia="Arial" w:hAnsi="Arial"/>
                <w:sz w:val="10"/>
                <w:szCs w:val="10"/>
                <w:b w:val="1"/>
                <w:bCs w:val="1"/>
                <w:color w:val="333740"/>
              </w:rPr>
              <w:t>Age: 53</w:t>
            </w:r>
          </w:p>
        </w:tc>
        <w:tc>
          <w:tcPr>
            <w:tcW w:w="2020" w:type="dxa"/>
            <w:vAlign w:val="bottom"/>
          </w:tcPr>
          <w:p>
            <w:pPr>
              <w:ind w:left="120"/>
              <w:spacing w:after="0"/>
              <w:rPr>
                <w:sz w:val="20"/>
                <w:szCs w:val="20"/>
                <w:color w:val="auto"/>
              </w:rPr>
            </w:pPr>
            <w:r>
              <w:rPr>
                <w:rFonts w:ascii="Arial" w:cs="Arial" w:eastAsia="Arial" w:hAnsi="Arial"/>
                <w:sz w:val="10"/>
                <w:szCs w:val="10"/>
                <w:b w:val="1"/>
                <w:bCs w:val="1"/>
                <w:color w:val="333740"/>
              </w:rPr>
              <w:t>Age: 53</w:t>
            </w:r>
          </w:p>
        </w:tc>
      </w:tr>
      <w:tr>
        <w:trPr>
          <w:trHeight w:val="203"/>
        </w:trPr>
        <w:tc>
          <w:tcPr>
            <w:tcW w:w="2140" w:type="dxa"/>
            <w:vAlign w:val="bottom"/>
          </w:tcPr>
          <w:p>
            <w:pPr>
              <w:spacing w:after="0"/>
              <w:rPr>
                <w:sz w:val="20"/>
                <w:szCs w:val="20"/>
                <w:color w:val="auto"/>
              </w:rPr>
            </w:pPr>
            <w:r>
              <w:rPr>
                <w:rFonts w:ascii="Arial" w:cs="Arial" w:eastAsia="Arial" w:hAnsi="Arial"/>
                <w:sz w:val="10"/>
                <w:szCs w:val="10"/>
                <w:color w:val="333740"/>
              </w:rPr>
              <w:t>Positions Held in 2019:</w:t>
            </w:r>
          </w:p>
        </w:tc>
        <w:tc>
          <w:tcPr>
            <w:tcW w:w="2100" w:type="dxa"/>
            <w:vAlign w:val="bottom"/>
          </w:tcPr>
          <w:p>
            <w:pPr>
              <w:ind w:left="100"/>
              <w:spacing w:after="0"/>
              <w:rPr>
                <w:sz w:val="20"/>
                <w:szCs w:val="20"/>
                <w:color w:val="auto"/>
              </w:rPr>
            </w:pPr>
            <w:r>
              <w:rPr>
                <w:rFonts w:ascii="Arial" w:cs="Arial" w:eastAsia="Arial" w:hAnsi="Arial"/>
                <w:sz w:val="10"/>
                <w:szCs w:val="10"/>
                <w:color w:val="333740"/>
              </w:rPr>
              <w:t>Position Held in 2019:</w:t>
            </w:r>
          </w:p>
        </w:tc>
        <w:tc>
          <w:tcPr>
            <w:tcW w:w="2320" w:type="dxa"/>
            <w:vAlign w:val="bottom"/>
          </w:tcPr>
          <w:p>
            <w:pPr>
              <w:ind w:left="220"/>
              <w:spacing w:after="0"/>
              <w:rPr>
                <w:sz w:val="20"/>
                <w:szCs w:val="20"/>
                <w:color w:val="auto"/>
              </w:rPr>
            </w:pPr>
            <w:r>
              <w:rPr>
                <w:rFonts w:ascii="Arial" w:cs="Arial" w:eastAsia="Arial" w:hAnsi="Arial"/>
                <w:sz w:val="10"/>
                <w:szCs w:val="10"/>
                <w:color w:val="333740"/>
              </w:rPr>
              <w:t>Position Held in 2019:</w:t>
            </w:r>
          </w:p>
        </w:tc>
        <w:tc>
          <w:tcPr>
            <w:tcW w:w="2020" w:type="dxa"/>
            <w:vAlign w:val="bottom"/>
          </w:tcPr>
          <w:p>
            <w:pPr>
              <w:ind w:left="120"/>
              <w:spacing w:after="0"/>
              <w:rPr>
                <w:sz w:val="20"/>
                <w:szCs w:val="20"/>
                <w:color w:val="auto"/>
              </w:rPr>
            </w:pPr>
            <w:r>
              <w:rPr>
                <w:rFonts w:ascii="Arial" w:cs="Arial" w:eastAsia="Arial" w:hAnsi="Arial"/>
                <w:sz w:val="10"/>
                <w:szCs w:val="10"/>
                <w:color w:val="333740"/>
              </w:rPr>
              <w:t>Position Held in 2019:</w:t>
            </w:r>
          </w:p>
        </w:tc>
      </w:tr>
      <w:tr>
        <w:trPr>
          <w:trHeight w:val="163"/>
        </w:trPr>
        <w:tc>
          <w:tcPr>
            <w:tcW w:w="2140" w:type="dxa"/>
            <w:vAlign w:val="bottom"/>
          </w:tcPr>
          <w:p>
            <w:pPr>
              <w:ind w:left="280"/>
              <w:spacing w:after="0"/>
              <w:rPr>
                <w:sz w:val="20"/>
                <w:szCs w:val="20"/>
                <w:color w:val="auto"/>
              </w:rPr>
            </w:pPr>
            <w:r>
              <w:rPr>
                <w:rFonts w:ascii="Arial" w:cs="Arial" w:eastAsia="Arial" w:hAnsi="Arial"/>
                <w:sz w:val="10"/>
                <w:szCs w:val="10"/>
                <w:color w:val="333740"/>
              </w:rPr>
              <w:t>Chief Executive Officer and Chairman,</w:t>
            </w:r>
          </w:p>
        </w:tc>
        <w:tc>
          <w:tcPr>
            <w:tcW w:w="2100" w:type="dxa"/>
            <w:vAlign w:val="bottom"/>
          </w:tcPr>
          <w:p>
            <w:pPr>
              <w:ind w:left="260"/>
              <w:spacing w:after="0"/>
              <w:rPr>
                <w:sz w:val="20"/>
                <w:szCs w:val="20"/>
                <w:color w:val="auto"/>
              </w:rPr>
            </w:pPr>
            <w:r>
              <w:rPr>
                <w:rFonts w:ascii="Arial" w:cs="Arial" w:eastAsia="Arial" w:hAnsi="Arial"/>
                <w:sz w:val="10"/>
                <w:szCs w:val="10"/>
                <w:color w:val="333740"/>
              </w:rPr>
              <w:t>Executive Vice President and Chief</w:t>
            </w:r>
          </w:p>
        </w:tc>
        <w:tc>
          <w:tcPr>
            <w:tcW w:w="2320" w:type="dxa"/>
            <w:vAlign w:val="bottom"/>
          </w:tcPr>
          <w:p>
            <w:pPr>
              <w:ind w:left="480"/>
              <w:spacing w:after="0"/>
              <w:rPr>
                <w:sz w:val="20"/>
                <w:szCs w:val="20"/>
                <w:color w:val="auto"/>
              </w:rPr>
            </w:pPr>
            <w:r>
              <w:rPr>
                <w:rFonts w:ascii="Arial" w:cs="Arial" w:eastAsia="Arial" w:hAnsi="Arial"/>
                <w:sz w:val="10"/>
                <w:szCs w:val="10"/>
                <w:color w:val="333740"/>
              </w:rPr>
              <w:t>Executive Vice President, Chief Legal</w:t>
            </w:r>
          </w:p>
        </w:tc>
        <w:tc>
          <w:tcPr>
            <w:tcW w:w="2020" w:type="dxa"/>
            <w:vAlign w:val="bottom"/>
          </w:tcPr>
          <w:p>
            <w:pPr>
              <w:ind w:left="400"/>
              <w:spacing w:after="0"/>
              <w:rPr>
                <w:sz w:val="20"/>
                <w:szCs w:val="20"/>
                <w:color w:val="auto"/>
              </w:rPr>
            </w:pPr>
            <w:r>
              <w:rPr>
                <w:rFonts w:ascii="Arial" w:cs="Arial" w:eastAsia="Arial" w:hAnsi="Arial"/>
                <w:sz w:val="10"/>
                <w:szCs w:val="10"/>
                <w:color w:val="333740"/>
              </w:rPr>
              <w:t>Executive Vice President and Chief</w:t>
            </w:r>
          </w:p>
        </w:tc>
      </w:tr>
      <w:tr>
        <w:trPr>
          <w:trHeight w:val="136"/>
        </w:trPr>
        <w:tc>
          <w:tcPr>
            <w:tcW w:w="2140" w:type="dxa"/>
            <w:vAlign w:val="bottom"/>
          </w:tcPr>
          <w:p>
            <w:pPr>
              <w:ind w:left="280"/>
              <w:spacing w:after="0"/>
              <w:rPr>
                <w:sz w:val="20"/>
                <w:szCs w:val="20"/>
                <w:color w:val="auto"/>
              </w:rPr>
            </w:pPr>
            <w:r>
              <w:rPr>
                <w:rFonts w:ascii="Arial" w:cs="Arial" w:eastAsia="Arial" w:hAnsi="Arial"/>
                <w:sz w:val="10"/>
                <w:szCs w:val="10"/>
                <w:color w:val="333740"/>
              </w:rPr>
              <w:t>from May 1, 2019</w:t>
            </w:r>
          </w:p>
        </w:tc>
        <w:tc>
          <w:tcPr>
            <w:tcW w:w="2100" w:type="dxa"/>
            <w:vAlign w:val="bottom"/>
          </w:tcPr>
          <w:p>
            <w:pPr>
              <w:ind w:left="380"/>
              <w:spacing w:after="0"/>
              <w:rPr>
                <w:sz w:val="20"/>
                <w:szCs w:val="20"/>
                <w:color w:val="auto"/>
              </w:rPr>
            </w:pPr>
            <w:r>
              <w:rPr>
                <w:rFonts w:ascii="Arial" w:cs="Arial" w:eastAsia="Arial" w:hAnsi="Arial"/>
                <w:sz w:val="10"/>
                <w:szCs w:val="10"/>
                <w:color w:val="333740"/>
              </w:rPr>
              <w:t>Financial Officer</w:t>
            </w:r>
          </w:p>
        </w:tc>
        <w:tc>
          <w:tcPr>
            <w:tcW w:w="2320" w:type="dxa"/>
            <w:vAlign w:val="bottom"/>
          </w:tcPr>
          <w:p>
            <w:pPr>
              <w:ind w:left="500"/>
              <w:spacing w:after="0"/>
              <w:rPr>
                <w:sz w:val="20"/>
                <w:szCs w:val="20"/>
                <w:color w:val="auto"/>
              </w:rPr>
            </w:pPr>
            <w:r>
              <w:rPr>
                <w:rFonts w:ascii="Arial" w:cs="Arial" w:eastAsia="Arial" w:hAnsi="Arial"/>
                <w:sz w:val="10"/>
                <w:szCs w:val="10"/>
                <w:color w:val="333740"/>
              </w:rPr>
              <w:t>Officer, and Secretary</w:t>
            </w:r>
          </w:p>
        </w:tc>
        <w:tc>
          <w:tcPr>
            <w:tcW w:w="2020" w:type="dxa"/>
            <w:vAlign w:val="bottom"/>
          </w:tcPr>
          <w:p>
            <w:pPr>
              <w:ind w:left="400"/>
              <w:spacing w:after="0"/>
              <w:rPr>
                <w:sz w:val="20"/>
                <w:szCs w:val="20"/>
                <w:color w:val="auto"/>
              </w:rPr>
            </w:pPr>
            <w:r>
              <w:rPr>
                <w:rFonts w:ascii="Arial" w:cs="Arial" w:eastAsia="Arial" w:hAnsi="Arial"/>
                <w:sz w:val="10"/>
                <w:szCs w:val="10"/>
                <w:color w:val="333740"/>
              </w:rPr>
              <w:t>Technology Officer</w:t>
            </w:r>
          </w:p>
        </w:tc>
      </w:tr>
      <w:tr>
        <w:trPr>
          <w:trHeight w:val="139"/>
        </w:trPr>
        <w:tc>
          <w:tcPr>
            <w:tcW w:w="2140" w:type="dxa"/>
            <w:vAlign w:val="bottom"/>
          </w:tcPr>
          <w:p>
            <w:pPr>
              <w:ind w:left="320"/>
              <w:spacing w:after="0"/>
              <w:rPr>
                <w:sz w:val="20"/>
                <w:szCs w:val="20"/>
                <w:color w:val="auto"/>
              </w:rPr>
            </w:pPr>
            <w:r>
              <w:rPr>
                <w:rFonts w:ascii="Arial" w:cs="Arial" w:eastAsia="Arial" w:hAnsi="Arial"/>
                <w:sz w:val="10"/>
                <w:szCs w:val="10"/>
                <w:color w:val="333740"/>
              </w:rPr>
              <w:t>Chief Executive Officer from January</w:t>
            </w:r>
          </w:p>
        </w:tc>
        <w:tc>
          <w:tcPr>
            <w:tcW w:w="21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24"/>
        </w:trPr>
        <w:tc>
          <w:tcPr>
            <w:tcW w:w="2140" w:type="dxa"/>
            <w:vAlign w:val="bottom"/>
          </w:tcPr>
          <w:p>
            <w:pPr>
              <w:ind w:left="280"/>
              <w:spacing w:after="0"/>
              <w:rPr>
                <w:sz w:val="20"/>
                <w:szCs w:val="20"/>
                <w:color w:val="auto"/>
              </w:rPr>
            </w:pPr>
            <w:r>
              <w:rPr>
                <w:rFonts w:ascii="Arial" w:cs="Arial" w:eastAsia="Arial" w:hAnsi="Arial"/>
                <w:sz w:val="10"/>
                <w:szCs w:val="10"/>
                <w:color w:val="333740"/>
              </w:rPr>
              <w:t>1, 2019 through April 30, 2019</w:t>
            </w:r>
          </w:p>
        </w:tc>
        <w:tc>
          <w:tcPr>
            <w:tcW w:w="21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0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Nello Uccelletti</w:t>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b w:val="1"/>
          <w:bCs w:val="1"/>
          <w:color w:val="333740"/>
        </w:rPr>
        <w:t>Age: 66</w:t>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color w:val="333740"/>
        </w:rPr>
        <w:t>Positions Held in 2019:</w:t>
      </w:r>
    </w:p>
    <w:p>
      <w:pPr>
        <w:spacing w:after="0" w:line="5" w:lineRule="exact"/>
        <w:rPr>
          <w:sz w:val="20"/>
          <w:szCs w:val="20"/>
          <w:color w:val="auto"/>
        </w:rPr>
      </w:pPr>
    </w:p>
    <w:p>
      <w:pPr>
        <w:ind w:left="280" w:right="60" w:hanging="111"/>
        <w:spacing w:after="0" w:line="261" w:lineRule="auto"/>
        <w:rPr>
          <w:sz w:val="20"/>
          <w:szCs w:val="20"/>
          <w:color w:val="auto"/>
        </w:rPr>
      </w:pPr>
      <w:r>
        <w:rPr>
          <w:rFonts w:ascii="Arial" w:cs="Arial" w:eastAsia="Arial" w:hAnsi="Arial"/>
          <w:sz w:val="10"/>
          <w:szCs w:val="10"/>
          <w:color w:val="333740"/>
        </w:rPr>
        <w:t>President and Advisor to the CEO from November 1 through December 31, 2019</w:t>
      </w:r>
    </w:p>
    <w:p>
      <w:pPr>
        <w:spacing w:after="0" w:line="1" w:lineRule="exact"/>
        <w:rPr>
          <w:sz w:val="20"/>
          <w:szCs w:val="20"/>
          <w:color w:val="auto"/>
        </w:rPr>
      </w:pPr>
    </w:p>
    <w:p>
      <w:pPr>
        <w:ind w:left="280" w:hanging="111"/>
        <w:spacing w:after="0" w:line="267" w:lineRule="auto"/>
        <w:rPr>
          <w:sz w:val="20"/>
          <w:szCs w:val="20"/>
          <w:color w:val="auto"/>
        </w:rPr>
      </w:pPr>
      <w:r>
        <w:rPr>
          <w:rFonts w:ascii="Arial" w:cs="Arial" w:eastAsia="Arial" w:hAnsi="Arial"/>
          <w:sz w:val="10"/>
          <w:szCs w:val="10"/>
          <w:color w:val="333740"/>
        </w:rPr>
        <w:t>President Onshore/ Offshore from January 1 through October 31, 2019</w:t>
      </w:r>
    </w:p>
    <w:p>
      <w:pPr>
        <w:spacing w:after="0" w:line="237" w:lineRule="exact"/>
        <w:rPr>
          <w:sz w:val="20"/>
          <w:szCs w:val="20"/>
          <w:color w:val="auto"/>
        </w:rPr>
      </w:pPr>
    </w:p>
    <w:p>
      <w:pPr>
        <w:sectPr>
          <w:pgSz w:w="11900" w:h="16838" w:orient="portrait"/>
          <w:cols w:equalWidth="0" w:num="2">
            <w:col w:w="8664" w:space="320"/>
            <w:col w:w="2220"/>
          </w:cols>
          <w:pgMar w:left="316" w:top="128" w:right="379" w:bottom="1440" w:gutter="0" w:footer="0" w:header="0"/>
          <w:type w:val="continuous"/>
        </w:sectPr>
      </w:pPr>
    </w:p>
    <w:p>
      <w:pPr>
        <w:ind w:left="64" w:right="200"/>
        <w:spacing w:after="0" w:line="338" w:lineRule="auto"/>
        <w:rPr>
          <w:sz w:val="20"/>
          <w:szCs w:val="20"/>
          <w:color w:val="auto"/>
        </w:rPr>
      </w:pPr>
      <w:r>
        <w:rPr>
          <w:rFonts w:ascii="Arial" w:cs="Arial" w:eastAsia="Arial" w:hAnsi="Arial"/>
          <w:sz w:val="19"/>
          <w:szCs w:val="19"/>
          <w:color w:val="333740"/>
        </w:rPr>
        <w:t>Our compensation practices are designed to align with shareholder interests and incorporate strong governance practices that support the guiding principles of our executive compensation program, which include the following:</w:t>
      </w:r>
    </w:p>
    <w:p>
      <w:pPr>
        <w:spacing w:after="0" w:line="38" w:lineRule="exact"/>
        <w:rPr>
          <w:sz w:val="20"/>
          <w:szCs w:val="20"/>
          <w:color w:val="auto"/>
        </w:rPr>
      </w:pPr>
    </w:p>
    <w:p>
      <w:pPr>
        <w:ind w:left="624"/>
        <w:spacing w:after="0"/>
        <w:rPr>
          <w:sz w:val="20"/>
          <w:szCs w:val="20"/>
          <w:color w:val="auto"/>
        </w:rPr>
      </w:pPr>
      <w:r>
        <w:rPr>
          <w:rFonts w:ascii="Arial" w:cs="Arial" w:eastAsia="Arial" w:hAnsi="Arial"/>
          <w:sz w:val="14"/>
          <w:szCs w:val="14"/>
          <w:color w:val="333740"/>
        </w:rPr>
        <w:t>Attract talented individuals by providing market competitive levels of compensation</w:t>
      </w:r>
    </w:p>
    <w:p>
      <w:pPr>
        <w:spacing w:after="0" w:line="54" w:lineRule="exact"/>
        <w:rPr>
          <w:sz w:val="20"/>
          <w:szCs w:val="20"/>
          <w:color w:val="auto"/>
        </w:rPr>
      </w:pPr>
    </w:p>
    <w:p>
      <w:pPr>
        <w:ind w:left="624"/>
        <w:spacing w:after="0"/>
        <w:rPr>
          <w:sz w:val="20"/>
          <w:szCs w:val="20"/>
          <w:color w:val="auto"/>
        </w:rPr>
      </w:pPr>
      <w:r>
        <w:rPr>
          <w:rFonts w:ascii="Arial" w:cs="Arial" w:eastAsia="Arial" w:hAnsi="Arial"/>
          <w:sz w:val="14"/>
          <w:szCs w:val="14"/>
          <w:color w:val="333740"/>
        </w:rPr>
        <w:t>Retain our leaders by incentivizing them to deliver on our vision</w:t>
      </w:r>
    </w:p>
    <w:p>
      <w:pPr>
        <w:spacing w:after="0" w:line="54" w:lineRule="exact"/>
        <w:rPr>
          <w:sz w:val="20"/>
          <w:szCs w:val="20"/>
          <w:color w:val="auto"/>
        </w:rPr>
      </w:pPr>
    </w:p>
    <w:p>
      <w:pPr>
        <w:ind w:left="624"/>
        <w:spacing w:after="0"/>
        <w:rPr>
          <w:sz w:val="20"/>
          <w:szCs w:val="20"/>
          <w:color w:val="auto"/>
        </w:rPr>
      </w:pPr>
      <w:r>
        <w:rPr>
          <w:rFonts w:ascii="Arial" w:cs="Arial" w:eastAsia="Arial" w:hAnsi="Arial"/>
          <w:sz w:val="14"/>
          <w:szCs w:val="14"/>
          <w:color w:val="333740"/>
        </w:rPr>
        <w:t>Link the interests of our executive officers with the interests of the Company and shareholders</w:t>
      </w:r>
    </w:p>
    <w:p>
      <w:pPr>
        <w:spacing w:after="0" w:line="54" w:lineRule="exact"/>
        <w:rPr>
          <w:sz w:val="20"/>
          <w:szCs w:val="20"/>
          <w:color w:val="auto"/>
        </w:rPr>
      </w:pPr>
    </w:p>
    <w:p>
      <w:pPr>
        <w:ind w:left="624"/>
        <w:spacing w:after="0"/>
        <w:rPr>
          <w:sz w:val="20"/>
          <w:szCs w:val="20"/>
          <w:color w:val="auto"/>
        </w:rPr>
      </w:pPr>
      <w:r>
        <w:rPr>
          <w:rFonts w:ascii="Arial" w:cs="Arial" w:eastAsia="Arial" w:hAnsi="Arial"/>
          <w:sz w:val="14"/>
          <w:szCs w:val="14"/>
          <w:color w:val="333740"/>
        </w:rPr>
        <w:t>Align executive officers’ interests with our long-term financial and strategic objectives</w:t>
      </w:r>
    </w:p>
    <w:p>
      <w:pPr>
        <w:spacing w:after="0" w:line="54" w:lineRule="exact"/>
        <w:rPr>
          <w:sz w:val="20"/>
          <w:szCs w:val="20"/>
          <w:color w:val="auto"/>
        </w:rPr>
      </w:pPr>
    </w:p>
    <w:p>
      <w:pPr>
        <w:ind w:left="624"/>
        <w:spacing w:after="0"/>
        <w:rPr>
          <w:sz w:val="20"/>
          <w:szCs w:val="20"/>
          <w:color w:val="auto"/>
        </w:rPr>
      </w:pPr>
      <w:r>
        <w:rPr>
          <w:rFonts w:ascii="Arial" w:cs="Arial" w:eastAsia="Arial" w:hAnsi="Arial"/>
          <w:sz w:val="14"/>
          <w:szCs w:val="14"/>
          <w:color w:val="333740"/>
        </w:rPr>
        <w:t>Maintain flexibility to better respond to the cyclical energy industry</w:t>
      </w:r>
    </w:p>
    <w:p>
      <w:pPr>
        <w:spacing w:after="0" w:line="54" w:lineRule="exact"/>
        <w:rPr>
          <w:sz w:val="20"/>
          <w:szCs w:val="20"/>
          <w:color w:val="auto"/>
        </w:rPr>
      </w:pPr>
    </w:p>
    <w:p>
      <w:pPr>
        <w:ind w:left="624"/>
        <w:spacing w:after="0"/>
        <w:rPr>
          <w:sz w:val="20"/>
          <w:szCs w:val="20"/>
          <w:color w:val="auto"/>
        </w:rPr>
      </w:pPr>
      <w:r>
        <w:rPr>
          <w:rFonts w:ascii="Arial" w:cs="Arial" w:eastAsia="Arial" w:hAnsi="Arial"/>
          <w:sz w:val="14"/>
          <w:szCs w:val="14"/>
          <w:color w:val="333740"/>
        </w:rPr>
        <w:t>Encourage prudent risk-taking by our executives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4" w:hanging="564"/>
        <w:spacing w:after="0"/>
        <w:tabs>
          <w:tab w:leader="none" w:pos="564" w:val="left"/>
        </w:tabs>
        <w:numPr>
          <w:ilvl w:val="0"/>
          <w:numId w:val="21"/>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4"/>
          </w:cols>
          <w:pgMar w:left="316" w:top="128" w:right="379" w:bottom="1440" w:gutter="0" w:footer="0" w:header="0"/>
          <w:type w:val="continuous"/>
        </w:sectPr>
      </w:pPr>
    </w:p>
    <w:bookmarkStart w:id="15" w:name="page16"/>
    <w:bookmarkEnd w:id="15"/>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176135" cy="44367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4436745"/>
                    </a:xfrm>
                    <a:prstGeom prst="rect">
                      <a:avLst/>
                    </a:prstGeom>
                    <a:noFill/>
                  </pic:spPr>
                </pic:pic>
              </a:graphicData>
            </a:graphic>
          </wp:anchor>
        </w:drawing>
      </w:r>
    </w:p>
    <w:p>
      <w:pPr>
        <w:spacing w:after="0" w:line="152" w:lineRule="exact"/>
        <w:rPr>
          <w:sz w:val="20"/>
          <w:szCs w:val="20"/>
          <w:color w:val="auto"/>
        </w:rPr>
      </w:pPr>
    </w:p>
    <w:p>
      <w:pPr>
        <w:ind w:left="64"/>
        <w:spacing w:after="0"/>
        <w:rPr>
          <w:sz w:val="20"/>
          <w:szCs w:val="20"/>
          <w:color w:val="auto"/>
        </w:rPr>
      </w:pPr>
      <w:r>
        <w:rPr>
          <w:rFonts w:ascii="Arial" w:cs="Arial" w:eastAsia="Arial" w:hAnsi="Arial"/>
          <w:sz w:val="21"/>
          <w:szCs w:val="21"/>
          <w:color w:val="481F6E"/>
        </w:rPr>
        <w:t>Executive Compensation Practices</w:t>
      </w:r>
    </w:p>
    <w:p>
      <w:pPr>
        <w:spacing w:after="0" w:line="262" w:lineRule="exact"/>
        <w:rPr>
          <w:sz w:val="20"/>
          <w:szCs w:val="20"/>
          <w:color w:val="auto"/>
        </w:rPr>
      </w:pPr>
    </w:p>
    <w:tbl>
      <w:tblPr>
        <w:tblLayout w:type="fixed"/>
        <w:tblInd w:w="64" w:type="dxa"/>
        <w:tblCellMar>
          <w:top w:w="0" w:type="dxa"/>
          <w:left w:w="0" w:type="dxa"/>
          <w:bottom w:w="0" w:type="dxa"/>
          <w:right w:w="0" w:type="dxa"/>
        </w:tblCellMar>
      </w:tblPr>
      <w:tr>
        <w:trPr>
          <w:trHeight w:val="263"/>
        </w:trPr>
        <w:tc>
          <w:tcPr>
            <w:tcW w:w="5460" w:type="dxa"/>
            <w:vAlign w:val="bottom"/>
            <w:shd w:val="clear" w:color="auto" w:fill="481F6E"/>
          </w:tcPr>
          <w:p>
            <w:pPr>
              <w:ind w:left="160"/>
              <w:spacing w:after="0"/>
              <w:rPr>
                <w:sz w:val="20"/>
                <w:szCs w:val="20"/>
                <w:color w:val="auto"/>
              </w:rPr>
            </w:pPr>
            <w:r>
              <w:rPr>
                <w:rFonts w:ascii="Arial" w:cs="Arial" w:eastAsia="Arial" w:hAnsi="Arial"/>
                <w:sz w:val="14"/>
                <w:szCs w:val="14"/>
                <w:color w:val="FFFFFF"/>
              </w:rPr>
              <w:t>What We Do:</w:t>
            </w:r>
          </w:p>
        </w:tc>
        <w:tc>
          <w:tcPr>
            <w:tcW w:w="240" w:type="dxa"/>
            <w:vAlign w:val="bottom"/>
          </w:tcPr>
          <w:p>
            <w:pPr>
              <w:spacing w:after="0"/>
              <w:rPr>
                <w:sz w:val="22"/>
                <w:szCs w:val="22"/>
                <w:color w:val="auto"/>
              </w:rPr>
            </w:pPr>
          </w:p>
        </w:tc>
        <w:tc>
          <w:tcPr>
            <w:tcW w:w="5440" w:type="dxa"/>
            <w:vAlign w:val="bottom"/>
            <w:shd w:val="clear" w:color="auto" w:fill="481F6E"/>
          </w:tcPr>
          <w:p>
            <w:pPr>
              <w:ind w:left="140"/>
              <w:spacing w:after="0"/>
              <w:rPr>
                <w:sz w:val="20"/>
                <w:szCs w:val="20"/>
                <w:color w:val="auto"/>
              </w:rPr>
            </w:pPr>
            <w:r>
              <w:rPr>
                <w:rFonts w:ascii="Arial" w:cs="Arial" w:eastAsia="Arial" w:hAnsi="Arial"/>
                <w:sz w:val="14"/>
                <w:szCs w:val="14"/>
                <w:color w:val="FFFFFF"/>
              </w:rPr>
              <w:t>What We Don’t Do:</w:t>
            </w:r>
          </w:p>
        </w:tc>
        <w:tc>
          <w:tcPr>
            <w:tcW w:w="0" w:type="dxa"/>
            <w:vAlign w:val="bottom"/>
          </w:tcPr>
          <w:p>
            <w:pPr>
              <w:spacing w:after="0"/>
              <w:rPr>
                <w:sz w:val="1"/>
                <w:szCs w:val="1"/>
                <w:color w:val="auto"/>
              </w:rPr>
            </w:pPr>
          </w:p>
        </w:tc>
      </w:tr>
      <w:tr>
        <w:trPr>
          <w:trHeight w:val="257"/>
        </w:trPr>
        <w:tc>
          <w:tcPr>
            <w:tcW w:w="5460" w:type="dxa"/>
            <w:vAlign w:val="bottom"/>
          </w:tcPr>
          <w:p>
            <w:pPr>
              <w:ind w:left="340"/>
              <w:spacing w:after="0"/>
              <w:rPr>
                <w:sz w:val="20"/>
                <w:szCs w:val="20"/>
                <w:color w:val="auto"/>
              </w:rPr>
            </w:pPr>
            <w:r>
              <w:rPr>
                <w:rFonts w:ascii="Arial" w:cs="Arial" w:eastAsia="Arial" w:hAnsi="Arial"/>
                <w:sz w:val="14"/>
                <w:szCs w:val="14"/>
                <w:color w:val="333740"/>
              </w:rPr>
              <w:t>Pay for performance by aligning performance measures with our strategy and</w:t>
            </w:r>
          </w:p>
        </w:tc>
        <w:tc>
          <w:tcPr>
            <w:tcW w:w="240" w:type="dxa"/>
            <w:vAlign w:val="bottom"/>
          </w:tcPr>
          <w:p>
            <w:pPr>
              <w:spacing w:after="0"/>
              <w:rPr>
                <w:sz w:val="22"/>
                <w:szCs w:val="22"/>
                <w:color w:val="auto"/>
              </w:rPr>
            </w:pPr>
          </w:p>
        </w:tc>
        <w:tc>
          <w:tcPr>
            <w:tcW w:w="5440" w:type="dxa"/>
            <w:vAlign w:val="bottom"/>
          </w:tcPr>
          <w:p>
            <w:pPr>
              <w:ind w:left="320"/>
              <w:spacing w:after="0"/>
              <w:rPr>
                <w:sz w:val="20"/>
                <w:szCs w:val="20"/>
                <w:color w:val="auto"/>
              </w:rPr>
            </w:pPr>
            <w:r>
              <w:rPr>
                <w:rFonts w:ascii="Arial" w:cs="Arial" w:eastAsia="Arial" w:hAnsi="Arial"/>
                <w:sz w:val="14"/>
                <w:szCs w:val="14"/>
                <w:color w:val="333740"/>
              </w:rPr>
              <w:t>No single-trigger vesting upon a change-in-control</w:t>
            </w:r>
          </w:p>
        </w:tc>
        <w:tc>
          <w:tcPr>
            <w:tcW w:w="0" w:type="dxa"/>
            <w:vAlign w:val="bottom"/>
          </w:tcPr>
          <w:p>
            <w:pPr>
              <w:spacing w:after="0"/>
              <w:rPr>
                <w:sz w:val="1"/>
                <w:szCs w:val="1"/>
                <w:color w:val="auto"/>
              </w:rPr>
            </w:pPr>
          </w:p>
        </w:tc>
      </w:tr>
      <w:tr>
        <w:trPr>
          <w:trHeight w:val="179"/>
        </w:trPr>
        <w:tc>
          <w:tcPr>
            <w:tcW w:w="5460" w:type="dxa"/>
            <w:vAlign w:val="bottom"/>
          </w:tcPr>
          <w:p>
            <w:pPr>
              <w:ind w:left="440"/>
              <w:spacing w:after="0"/>
              <w:rPr>
                <w:sz w:val="20"/>
                <w:szCs w:val="20"/>
                <w:color w:val="auto"/>
              </w:rPr>
            </w:pPr>
            <w:r>
              <w:rPr>
                <w:rFonts w:ascii="Arial" w:cs="Arial" w:eastAsia="Arial" w:hAnsi="Arial"/>
                <w:sz w:val="14"/>
                <w:szCs w:val="14"/>
                <w:color w:val="333740"/>
              </w:rPr>
              <w:t>shareholder interests</w:t>
            </w:r>
          </w:p>
        </w:tc>
        <w:tc>
          <w:tcPr>
            <w:tcW w:w="240" w:type="dxa"/>
            <w:vAlign w:val="bottom"/>
          </w:tcPr>
          <w:p>
            <w:pPr>
              <w:spacing w:after="0"/>
              <w:rPr>
                <w:sz w:val="15"/>
                <w:szCs w:val="15"/>
                <w:color w:val="auto"/>
              </w:rPr>
            </w:pPr>
          </w:p>
        </w:tc>
        <w:tc>
          <w:tcPr>
            <w:tcW w:w="5440" w:type="dxa"/>
            <w:vAlign w:val="bottom"/>
            <w:vMerge w:val="restart"/>
          </w:tcPr>
          <w:p>
            <w:pPr>
              <w:ind w:left="320"/>
              <w:spacing w:after="0"/>
              <w:rPr>
                <w:sz w:val="20"/>
                <w:szCs w:val="20"/>
                <w:color w:val="auto"/>
              </w:rPr>
            </w:pPr>
            <w:r>
              <w:rPr>
                <w:rFonts w:ascii="Arial" w:cs="Arial" w:eastAsia="Arial" w:hAnsi="Arial"/>
                <w:sz w:val="14"/>
                <w:szCs w:val="14"/>
                <w:color w:val="333740"/>
              </w:rPr>
              <w:t>No guaranteed bonuses</w:t>
            </w:r>
          </w:p>
        </w:tc>
        <w:tc>
          <w:tcPr>
            <w:tcW w:w="0" w:type="dxa"/>
            <w:vAlign w:val="bottom"/>
          </w:tcPr>
          <w:p>
            <w:pPr>
              <w:spacing w:after="0"/>
              <w:rPr>
                <w:sz w:val="1"/>
                <w:szCs w:val="1"/>
                <w:color w:val="auto"/>
              </w:rPr>
            </w:pPr>
          </w:p>
        </w:tc>
      </w:tr>
      <w:tr>
        <w:trPr>
          <w:trHeight w:val="72"/>
        </w:trPr>
        <w:tc>
          <w:tcPr>
            <w:tcW w:w="5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460" w:type="dxa"/>
            <w:vAlign w:val="bottom"/>
          </w:tcPr>
          <w:p>
            <w:pPr>
              <w:ind w:left="340"/>
              <w:spacing w:after="0"/>
              <w:rPr>
                <w:sz w:val="20"/>
                <w:szCs w:val="20"/>
                <w:color w:val="auto"/>
              </w:rPr>
            </w:pPr>
            <w:r>
              <w:rPr>
                <w:rFonts w:ascii="Arial" w:cs="Arial" w:eastAsia="Arial" w:hAnsi="Arial"/>
                <w:sz w:val="14"/>
                <w:szCs w:val="14"/>
                <w:color w:val="333740"/>
              </w:rPr>
              <w:t>Provide the majority of NEO compensation as performance-based, “at-risk”</w:t>
            </w:r>
          </w:p>
        </w:tc>
        <w:tc>
          <w:tcPr>
            <w:tcW w:w="240" w:type="dxa"/>
            <w:vAlign w:val="bottom"/>
          </w:tcPr>
          <w:p>
            <w:pPr>
              <w:spacing w:after="0"/>
              <w:rPr>
                <w:sz w:val="16"/>
                <w:szCs w:val="16"/>
                <w:color w:val="auto"/>
              </w:rPr>
            </w:pPr>
          </w:p>
        </w:tc>
        <w:tc>
          <w:tcPr>
            <w:tcW w:w="5440" w:type="dxa"/>
            <w:vAlign w:val="bottom"/>
            <w:vMerge w:val="restart"/>
          </w:tcPr>
          <w:p>
            <w:pPr>
              <w:ind w:left="320"/>
              <w:spacing w:after="0"/>
              <w:rPr>
                <w:sz w:val="20"/>
                <w:szCs w:val="20"/>
                <w:color w:val="auto"/>
              </w:rPr>
            </w:pPr>
            <w:r>
              <w:rPr>
                <w:rFonts w:ascii="Arial" w:cs="Arial" w:eastAsia="Arial" w:hAnsi="Arial"/>
                <w:sz w:val="14"/>
                <w:szCs w:val="14"/>
                <w:color w:val="333740"/>
              </w:rPr>
              <w:t>No uncapped incentives</w:t>
            </w:r>
          </w:p>
        </w:tc>
        <w:tc>
          <w:tcPr>
            <w:tcW w:w="0" w:type="dxa"/>
            <w:vAlign w:val="bottom"/>
          </w:tcPr>
          <w:p>
            <w:pPr>
              <w:spacing w:after="0"/>
              <w:rPr>
                <w:sz w:val="1"/>
                <w:szCs w:val="1"/>
                <w:color w:val="auto"/>
              </w:rPr>
            </w:pPr>
          </w:p>
        </w:tc>
      </w:tr>
      <w:tr>
        <w:trPr>
          <w:trHeight w:val="48"/>
        </w:trPr>
        <w:tc>
          <w:tcPr>
            <w:tcW w:w="5460" w:type="dxa"/>
            <w:vAlign w:val="bottom"/>
            <w:vMerge w:val="restart"/>
          </w:tcPr>
          <w:p>
            <w:pPr>
              <w:ind w:left="440"/>
              <w:spacing w:after="0"/>
              <w:rPr>
                <w:sz w:val="20"/>
                <w:szCs w:val="20"/>
                <w:color w:val="auto"/>
              </w:rPr>
            </w:pPr>
            <w:r>
              <w:rPr>
                <w:rFonts w:ascii="Arial" w:cs="Arial" w:eastAsia="Arial" w:hAnsi="Arial"/>
                <w:sz w:val="14"/>
                <w:szCs w:val="14"/>
                <w:color w:val="333740"/>
              </w:rPr>
              <w:t>compensation</w:t>
            </w:r>
          </w:p>
        </w:tc>
        <w:tc>
          <w:tcPr>
            <w:tcW w:w="240" w:type="dxa"/>
            <w:vAlign w:val="bottom"/>
          </w:tcPr>
          <w:p>
            <w:pPr>
              <w:spacing w:after="0"/>
              <w:rPr>
                <w:sz w:val="4"/>
                <w:szCs w:val="4"/>
                <w:color w:val="auto"/>
              </w:rPr>
            </w:pPr>
          </w:p>
        </w:tc>
        <w:tc>
          <w:tcPr>
            <w:tcW w:w="5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54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440" w:type="dxa"/>
            <w:vAlign w:val="bottom"/>
            <w:vMerge w:val="restart"/>
          </w:tcPr>
          <w:p>
            <w:pPr>
              <w:ind w:left="320"/>
              <w:spacing w:after="0"/>
              <w:rPr>
                <w:sz w:val="20"/>
                <w:szCs w:val="20"/>
                <w:color w:val="auto"/>
              </w:rPr>
            </w:pPr>
            <w:r>
              <w:rPr>
                <w:rFonts w:ascii="Arial" w:cs="Arial" w:eastAsia="Arial" w:hAnsi="Arial"/>
                <w:sz w:val="14"/>
                <w:szCs w:val="14"/>
                <w:color w:val="333740"/>
              </w:rPr>
              <w:t>No tax gross-ups on any severance payments</w:t>
            </w:r>
          </w:p>
        </w:tc>
        <w:tc>
          <w:tcPr>
            <w:tcW w:w="0" w:type="dxa"/>
            <w:vAlign w:val="bottom"/>
          </w:tcPr>
          <w:p>
            <w:pPr>
              <w:spacing w:after="0"/>
              <w:rPr>
                <w:sz w:val="1"/>
                <w:szCs w:val="1"/>
                <w:color w:val="auto"/>
              </w:rPr>
            </w:pPr>
          </w:p>
        </w:tc>
      </w:tr>
      <w:tr>
        <w:trPr>
          <w:trHeight w:val="119"/>
        </w:trPr>
        <w:tc>
          <w:tcPr>
            <w:tcW w:w="5460" w:type="dxa"/>
            <w:vAlign w:val="bottom"/>
            <w:vMerge w:val="restart"/>
          </w:tcPr>
          <w:p>
            <w:pPr>
              <w:ind w:left="340"/>
              <w:spacing w:after="0"/>
              <w:rPr>
                <w:sz w:val="20"/>
                <w:szCs w:val="20"/>
                <w:color w:val="auto"/>
              </w:rPr>
            </w:pPr>
            <w:r>
              <w:rPr>
                <w:rFonts w:ascii="Arial" w:cs="Arial" w:eastAsia="Arial" w:hAnsi="Arial"/>
                <w:sz w:val="14"/>
                <w:szCs w:val="14"/>
                <w:color w:val="333740"/>
              </w:rPr>
              <w:t>Maintain a clawback policy in the event of malfeasance or fraud</w:t>
            </w:r>
          </w:p>
        </w:tc>
        <w:tc>
          <w:tcPr>
            <w:tcW w:w="240" w:type="dxa"/>
            <w:vAlign w:val="bottom"/>
          </w:tcPr>
          <w:p>
            <w:pPr>
              <w:spacing w:after="0"/>
              <w:rPr>
                <w:sz w:val="10"/>
                <w:szCs w:val="10"/>
                <w:color w:val="auto"/>
              </w:rPr>
            </w:pPr>
          </w:p>
        </w:tc>
        <w:tc>
          <w:tcPr>
            <w:tcW w:w="5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40" w:type="dxa"/>
            <w:vAlign w:val="bottom"/>
            <w:vMerge w:val="restart"/>
          </w:tcPr>
          <w:p>
            <w:pPr>
              <w:ind w:left="320"/>
              <w:spacing w:after="0"/>
              <w:rPr>
                <w:sz w:val="20"/>
                <w:szCs w:val="20"/>
                <w:color w:val="auto"/>
              </w:rPr>
            </w:pPr>
            <w:r>
              <w:rPr>
                <w:rFonts w:ascii="Arial" w:cs="Arial" w:eastAsia="Arial" w:hAnsi="Arial"/>
                <w:sz w:val="14"/>
                <w:szCs w:val="14"/>
                <w:color w:val="333740"/>
              </w:rPr>
              <w:t>No excessive perquisites, benefits, or pension payments</w:t>
            </w:r>
          </w:p>
        </w:tc>
        <w:tc>
          <w:tcPr>
            <w:tcW w:w="0" w:type="dxa"/>
            <w:vAlign w:val="bottom"/>
          </w:tcPr>
          <w:p>
            <w:pPr>
              <w:spacing w:after="0"/>
              <w:rPr>
                <w:sz w:val="1"/>
                <w:szCs w:val="1"/>
                <w:color w:val="auto"/>
              </w:rPr>
            </w:pPr>
          </w:p>
        </w:tc>
      </w:tr>
      <w:tr>
        <w:trPr>
          <w:trHeight w:val="96"/>
        </w:trPr>
        <w:tc>
          <w:tcPr>
            <w:tcW w:w="5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460" w:type="dxa"/>
            <w:vAlign w:val="bottom"/>
          </w:tcPr>
          <w:p>
            <w:pPr>
              <w:ind w:left="340"/>
              <w:spacing w:after="0"/>
              <w:rPr>
                <w:sz w:val="20"/>
                <w:szCs w:val="20"/>
                <w:color w:val="auto"/>
              </w:rPr>
            </w:pPr>
            <w:r>
              <w:rPr>
                <w:rFonts w:ascii="Arial" w:cs="Arial" w:eastAsia="Arial" w:hAnsi="Arial"/>
                <w:sz w:val="14"/>
                <w:szCs w:val="14"/>
                <w:color w:val="333740"/>
              </w:rPr>
              <w:t>Require robust executive and director share ownership requirements</w:t>
            </w:r>
          </w:p>
        </w:tc>
        <w:tc>
          <w:tcPr>
            <w:tcW w:w="240" w:type="dxa"/>
            <w:vAlign w:val="bottom"/>
          </w:tcPr>
          <w:p>
            <w:pPr>
              <w:spacing w:after="0"/>
              <w:rPr>
                <w:sz w:val="15"/>
                <w:szCs w:val="15"/>
                <w:color w:val="auto"/>
              </w:rPr>
            </w:pPr>
          </w:p>
        </w:tc>
        <w:tc>
          <w:tcPr>
            <w:tcW w:w="5440" w:type="dxa"/>
            <w:vAlign w:val="bottom"/>
            <w:vMerge w:val="restart"/>
          </w:tcPr>
          <w:p>
            <w:pPr>
              <w:ind w:left="320"/>
              <w:spacing w:after="0"/>
              <w:rPr>
                <w:sz w:val="20"/>
                <w:szCs w:val="20"/>
                <w:color w:val="auto"/>
              </w:rPr>
            </w:pPr>
            <w:r>
              <w:rPr>
                <w:rFonts w:ascii="Arial" w:cs="Arial" w:eastAsia="Arial" w:hAnsi="Arial"/>
                <w:sz w:val="14"/>
                <w:szCs w:val="14"/>
                <w:color w:val="333740"/>
              </w:rPr>
              <w:t>No discounting, reloading, or repricing of stock options</w:t>
            </w:r>
          </w:p>
        </w:tc>
        <w:tc>
          <w:tcPr>
            <w:tcW w:w="0" w:type="dxa"/>
            <w:vAlign w:val="bottom"/>
          </w:tcPr>
          <w:p>
            <w:pPr>
              <w:spacing w:after="0"/>
              <w:rPr>
                <w:sz w:val="1"/>
                <w:szCs w:val="1"/>
                <w:color w:val="auto"/>
              </w:rPr>
            </w:pPr>
          </w:p>
        </w:tc>
      </w:tr>
      <w:tr>
        <w:trPr>
          <w:trHeight w:val="96"/>
        </w:trPr>
        <w:tc>
          <w:tcPr>
            <w:tcW w:w="5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460" w:type="dxa"/>
            <w:vAlign w:val="bottom"/>
          </w:tcPr>
          <w:p>
            <w:pPr>
              <w:ind w:left="340"/>
              <w:spacing w:after="0"/>
              <w:rPr>
                <w:sz w:val="20"/>
                <w:szCs w:val="20"/>
                <w:color w:val="auto"/>
              </w:rPr>
            </w:pPr>
            <w:r>
              <w:rPr>
                <w:rFonts w:ascii="Arial" w:cs="Arial" w:eastAsia="Arial" w:hAnsi="Arial"/>
                <w:sz w:val="14"/>
                <w:szCs w:val="14"/>
                <w:color w:val="333740"/>
              </w:rPr>
              <w:t>Engage an independent, external compensation consultant</w:t>
            </w:r>
          </w:p>
        </w:tc>
        <w:tc>
          <w:tcPr>
            <w:tcW w:w="240" w:type="dxa"/>
            <w:vAlign w:val="bottom"/>
          </w:tcPr>
          <w:p>
            <w:pPr>
              <w:spacing w:after="0"/>
              <w:rPr>
                <w:sz w:val="15"/>
                <w:szCs w:val="15"/>
                <w:color w:val="auto"/>
              </w:rPr>
            </w:pPr>
          </w:p>
        </w:tc>
        <w:tc>
          <w:tcPr>
            <w:tcW w:w="5440" w:type="dxa"/>
            <w:vAlign w:val="bottom"/>
          </w:tcPr>
          <w:p>
            <w:pPr>
              <w:ind w:left="320"/>
              <w:spacing w:after="0"/>
              <w:rPr>
                <w:sz w:val="20"/>
                <w:szCs w:val="20"/>
                <w:color w:val="auto"/>
              </w:rPr>
            </w:pPr>
            <w:r>
              <w:rPr>
                <w:rFonts w:ascii="Arial" w:cs="Arial" w:eastAsia="Arial" w:hAnsi="Arial"/>
                <w:sz w:val="14"/>
                <w:szCs w:val="14"/>
                <w:color w:val="333740"/>
              </w:rPr>
              <w:t>No hedging and pledging of Company securities</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4"/>
        <w:spacing w:after="0"/>
        <w:rPr>
          <w:sz w:val="20"/>
          <w:szCs w:val="20"/>
          <w:color w:val="auto"/>
        </w:rPr>
      </w:pPr>
      <w:r>
        <w:rPr>
          <w:rFonts w:ascii="Arial" w:cs="Arial" w:eastAsia="Arial" w:hAnsi="Arial"/>
          <w:sz w:val="14"/>
          <w:szCs w:val="14"/>
          <w:color w:val="333740"/>
        </w:rPr>
        <w:t>Benchmark compensation against relevant global and industry peer groups</w:t>
      </w:r>
    </w:p>
    <w:p>
      <w:pPr>
        <w:spacing w:after="0" w:line="96" w:lineRule="exact"/>
        <w:rPr>
          <w:sz w:val="20"/>
          <w:szCs w:val="20"/>
          <w:color w:val="auto"/>
        </w:rPr>
      </w:pPr>
    </w:p>
    <w:p>
      <w:pPr>
        <w:ind w:left="404"/>
        <w:spacing w:after="0"/>
        <w:rPr>
          <w:sz w:val="20"/>
          <w:szCs w:val="20"/>
          <w:color w:val="auto"/>
        </w:rPr>
      </w:pPr>
      <w:r>
        <w:rPr>
          <w:rFonts w:ascii="Arial" w:cs="Arial" w:eastAsia="Arial" w:hAnsi="Arial"/>
          <w:sz w:val="14"/>
          <w:szCs w:val="14"/>
          <w:color w:val="333740"/>
        </w:rPr>
        <w:t>Cap performance stock unit (“</w:t>
      </w:r>
      <w:r>
        <w:rPr>
          <w:rFonts w:ascii="Arial" w:cs="Arial" w:eastAsia="Arial" w:hAnsi="Arial"/>
          <w:sz w:val="14"/>
          <w:szCs w:val="14"/>
          <w:b w:val="1"/>
          <w:bCs w:val="1"/>
          <w:color w:val="333740"/>
        </w:rPr>
        <w:t>PSU</w:t>
      </w:r>
      <w:r>
        <w:rPr>
          <w:rFonts w:ascii="Arial" w:cs="Arial" w:eastAsia="Arial" w:hAnsi="Arial"/>
          <w:sz w:val="14"/>
          <w:szCs w:val="14"/>
          <w:color w:val="333740"/>
        </w:rPr>
        <w:t>”) payout at target when relative Total</w:t>
      </w:r>
    </w:p>
    <w:p>
      <w:pPr>
        <w:spacing w:after="0" w:line="29" w:lineRule="exact"/>
        <w:rPr>
          <w:sz w:val="20"/>
          <w:szCs w:val="20"/>
          <w:color w:val="auto"/>
        </w:rPr>
      </w:pPr>
    </w:p>
    <w:p>
      <w:pPr>
        <w:ind w:left="504"/>
        <w:spacing w:after="0"/>
        <w:rPr>
          <w:sz w:val="20"/>
          <w:szCs w:val="20"/>
          <w:color w:val="auto"/>
        </w:rPr>
      </w:pPr>
      <w:r>
        <w:rPr>
          <w:rFonts w:ascii="Arial" w:cs="Arial" w:eastAsia="Arial" w:hAnsi="Arial"/>
          <w:sz w:val="14"/>
          <w:szCs w:val="14"/>
          <w:color w:val="333740"/>
        </w:rPr>
        <w:t>Shareholder Return (“</w:t>
      </w:r>
      <w:r>
        <w:rPr>
          <w:rFonts w:ascii="Arial" w:cs="Arial" w:eastAsia="Arial" w:hAnsi="Arial"/>
          <w:sz w:val="14"/>
          <w:szCs w:val="14"/>
          <w:b w:val="1"/>
          <w:bCs w:val="1"/>
          <w:color w:val="333740"/>
        </w:rPr>
        <w:t>TSR</w:t>
      </w:r>
      <w:r>
        <w:rPr>
          <w:rFonts w:ascii="Arial" w:cs="Arial" w:eastAsia="Arial" w:hAnsi="Arial"/>
          <w:sz w:val="14"/>
          <w:szCs w:val="14"/>
          <w:color w:val="333740"/>
        </w:rPr>
        <w:t>”) exceeds peers’ but absolute TSR is negative</w:t>
      </w:r>
    </w:p>
    <w:p>
      <w:pPr>
        <w:spacing w:after="0" w:line="200" w:lineRule="exact"/>
        <w:rPr>
          <w:sz w:val="20"/>
          <w:szCs w:val="20"/>
          <w:color w:val="auto"/>
        </w:rPr>
      </w:pPr>
    </w:p>
    <w:p>
      <w:pPr>
        <w:spacing w:after="0" w:line="243" w:lineRule="exact"/>
        <w:rPr>
          <w:sz w:val="20"/>
          <w:szCs w:val="20"/>
          <w:color w:val="auto"/>
        </w:rPr>
      </w:pPr>
    </w:p>
    <w:p>
      <w:pPr>
        <w:ind w:left="224"/>
        <w:spacing w:after="0"/>
        <w:rPr>
          <w:sz w:val="20"/>
          <w:szCs w:val="20"/>
          <w:color w:val="auto"/>
        </w:rPr>
      </w:pPr>
      <w:r>
        <w:rPr>
          <w:rFonts w:ascii="Arial" w:cs="Arial" w:eastAsia="Arial" w:hAnsi="Arial"/>
          <w:sz w:val="14"/>
          <w:szCs w:val="14"/>
          <w:color w:val="FFFFFF"/>
        </w:rPr>
        <w:t>In response to shareholder feedback provided in 2019, we have taken the following actions:</w:t>
      </w:r>
    </w:p>
    <w:p>
      <w:pPr>
        <w:spacing w:after="0" w:line="115" w:lineRule="exact"/>
        <w:rPr>
          <w:sz w:val="20"/>
          <w:szCs w:val="20"/>
          <w:color w:val="auto"/>
        </w:rPr>
      </w:pPr>
    </w:p>
    <w:p>
      <w:pPr>
        <w:ind w:left="484"/>
        <w:spacing w:after="0"/>
        <w:rPr>
          <w:sz w:val="20"/>
          <w:szCs w:val="20"/>
          <w:color w:val="auto"/>
        </w:rPr>
      </w:pPr>
      <w:r>
        <w:rPr>
          <w:rFonts w:ascii="Arial" w:cs="Arial" w:eastAsia="Arial" w:hAnsi="Arial"/>
          <w:sz w:val="14"/>
          <w:szCs w:val="14"/>
          <w:color w:val="333740"/>
        </w:rPr>
        <w:t>Eliminated the role of Executive Chairman following completion of post-Merger (as defined below) integration and reduced to a single, CEO-level compensation structure.</w:t>
      </w:r>
    </w:p>
    <w:p>
      <w:pPr>
        <w:spacing w:after="0" w:line="102" w:lineRule="exact"/>
        <w:rPr>
          <w:sz w:val="20"/>
          <w:szCs w:val="20"/>
          <w:color w:val="auto"/>
        </w:rPr>
      </w:pPr>
    </w:p>
    <w:p>
      <w:pPr>
        <w:ind w:left="504" w:right="100" w:hanging="23"/>
        <w:spacing w:after="0" w:line="265" w:lineRule="auto"/>
        <w:rPr>
          <w:sz w:val="20"/>
          <w:szCs w:val="20"/>
          <w:color w:val="auto"/>
        </w:rPr>
      </w:pPr>
      <w:r>
        <w:rPr>
          <w:rFonts w:ascii="Arial" w:cs="Arial" w:eastAsia="Arial" w:hAnsi="Arial"/>
          <w:sz w:val="14"/>
          <w:szCs w:val="14"/>
          <w:color w:val="333740"/>
        </w:rPr>
        <w:t>Discontinued the use of stock options so that performance-based equity will represent 70% of all annual equity awards beginning in 2020, and annual equity awards will comprise only PSUs (70%) and time-based restricted stock units (“</w:t>
      </w:r>
      <w:r>
        <w:rPr>
          <w:rFonts w:ascii="Arial" w:cs="Arial" w:eastAsia="Arial" w:hAnsi="Arial"/>
          <w:sz w:val="14"/>
          <w:szCs w:val="14"/>
          <w:b w:val="1"/>
          <w:bCs w:val="1"/>
          <w:color w:val="333740"/>
        </w:rPr>
        <w:t>RSUs</w:t>
      </w:r>
      <w:r>
        <w:rPr>
          <w:rFonts w:ascii="Arial" w:cs="Arial" w:eastAsia="Arial" w:hAnsi="Arial"/>
          <w:sz w:val="14"/>
          <w:szCs w:val="14"/>
          <w:color w:val="333740"/>
        </w:rPr>
        <w:t>”) (30%).</w:t>
      </w:r>
    </w:p>
    <w:p>
      <w:pPr>
        <w:spacing w:after="0" w:line="51" w:lineRule="exact"/>
        <w:rPr>
          <w:sz w:val="20"/>
          <w:szCs w:val="20"/>
          <w:color w:val="auto"/>
        </w:rPr>
      </w:pPr>
    </w:p>
    <w:p>
      <w:pPr>
        <w:ind w:left="484"/>
        <w:spacing w:after="0"/>
        <w:rPr>
          <w:sz w:val="20"/>
          <w:szCs w:val="20"/>
          <w:color w:val="auto"/>
        </w:rPr>
      </w:pPr>
      <w:r>
        <w:rPr>
          <w:rFonts w:ascii="Arial" w:cs="Arial" w:eastAsia="Arial" w:hAnsi="Arial"/>
          <w:sz w:val="14"/>
          <w:szCs w:val="14"/>
          <w:color w:val="333740"/>
        </w:rPr>
        <w:t>Retained the metric, EBITDA as a Percentage of Revenue, under our annual incentive plan to reinforce the link between annual incentive metrics and business strategy.</w:t>
      </w:r>
    </w:p>
    <w:p>
      <w:pPr>
        <w:spacing w:after="0" w:line="84" w:lineRule="exact"/>
        <w:rPr>
          <w:sz w:val="20"/>
          <w:szCs w:val="20"/>
          <w:color w:val="auto"/>
        </w:rPr>
      </w:pPr>
    </w:p>
    <w:p>
      <w:pPr>
        <w:ind w:left="504" w:right="120" w:hanging="23"/>
        <w:spacing w:after="0" w:line="263" w:lineRule="auto"/>
        <w:rPr>
          <w:sz w:val="20"/>
          <w:szCs w:val="20"/>
          <w:color w:val="auto"/>
        </w:rPr>
      </w:pPr>
      <w:r>
        <w:rPr>
          <w:rFonts w:ascii="Arial" w:cs="Arial" w:eastAsia="Arial" w:hAnsi="Arial"/>
          <w:sz w:val="14"/>
          <w:szCs w:val="14"/>
          <w:color w:val="333740"/>
        </w:rPr>
        <w:t>Continued the use of Return on Invested Capital (“</w:t>
      </w:r>
      <w:r>
        <w:rPr>
          <w:rFonts w:ascii="Arial" w:cs="Arial" w:eastAsia="Arial" w:hAnsi="Arial"/>
          <w:sz w:val="14"/>
          <w:szCs w:val="14"/>
          <w:b w:val="1"/>
          <w:bCs w:val="1"/>
          <w:color w:val="333740"/>
        </w:rPr>
        <w:t>ROIC</w:t>
      </w:r>
      <w:r>
        <w:rPr>
          <w:rFonts w:ascii="Arial" w:cs="Arial" w:eastAsia="Arial" w:hAnsi="Arial"/>
          <w:sz w:val="14"/>
          <w:szCs w:val="14"/>
          <w:color w:val="333740"/>
        </w:rPr>
        <w:t>”) in our long-term equity incentive plan, in addition to relative TSR. ROIC is an absolute financial metric that measures management’s ability to efficiently allocate capital, and performance for ROIC is measured against an internal target. The relative TSR metric is based on share price performance relative to an external peer group. Due to the cyclical nature of the oil and gas industry, shareholders have supported inclusion of both internal and external metrics in long-term equity incentive plans.</w:t>
      </w:r>
    </w:p>
    <w:p>
      <w:pPr>
        <w:spacing w:after="0" w:line="65" w:lineRule="exact"/>
        <w:rPr>
          <w:sz w:val="20"/>
          <w:szCs w:val="20"/>
          <w:color w:val="auto"/>
        </w:rPr>
      </w:pPr>
    </w:p>
    <w:p>
      <w:pPr>
        <w:ind w:left="484"/>
        <w:spacing w:after="0"/>
        <w:rPr>
          <w:sz w:val="20"/>
          <w:szCs w:val="20"/>
          <w:color w:val="auto"/>
        </w:rPr>
      </w:pPr>
      <w:r>
        <w:rPr>
          <w:rFonts w:ascii="Arial" w:cs="Arial" w:eastAsia="Arial" w:hAnsi="Arial"/>
          <w:sz w:val="14"/>
          <w:szCs w:val="14"/>
          <w:color w:val="333740"/>
        </w:rPr>
        <w:t>Based a portion of our CEO’s annual cash incentive bonus on certain sustainability measures to further reinforce the Company’s commitment to our Foundational Beliefs.</w:t>
      </w:r>
    </w:p>
    <w:p>
      <w:pPr>
        <w:spacing w:after="0" w:line="102" w:lineRule="exact"/>
        <w:rPr>
          <w:sz w:val="20"/>
          <w:szCs w:val="20"/>
          <w:color w:val="auto"/>
        </w:rPr>
      </w:pPr>
    </w:p>
    <w:p>
      <w:pPr>
        <w:ind w:left="484"/>
        <w:spacing w:after="0"/>
        <w:rPr>
          <w:sz w:val="20"/>
          <w:szCs w:val="20"/>
          <w:color w:val="auto"/>
        </w:rPr>
      </w:pPr>
      <w:r>
        <w:rPr>
          <w:rFonts w:ascii="Arial" w:cs="Arial" w:eastAsia="Arial" w:hAnsi="Arial"/>
          <w:sz w:val="14"/>
          <w:szCs w:val="14"/>
          <w:color w:val="333740"/>
        </w:rPr>
        <w:t>Updated our compensation and performance peer groups to reflect changes in our business environment.</w:t>
      </w:r>
    </w:p>
    <w:p>
      <w:pPr>
        <w:spacing w:after="0" w:line="6" w:lineRule="exact"/>
        <w:rPr>
          <w:sz w:val="20"/>
          <w:szCs w:val="20"/>
          <w:color w:val="auto"/>
        </w:rPr>
      </w:pPr>
    </w:p>
    <w:p>
      <w:pPr>
        <w:ind w:left="504" w:right="400" w:hanging="23"/>
        <w:spacing w:after="0" w:line="265" w:lineRule="auto"/>
        <w:rPr>
          <w:sz w:val="20"/>
          <w:szCs w:val="20"/>
          <w:color w:val="auto"/>
        </w:rPr>
      </w:pPr>
      <w:r>
        <w:rPr>
          <w:rFonts w:ascii="Arial" w:cs="Arial" w:eastAsia="Arial" w:hAnsi="Arial"/>
          <w:sz w:val="14"/>
          <w:szCs w:val="14"/>
          <w:color w:val="333740"/>
        </w:rPr>
        <w:t>Simplified disclosures in our Compensation Discussion and Analysis to provide additional details and calculations, including enhanced descriptions of the individual performance component of our annual cash incentive bonus plan, as well as our target-setting process and our peer group selection rationale.</w:t>
      </w:r>
    </w:p>
    <w:p>
      <w:pPr>
        <w:spacing w:after="0" w:line="83" w:lineRule="exact"/>
        <w:rPr>
          <w:sz w:val="20"/>
          <w:szCs w:val="20"/>
          <w:color w:val="auto"/>
        </w:rPr>
      </w:pPr>
    </w:p>
    <w:p>
      <w:pPr>
        <w:ind w:left="64" w:right="400"/>
        <w:spacing w:after="0" w:line="269" w:lineRule="auto"/>
        <w:rPr>
          <w:sz w:val="20"/>
          <w:szCs w:val="20"/>
          <w:color w:val="auto"/>
        </w:rPr>
      </w:pPr>
      <w:r>
        <w:rPr>
          <w:rFonts w:ascii="Arial" w:cs="Arial" w:eastAsia="Arial" w:hAnsi="Arial"/>
          <w:sz w:val="19"/>
          <w:szCs w:val="19"/>
          <w:color w:val="333740"/>
        </w:rPr>
        <w:t>For additional details regarding our executive compensation program, please see the section entitled “</w:t>
      </w:r>
      <w:r>
        <w:rPr>
          <w:rFonts w:ascii="Arial" w:cs="Arial" w:eastAsia="Arial" w:hAnsi="Arial"/>
          <w:sz w:val="19"/>
          <w:szCs w:val="19"/>
          <w:i w:val="1"/>
          <w:iCs w:val="1"/>
          <w:color w:val="333740"/>
        </w:rPr>
        <w:t>Executive Compensation</w:t>
      </w:r>
      <w:r>
        <w:rPr>
          <w:rFonts w:ascii="Arial" w:cs="Arial" w:eastAsia="Arial" w:hAnsi="Arial"/>
          <w:sz w:val="19"/>
          <w:szCs w:val="19"/>
          <w:color w:val="333740"/>
        </w:rPr>
        <w:t xml:space="preserve"> </w:t>
      </w:r>
      <w:r>
        <w:rPr>
          <w:rFonts w:ascii="Arial" w:cs="Arial" w:eastAsia="Arial" w:hAnsi="Arial"/>
          <w:sz w:val="19"/>
          <w:szCs w:val="19"/>
          <w:i w:val="1"/>
          <w:iCs w:val="1"/>
          <w:color w:val="333740"/>
        </w:rPr>
        <w:t>Discussion and Analysis</w:t>
      </w:r>
      <w:r>
        <w:rPr>
          <w:rFonts w:ascii="Arial" w:cs="Arial" w:eastAsia="Arial" w:hAnsi="Arial"/>
          <w:sz w:val="19"/>
          <w:szCs w:val="19"/>
          <w:color w:val="333740"/>
        </w:rPr>
        <w:t>.”</w:t>
      </w:r>
    </w:p>
    <w:p>
      <w:pPr>
        <w:spacing w:after="0" w:line="200" w:lineRule="exact"/>
        <w:rPr>
          <w:sz w:val="20"/>
          <w:szCs w:val="20"/>
          <w:color w:val="auto"/>
        </w:rPr>
      </w:pPr>
    </w:p>
    <w:p>
      <w:pPr>
        <w:spacing w:after="0" w:line="201" w:lineRule="exact"/>
        <w:rPr>
          <w:sz w:val="20"/>
          <w:szCs w:val="20"/>
          <w:color w:val="auto"/>
        </w:rPr>
      </w:pPr>
    </w:p>
    <w:p>
      <w:pPr>
        <w:ind w:left="564" w:hanging="564"/>
        <w:spacing w:after="0"/>
        <w:tabs>
          <w:tab w:leader="none" w:pos="564" w:val="left"/>
        </w:tabs>
        <w:numPr>
          <w:ilvl w:val="0"/>
          <w:numId w:val="22"/>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4"/>
          </w:cols>
          <w:pgMar w:left="316" w:top="128" w:right="379" w:bottom="1440" w:gutter="0" w:footer="0" w:header="0"/>
        </w:sectPr>
      </w:pPr>
    </w:p>
    <w:bookmarkStart w:id="16" w:name="page17"/>
    <w:bookmarkEnd w:id="16"/>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p>
    <w:p>
      <w:pPr>
        <w:ind w:left="4" w:right="4160"/>
        <w:spacing w:after="0" w:line="315" w:lineRule="auto"/>
        <w:rPr>
          <w:sz w:val="20"/>
          <w:szCs w:val="20"/>
          <w:color w:val="auto"/>
        </w:rPr>
      </w:pPr>
      <w:r>
        <w:rPr>
          <w:rFonts w:ascii="Arial" w:cs="Arial" w:eastAsia="Arial" w:hAnsi="Arial"/>
          <w:sz w:val="57"/>
          <w:szCs w:val="57"/>
          <w:color w:val="481F6E"/>
        </w:rPr>
        <w:t>Corporate Responsibility and Sustainability</w:t>
      </w:r>
    </w:p>
    <w:p>
      <w:pPr>
        <w:spacing w:after="0" w:line="4" w:lineRule="exact"/>
        <w:rPr>
          <w:sz w:val="20"/>
          <w:szCs w:val="20"/>
          <w:color w:val="auto"/>
        </w:rPr>
      </w:pPr>
    </w:p>
    <w:p>
      <w:pPr>
        <w:ind w:left="4" w:right="160"/>
        <w:spacing w:after="0" w:line="242" w:lineRule="auto"/>
        <w:rPr>
          <w:sz w:val="20"/>
          <w:szCs w:val="20"/>
          <w:color w:val="auto"/>
        </w:rPr>
      </w:pPr>
      <w:r>
        <w:rPr>
          <w:rFonts w:ascii="Arial" w:cs="Arial" w:eastAsia="Arial" w:hAnsi="Arial"/>
          <w:sz w:val="19"/>
          <w:szCs w:val="19"/>
          <w:color w:val="333740"/>
        </w:rPr>
        <w:t>We are a global leader in oil and gas projects, technologies, systems, and services and provide our clients deep expertise across subsea, onshore/offshore, and surface projects. Our vision to enhance the performance of the world’s energy industry is supported by a relentless drive of every individual at TechnipFMC.</w:t>
      </w:r>
    </w:p>
    <w:p>
      <w:pPr>
        <w:spacing w:after="0" w:line="80" w:lineRule="exact"/>
        <w:rPr>
          <w:sz w:val="20"/>
          <w:szCs w:val="20"/>
          <w:color w:val="auto"/>
        </w:rPr>
      </w:pPr>
    </w:p>
    <w:p>
      <w:pPr>
        <w:jc w:val="both"/>
        <w:ind w:left="4" w:right="740"/>
        <w:spacing w:after="0" w:line="247" w:lineRule="auto"/>
        <w:rPr>
          <w:sz w:val="20"/>
          <w:szCs w:val="20"/>
          <w:color w:val="auto"/>
        </w:rPr>
      </w:pPr>
      <w:r>
        <w:rPr>
          <w:rFonts w:ascii="Arial" w:cs="Arial" w:eastAsia="Arial" w:hAnsi="Arial"/>
          <w:sz w:val="19"/>
          <w:szCs w:val="19"/>
          <w:color w:val="333740"/>
        </w:rPr>
        <w:t>Our decisions regarding corporate responsibility, governance, and sustainability are founded on the principles that guide our Company. Our core values provide the framework for all of our decision making and are based on our Foundational Beliefs.</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33"/>
          <w:szCs w:val="33"/>
          <w:color w:val="481F6E"/>
        </w:rPr>
        <w:t>Core Values and Foundational Beliefs</w:t>
      </w:r>
    </w:p>
    <w:p>
      <w:pPr>
        <w:spacing w:after="0" w:line="25" w:lineRule="exact"/>
        <w:rPr>
          <w:sz w:val="20"/>
          <w:szCs w:val="20"/>
          <w:color w:val="auto"/>
        </w:rPr>
      </w:pPr>
    </w:p>
    <w:p>
      <w:pPr>
        <w:ind w:left="4"/>
        <w:spacing w:after="0" w:line="247" w:lineRule="auto"/>
        <w:rPr>
          <w:sz w:val="20"/>
          <w:szCs w:val="20"/>
          <w:color w:val="auto"/>
        </w:rPr>
      </w:pPr>
      <w:r>
        <w:rPr>
          <w:rFonts w:ascii="Arial" w:cs="Arial" w:eastAsia="Arial" w:hAnsi="Arial"/>
          <w:sz w:val="19"/>
          <w:szCs w:val="19"/>
          <w:color w:val="333740"/>
        </w:rPr>
        <w:t>Our core values are the drivers that guide how we act in a distinctly TechnipFMC way, so we can deliver on our purpose and achieve our vision. We bring our values to life through our behaviors—specific, observable, and measurable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5379720" cy="1851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7972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4" w:hanging="564"/>
        <w:spacing w:after="0"/>
        <w:tabs>
          <w:tab w:leader="none" w:pos="564" w:val="left"/>
        </w:tabs>
        <w:numPr>
          <w:ilvl w:val="0"/>
          <w:numId w:val="23"/>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84"/>
          </w:cols>
          <w:pgMar w:left="316" w:top="128" w:right="399" w:bottom="1440" w:gutter="0" w:footer="0" w:header="0"/>
        </w:sectPr>
      </w:pPr>
    </w:p>
    <w:bookmarkStart w:id="17" w:name="page18"/>
    <w:bookmarkEnd w:id="17"/>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3" w:lineRule="exact"/>
        <w:rPr>
          <w:sz w:val="20"/>
          <w:szCs w:val="20"/>
          <w:color w:val="auto"/>
        </w:rPr>
      </w:pPr>
    </w:p>
    <w:p>
      <w:pPr>
        <w:ind w:left="4" w:right="440"/>
        <w:spacing w:after="0" w:line="247" w:lineRule="auto"/>
        <w:rPr>
          <w:sz w:val="20"/>
          <w:szCs w:val="20"/>
          <w:color w:val="auto"/>
        </w:rPr>
      </w:pPr>
      <w:r>
        <w:rPr>
          <w:rFonts w:ascii="Arial" w:cs="Arial" w:eastAsia="Arial" w:hAnsi="Arial"/>
          <w:sz w:val="19"/>
          <w:szCs w:val="19"/>
          <w:color w:val="333740"/>
        </w:rPr>
        <w:t>Our Foundational Beliefs are the cornerstone of our values that describe how we fundamentally do business and what we never compromise on, no matter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1108075</wp:posOffset>
            </wp:positionH>
            <wp:positionV relativeFrom="paragraph">
              <wp:posOffset>127635</wp:posOffset>
            </wp:positionV>
            <wp:extent cx="4939665" cy="3042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3966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
        <w:spacing w:after="0"/>
        <w:rPr>
          <w:sz w:val="20"/>
          <w:szCs w:val="20"/>
          <w:color w:val="auto"/>
        </w:rPr>
      </w:pPr>
      <w:r>
        <w:rPr>
          <w:rFonts w:ascii="Arial" w:cs="Arial" w:eastAsia="Arial" w:hAnsi="Arial"/>
          <w:sz w:val="33"/>
          <w:szCs w:val="33"/>
          <w:color w:val="481F6E"/>
        </w:rPr>
        <w:t>Code of Business Conduct</w:t>
      </w:r>
    </w:p>
    <w:p>
      <w:pPr>
        <w:spacing w:after="0" w:line="324" w:lineRule="exact"/>
        <w:rPr>
          <w:sz w:val="20"/>
          <w:szCs w:val="20"/>
          <w:color w:val="auto"/>
        </w:rPr>
      </w:pPr>
    </w:p>
    <w:p>
      <w:pPr>
        <w:ind w:left="4" w:right="560"/>
        <w:spacing w:after="0" w:line="236" w:lineRule="auto"/>
        <w:rPr>
          <w:sz w:val="20"/>
          <w:szCs w:val="20"/>
          <w:color w:val="auto"/>
        </w:rPr>
      </w:pPr>
      <w:r>
        <w:rPr>
          <w:rFonts w:ascii="Arial" w:cs="Arial" w:eastAsia="Arial" w:hAnsi="Arial"/>
          <w:sz w:val="19"/>
          <w:szCs w:val="19"/>
          <w:color w:val="333740"/>
        </w:rPr>
        <w:t>Our Code of Business Conduct is built on our Foundational Beliefs and gives our directors, officers, and employees a common language and playbook for decisions and actions that help us live our core values. We are committed to</w:t>
      </w:r>
    </w:p>
    <w:p>
      <w:pPr>
        <w:spacing w:after="0" w:line="1" w:lineRule="exact"/>
        <w:rPr>
          <w:sz w:val="20"/>
          <w:szCs w:val="20"/>
          <w:color w:val="auto"/>
        </w:rPr>
      </w:pPr>
    </w:p>
    <w:p>
      <w:pPr>
        <w:ind w:left="4" w:right="20"/>
        <w:spacing w:after="0"/>
        <w:rPr>
          <w:sz w:val="20"/>
          <w:szCs w:val="20"/>
          <w:color w:val="auto"/>
        </w:rPr>
      </w:pPr>
      <w:r>
        <w:rPr>
          <w:rFonts w:ascii="Arial" w:cs="Arial" w:eastAsia="Arial" w:hAnsi="Arial"/>
          <w:sz w:val="19"/>
          <w:szCs w:val="19"/>
          <w:color w:val="333740"/>
        </w:rPr>
        <w:t>establishing and maintaining an effective compliance program that is intended to increase the likelihood of preventing, detecting, and correcting violations of Company policy and the law. Moreover, we have a hotline in place for employees, officers, directors, and external parties to anonymously report violations of our Code of Business Conduct or complaints regarding accounting and auditing practices. Reports of possible violations of financial or accounting policies are reported to our Audit Committee.</w:t>
      </w:r>
    </w:p>
    <w:p>
      <w:pPr>
        <w:spacing w:after="0" w:line="82" w:lineRule="exact"/>
        <w:rPr>
          <w:sz w:val="20"/>
          <w:szCs w:val="20"/>
          <w:color w:val="auto"/>
        </w:rPr>
      </w:pPr>
    </w:p>
    <w:p>
      <w:pPr>
        <w:ind w:left="4"/>
        <w:spacing w:after="0"/>
        <w:rPr>
          <w:sz w:val="20"/>
          <w:szCs w:val="20"/>
          <w:color w:val="auto"/>
        </w:rPr>
      </w:pPr>
      <w:r>
        <w:rPr>
          <w:rFonts w:ascii="Arial" w:cs="Arial" w:eastAsia="Arial" w:hAnsi="Arial"/>
          <w:sz w:val="19"/>
          <w:szCs w:val="19"/>
          <w:color w:val="333740"/>
        </w:rPr>
        <w:t>We will disclose amendments to, or waivers of, our Code of Business Conduct that are required to be disclosed under the U.S. Securities and Exchange Commission (“</w:t>
      </w:r>
      <w:r>
        <w:rPr>
          <w:rFonts w:ascii="Arial" w:cs="Arial" w:eastAsia="Arial" w:hAnsi="Arial"/>
          <w:sz w:val="19"/>
          <w:szCs w:val="19"/>
          <w:b w:val="1"/>
          <w:bCs w:val="1"/>
          <w:color w:val="333740"/>
        </w:rPr>
        <w:t>SEC</w:t>
      </w:r>
      <w:r>
        <w:rPr>
          <w:rFonts w:ascii="Arial" w:cs="Arial" w:eastAsia="Arial" w:hAnsi="Arial"/>
          <w:sz w:val="19"/>
          <w:szCs w:val="19"/>
          <w:color w:val="333740"/>
        </w:rPr>
        <w:t>”) and NYSE rules or any other applicable laws, rules, and regulations. Any waiver of our Code of Business Conduct for our officers and directors must be approved by the Board or a relevant Board committee. We have not made any such waivers, and do not anticipate making any such waiver.</w:t>
      </w:r>
    </w:p>
    <w:p>
      <w:pPr>
        <w:spacing w:after="0" w:line="355" w:lineRule="exact"/>
        <w:rPr>
          <w:sz w:val="20"/>
          <w:szCs w:val="20"/>
          <w:color w:val="auto"/>
        </w:rPr>
      </w:pPr>
    </w:p>
    <w:p>
      <w:pPr>
        <w:ind w:left="564" w:hanging="564"/>
        <w:spacing w:after="0"/>
        <w:tabs>
          <w:tab w:leader="none" w:pos="564" w:val="left"/>
        </w:tabs>
        <w:numPr>
          <w:ilvl w:val="0"/>
          <w:numId w:val="2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18" w:name="page19"/>
    <w:bookmarkEnd w:id="18"/>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71" w:lineRule="exact"/>
        <w:rPr>
          <w:sz w:val="20"/>
          <w:szCs w:val="20"/>
          <w:color w:val="auto"/>
        </w:rPr>
      </w:pPr>
    </w:p>
    <w:p>
      <w:pPr>
        <w:ind w:left="4"/>
        <w:spacing w:after="0"/>
        <w:rPr>
          <w:sz w:val="20"/>
          <w:szCs w:val="20"/>
          <w:color w:val="auto"/>
        </w:rPr>
      </w:pPr>
      <w:r>
        <w:rPr>
          <w:rFonts w:ascii="Arial" w:cs="Arial" w:eastAsia="Arial" w:hAnsi="Arial"/>
          <w:sz w:val="33"/>
          <w:szCs w:val="33"/>
          <w:color w:val="481F6E"/>
        </w:rPr>
        <w:t>Sustainability</w:t>
      </w:r>
    </w:p>
    <w:p>
      <w:pPr>
        <w:spacing w:after="0" w:line="111" w:lineRule="exact"/>
        <w:rPr>
          <w:sz w:val="20"/>
          <w:szCs w:val="20"/>
          <w:color w:val="auto"/>
        </w:rPr>
      </w:pPr>
    </w:p>
    <w:p>
      <w:pPr>
        <w:jc w:val="both"/>
        <w:ind w:left="4" w:right="120"/>
        <w:spacing w:after="0" w:line="242" w:lineRule="auto"/>
        <w:rPr>
          <w:sz w:val="20"/>
          <w:szCs w:val="20"/>
          <w:color w:val="auto"/>
        </w:rPr>
      </w:pPr>
      <w:r>
        <w:rPr>
          <w:rFonts w:ascii="Arial" w:cs="Arial" w:eastAsia="Arial" w:hAnsi="Arial"/>
          <w:sz w:val="19"/>
          <w:szCs w:val="19"/>
          <w:color w:val="333740"/>
        </w:rPr>
        <w:t>We believe corporate responsibility and sustainability is a key element of our Company’s long-term success and is, therefore, one of our Foundational Beliefs. To ensure that the Company is collectively focused on making meaningful and tangible changes, we have focused our sustainability efforts under three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5379720" cy="4370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79720" cy="437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
        <w:spacing w:after="0" w:line="247" w:lineRule="auto"/>
        <w:rPr>
          <w:sz w:val="20"/>
          <w:szCs w:val="20"/>
          <w:color w:val="auto"/>
        </w:rPr>
      </w:pPr>
      <w:r>
        <w:rPr>
          <w:rFonts w:ascii="Arial" w:cs="Arial" w:eastAsia="Arial" w:hAnsi="Arial"/>
          <w:sz w:val="19"/>
          <w:szCs w:val="19"/>
          <w:color w:val="333740"/>
        </w:rPr>
        <w:t>Each year, we set key performance targets for each of these pillars and report our performance against these targets to our Board and other stakeholders. In addition to these annual objectives, the Company demonstrates its commitment in other ways.</w:t>
      </w:r>
    </w:p>
    <w:p>
      <w:pPr>
        <w:spacing w:after="0" w:line="76" w:lineRule="exact"/>
        <w:rPr>
          <w:sz w:val="20"/>
          <w:szCs w:val="20"/>
          <w:color w:val="auto"/>
        </w:rPr>
      </w:pPr>
    </w:p>
    <w:p>
      <w:pPr>
        <w:ind w:left="4" w:right="300"/>
        <w:spacing w:after="0" w:line="242" w:lineRule="auto"/>
        <w:rPr>
          <w:sz w:val="20"/>
          <w:szCs w:val="20"/>
          <w:color w:val="auto"/>
        </w:rPr>
      </w:pPr>
      <w:r>
        <w:rPr>
          <w:rFonts w:ascii="Arial" w:cs="Arial" w:eastAsia="Arial" w:hAnsi="Arial"/>
          <w:sz w:val="19"/>
          <w:szCs w:val="19"/>
          <w:color w:val="333740"/>
        </w:rPr>
        <w:t>For instance, in 2019, TechnipFMC reaffirmed its support of the Ten Principles of the United Nations (UN) Global Compact in the areas of Human Rights, Labor, Environment, and Anti-Corruption. The UN Global Compact requires an annual Communication on Progress, which is submitted and made publicly available on the UN Global Compact website.</w:t>
      </w:r>
    </w:p>
    <w:p>
      <w:pPr>
        <w:spacing w:after="0" w:line="353" w:lineRule="exact"/>
        <w:rPr>
          <w:sz w:val="20"/>
          <w:szCs w:val="20"/>
          <w:color w:val="auto"/>
        </w:rPr>
      </w:pPr>
    </w:p>
    <w:p>
      <w:pPr>
        <w:ind w:left="564" w:hanging="564"/>
        <w:spacing w:after="0"/>
        <w:tabs>
          <w:tab w:leader="none" w:pos="564" w:val="left"/>
        </w:tabs>
        <w:numPr>
          <w:ilvl w:val="0"/>
          <w:numId w:val="25"/>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19" w:name="page20"/>
    <w:bookmarkEnd w:id="19"/>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9"/>
          <w:szCs w:val="19"/>
          <w:color w:val="333740"/>
        </w:rPr>
        <w:t>Additionally, our Code of Business Conduct requires that we,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168275</wp:posOffset>
            </wp:positionV>
            <wp:extent cx="38100" cy="755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47" w:lineRule="exact"/>
        <w:rPr>
          <w:sz w:val="20"/>
          <w:szCs w:val="20"/>
          <w:color w:val="auto"/>
        </w:rPr>
      </w:pPr>
    </w:p>
    <w:p>
      <w:pPr>
        <w:ind w:left="564"/>
        <w:spacing w:after="0"/>
        <w:rPr>
          <w:sz w:val="20"/>
          <w:szCs w:val="20"/>
          <w:color w:val="auto"/>
        </w:rPr>
      </w:pPr>
      <w:r>
        <w:rPr>
          <w:rFonts w:ascii="Arial" w:cs="Arial" w:eastAsia="Arial" w:hAnsi="Arial"/>
          <w:sz w:val="14"/>
          <w:szCs w:val="14"/>
          <w:color w:val="333740"/>
        </w:rPr>
        <w:t>Design sustainable development initiatives with a focus on long-term added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33020</wp:posOffset>
            </wp:positionV>
            <wp:extent cx="38100" cy="755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4" w:lineRule="exact"/>
        <w:rPr>
          <w:sz w:val="20"/>
          <w:szCs w:val="20"/>
          <w:color w:val="auto"/>
        </w:rPr>
      </w:pPr>
    </w:p>
    <w:p>
      <w:pPr>
        <w:ind w:left="564"/>
        <w:spacing w:after="0"/>
        <w:rPr>
          <w:sz w:val="20"/>
          <w:szCs w:val="20"/>
          <w:color w:val="auto"/>
        </w:rPr>
      </w:pPr>
      <w:r>
        <w:rPr>
          <w:rFonts w:ascii="Arial" w:cs="Arial" w:eastAsia="Arial" w:hAnsi="Arial"/>
          <w:sz w:val="14"/>
          <w:szCs w:val="14"/>
          <w:color w:val="333740"/>
        </w:rPr>
        <w:t>Engage with local communities impacted by our activities in close coordination with our clients and contribute to social and economic self-sustainability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33020</wp:posOffset>
            </wp:positionV>
            <wp:extent cx="38100" cy="755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4" w:lineRule="exact"/>
        <w:rPr>
          <w:sz w:val="20"/>
          <w:szCs w:val="20"/>
          <w:color w:val="auto"/>
        </w:rPr>
      </w:pPr>
    </w:p>
    <w:p>
      <w:pPr>
        <w:ind w:left="564"/>
        <w:spacing w:after="0"/>
        <w:rPr>
          <w:sz w:val="20"/>
          <w:szCs w:val="20"/>
          <w:color w:val="auto"/>
        </w:rPr>
      </w:pPr>
      <w:r>
        <w:rPr>
          <w:rFonts w:ascii="Arial" w:cs="Arial" w:eastAsia="Arial" w:hAnsi="Arial"/>
          <w:sz w:val="14"/>
          <w:szCs w:val="14"/>
          <w:color w:val="333740"/>
        </w:rPr>
        <w:t>Anticipate and minimize potential disruptions to the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33020</wp:posOffset>
            </wp:positionV>
            <wp:extent cx="38100" cy="755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4" w:lineRule="exact"/>
        <w:rPr>
          <w:sz w:val="20"/>
          <w:szCs w:val="20"/>
          <w:color w:val="auto"/>
        </w:rPr>
      </w:pPr>
    </w:p>
    <w:p>
      <w:pPr>
        <w:ind w:left="564"/>
        <w:spacing w:after="0"/>
        <w:rPr>
          <w:sz w:val="20"/>
          <w:szCs w:val="20"/>
          <w:color w:val="auto"/>
        </w:rPr>
      </w:pPr>
      <w:r>
        <w:rPr>
          <w:rFonts w:ascii="Arial" w:cs="Arial" w:eastAsia="Arial" w:hAnsi="Arial"/>
          <w:sz w:val="14"/>
          <w:szCs w:val="14"/>
          <w:color w:val="333740"/>
        </w:rPr>
        <w:t>Mitigate any negative impacts to local communities from our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33020</wp:posOffset>
            </wp:positionV>
            <wp:extent cx="38100" cy="755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4" w:lineRule="exact"/>
        <w:rPr>
          <w:sz w:val="20"/>
          <w:szCs w:val="20"/>
          <w:color w:val="auto"/>
        </w:rPr>
      </w:pPr>
    </w:p>
    <w:p>
      <w:pPr>
        <w:ind w:left="564"/>
        <w:spacing w:after="0"/>
        <w:rPr>
          <w:sz w:val="20"/>
          <w:szCs w:val="20"/>
          <w:color w:val="auto"/>
        </w:rPr>
      </w:pPr>
      <w:r>
        <w:rPr>
          <w:rFonts w:ascii="Arial" w:cs="Arial" w:eastAsia="Arial" w:hAnsi="Arial"/>
          <w:sz w:val="14"/>
          <w:szCs w:val="14"/>
          <w:color w:val="333740"/>
        </w:rPr>
        <w:t>Contribute to local employment growth by fostering training and transfer of skills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33020</wp:posOffset>
            </wp:positionV>
            <wp:extent cx="38100" cy="755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4" w:lineRule="exact"/>
        <w:rPr>
          <w:sz w:val="20"/>
          <w:szCs w:val="20"/>
          <w:color w:val="auto"/>
        </w:rPr>
      </w:pPr>
    </w:p>
    <w:p>
      <w:pPr>
        <w:ind w:left="564"/>
        <w:spacing w:after="0"/>
        <w:rPr>
          <w:sz w:val="20"/>
          <w:szCs w:val="20"/>
          <w:color w:val="auto"/>
        </w:rPr>
      </w:pPr>
      <w:r>
        <w:rPr>
          <w:rFonts w:ascii="Arial" w:cs="Arial" w:eastAsia="Arial" w:hAnsi="Arial"/>
          <w:sz w:val="14"/>
          <w:szCs w:val="14"/>
          <w:color w:val="333740"/>
        </w:rPr>
        <w:t>Respect local cultures and be aware of local practices and traditions, legislation, and cultural factors that may impact behaviors and decisions</w:t>
      </w:r>
    </w:p>
    <w:p>
      <w:pPr>
        <w:spacing w:after="0" w:line="118" w:lineRule="exact"/>
        <w:rPr>
          <w:sz w:val="20"/>
          <w:szCs w:val="20"/>
          <w:color w:val="auto"/>
        </w:rPr>
      </w:pPr>
    </w:p>
    <w:p>
      <w:pPr>
        <w:ind w:left="4"/>
        <w:spacing w:after="0" w:line="237" w:lineRule="auto"/>
        <w:rPr>
          <w:sz w:val="20"/>
          <w:szCs w:val="20"/>
          <w:color w:val="auto"/>
        </w:rPr>
      </w:pPr>
      <w:r>
        <w:rPr>
          <w:rFonts w:ascii="Arial" w:cs="Arial" w:eastAsia="Arial" w:hAnsi="Arial"/>
          <w:sz w:val="19"/>
          <w:szCs w:val="19"/>
          <w:color w:val="333740"/>
        </w:rPr>
        <w:t>Our Code of Business Conduct also covers many sustainability issues, from fair employment practices and equal opportunity to Health, Safety, and Environment (“</w:t>
      </w:r>
      <w:r>
        <w:rPr>
          <w:rFonts w:ascii="Arial" w:cs="Arial" w:eastAsia="Arial" w:hAnsi="Arial"/>
          <w:sz w:val="19"/>
          <w:szCs w:val="19"/>
          <w:b w:val="1"/>
          <w:bCs w:val="1"/>
          <w:color w:val="333740"/>
        </w:rPr>
        <w:t>HSE</w:t>
      </w:r>
      <w:r>
        <w:rPr>
          <w:rFonts w:ascii="Arial" w:cs="Arial" w:eastAsia="Arial" w:hAnsi="Arial"/>
          <w:sz w:val="19"/>
          <w:szCs w:val="19"/>
          <w:color w:val="333740"/>
        </w:rPr>
        <w:t>”), human rights, and community involvement. We also have a Quality, Health, Safety, Environment, and Security (“</w:t>
      </w:r>
      <w:r>
        <w:rPr>
          <w:rFonts w:ascii="Arial" w:cs="Arial" w:eastAsia="Arial" w:hAnsi="Arial"/>
          <w:sz w:val="19"/>
          <w:szCs w:val="19"/>
          <w:b w:val="1"/>
          <w:bCs w:val="1"/>
          <w:color w:val="333740"/>
        </w:rPr>
        <w:t>QHSES</w:t>
      </w:r>
      <w:r>
        <w:rPr>
          <w:rFonts w:ascii="Arial" w:cs="Arial" w:eastAsia="Arial" w:hAnsi="Arial"/>
          <w:sz w:val="19"/>
          <w:szCs w:val="19"/>
          <w:color w:val="333740"/>
        </w:rPr>
        <w:t>”) program aimed at preventing accidents and incidents, ensuring personal and corporate accountability, and simplifying practices and processes across our Company. Backed by our Foundational Beliefs, our HSE and QHSES teams create a culture of engagement to develop the leadership behaviors that deliver enhanced performance and business results. For example, the Company is a proud member of Building Responsibly – an industry-led collaborative initiative enabling construction and engineering companies to collaborate around their shared values, advance their compliance programs, and agree on common approaches regarding worker welfare and human rights. We are specifically advancing compliance in recruitment, working conditions, and supply chain practices. In addition, we have a specific Environmental Working Group (“</w:t>
      </w:r>
      <w:r>
        <w:rPr>
          <w:rFonts w:ascii="Arial" w:cs="Arial" w:eastAsia="Arial" w:hAnsi="Arial"/>
          <w:sz w:val="19"/>
          <w:szCs w:val="19"/>
          <w:b w:val="1"/>
          <w:bCs w:val="1"/>
          <w:color w:val="333740"/>
        </w:rPr>
        <w:t>EWG</w:t>
      </w:r>
      <w:r>
        <w:rPr>
          <w:rFonts w:ascii="Arial" w:cs="Arial" w:eastAsia="Arial" w:hAnsi="Arial"/>
          <w:sz w:val="19"/>
          <w:szCs w:val="19"/>
          <w:color w:val="333740"/>
        </w:rPr>
        <w:t>”) that reports to the Company’s Corporate HSE team and coordinates a network of environmental specialists from all of our business units. The EWG sets environmental programs, supports the enhancement of environmental performance, and develops global environmental initiatives involving all of our assets and projects.</w:t>
      </w:r>
    </w:p>
    <w:p>
      <w:pPr>
        <w:spacing w:after="0" w:line="361" w:lineRule="exact"/>
        <w:rPr>
          <w:sz w:val="20"/>
          <w:szCs w:val="20"/>
          <w:color w:val="auto"/>
        </w:rPr>
      </w:pPr>
    </w:p>
    <w:p>
      <w:pPr>
        <w:ind w:left="564" w:hanging="564"/>
        <w:spacing w:after="0"/>
        <w:tabs>
          <w:tab w:leader="none" w:pos="564" w:val="left"/>
        </w:tabs>
        <w:numPr>
          <w:ilvl w:val="0"/>
          <w:numId w:val="2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4"/>
          </w:cols>
          <w:pgMar w:left="316" w:top="128" w:right="379" w:bottom="1440" w:gutter="0" w:footer="0" w:header="0"/>
        </w:sectPr>
      </w:pPr>
    </w:p>
    <w:bookmarkStart w:id="20" w:name="page21"/>
    <w:bookmarkEnd w:id="20"/>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71" w:lineRule="exact"/>
        <w:rPr>
          <w:sz w:val="20"/>
          <w:szCs w:val="20"/>
          <w:color w:val="auto"/>
        </w:rPr>
      </w:pPr>
    </w:p>
    <w:p>
      <w:pPr>
        <w:ind w:left="4"/>
        <w:spacing w:after="0"/>
        <w:rPr>
          <w:sz w:val="20"/>
          <w:szCs w:val="20"/>
          <w:color w:val="auto"/>
        </w:rPr>
      </w:pPr>
      <w:r>
        <w:rPr>
          <w:rFonts w:ascii="Arial" w:cs="Arial" w:eastAsia="Arial" w:hAnsi="Arial"/>
          <w:sz w:val="33"/>
          <w:szCs w:val="33"/>
          <w:color w:val="481F6E"/>
        </w:rPr>
        <w:t>Supporting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195580</wp:posOffset>
            </wp:positionV>
            <wp:extent cx="3004820" cy="29216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04820" cy="292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44" w:right="180"/>
        <w:spacing w:after="0" w:line="238" w:lineRule="auto"/>
        <w:rPr>
          <w:sz w:val="20"/>
          <w:szCs w:val="20"/>
          <w:color w:val="auto"/>
        </w:rPr>
      </w:pPr>
      <w:r>
        <w:rPr>
          <w:rFonts w:ascii="Arial" w:cs="Arial" w:eastAsia="Arial" w:hAnsi="Arial"/>
          <w:sz w:val="19"/>
          <w:szCs w:val="19"/>
          <w:color w:val="333740"/>
        </w:rPr>
        <w:t>Supporting Communities is our first sustainability pillar. Our Code of Business Conduct encourages employees to engage with local communities where we live and work, to contribute to their social and economic self-sustainability, and to ensure that TechnipFMC is a responsible corporate citizen in our communities. It is the foundation of that responsibility that forges our commitment to local communities.</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81F6E"/>
        </w:rPr>
        <w:t>Supporting Communities –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48195" cy="682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682625"/>
                    </a:xfrm>
                    <a:prstGeom prst="rect">
                      <a:avLst/>
                    </a:prstGeom>
                    <a:noFill/>
                  </pic:spPr>
                </pic:pic>
              </a:graphicData>
            </a:graphic>
          </wp:anchor>
        </w:drawing>
      </w:r>
    </w:p>
    <w:p>
      <w:pPr>
        <w:spacing w:after="0" w:line="264" w:lineRule="exact"/>
        <w:rPr>
          <w:sz w:val="20"/>
          <w:szCs w:val="20"/>
          <w:color w:val="auto"/>
        </w:rPr>
      </w:pPr>
    </w:p>
    <w:p>
      <w:pPr>
        <w:ind w:left="4"/>
        <w:spacing w:after="0" w:line="344" w:lineRule="auto"/>
        <w:rPr>
          <w:sz w:val="20"/>
          <w:szCs w:val="20"/>
          <w:color w:val="auto"/>
        </w:rPr>
      </w:pPr>
      <w:r>
        <w:rPr>
          <w:rFonts w:ascii="Arial" w:cs="Arial" w:eastAsia="Arial" w:hAnsi="Arial"/>
          <w:sz w:val="14"/>
          <w:szCs w:val="14"/>
          <w:color w:val="333740"/>
        </w:rPr>
        <w:t>TechnipFMC supports and encourages its employees to volunteer and support their community development programs in line with our Code of Business Conduct and our Supporting Communities pillar, whose objectives include the following:</w:t>
      </w:r>
    </w:p>
    <w:p>
      <w:pPr>
        <w:sectPr>
          <w:pgSz w:w="11900" w:h="16838" w:orient="portrait"/>
          <w:cols w:equalWidth="0" w:num="1">
            <w:col w:w="11244"/>
          </w:cols>
          <w:pgMar w:left="316" w:top="128" w:right="339" w:bottom="1440" w:gutter="0" w:footer="0" w:header="0"/>
        </w:sectPr>
      </w:pPr>
    </w:p>
    <w:p>
      <w:pPr>
        <w:spacing w:after="0" w:line="16" w:lineRule="exact"/>
        <w:rPr>
          <w:sz w:val="20"/>
          <w:szCs w:val="20"/>
          <w:color w:val="auto"/>
        </w:rPr>
      </w:pPr>
    </w:p>
    <w:p>
      <w:pPr>
        <w:jc w:val="both"/>
        <w:ind w:left="144" w:hanging="142"/>
        <w:spacing w:after="0"/>
        <w:rPr>
          <w:sz w:val="20"/>
          <w:szCs w:val="20"/>
          <w:color w:val="auto"/>
        </w:rPr>
      </w:pPr>
      <w:r>
        <w:rPr>
          <w:sz w:val="1"/>
          <w:szCs w:val="1"/>
          <w:color w:val="auto"/>
        </w:rPr>
        <w:drawing>
          <wp:inline distT="0" distB="0" distL="0" distR="0">
            <wp:extent cx="45720" cy="7556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b w:val="1"/>
          <w:bCs w:val="1"/>
          <w:color w:val="333740"/>
        </w:rPr>
        <w:t xml:space="preserve"> Go beyond our commercial obligations to create in-country value </w:t>
      </w:r>
      <w:r>
        <w:rPr>
          <w:rFonts w:ascii="Arial" w:cs="Arial" w:eastAsia="Arial" w:hAnsi="Arial"/>
          <w:sz w:val="14"/>
          <w:szCs w:val="14"/>
          <w:color w:val="333740"/>
        </w:rPr>
        <w:t>through initiatives in</w:t>
      </w:r>
      <w:r>
        <w:rPr>
          <w:rFonts w:ascii="Arial" w:cs="Arial" w:eastAsia="Arial" w:hAnsi="Arial"/>
          <w:sz w:val="14"/>
          <w:szCs w:val="14"/>
          <w:b w:val="1"/>
          <w:bCs w:val="1"/>
          <w:color w:val="333740"/>
        </w:rPr>
        <w:t xml:space="preserve"> </w:t>
      </w:r>
      <w:r>
        <w:rPr>
          <w:rFonts w:ascii="Arial" w:cs="Arial" w:eastAsia="Arial" w:hAnsi="Arial"/>
          <w:sz w:val="14"/>
          <w:szCs w:val="14"/>
          <w:color w:val="333740"/>
        </w:rPr>
        <w:t>health, education, and local employment</w:t>
      </w:r>
    </w:p>
    <w:p>
      <w:pPr>
        <w:spacing w:after="0" w:line="20" w:lineRule="exact"/>
        <w:rPr>
          <w:sz w:val="20"/>
          <w:szCs w:val="20"/>
          <w:color w:val="auto"/>
        </w:rPr>
      </w:pPr>
      <w:r>
        <w:rPr>
          <w:sz w:val="20"/>
          <w:szCs w:val="20"/>
          <w:color w:val="auto"/>
        </w:rPr>
        <w:br w:type="column"/>
      </w:r>
    </w:p>
    <w:p>
      <w:pPr>
        <w:ind w:hanging="142"/>
        <w:spacing w:after="0"/>
        <w:rPr>
          <w:sz w:val="20"/>
          <w:szCs w:val="20"/>
          <w:color w:val="auto"/>
        </w:rPr>
      </w:pPr>
      <w:r>
        <w:rPr>
          <w:sz w:val="1"/>
          <w:szCs w:val="1"/>
          <w:color w:val="auto"/>
        </w:rPr>
        <w:drawing>
          <wp:inline distT="0" distB="0" distL="0" distR="0">
            <wp:extent cx="45720" cy="7556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b w:val="1"/>
          <w:bCs w:val="1"/>
          <w:color w:val="333740"/>
          <w:highlight w:val="lightGray"/>
        </w:rPr>
        <w:t xml:space="preserve"> Support and develop initiatives related to Science, Technology, Engineering, and Mathematics (STEM)</w:t>
      </w:r>
    </w:p>
    <w:p>
      <w:pPr>
        <w:spacing w:after="0" w:line="20" w:lineRule="exact"/>
        <w:rPr>
          <w:sz w:val="20"/>
          <w:szCs w:val="20"/>
          <w:color w:val="auto"/>
        </w:rPr>
      </w:pPr>
      <w:r>
        <w:rPr>
          <w:sz w:val="20"/>
          <w:szCs w:val="20"/>
          <w:color w:val="auto"/>
        </w:rPr>
        <w:br w:type="column"/>
      </w:r>
    </w:p>
    <w:p>
      <w:pPr>
        <w:ind w:right="620" w:hanging="142"/>
        <w:spacing w:after="0"/>
        <w:rPr>
          <w:sz w:val="20"/>
          <w:szCs w:val="20"/>
          <w:color w:val="auto"/>
        </w:rPr>
      </w:pPr>
      <w:r>
        <w:rPr>
          <w:sz w:val="1"/>
          <w:szCs w:val="1"/>
          <w:color w:val="auto"/>
        </w:rPr>
        <w:drawing>
          <wp:inline distT="0" distB="0" distL="0" distR="0">
            <wp:extent cx="45720" cy="7556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b w:val="1"/>
          <w:bCs w:val="1"/>
          <w:color w:val="333740"/>
          <w:highlight w:val="lightGray"/>
        </w:rPr>
        <w:t xml:space="preserve"> Enable employees to volunteer and support initiatives</w:t>
      </w:r>
    </w:p>
    <w:p>
      <w:pPr>
        <w:spacing w:after="0" w:line="367" w:lineRule="exact"/>
        <w:rPr>
          <w:sz w:val="20"/>
          <w:szCs w:val="20"/>
          <w:color w:val="auto"/>
        </w:rPr>
      </w:pPr>
    </w:p>
    <w:p>
      <w:pPr>
        <w:sectPr>
          <w:pgSz w:w="11900" w:h="16838" w:orient="portrait"/>
          <w:cols w:equalWidth="0" w:num="3">
            <w:col w:w="3564" w:space="340"/>
            <w:col w:w="3400" w:space="420"/>
            <w:col w:w="3520"/>
          </w:cols>
          <w:pgMar w:left="316" w:top="128" w:right="339" w:bottom="1440" w:gutter="0" w:footer="0" w:header="0"/>
          <w:type w:val="continuous"/>
        </w:sectPr>
      </w:pPr>
    </w:p>
    <w:p>
      <w:pPr>
        <w:spacing w:after="0" w:line="141" w:lineRule="exact"/>
        <w:rPr>
          <w:sz w:val="20"/>
          <w:szCs w:val="20"/>
          <w:color w:val="auto"/>
        </w:rPr>
      </w:pPr>
    </w:p>
    <w:p>
      <w:pPr>
        <w:ind w:left="564" w:hanging="564"/>
        <w:spacing w:after="0"/>
        <w:tabs>
          <w:tab w:leader="none" w:pos="564" w:val="left"/>
        </w:tabs>
        <w:numPr>
          <w:ilvl w:val="0"/>
          <w:numId w:val="27"/>
        </w:numPr>
        <w:rPr>
          <w:rFonts w:ascii="Arial" w:cs="Arial" w:eastAsia="Arial" w:hAnsi="Arial"/>
          <w:sz w:val="12"/>
          <w:szCs w:val="12"/>
          <w:color w:val="auto"/>
        </w:rPr>
      </w:pPr>
      <w:r>
        <w:rPr>
          <w:rFonts w:ascii="Arial" w:cs="Arial" w:eastAsia="Arial" w:hAnsi="Arial"/>
          <w:sz w:val="12"/>
          <w:szCs w:val="12"/>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128" w:right="339" w:bottom="1440" w:gutter="0" w:footer="0" w:header="0"/>
          <w:type w:val="continuous"/>
        </w:sectPr>
      </w:pPr>
    </w:p>
    <w:bookmarkStart w:id="21" w:name="page22"/>
    <w:bookmarkEnd w:id="21"/>
    <w:p>
      <w:pPr>
        <w:ind w:left="24"/>
        <w:spacing w:after="0"/>
        <w:rPr>
          <w:sz w:val="20"/>
          <w:szCs w:val="20"/>
          <w:color w:val="auto"/>
        </w:rPr>
      </w:pPr>
      <w:r>
        <w:rPr>
          <w:rFonts w:ascii="Arial" w:cs="Arial" w:eastAsia="Arial" w:hAnsi="Arial"/>
          <w:sz w:val="12"/>
          <w:szCs w:val="12"/>
          <w:b w:val="1"/>
          <w:bCs w:val="1"/>
          <w:color w:val="481F6E"/>
        </w:rPr>
        <w:t>TechnipFMC Proxy Statement 2020</w:t>
      </w:r>
    </w:p>
    <w:p>
      <w:pPr>
        <w:sectPr>
          <w:pgSz w:w="11900" w:h="16838" w:orient="portrait"/>
          <w:cols w:equalWidth="0" w:num="1">
            <w:col w:w="10144"/>
          </w:cols>
          <w:pgMar w:left="316" w:top="128" w:right="1440" w:bottom="1440" w:gutter="0" w:footer="0" w:header="0"/>
        </w:sectPr>
      </w:pPr>
    </w:p>
    <w:p>
      <w:pPr>
        <w:spacing w:after="0" w:line="125"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333740"/>
        </w:rPr>
        <w:t>Go beyond our commercial obligations to create in-country value</w:t>
      </w:r>
    </w:p>
    <w:p>
      <w:pPr>
        <w:spacing w:after="0" w:line="64" w:lineRule="exact"/>
        <w:rPr>
          <w:sz w:val="20"/>
          <w:szCs w:val="20"/>
          <w:color w:val="auto"/>
        </w:rPr>
      </w:pPr>
    </w:p>
    <w:p>
      <w:pPr>
        <w:ind w:left="4" w:right="1460"/>
        <w:spacing w:after="0" w:line="256" w:lineRule="auto"/>
        <w:rPr>
          <w:sz w:val="20"/>
          <w:szCs w:val="20"/>
          <w:color w:val="auto"/>
        </w:rPr>
      </w:pPr>
      <w:r>
        <w:rPr>
          <w:rFonts w:ascii="Arial" w:cs="Arial" w:eastAsia="Arial" w:hAnsi="Arial"/>
          <w:sz w:val="14"/>
          <w:szCs w:val="14"/>
          <w:color w:val="333740"/>
        </w:rPr>
        <w:t>Overall, in 2019, 346 initiatives were organized in 33 countries where TechnipFMC operates, which is a significant increase from 245 initiatives in 27 countries in 2018. Employees spent approximately 26,500 volunteer hours in 2019 creating in-country value through actions in health, education, STEM, local employment, environment, gender diversity, and other relevant and impactful local issues.</w:t>
      </w:r>
    </w:p>
    <w:p>
      <w:pPr>
        <w:spacing w:after="0" w:line="161" w:lineRule="exact"/>
        <w:rPr>
          <w:sz w:val="20"/>
          <w:szCs w:val="20"/>
          <w:color w:val="auto"/>
        </w:rPr>
      </w:pPr>
    </w:p>
    <w:p>
      <w:pPr>
        <w:ind w:left="4" w:right="1500"/>
        <w:spacing w:after="0" w:line="265" w:lineRule="auto"/>
        <w:rPr>
          <w:sz w:val="20"/>
          <w:szCs w:val="20"/>
          <w:color w:val="auto"/>
        </w:rPr>
      </w:pPr>
      <w:r>
        <w:rPr>
          <w:rFonts w:ascii="Arial" w:cs="Arial" w:eastAsia="Arial" w:hAnsi="Arial"/>
          <w:sz w:val="14"/>
          <w:szCs w:val="14"/>
          <w:color w:val="333740"/>
        </w:rPr>
        <w:t>Examples of initiatives launched or continued in 2019 in several countries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1480820</wp:posOffset>
            </wp:positionV>
            <wp:extent cx="714819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Increasing the number</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of community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111125</wp:posOffset>
            </wp:positionV>
            <wp:extent cx="1100455" cy="2048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00455" cy="2048510"/>
                    </a:xfrm>
                    <a:prstGeom prst="rect">
                      <a:avLst/>
                    </a:prstGeom>
                    <a:noFill/>
                  </pic:spPr>
                </pic:pic>
              </a:graphicData>
            </a:graphic>
          </wp:anchor>
        </w:drawing>
      </w:r>
    </w:p>
    <w:p>
      <w:pPr>
        <w:spacing w:after="0" w:line="1437" w:lineRule="exact"/>
        <w:rPr>
          <w:sz w:val="20"/>
          <w:szCs w:val="20"/>
          <w:color w:val="auto"/>
        </w:rPr>
      </w:pPr>
    </w:p>
    <w:p>
      <w:pPr>
        <w:sectPr>
          <w:pgSz w:w="11900" w:h="16838" w:orient="portrait"/>
          <w:cols w:equalWidth="0" w:num="2">
            <w:col w:w="7064" w:space="720"/>
            <w:col w:w="2359"/>
          </w:cols>
          <w:pgMar w:left="316" w:top="1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333740"/>
        </w:rPr>
        <w:t>Support and develop STEM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-91440</wp:posOffset>
            </wp:positionV>
            <wp:extent cx="1669415" cy="20186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69415" cy="2018665"/>
                    </a:xfrm>
                    <a:prstGeom prst="rect">
                      <a:avLst/>
                    </a:prstGeom>
                    <a:noFill/>
                  </pic:spPr>
                </pic:pic>
              </a:graphicData>
            </a:graphic>
          </wp:anchor>
        </w:drawing>
      </w:r>
    </w:p>
    <w:p>
      <w:pPr>
        <w:spacing w:after="0" w:line="40" w:lineRule="exact"/>
        <w:rPr>
          <w:sz w:val="20"/>
          <w:szCs w:val="20"/>
          <w:color w:val="auto"/>
        </w:rPr>
      </w:pPr>
    </w:p>
    <w:p>
      <w:pPr>
        <w:ind w:left="4" w:right="4619"/>
        <w:spacing w:after="0" w:line="265" w:lineRule="auto"/>
        <w:rPr>
          <w:sz w:val="20"/>
          <w:szCs w:val="20"/>
          <w:color w:val="auto"/>
        </w:rPr>
      </w:pPr>
      <w:r>
        <w:rPr>
          <w:rFonts w:ascii="Arial" w:cs="Arial" w:eastAsia="Arial" w:hAnsi="Arial"/>
          <w:sz w:val="14"/>
          <w:szCs w:val="14"/>
          <w:color w:val="333740"/>
        </w:rPr>
        <w:t>In 2019, we focused on topics related to STEM and 58 initiatives were organized in 17 countries, which was a significant increase from 14 initiatives in eight countries in 2018.</w:t>
      </w:r>
    </w:p>
    <w:p>
      <w:pPr>
        <w:spacing w:after="0" w:line="63" w:lineRule="exact"/>
        <w:rPr>
          <w:sz w:val="20"/>
          <w:szCs w:val="20"/>
          <w:color w:val="auto"/>
        </w:rPr>
      </w:pPr>
    </w:p>
    <w:p>
      <w:pPr>
        <w:ind w:left="4" w:right="4499"/>
        <w:spacing w:after="0" w:line="253" w:lineRule="auto"/>
        <w:rPr>
          <w:sz w:val="20"/>
          <w:szCs w:val="20"/>
          <w:color w:val="auto"/>
        </w:rPr>
      </w:pPr>
      <w:r>
        <w:rPr>
          <w:rFonts w:ascii="Arial" w:cs="Arial" w:eastAsia="Arial" w:hAnsi="Arial"/>
          <w:sz w:val="14"/>
          <w:szCs w:val="14"/>
          <w:color w:val="333740"/>
        </w:rPr>
        <w:t>Our target of having at least one STEM initiative in each Company entity with more than 300 employees will be achieved by the end of the first quarter 2020. Initiatives developed in 2019 could be grouped in three main areas: working with schools and/or organizations to promote STEM for children, promoting STEM careers for students and young professionals, and promoting STEM for employees’ children.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1189990</wp:posOffset>
            </wp:positionV>
            <wp:extent cx="7148195" cy="2155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215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333740"/>
        </w:rPr>
        <w:t>Enable employees to volunteer and support initiatives</w:t>
      </w:r>
    </w:p>
    <w:p>
      <w:pPr>
        <w:spacing w:after="0" w:line="24" w:lineRule="exact"/>
        <w:rPr>
          <w:sz w:val="20"/>
          <w:szCs w:val="20"/>
          <w:color w:val="auto"/>
        </w:rPr>
      </w:pPr>
    </w:p>
    <w:p>
      <w:pPr>
        <w:ind w:left="4" w:right="4699"/>
        <w:spacing w:after="0" w:line="257" w:lineRule="auto"/>
        <w:rPr>
          <w:sz w:val="20"/>
          <w:szCs w:val="20"/>
          <w:color w:val="auto"/>
        </w:rPr>
      </w:pPr>
      <w:r>
        <w:rPr>
          <w:rFonts w:ascii="Arial" w:cs="Arial" w:eastAsia="Arial" w:hAnsi="Arial"/>
          <w:sz w:val="14"/>
          <w:szCs w:val="14"/>
          <w:color w:val="333740"/>
        </w:rPr>
        <w:t>In 2019, we launched our global volunteering program, iVolunteer, that enables employees to support initiatives in the communities where they live and work. The key purpose is to have a positive, tangible, and collective impact on these communities.</w:t>
      </w:r>
    </w:p>
    <w:p>
      <w:pPr>
        <w:spacing w:after="0" w:line="19" w:lineRule="exact"/>
        <w:rPr>
          <w:sz w:val="20"/>
          <w:szCs w:val="20"/>
          <w:color w:val="auto"/>
        </w:rPr>
      </w:pPr>
    </w:p>
    <w:p>
      <w:pPr>
        <w:ind w:left="4" w:right="4599"/>
        <w:spacing w:after="0" w:line="275" w:lineRule="auto"/>
        <w:rPr>
          <w:sz w:val="20"/>
          <w:szCs w:val="20"/>
          <w:color w:val="auto"/>
        </w:rPr>
      </w:pPr>
      <w:r>
        <w:rPr>
          <w:rFonts w:ascii="Arial" w:cs="Arial" w:eastAsia="Arial" w:hAnsi="Arial"/>
          <w:sz w:val="14"/>
          <w:szCs w:val="14"/>
          <w:color w:val="333740"/>
        </w:rPr>
        <w:t>iVolunteer allows entities and countries to develop volunteering initiatives to further engage employees. Globally, approximately 12,650 of our employees participated in local initiatives and spent approximately 26,500 hours volunteering in 2019, which is over double the 10,000 hours volunteered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4" w:hanging="564"/>
        <w:spacing w:after="0"/>
        <w:tabs>
          <w:tab w:leader="none" w:pos="564" w:val="left"/>
        </w:tabs>
        <w:numPr>
          <w:ilvl w:val="0"/>
          <w:numId w:val="28"/>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4"/>
          </w:cols>
          <w:pgMar w:left="316" w:top="128" w:right="1440" w:bottom="1440" w:gutter="0" w:footer="0" w:header="0"/>
          <w:type w:val="continuous"/>
        </w:sectPr>
      </w:pPr>
    </w:p>
    <w:bookmarkStart w:id="22" w:name="page23"/>
    <w:bookmarkEnd w:id="22"/>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9"/>
          <w:szCs w:val="19"/>
          <w:color w:val="333740"/>
        </w:rPr>
        <w:t>Below are some examples of our outreach in our communities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48195" cy="5600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5600065"/>
                    </a:xfrm>
                    <a:prstGeom prst="rect">
                      <a:avLst/>
                    </a:prstGeom>
                    <a:noFill/>
                  </pic:spPr>
                </pic:pic>
              </a:graphicData>
            </a:graphic>
          </wp:anchor>
        </w:drawing>
      </w:r>
    </w:p>
    <w:p>
      <w:pPr>
        <w:spacing w:after="0" w:line="205"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United States</w:t>
      </w:r>
    </w:p>
    <w:p>
      <w:pPr>
        <w:spacing w:after="0" w:line="323" w:lineRule="exact"/>
        <w:rPr>
          <w:sz w:val="20"/>
          <w:szCs w:val="20"/>
          <w:color w:val="auto"/>
        </w:rPr>
      </w:pPr>
    </w:p>
    <w:p>
      <w:pPr>
        <w:jc w:val="both"/>
        <w:ind w:left="2504" w:right="100"/>
        <w:spacing w:after="0" w:line="257" w:lineRule="auto"/>
        <w:rPr>
          <w:sz w:val="20"/>
          <w:szCs w:val="20"/>
          <w:color w:val="auto"/>
        </w:rPr>
      </w:pPr>
      <w:r>
        <w:rPr>
          <w:rFonts w:ascii="Arial" w:cs="Arial" w:eastAsia="Arial" w:hAnsi="Arial"/>
          <w:sz w:val="14"/>
          <w:szCs w:val="14"/>
          <w:color w:val="333740"/>
        </w:rPr>
        <w:t>We participate regularly in numerous events, including Women’s Initiative Day of Caring, Target Hunger Day of Caring, and the Veterans Program. Other initiatives include being part of the Houston Heart Walk, an annual fundraising event dedicated to spreading awareness about health, and being a sponsor for the Energy Day Festival to promote the STEM fields for thousands of local schoolchildren.</w:t>
      </w:r>
    </w:p>
    <w:p>
      <w:pPr>
        <w:spacing w:after="0" w:line="200" w:lineRule="exact"/>
        <w:rPr>
          <w:sz w:val="20"/>
          <w:szCs w:val="20"/>
          <w:color w:val="auto"/>
        </w:rPr>
      </w:pPr>
    </w:p>
    <w:p>
      <w:pPr>
        <w:spacing w:after="0" w:line="29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United Kingdom</w:t>
      </w:r>
    </w:p>
    <w:p>
      <w:pPr>
        <w:spacing w:after="0" w:line="323" w:lineRule="exact"/>
        <w:rPr>
          <w:sz w:val="20"/>
          <w:szCs w:val="20"/>
          <w:color w:val="auto"/>
        </w:rPr>
      </w:pPr>
    </w:p>
    <w:p>
      <w:pPr>
        <w:ind w:left="2504" w:right="140"/>
        <w:spacing w:after="0" w:line="257" w:lineRule="auto"/>
        <w:rPr>
          <w:sz w:val="20"/>
          <w:szCs w:val="20"/>
          <w:color w:val="auto"/>
        </w:rPr>
      </w:pPr>
      <w:r>
        <w:rPr>
          <w:rFonts w:ascii="Arial" w:cs="Arial" w:eastAsia="Arial" w:hAnsi="Arial"/>
          <w:sz w:val="14"/>
          <w:szCs w:val="14"/>
          <w:color w:val="333740"/>
        </w:rPr>
        <w:t>Our volunteers have raised funds for, and partner with, local and national charities chosen by employees, including the Scotland Animal Welfare Charity, Chest, Heart and Stroke Scotland, Charlie House, Kayleighs Wee Stars, and Alzheimer Scotland. We also support events and network with other organizations that promote health, welfare, education, and diversity.</w:t>
      </w:r>
    </w:p>
    <w:p>
      <w:pPr>
        <w:spacing w:after="0" w:line="200" w:lineRule="exact"/>
        <w:rPr>
          <w:sz w:val="20"/>
          <w:szCs w:val="20"/>
          <w:color w:val="auto"/>
        </w:rPr>
      </w:pPr>
    </w:p>
    <w:p>
      <w:pPr>
        <w:spacing w:after="0" w:line="30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France</w:t>
      </w:r>
    </w:p>
    <w:p>
      <w:pPr>
        <w:spacing w:after="0" w:line="273" w:lineRule="exact"/>
        <w:rPr>
          <w:sz w:val="20"/>
          <w:szCs w:val="20"/>
          <w:color w:val="auto"/>
        </w:rPr>
      </w:pPr>
    </w:p>
    <w:p>
      <w:pPr>
        <w:ind w:left="2504" w:right="60"/>
        <w:spacing w:after="0" w:line="258" w:lineRule="auto"/>
        <w:rPr>
          <w:sz w:val="20"/>
          <w:szCs w:val="20"/>
          <w:color w:val="auto"/>
        </w:rPr>
      </w:pPr>
      <w:r>
        <w:rPr>
          <w:rFonts w:ascii="Arial" w:cs="Arial" w:eastAsia="Arial" w:hAnsi="Arial"/>
          <w:sz w:val="14"/>
          <w:szCs w:val="14"/>
          <w:color w:val="333740"/>
        </w:rPr>
        <w:t xml:space="preserve">TechnipFMC in France supports the non-profit organization, </w:t>
      </w:r>
      <w:r>
        <w:rPr>
          <w:rFonts w:ascii="Arial" w:cs="Arial" w:eastAsia="Arial" w:hAnsi="Arial"/>
          <w:sz w:val="14"/>
          <w:szCs w:val="14"/>
          <w:i w:val="1"/>
          <w:iCs w:val="1"/>
          <w:color w:val="333740"/>
        </w:rPr>
        <w:t>Elles Bougent</w:t>
      </w:r>
      <w:r>
        <w:rPr>
          <w:rFonts w:ascii="Arial" w:cs="Arial" w:eastAsia="Arial" w:hAnsi="Arial"/>
          <w:sz w:val="14"/>
          <w:szCs w:val="14"/>
          <w:color w:val="333740"/>
        </w:rPr>
        <w:t xml:space="preserve"> (Girls on the Move). </w:t>
      </w:r>
      <w:r>
        <w:rPr>
          <w:rFonts w:ascii="Arial" w:cs="Arial" w:eastAsia="Arial" w:hAnsi="Arial"/>
          <w:sz w:val="14"/>
          <w:szCs w:val="14"/>
          <w:i w:val="1"/>
          <w:iCs w:val="1"/>
          <w:color w:val="333740"/>
        </w:rPr>
        <w:t>Elles Bougent</w:t>
      </w:r>
      <w:r>
        <w:rPr>
          <w:rFonts w:ascii="Arial" w:cs="Arial" w:eastAsia="Arial" w:hAnsi="Arial"/>
          <w:sz w:val="14"/>
          <w:szCs w:val="14"/>
          <w:color w:val="333740"/>
        </w:rPr>
        <w:t xml:space="preserve"> promotes gender diversity in STEM, as well as more accessibility to young female students in technical and industrial careers. We also arrange for the collection of clothes, books, and toys in Paris for donation to local charities for children, the homeless, and vulnerable families. TechnipFMC also makes donations to schools and associations in France to finance educational programs. Moreover, since 2018, our employees participated in the </w:t>
      </w:r>
      <w:r>
        <w:rPr>
          <w:rFonts w:ascii="Arial" w:cs="Arial" w:eastAsia="Arial" w:hAnsi="Arial"/>
          <w:sz w:val="14"/>
          <w:szCs w:val="14"/>
          <w:i w:val="1"/>
          <w:iCs w:val="1"/>
          <w:color w:val="333740"/>
        </w:rPr>
        <w:t>Enfants sans Cancer</w:t>
      </w:r>
      <w:r>
        <w:rPr>
          <w:rFonts w:ascii="Arial" w:cs="Arial" w:eastAsia="Arial" w:hAnsi="Arial"/>
          <w:sz w:val="14"/>
          <w:szCs w:val="14"/>
          <w:color w:val="333740"/>
        </w:rPr>
        <w:t xml:space="preserve"> (Children without Cancer) city race to raise funds and awareness for this cause.</w:t>
      </w:r>
    </w:p>
    <w:p>
      <w:pPr>
        <w:spacing w:after="0" w:line="200" w:lineRule="exact"/>
        <w:rPr>
          <w:sz w:val="20"/>
          <w:szCs w:val="20"/>
          <w:color w:val="auto"/>
        </w:rPr>
      </w:pPr>
    </w:p>
    <w:p>
      <w:pPr>
        <w:spacing w:after="0" w:line="257"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Brazil</w:t>
      </w:r>
    </w:p>
    <w:p>
      <w:pPr>
        <w:spacing w:after="0" w:line="335" w:lineRule="exact"/>
        <w:rPr>
          <w:sz w:val="20"/>
          <w:szCs w:val="20"/>
          <w:color w:val="auto"/>
        </w:rPr>
      </w:pPr>
    </w:p>
    <w:p>
      <w:pPr>
        <w:ind w:left="2504"/>
        <w:spacing w:after="0" w:line="257" w:lineRule="auto"/>
        <w:rPr>
          <w:sz w:val="20"/>
          <w:szCs w:val="20"/>
          <w:color w:val="auto"/>
        </w:rPr>
      </w:pPr>
      <w:r>
        <w:rPr>
          <w:rFonts w:ascii="Arial" w:cs="Arial" w:eastAsia="Arial" w:hAnsi="Arial"/>
          <w:sz w:val="14"/>
          <w:szCs w:val="14"/>
          <w:color w:val="333740"/>
        </w:rPr>
        <w:t>In Brazil, we engage in a series of social and environmental programs involving underprivileged children and young students from neighboring communities to help them become better citizens and have equal opportunities. Also, in 2019, our volunteers organized a beach cleaning activity in Rio de Janeiro where half a ton of garbage was collected.</w:t>
      </w:r>
    </w:p>
    <w:p>
      <w:pPr>
        <w:spacing w:after="0" w:line="200" w:lineRule="exact"/>
        <w:rPr>
          <w:sz w:val="20"/>
          <w:szCs w:val="20"/>
          <w:color w:val="auto"/>
        </w:rPr>
      </w:pPr>
    </w:p>
    <w:p>
      <w:pPr>
        <w:spacing w:after="0" w:line="285"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Colombia</w:t>
      </w:r>
    </w:p>
    <w:p>
      <w:pPr>
        <w:spacing w:after="0" w:line="342" w:lineRule="exact"/>
        <w:rPr>
          <w:sz w:val="20"/>
          <w:szCs w:val="20"/>
          <w:color w:val="auto"/>
        </w:rPr>
      </w:pPr>
    </w:p>
    <w:p>
      <w:pPr>
        <w:ind w:left="2504" w:right="680"/>
        <w:spacing w:after="0" w:line="265" w:lineRule="auto"/>
        <w:rPr>
          <w:sz w:val="20"/>
          <w:szCs w:val="20"/>
          <w:color w:val="auto"/>
        </w:rPr>
      </w:pPr>
      <w:r>
        <w:rPr>
          <w:rFonts w:ascii="Arial" w:cs="Arial" w:eastAsia="Arial" w:hAnsi="Arial"/>
          <w:sz w:val="14"/>
          <w:szCs w:val="14"/>
          <w:color w:val="333740"/>
        </w:rPr>
        <w:t>In Colombia, we promote the respect of human rights of vulnerable populations through workshops, donations, and assistance, particularly the recyclers, street vendors, and homeless communities near our Bogota office.</w:t>
      </w:r>
    </w:p>
    <w:p>
      <w:pPr>
        <w:spacing w:after="0" w:line="379"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auto"/>
        </w:rPr>
        <w:t>Norway</w:t>
      </w:r>
    </w:p>
    <w:p>
      <w:pPr>
        <w:spacing w:after="0" w:line="323" w:lineRule="exact"/>
        <w:rPr>
          <w:sz w:val="20"/>
          <w:szCs w:val="20"/>
          <w:color w:val="auto"/>
        </w:rPr>
      </w:pPr>
    </w:p>
    <w:p>
      <w:pPr>
        <w:ind w:left="2504" w:right="60"/>
        <w:spacing w:after="0" w:line="265" w:lineRule="auto"/>
        <w:rPr>
          <w:sz w:val="20"/>
          <w:szCs w:val="20"/>
          <w:color w:val="auto"/>
        </w:rPr>
      </w:pPr>
      <w:r>
        <w:rPr>
          <w:rFonts w:ascii="Arial" w:cs="Arial" w:eastAsia="Arial" w:hAnsi="Arial"/>
          <w:sz w:val="14"/>
          <w:szCs w:val="14"/>
          <w:color w:val="333740"/>
        </w:rPr>
        <w:t>Since 2018, our employees in Norway have participated in city walks, as part of our iVolunteer program, to raise money for local charities of employees’ choice, including children’s support charities, mental health charities, local hospitals, and charitable sports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4" w:hanging="564"/>
        <w:spacing w:after="0"/>
        <w:tabs>
          <w:tab w:leader="none" w:pos="564" w:val="left"/>
        </w:tabs>
        <w:numPr>
          <w:ilvl w:val="0"/>
          <w:numId w:val="29"/>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23" w:name="page24"/>
    <w:bookmarkEnd w:id="23"/>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48195" cy="45377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4537710"/>
                    </a:xfrm>
                    <a:prstGeom prst="rect">
                      <a:avLst/>
                    </a:prstGeom>
                    <a:noFill/>
                  </pic:spPr>
                </pic:pic>
              </a:graphicData>
            </a:graphic>
          </wp:anchor>
        </w:drawing>
      </w:r>
    </w:p>
    <w:p>
      <w:pPr>
        <w:spacing w:after="0" w:line="23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Italy</w:t>
      </w:r>
    </w:p>
    <w:p>
      <w:pPr>
        <w:spacing w:after="0" w:line="239" w:lineRule="exact"/>
        <w:rPr>
          <w:sz w:val="20"/>
          <w:szCs w:val="20"/>
          <w:color w:val="auto"/>
        </w:rPr>
      </w:pPr>
    </w:p>
    <w:p>
      <w:pPr>
        <w:ind w:left="2504" w:right="140"/>
        <w:spacing w:after="0" w:line="254" w:lineRule="auto"/>
        <w:rPr>
          <w:sz w:val="20"/>
          <w:szCs w:val="20"/>
          <w:color w:val="auto"/>
        </w:rPr>
      </w:pPr>
      <w:r>
        <w:rPr>
          <w:rFonts w:ascii="Arial" w:cs="Arial" w:eastAsia="Arial" w:hAnsi="Arial"/>
          <w:sz w:val="14"/>
          <w:szCs w:val="14"/>
          <w:color w:val="333740"/>
        </w:rPr>
        <w:t>TechnipFMC in Italy, in collaboration with Technical School Enrico Fermi based in Rome, is involved in the Alternanza Scuola-Lavoro (Education-Work Rotation) project. Our Rome Operating Center is committed to deliver 400 individual hours of on-the-job training to 11 students on our premises. This collaboration enriches school programs with energy sector experience focused on oil and gas, enabling students to better understand the added value offered by working in our industry and at TechnipFMC.</w:t>
      </w:r>
    </w:p>
    <w:p>
      <w:pPr>
        <w:spacing w:after="0" w:line="200" w:lineRule="exact"/>
        <w:rPr>
          <w:sz w:val="20"/>
          <w:szCs w:val="20"/>
          <w:color w:val="auto"/>
        </w:rPr>
      </w:pPr>
    </w:p>
    <w:p>
      <w:pPr>
        <w:spacing w:after="0" w:line="22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India</w:t>
      </w:r>
    </w:p>
    <w:p>
      <w:pPr>
        <w:spacing w:after="0" w:line="251" w:lineRule="exact"/>
        <w:rPr>
          <w:sz w:val="20"/>
          <w:szCs w:val="20"/>
          <w:color w:val="auto"/>
        </w:rPr>
      </w:pPr>
    </w:p>
    <w:p>
      <w:pPr>
        <w:ind w:left="2504"/>
        <w:spacing w:after="0" w:line="253" w:lineRule="auto"/>
        <w:rPr>
          <w:sz w:val="20"/>
          <w:szCs w:val="20"/>
          <w:color w:val="auto"/>
        </w:rPr>
      </w:pPr>
      <w:r>
        <w:rPr>
          <w:rFonts w:ascii="Arial" w:cs="Arial" w:eastAsia="Arial" w:hAnsi="Arial"/>
          <w:sz w:val="14"/>
          <w:szCs w:val="14"/>
          <w:color w:val="333740"/>
        </w:rPr>
        <w:t>In India, our impact-driven sustainable initiative, Seed of Hope, benefitted more than 10,000 lives by enabling STEM education for girls, skill development workshops for youth, and sponsoring school fees for underprivileged children. We have also installed 100 biogas units in a rural area and plastic recycling units to minimize our carbon footprint. Our commitment towards community well-being and UN Sustainable Development Goals has been recognized by the Ministry of Corporate Affairs with a National CSR Award 2019, conferred by the Honorable, President of India.</w:t>
      </w:r>
    </w:p>
    <w:p>
      <w:pPr>
        <w:spacing w:after="0" w:line="200" w:lineRule="exact"/>
        <w:rPr>
          <w:sz w:val="20"/>
          <w:szCs w:val="20"/>
          <w:color w:val="auto"/>
        </w:rPr>
      </w:pPr>
    </w:p>
    <w:p>
      <w:pPr>
        <w:spacing w:after="0" w:line="236"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Malaysia</w:t>
      </w:r>
    </w:p>
    <w:p>
      <w:pPr>
        <w:spacing w:after="0" w:line="108" w:lineRule="exact"/>
        <w:rPr>
          <w:sz w:val="20"/>
          <w:szCs w:val="20"/>
          <w:color w:val="auto"/>
        </w:rPr>
      </w:pPr>
    </w:p>
    <w:p>
      <w:pPr>
        <w:ind w:left="2504" w:right="60"/>
        <w:spacing w:after="0" w:line="254" w:lineRule="auto"/>
        <w:rPr>
          <w:sz w:val="20"/>
          <w:szCs w:val="20"/>
          <w:color w:val="auto"/>
        </w:rPr>
      </w:pPr>
      <w:r>
        <w:rPr>
          <w:rFonts w:ascii="Arial" w:cs="Arial" w:eastAsia="Arial" w:hAnsi="Arial"/>
          <w:sz w:val="14"/>
          <w:szCs w:val="14"/>
          <w:color w:val="333740"/>
        </w:rPr>
        <w:t>In Malaysia, we adopted four schools under the PINTAR School Adoption program, targeted at underprivileged schools with poor academic performance and students of lower socioeconomic status. Our TechnipFMC school adoption initiative dates back to 2011, and the initiative has helped approximately 500 students, equipping them with the necessary knowledge and skills through creative, innovative, and mentally stimulating teaching methods.</w:t>
      </w:r>
    </w:p>
    <w:p>
      <w:pPr>
        <w:spacing w:after="0" w:line="29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Indonesia</w:t>
      </w:r>
    </w:p>
    <w:p>
      <w:pPr>
        <w:spacing w:after="0" w:line="108" w:lineRule="exact"/>
        <w:rPr>
          <w:sz w:val="20"/>
          <w:szCs w:val="20"/>
          <w:color w:val="auto"/>
        </w:rPr>
      </w:pPr>
    </w:p>
    <w:p>
      <w:pPr>
        <w:ind w:left="2504" w:right="40"/>
        <w:spacing w:after="0" w:line="257" w:lineRule="auto"/>
        <w:rPr>
          <w:sz w:val="20"/>
          <w:szCs w:val="20"/>
          <w:color w:val="auto"/>
        </w:rPr>
      </w:pPr>
      <w:r>
        <w:rPr>
          <w:rFonts w:ascii="Arial" w:cs="Arial" w:eastAsia="Arial" w:hAnsi="Arial"/>
          <w:sz w:val="14"/>
          <w:szCs w:val="14"/>
          <w:color w:val="333740"/>
        </w:rPr>
        <w:t>Our “Share to Care” campaign in Indonesia included the adoption of a home that houses farmers’ children and abandoned kids. This long-term program aims to provide the program’s children with education, training, and internships to sustain themselves. Currently, one child is interning in our Jakarta office, while another is interning in our Cakung manufacturing plant.</w:t>
      </w:r>
    </w:p>
    <w:p>
      <w:pPr>
        <w:spacing w:after="0" w:line="289"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Mozambique</w:t>
      </w:r>
    </w:p>
    <w:p>
      <w:pPr>
        <w:spacing w:after="0" w:line="251" w:lineRule="exact"/>
        <w:rPr>
          <w:sz w:val="20"/>
          <w:szCs w:val="20"/>
          <w:color w:val="auto"/>
        </w:rPr>
      </w:pPr>
    </w:p>
    <w:p>
      <w:pPr>
        <w:ind w:left="2504" w:right="20"/>
        <w:spacing w:after="0" w:line="254" w:lineRule="auto"/>
        <w:rPr>
          <w:sz w:val="20"/>
          <w:szCs w:val="20"/>
          <w:color w:val="auto"/>
        </w:rPr>
      </w:pPr>
      <w:r>
        <w:rPr>
          <w:rFonts w:ascii="Arial" w:cs="Arial" w:eastAsia="Arial" w:hAnsi="Arial"/>
          <w:sz w:val="14"/>
          <w:szCs w:val="14"/>
          <w:color w:val="333740"/>
        </w:rPr>
        <w:t>In March 2019, tropical cyclone Idai devastated Mozambique. Large parts of the country’s second largest city, Beira, were damaged, and entire villages and towns completely flooded. TechnipFMC donated $100,000 to assist disaster relief and recovery efforts. The funds helped with ongoing rescue efforts by the Red Cross and helped provide shelter and basic commodities for victims. Our employees also volunteered to work at the Maputo Bay to pack emergency relief kits that were sent to the communities impacted by the cyclone.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64" w:hanging="564"/>
        <w:spacing w:after="0"/>
        <w:tabs>
          <w:tab w:leader="none" w:pos="564" w:val="left"/>
        </w:tabs>
        <w:numPr>
          <w:ilvl w:val="0"/>
          <w:numId w:val="30"/>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84"/>
          </w:cols>
          <w:pgMar w:left="316" w:top="128" w:right="399" w:bottom="1440" w:gutter="0" w:footer="0" w:header="0"/>
        </w:sectPr>
      </w:pPr>
    </w:p>
    <w:bookmarkStart w:id="24" w:name="page25"/>
    <w:bookmarkEnd w:id="24"/>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3"/>
          <w:szCs w:val="33"/>
          <w:color w:val="481F6E"/>
        </w:rPr>
        <w:t>Advancing Gender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140970</wp:posOffset>
            </wp:positionV>
            <wp:extent cx="3354070" cy="32480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4070" cy="324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244" w:right="40"/>
        <w:spacing w:after="0" w:line="251" w:lineRule="auto"/>
        <w:rPr>
          <w:sz w:val="20"/>
          <w:szCs w:val="20"/>
          <w:color w:val="auto"/>
        </w:rPr>
      </w:pPr>
      <w:r>
        <w:rPr>
          <w:rFonts w:ascii="Arial" w:cs="Arial" w:eastAsia="Arial" w:hAnsi="Arial"/>
          <w:sz w:val="14"/>
          <w:szCs w:val="14"/>
          <w:color w:val="333740"/>
        </w:rPr>
        <w:t>Advancing Gender Diversity is our second sustainability pillar, and we believe it is not only a matter of responsibility, but also a business imperative for our success. We do not tolerate unlawful discrimination related to employment, and our Code of Business Conduct requires that employment decisions related to recruitment, selection, evaluation, compensation, and development, among others, are not influenced by race, color, religion, gender, age, ethnic origin, nationality, sexual orientation, marital status, or disability. We also ensure that our suppliers, customers, and business partners are aware of our goal of creating a diverse and tolerant workforce.</w:t>
      </w:r>
    </w:p>
    <w:p>
      <w:pPr>
        <w:spacing w:after="0" w:line="35" w:lineRule="exact"/>
        <w:rPr>
          <w:sz w:val="20"/>
          <w:szCs w:val="20"/>
          <w:color w:val="auto"/>
        </w:rPr>
      </w:pPr>
    </w:p>
    <w:p>
      <w:pPr>
        <w:ind w:left="7244" w:right="260"/>
        <w:spacing w:after="0" w:line="275" w:lineRule="auto"/>
        <w:rPr>
          <w:sz w:val="20"/>
          <w:szCs w:val="20"/>
          <w:color w:val="auto"/>
        </w:rPr>
      </w:pPr>
      <w:r>
        <w:rPr>
          <w:rFonts w:ascii="Arial" w:cs="Arial" w:eastAsia="Arial" w:hAnsi="Arial"/>
          <w:sz w:val="14"/>
          <w:szCs w:val="14"/>
          <w:color w:val="333740"/>
        </w:rPr>
        <w:t>In the first quarter of 2018, we developed a global framework and key performance indicators for 2018 and beyond to promote and accelerate the development of women in all functions of our global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Advancing Gender Diversity –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48195" cy="7131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713105"/>
                    </a:xfrm>
                    <a:prstGeom prst="rect">
                      <a:avLst/>
                    </a:prstGeom>
                    <a:noFill/>
                  </pic:spPr>
                </pic:pic>
              </a:graphicData>
            </a:graphic>
          </wp:anchor>
        </w:drawing>
      </w:r>
    </w:p>
    <w:p>
      <w:pPr>
        <w:spacing w:after="0" w:line="252" w:lineRule="exact"/>
        <w:rPr>
          <w:sz w:val="20"/>
          <w:szCs w:val="20"/>
          <w:color w:val="auto"/>
        </w:rPr>
      </w:pPr>
    </w:p>
    <w:p>
      <w:pPr>
        <w:ind w:left="144"/>
        <w:spacing w:after="0"/>
        <w:rPr>
          <w:sz w:val="20"/>
          <w:szCs w:val="20"/>
          <w:color w:val="auto"/>
        </w:rPr>
      </w:pPr>
      <w:r>
        <w:rPr>
          <w:rFonts w:ascii="Arial" w:cs="Arial" w:eastAsia="Arial" w:hAnsi="Arial"/>
          <w:sz w:val="14"/>
          <w:szCs w:val="14"/>
          <w:color w:val="333740"/>
        </w:rPr>
        <w:t>Our Advancing Gender Diversity objectives include the following :</w:t>
      </w:r>
    </w:p>
    <w:p>
      <w:pPr>
        <w:spacing w:after="0" w:line="31" w:lineRule="exact"/>
        <w:rPr>
          <w:sz w:val="20"/>
          <w:szCs w:val="20"/>
          <w:color w:val="auto"/>
        </w:rPr>
      </w:pPr>
    </w:p>
    <w:tbl>
      <w:tblPr>
        <w:tblLayout w:type="fixed"/>
        <w:tblInd w:w="124" w:type="dxa"/>
        <w:tblCellMar>
          <w:top w:w="0" w:type="dxa"/>
          <w:left w:w="0" w:type="dxa"/>
          <w:bottom w:w="0" w:type="dxa"/>
          <w:right w:w="0" w:type="dxa"/>
        </w:tblCellMar>
      </w:tblPr>
      <w:tr>
        <w:trPr>
          <w:trHeight w:val="213"/>
        </w:trPr>
        <w:tc>
          <w:tcPr>
            <w:tcW w:w="160" w:type="dxa"/>
            <w:vAlign w:val="bottom"/>
            <w:shd w:val="clear" w:color="auto" w:fill="E0E1DF"/>
          </w:tcPr>
          <w:p>
            <w:pPr>
              <w:spacing w:after="0"/>
              <w:rPr>
                <w:sz w:val="18"/>
                <w:szCs w:val="18"/>
                <w:color w:val="auto"/>
              </w:rPr>
            </w:pPr>
          </w:p>
        </w:tc>
        <w:tc>
          <w:tcPr>
            <w:tcW w:w="3760" w:type="dxa"/>
            <w:vAlign w:val="bottom"/>
            <w:shd w:val="clear" w:color="auto" w:fill="E0E1DF"/>
          </w:tcPr>
          <w:p>
            <w:pPr>
              <w:ind w:left="20"/>
              <w:spacing w:after="0"/>
              <w:rPr>
                <w:sz w:val="20"/>
                <w:szCs w:val="20"/>
                <w:color w:val="auto"/>
              </w:rPr>
            </w:pPr>
            <w:r>
              <w:rPr>
                <w:rFonts w:ascii="Arial" w:cs="Arial" w:eastAsia="Arial" w:hAnsi="Arial"/>
                <w:sz w:val="14"/>
                <w:szCs w:val="14"/>
                <w:b w:val="1"/>
                <w:bCs w:val="1"/>
                <w:color w:val="333740"/>
              </w:rPr>
              <w:t>Ensure gender pay equity</w:t>
            </w:r>
          </w:p>
        </w:tc>
        <w:tc>
          <w:tcPr>
            <w:tcW w:w="3570" w:type="dxa"/>
            <w:vAlign w:val="bottom"/>
            <w:shd w:val="clear" w:color="auto" w:fill="E0E1DF"/>
          </w:tcPr>
          <w:p>
            <w:pPr>
              <w:ind w:left="560"/>
              <w:spacing w:after="0"/>
              <w:rPr>
                <w:sz w:val="20"/>
                <w:szCs w:val="20"/>
                <w:color w:val="auto"/>
              </w:rPr>
            </w:pPr>
            <w:r>
              <w:rPr>
                <w:rFonts w:ascii="Arial" w:cs="Arial" w:eastAsia="Arial" w:hAnsi="Arial"/>
                <w:sz w:val="14"/>
                <w:szCs w:val="14"/>
                <w:b w:val="1"/>
                <w:bCs w:val="1"/>
                <w:color w:val="333740"/>
              </w:rPr>
              <w:t xml:space="preserve">Improve gender balance </w:t>
            </w:r>
            <w:r>
              <w:rPr>
                <w:rFonts w:ascii="Arial" w:cs="Arial" w:eastAsia="Arial" w:hAnsi="Arial"/>
                <w:sz w:val="14"/>
                <w:szCs w:val="14"/>
                <w:color w:val="333740"/>
              </w:rPr>
              <w:t>in the</w:t>
            </w:r>
          </w:p>
        </w:tc>
        <w:tc>
          <w:tcPr>
            <w:tcW w:w="3650" w:type="dxa"/>
            <w:vAlign w:val="bottom"/>
            <w:shd w:val="clear" w:color="auto" w:fill="E0E1DF"/>
          </w:tcPr>
          <w:p>
            <w:pPr>
              <w:ind w:left="130"/>
              <w:spacing w:after="0"/>
              <w:rPr>
                <w:sz w:val="20"/>
                <w:szCs w:val="20"/>
                <w:color w:val="auto"/>
              </w:rPr>
            </w:pPr>
            <w:r>
              <w:rPr>
                <w:rFonts w:ascii="Arial" w:cs="Arial" w:eastAsia="Arial" w:hAnsi="Arial"/>
                <w:sz w:val="14"/>
                <w:szCs w:val="14"/>
                <w:b w:val="1"/>
                <w:bCs w:val="1"/>
                <w:color w:val="333740"/>
              </w:rPr>
              <w:t xml:space="preserve">Promote women fairly and equally </w:t>
            </w:r>
            <w:r>
              <w:rPr>
                <w:rFonts w:ascii="Arial" w:cs="Arial" w:eastAsia="Arial" w:hAnsi="Arial"/>
                <w:sz w:val="14"/>
                <w:szCs w:val="14"/>
                <w:color w:val="333740"/>
              </w:rPr>
              <w:t>through</w:t>
            </w:r>
          </w:p>
        </w:tc>
        <w:tc>
          <w:tcPr>
            <w:tcW w:w="0" w:type="dxa"/>
            <w:vAlign w:val="bottom"/>
          </w:tcPr>
          <w:p>
            <w:pPr>
              <w:spacing w:after="0"/>
              <w:rPr>
                <w:sz w:val="1"/>
                <w:szCs w:val="1"/>
                <w:color w:val="auto"/>
              </w:rPr>
            </w:pPr>
          </w:p>
        </w:tc>
      </w:tr>
      <w:tr>
        <w:trPr>
          <w:trHeight w:val="203"/>
        </w:trPr>
        <w:tc>
          <w:tcPr>
            <w:tcW w:w="160" w:type="dxa"/>
            <w:vAlign w:val="bottom"/>
            <w:shd w:val="clear" w:color="auto" w:fill="E0E1DF"/>
          </w:tcPr>
          <w:p>
            <w:pPr>
              <w:spacing w:after="0"/>
              <w:rPr>
                <w:sz w:val="17"/>
                <w:szCs w:val="17"/>
                <w:color w:val="auto"/>
              </w:rPr>
            </w:pPr>
          </w:p>
        </w:tc>
        <w:tc>
          <w:tcPr>
            <w:tcW w:w="3760" w:type="dxa"/>
            <w:vAlign w:val="bottom"/>
            <w:shd w:val="clear" w:color="auto" w:fill="E0E1DF"/>
          </w:tcPr>
          <w:p>
            <w:pPr>
              <w:spacing w:after="0"/>
              <w:rPr>
                <w:sz w:val="20"/>
                <w:szCs w:val="20"/>
                <w:color w:val="auto"/>
              </w:rPr>
            </w:pPr>
            <w:r>
              <w:rPr>
                <w:rFonts w:ascii="Arial" w:cs="Arial" w:eastAsia="Arial" w:hAnsi="Arial"/>
                <w:sz w:val="14"/>
                <w:szCs w:val="14"/>
                <w:color w:val="333740"/>
              </w:rPr>
              <w:t>everywhere we operate and review all jobs to ensure</w:t>
            </w:r>
          </w:p>
        </w:tc>
        <w:tc>
          <w:tcPr>
            <w:tcW w:w="3570" w:type="dxa"/>
            <w:vAlign w:val="bottom"/>
            <w:shd w:val="clear" w:color="auto" w:fill="E0E1DF"/>
          </w:tcPr>
          <w:p>
            <w:pPr>
              <w:ind w:left="540"/>
              <w:spacing w:after="0"/>
              <w:rPr>
                <w:sz w:val="20"/>
                <w:szCs w:val="20"/>
                <w:color w:val="auto"/>
              </w:rPr>
            </w:pPr>
            <w:r>
              <w:rPr>
                <w:rFonts w:ascii="Arial" w:cs="Arial" w:eastAsia="Arial" w:hAnsi="Arial"/>
                <w:sz w:val="14"/>
                <w:szCs w:val="14"/>
                <w:color w:val="333740"/>
              </w:rPr>
              <w:t>organization, across all functions</w:t>
            </w:r>
          </w:p>
        </w:tc>
        <w:tc>
          <w:tcPr>
            <w:tcW w:w="3650" w:type="dxa"/>
            <w:vAlign w:val="bottom"/>
            <w:shd w:val="clear" w:color="auto" w:fill="E0E1DF"/>
          </w:tcPr>
          <w:p>
            <w:pPr>
              <w:ind w:left="110"/>
              <w:spacing w:after="0"/>
              <w:rPr>
                <w:sz w:val="20"/>
                <w:szCs w:val="20"/>
                <w:color w:val="auto"/>
              </w:rPr>
            </w:pPr>
            <w:r>
              <w:rPr>
                <w:rFonts w:ascii="Arial" w:cs="Arial" w:eastAsia="Arial" w:hAnsi="Arial"/>
                <w:sz w:val="14"/>
                <w:szCs w:val="14"/>
                <w:color w:val="333740"/>
              </w:rPr>
              <w:t>the career development process</w:t>
            </w:r>
          </w:p>
        </w:tc>
        <w:tc>
          <w:tcPr>
            <w:tcW w:w="0" w:type="dxa"/>
            <w:vAlign w:val="bottom"/>
          </w:tcPr>
          <w:p>
            <w:pPr>
              <w:spacing w:after="0"/>
              <w:rPr>
                <w:sz w:val="1"/>
                <w:szCs w:val="1"/>
                <w:color w:val="auto"/>
              </w:rPr>
            </w:pPr>
          </w:p>
        </w:tc>
      </w:tr>
      <w:tr>
        <w:trPr>
          <w:trHeight w:val="203"/>
        </w:trPr>
        <w:tc>
          <w:tcPr>
            <w:tcW w:w="160" w:type="dxa"/>
            <w:vAlign w:val="bottom"/>
            <w:shd w:val="clear" w:color="auto" w:fill="E0E1DF"/>
          </w:tcPr>
          <w:p>
            <w:pPr>
              <w:spacing w:after="0"/>
              <w:rPr>
                <w:sz w:val="17"/>
                <w:szCs w:val="17"/>
                <w:color w:val="auto"/>
              </w:rPr>
            </w:pPr>
          </w:p>
        </w:tc>
        <w:tc>
          <w:tcPr>
            <w:tcW w:w="3760" w:type="dxa"/>
            <w:vAlign w:val="bottom"/>
            <w:vMerge w:val="restart"/>
            <w:shd w:val="clear" w:color="auto" w:fill="E0E1DF"/>
          </w:tcPr>
          <w:p>
            <w:pPr>
              <w:spacing w:after="0"/>
              <w:rPr>
                <w:sz w:val="20"/>
                <w:szCs w:val="20"/>
                <w:color w:val="auto"/>
              </w:rPr>
            </w:pPr>
            <w:r>
              <w:rPr>
                <w:rFonts w:ascii="Arial" w:cs="Arial" w:eastAsia="Arial" w:hAnsi="Arial"/>
                <w:sz w:val="14"/>
                <w:szCs w:val="14"/>
                <w:color w:val="333740"/>
              </w:rPr>
              <w:t>gender pay equity and monitor them through a full</w:t>
            </w:r>
          </w:p>
        </w:tc>
        <w:tc>
          <w:tcPr>
            <w:tcW w:w="3570" w:type="dxa"/>
            <w:vAlign w:val="bottom"/>
            <w:shd w:val="clear" w:color="auto" w:fill="E0E1DF"/>
          </w:tcPr>
          <w:p>
            <w:pPr>
              <w:ind w:left="540"/>
              <w:spacing w:after="0"/>
              <w:rPr>
                <w:sz w:val="20"/>
                <w:szCs w:val="20"/>
                <w:color w:val="auto"/>
              </w:rPr>
            </w:pPr>
            <w:r>
              <w:rPr>
                <w:rFonts w:ascii="Arial" w:cs="Arial" w:eastAsia="Arial" w:hAnsi="Arial"/>
                <w:sz w:val="14"/>
                <w:szCs w:val="14"/>
                <w:color w:val="333740"/>
              </w:rPr>
              <w:t>and levels</w:t>
            </w:r>
          </w:p>
        </w:tc>
        <w:tc>
          <w:tcPr>
            <w:tcW w:w="3650" w:type="dxa"/>
            <w:vAlign w:val="bottom"/>
            <w:shd w:val="clear" w:color="auto" w:fill="E0E1DF"/>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160" w:type="dxa"/>
            <w:vAlign w:val="bottom"/>
            <w:shd w:val="clear" w:color="auto" w:fill="E0E1DF"/>
          </w:tcPr>
          <w:p>
            <w:pPr>
              <w:spacing w:after="0"/>
              <w:rPr>
                <w:sz w:val="3"/>
                <w:szCs w:val="3"/>
                <w:color w:val="auto"/>
              </w:rPr>
            </w:pPr>
          </w:p>
        </w:tc>
        <w:tc>
          <w:tcPr>
            <w:tcW w:w="3760" w:type="dxa"/>
            <w:vAlign w:val="bottom"/>
            <w:vMerge w:val="continue"/>
            <w:shd w:val="clear" w:color="auto" w:fill="E0E1DF"/>
          </w:tcPr>
          <w:p>
            <w:pPr>
              <w:spacing w:after="0"/>
              <w:rPr>
                <w:sz w:val="3"/>
                <w:szCs w:val="3"/>
                <w:color w:val="auto"/>
              </w:rPr>
            </w:pPr>
          </w:p>
        </w:tc>
        <w:tc>
          <w:tcPr>
            <w:tcW w:w="3570" w:type="dxa"/>
            <w:vAlign w:val="bottom"/>
            <w:shd w:val="clear" w:color="auto" w:fill="E0E1DF"/>
          </w:tcPr>
          <w:p>
            <w:pPr>
              <w:spacing w:after="0"/>
              <w:rPr>
                <w:sz w:val="3"/>
                <w:szCs w:val="3"/>
                <w:color w:val="auto"/>
              </w:rPr>
            </w:pPr>
          </w:p>
        </w:tc>
        <w:tc>
          <w:tcPr>
            <w:tcW w:w="3650" w:type="dxa"/>
            <w:vAlign w:val="bottom"/>
            <w:shd w:val="clear" w:color="auto" w:fill="E0E1D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160" w:type="dxa"/>
            <w:vAlign w:val="bottom"/>
            <w:shd w:val="clear" w:color="auto" w:fill="E0E1DF"/>
          </w:tcPr>
          <w:p>
            <w:pPr>
              <w:spacing w:after="0"/>
              <w:rPr>
                <w:sz w:val="19"/>
                <w:szCs w:val="19"/>
                <w:color w:val="auto"/>
              </w:rPr>
            </w:pPr>
          </w:p>
        </w:tc>
        <w:tc>
          <w:tcPr>
            <w:tcW w:w="3760" w:type="dxa"/>
            <w:vAlign w:val="bottom"/>
            <w:shd w:val="clear" w:color="auto" w:fill="E0E1DF"/>
          </w:tcPr>
          <w:p>
            <w:pPr>
              <w:spacing w:after="0"/>
              <w:rPr>
                <w:sz w:val="20"/>
                <w:szCs w:val="20"/>
                <w:color w:val="auto"/>
              </w:rPr>
            </w:pPr>
            <w:r>
              <w:rPr>
                <w:rFonts w:ascii="Arial" w:cs="Arial" w:eastAsia="Arial" w:hAnsi="Arial"/>
                <w:sz w:val="14"/>
                <w:szCs w:val="14"/>
                <w:color w:val="333740"/>
              </w:rPr>
              <w:t>review every three years</w:t>
            </w:r>
          </w:p>
        </w:tc>
        <w:tc>
          <w:tcPr>
            <w:tcW w:w="3570" w:type="dxa"/>
            <w:vAlign w:val="bottom"/>
            <w:shd w:val="clear" w:color="auto" w:fill="E0E1DF"/>
          </w:tcPr>
          <w:p>
            <w:pPr>
              <w:spacing w:after="0"/>
              <w:rPr>
                <w:sz w:val="19"/>
                <w:szCs w:val="19"/>
                <w:color w:val="auto"/>
              </w:rPr>
            </w:pPr>
          </w:p>
        </w:tc>
        <w:tc>
          <w:tcPr>
            <w:tcW w:w="3650" w:type="dxa"/>
            <w:vAlign w:val="bottom"/>
            <w:shd w:val="clear" w:color="auto" w:fill="E0E1D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60" w:type="dxa"/>
            <w:vAlign w:val="bottom"/>
            <w:shd w:val="clear" w:color="auto" w:fill="E0E1DF"/>
          </w:tcPr>
          <w:p>
            <w:pPr>
              <w:spacing w:after="0"/>
              <w:rPr>
                <w:sz w:val="2"/>
                <w:szCs w:val="2"/>
                <w:color w:val="auto"/>
              </w:rPr>
            </w:pPr>
          </w:p>
        </w:tc>
        <w:tc>
          <w:tcPr>
            <w:tcW w:w="3760" w:type="dxa"/>
            <w:vAlign w:val="bottom"/>
            <w:shd w:val="clear" w:color="auto" w:fill="E0E1DF"/>
          </w:tcPr>
          <w:p>
            <w:pPr>
              <w:spacing w:after="0"/>
              <w:rPr>
                <w:sz w:val="2"/>
                <w:szCs w:val="2"/>
                <w:color w:val="auto"/>
              </w:rPr>
            </w:pPr>
          </w:p>
        </w:tc>
        <w:tc>
          <w:tcPr>
            <w:tcW w:w="3570" w:type="dxa"/>
            <w:vAlign w:val="bottom"/>
            <w:shd w:val="clear" w:color="auto" w:fill="E0E1DF"/>
          </w:tcPr>
          <w:p>
            <w:pPr>
              <w:spacing w:after="0"/>
              <w:rPr>
                <w:sz w:val="2"/>
                <w:szCs w:val="2"/>
                <w:color w:val="auto"/>
              </w:rPr>
            </w:pPr>
          </w:p>
        </w:tc>
        <w:tc>
          <w:tcPr>
            <w:tcW w:w="3650" w:type="dxa"/>
            <w:vAlign w:val="bottom"/>
            <w:shd w:val="clear" w:color="auto" w:fill="E0E1D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ind w:left="564" w:hanging="564"/>
        <w:spacing w:after="0"/>
        <w:tabs>
          <w:tab w:leader="none" w:pos="564" w:val="left"/>
        </w:tabs>
        <w:numPr>
          <w:ilvl w:val="0"/>
          <w:numId w:val="31"/>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25" w:name="page26"/>
    <w:bookmarkEnd w:id="25"/>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33"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333740"/>
        </w:rPr>
        <w:t>Ensure gender pay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5008245</wp:posOffset>
            </wp:positionH>
            <wp:positionV relativeFrom="paragraph">
              <wp:posOffset>-91440</wp:posOffset>
            </wp:positionV>
            <wp:extent cx="2086610" cy="9410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86610" cy="941070"/>
                    </a:xfrm>
                    <a:prstGeom prst="rect">
                      <a:avLst/>
                    </a:prstGeom>
                    <a:noFill/>
                  </pic:spPr>
                </pic:pic>
              </a:graphicData>
            </a:graphic>
          </wp:anchor>
        </w:drawing>
      </w:r>
    </w:p>
    <w:p>
      <w:pPr>
        <w:spacing w:after="0" w:line="40" w:lineRule="exact"/>
        <w:rPr>
          <w:sz w:val="20"/>
          <w:szCs w:val="20"/>
          <w:color w:val="auto"/>
        </w:rPr>
      </w:pPr>
    </w:p>
    <w:p>
      <w:pPr>
        <w:ind w:left="4" w:right="4520"/>
        <w:spacing w:after="0" w:line="254" w:lineRule="auto"/>
        <w:rPr>
          <w:sz w:val="20"/>
          <w:szCs w:val="20"/>
          <w:color w:val="auto"/>
        </w:rPr>
      </w:pPr>
      <w:r>
        <w:rPr>
          <w:rFonts w:ascii="Arial" w:cs="Arial" w:eastAsia="Arial" w:hAnsi="Arial"/>
          <w:sz w:val="14"/>
          <w:szCs w:val="14"/>
          <w:color w:val="333740"/>
        </w:rPr>
        <w:t>In 2018, we reviewed 100% of our Company job functions to ensure pay equity. We identified areas for improvement and completed all necessary salary adjustments in 2019 to ensure fair compensation for all of our employees. A job review and any necessary adjustments will be performed every three years to ensure that no pay gaps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484505</wp:posOffset>
            </wp:positionV>
            <wp:extent cx="714819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333740"/>
        </w:rPr>
        <w:t>Improve gender balance</w:t>
      </w:r>
    </w:p>
    <w:p>
      <w:pPr>
        <w:spacing w:after="0" w:line="192" w:lineRule="exact"/>
        <w:rPr>
          <w:sz w:val="20"/>
          <w:szCs w:val="20"/>
          <w:color w:val="auto"/>
        </w:rPr>
      </w:pPr>
    </w:p>
    <w:p>
      <w:pPr>
        <w:jc w:val="both"/>
        <w:ind w:left="4" w:right="680"/>
        <w:spacing w:after="0" w:line="257" w:lineRule="auto"/>
        <w:rPr>
          <w:sz w:val="20"/>
          <w:szCs w:val="20"/>
          <w:color w:val="auto"/>
        </w:rPr>
      </w:pPr>
      <w:r>
        <w:rPr>
          <w:rFonts w:ascii="Arial" w:cs="Arial" w:eastAsia="Arial" w:hAnsi="Arial"/>
          <w:sz w:val="14"/>
          <w:szCs w:val="14"/>
          <w:color w:val="333740"/>
        </w:rPr>
        <w:t>In 2019, to foster a diverse and inclusive culture, the Company launched its “Diversity &amp; Inclusion — it Matters!” e-learning module with an aim to raise awareness of our differences and help our employees improve as people and professionals.</w:t>
      </w:r>
    </w:p>
    <w:p>
      <w:pPr>
        <w:spacing w:after="0" w:line="31" w:lineRule="exact"/>
        <w:rPr>
          <w:sz w:val="20"/>
          <w:szCs w:val="20"/>
          <w:color w:val="auto"/>
        </w:rPr>
      </w:pPr>
    </w:p>
    <w:p>
      <w:pPr>
        <w:ind w:left="4" w:right="560"/>
        <w:spacing w:after="0" w:line="269" w:lineRule="auto"/>
        <w:rPr>
          <w:sz w:val="20"/>
          <w:szCs w:val="20"/>
          <w:color w:val="auto"/>
        </w:rPr>
      </w:pPr>
      <w:r>
        <w:rPr>
          <w:rFonts w:ascii="Arial" w:cs="Arial" w:eastAsia="Arial" w:hAnsi="Arial"/>
          <w:sz w:val="14"/>
          <w:szCs w:val="14"/>
          <w:color w:val="333740"/>
        </w:rPr>
        <w:t>Our Company also fosters Employee Resource Groups (“</w:t>
      </w:r>
      <w:r>
        <w:rPr>
          <w:rFonts w:ascii="Arial" w:cs="Arial" w:eastAsia="Arial" w:hAnsi="Arial"/>
          <w:sz w:val="14"/>
          <w:szCs w:val="14"/>
          <w:b w:val="1"/>
          <w:bCs w:val="1"/>
          <w:color w:val="333740"/>
        </w:rPr>
        <w:t>ERGs</w:t>
      </w:r>
      <w:r>
        <w:rPr>
          <w:rFonts w:ascii="Arial" w:cs="Arial" w:eastAsia="Arial" w:hAnsi="Arial"/>
          <w:sz w:val="14"/>
          <w:szCs w:val="14"/>
          <w:color w:val="333740"/>
        </w:rPr>
        <w:t>”), which are voluntary, employee-led focus groups dedicated to a diverse and inclusive work environment. We currently have seven active ERGs with approximately 1,800 members in the United States, the United Kingdom, and Brazil, covering Diversity in STEM, Mothers Network, Black Organization for Leadership &amp; Development, Young Professionals Group, Military Veterans &amp; Friends Network, and Handicap Inclusion.</w:t>
      </w:r>
    </w:p>
    <w:p>
      <w:pPr>
        <w:spacing w:after="0" w:line="234" w:lineRule="exact"/>
        <w:rPr>
          <w:sz w:val="20"/>
          <w:szCs w:val="20"/>
          <w:color w:val="auto"/>
        </w:rPr>
      </w:pPr>
    </w:p>
    <w:p>
      <w:pPr>
        <w:ind w:left="4" w:right="440"/>
        <w:spacing w:after="0" w:line="256" w:lineRule="auto"/>
        <w:rPr>
          <w:sz w:val="20"/>
          <w:szCs w:val="20"/>
          <w:color w:val="auto"/>
        </w:rPr>
      </w:pPr>
      <w:r>
        <w:rPr>
          <w:rFonts w:ascii="Arial" w:cs="Arial" w:eastAsia="Arial" w:hAnsi="Arial"/>
          <w:sz w:val="14"/>
          <w:szCs w:val="14"/>
          <w:color w:val="333740"/>
        </w:rPr>
        <w:t>Our ambition is to encourage participation in ERGs throughout the whole Company. ERGs discuss and promote topics related to diversity and inclusion, develop and organize workshops internally and externally, support local initiatives, and propose actions to improve accessibility and inclusivity for all at the workplace.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color w:val="481F6E"/>
        </w:rPr>
        <w:t>Top 2019 initiatives: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231F20"/>
        </w:rPr>
        <w:t>The launch of “</w:t>
      </w:r>
      <w:r>
        <w:rPr>
          <w:rFonts w:ascii="Arial" w:cs="Arial" w:eastAsia="Arial" w:hAnsi="Arial"/>
          <w:sz w:val="14"/>
          <w:szCs w:val="14"/>
          <w:b w:val="1"/>
          <w:bCs w:val="1"/>
          <w:color w:val="231F20"/>
        </w:rPr>
        <w:t>Diversity</w:t>
      </w:r>
    </w:p>
    <w:p>
      <w:pPr>
        <w:spacing w:after="0" w:line="29" w:lineRule="exact"/>
        <w:rPr>
          <w:sz w:val="20"/>
          <w:szCs w:val="20"/>
          <w:color w:val="auto"/>
        </w:rPr>
      </w:pPr>
    </w:p>
    <w:p>
      <w:pPr>
        <w:ind w:right="1720" w:firstLine="3"/>
        <w:spacing w:after="0" w:line="276" w:lineRule="auto"/>
        <w:tabs>
          <w:tab w:leader="none" w:pos="143" w:val="left"/>
        </w:tabs>
        <w:numPr>
          <w:ilvl w:val="0"/>
          <w:numId w:val="32"/>
        </w:numPr>
        <w:rPr>
          <w:rFonts w:ascii="Arial" w:cs="Arial" w:eastAsia="Arial" w:hAnsi="Arial"/>
          <w:sz w:val="14"/>
          <w:szCs w:val="14"/>
          <w:b w:val="1"/>
          <w:bCs w:val="1"/>
          <w:color w:val="231F20"/>
        </w:rPr>
      </w:pPr>
      <w:r>
        <w:rPr>
          <w:rFonts w:ascii="Arial" w:cs="Arial" w:eastAsia="Arial" w:hAnsi="Arial"/>
          <w:sz w:val="14"/>
          <w:szCs w:val="14"/>
          <w:b w:val="1"/>
          <w:bCs w:val="1"/>
          <w:color w:val="231F20"/>
        </w:rPr>
        <w:t>Inclusion – it Matters!</w:t>
      </w:r>
      <w:r>
        <w:rPr>
          <w:rFonts w:ascii="Arial" w:cs="Arial" w:eastAsia="Arial" w:hAnsi="Arial"/>
          <w:sz w:val="14"/>
          <w:szCs w:val="14"/>
          <w:color w:val="231F20"/>
        </w:rPr>
        <w:t>”</w:t>
      </w:r>
      <w:r>
        <w:rPr>
          <w:rFonts w:ascii="Arial" w:cs="Arial" w:eastAsia="Arial" w:hAnsi="Arial"/>
          <w:sz w:val="14"/>
          <w:szCs w:val="14"/>
          <w:b w:val="1"/>
          <w:bCs w:val="1"/>
          <w:color w:val="231F20"/>
        </w:rPr>
        <w:t xml:space="preserve"> </w:t>
      </w:r>
      <w:r>
        <w:rPr>
          <w:rFonts w:ascii="Arial" w:cs="Arial" w:eastAsia="Arial" w:hAnsi="Arial"/>
          <w:sz w:val="14"/>
          <w:szCs w:val="14"/>
          <w:color w:val="231F20"/>
        </w:rPr>
        <w:t>learning module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231F20"/>
        </w:rPr>
        <w:t>Diversity in STEM:</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231F20"/>
        </w:rPr>
        <w:t>7 employee resource groups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231F20"/>
        </w:rPr>
        <w:t>(ERG) with ~1,800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215265</wp:posOffset>
            </wp:positionV>
            <wp:extent cx="1638935" cy="675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38935" cy="675640"/>
                    </a:xfrm>
                    <a:prstGeom prst="rect">
                      <a:avLst/>
                    </a:prstGeom>
                    <a:noFill/>
                  </pic:spPr>
                </pic:pic>
              </a:graphicData>
            </a:graphic>
          </wp:anchor>
        </w:drawing>
      </w:r>
    </w:p>
    <w:p>
      <w:pPr>
        <w:spacing w:after="0" w:line="1139" w:lineRule="exact"/>
        <w:rPr>
          <w:sz w:val="20"/>
          <w:szCs w:val="20"/>
          <w:color w:val="auto"/>
        </w:rPr>
      </w:pPr>
    </w:p>
    <w:p>
      <w:pPr>
        <w:sectPr>
          <w:pgSz w:w="11900" w:h="16838" w:orient="portrait"/>
          <w:cols w:equalWidth="0" w:num="2">
            <w:col w:w="7164" w:space="720"/>
            <w:col w:w="3380"/>
          </w:cols>
          <w:pgMar w:left="316" w:top="128" w:right="31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ind w:left="4"/>
        <w:spacing w:after="0"/>
        <w:rPr>
          <w:sz w:val="20"/>
          <w:szCs w:val="20"/>
          <w:color w:val="auto"/>
        </w:rPr>
      </w:pPr>
      <w:r>
        <w:rPr>
          <w:rFonts w:ascii="Arial" w:cs="Arial" w:eastAsia="Arial" w:hAnsi="Arial"/>
          <w:sz w:val="19"/>
          <w:szCs w:val="19"/>
          <w:color w:val="333740"/>
        </w:rPr>
        <w:t>As of December 31, 2019, TechnipFMC had the following number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137795</wp:posOffset>
            </wp:positionV>
            <wp:extent cx="5144770" cy="4705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4770" cy="470535"/>
                    </a:xfrm>
                    <a:prstGeom prst="rect">
                      <a:avLst/>
                    </a:prstGeom>
                    <a:noFill/>
                  </pic:spPr>
                </pic:pic>
              </a:graphicData>
            </a:graphic>
          </wp:anchor>
        </w:drawing>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3160" w:type="dxa"/>
            <w:vAlign w:val="bottom"/>
            <w:shd w:val="clear" w:color="auto" w:fill="481F6E"/>
          </w:tcPr>
          <w:p>
            <w:pPr>
              <w:spacing w:after="0"/>
              <w:rPr>
                <w:sz w:val="15"/>
                <w:szCs w:val="15"/>
                <w:color w:val="auto"/>
              </w:rPr>
            </w:pPr>
          </w:p>
        </w:tc>
        <w:tc>
          <w:tcPr>
            <w:tcW w:w="2180" w:type="dxa"/>
            <w:vAlign w:val="bottom"/>
            <w:gridSpan w:val="2"/>
            <w:shd w:val="clear" w:color="auto" w:fill="481F6E"/>
          </w:tcPr>
          <w:p>
            <w:pPr>
              <w:jc w:val="right"/>
              <w:ind w:right="548"/>
              <w:spacing w:after="0"/>
              <w:rPr>
                <w:sz w:val="20"/>
                <w:szCs w:val="20"/>
                <w:color w:val="auto"/>
              </w:rPr>
            </w:pPr>
            <w:r>
              <w:rPr>
                <w:rFonts w:ascii="Arial" w:cs="Arial" w:eastAsia="Arial" w:hAnsi="Arial"/>
                <w:sz w:val="14"/>
                <w:szCs w:val="14"/>
                <w:b w:val="1"/>
                <w:bCs w:val="1"/>
                <w:color w:val="FFFFFF"/>
              </w:rPr>
              <w:t>Male Employees</w:t>
            </w:r>
          </w:p>
        </w:tc>
        <w:tc>
          <w:tcPr>
            <w:tcW w:w="1160" w:type="dxa"/>
            <w:vAlign w:val="bottom"/>
            <w:shd w:val="clear" w:color="auto" w:fill="481F6E"/>
          </w:tcPr>
          <w:p>
            <w:pPr>
              <w:jc w:val="right"/>
              <w:spacing w:after="0"/>
              <w:rPr>
                <w:sz w:val="20"/>
                <w:szCs w:val="20"/>
                <w:color w:val="auto"/>
              </w:rPr>
            </w:pPr>
            <w:r>
              <w:rPr>
                <w:rFonts w:ascii="Arial" w:cs="Arial" w:eastAsia="Arial" w:hAnsi="Arial"/>
                <w:sz w:val="14"/>
                <w:szCs w:val="14"/>
                <w:b w:val="1"/>
                <w:bCs w:val="1"/>
                <w:color w:val="FFFFFF"/>
              </w:rPr>
              <w:t>Female</w:t>
            </w:r>
          </w:p>
        </w:tc>
        <w:tc>
          <w:tcPr>
            <w:tcW w:w="880" w:type="dxa"/>
            <w:vAlign w:val="bottom"/>
            <w:shd w:val="clear" w:color="auto" w:fill="481F6E"/>
          </w:tcPr>
          <w:p>
            <w:pPr>
              <w:spacing w:after="0"/>
              <w:rPr>
                <w:sz w:val="15"/>
                <w:szCs w:val="15"/>
                <w:color w:val="auto"/>
              </w:rPr>
            </w:pPr>
          </w:p>
        </w:tc>
        <w:tc>
          <w:tcPr>
            <w:tcW w:w="1100" w:type="dxa"/>
            <w:vAlign w:val="bottom"/>
            <w:shd w:val="clear" w:color="auto" w:fill="481F6E"/>
          </w:tcPr>
          <w:p>
            <w:pPr>
              <w:jc w:val="right"/>
              <w:ind w:right="28"/>
              <w:spacing w:after="0"/>
              <w:rPr>
                <w:sz w:val="20"/>
                <w:szCs w:val="20"/>
                <w:color w:val="auto"/>
              </w:rPr>
            </w:pPr>
            <w:r>
              <w:rPr>
                <w:rFonts w:ascii="Arial" w:cs="Arial" w:eastAsia="Arial" w:hAnsi="Arial"/>
                <w:sz w:val="14"/>
                <w:szCs w:val="14"/>
                <w:b w:val="1"/>
                <w:bCs w:val="1"/>
                <w:color w:val="FFFFFF"/>
              </w:rPr>
              <w:t>Total</w:t>
            </w:r>
          </w:p>
        </w:tc>
        <w:tc>
          <w:tcPr>
            <w:tcW w:w="920" w:type="dxa"/>
            <w:vAlign w:val="bottom"/>
            <w:shd w:val="clear" w:color="auto" w:fill="481F6E"/>
          </w:tcPr>
          <w:p>
            <w:pPr>
              <w:spacing w:after="0"/>
              <w:rPr>
                <w:sz w:val="15"/>
                <w:szCs w:val="15"/>
                <w:color w:val="auto"/>
              </w:rPr>
            </w:pPr>
          </w:p>
        </w:tc>
        <w:tc>
          <w:tcPr>
            <w:tcW w:w="1860" w:type="dxa"/>
            <w:vAlign w:val="bottom"/>
            <w:gridSpan w:val="2"/>
            <w:shd w:val="clear" w:color="auto" w:fill="481F6E"/>
          </w:tcPr>
          <w:p>
            <w:pPr>
              <w:jc w:val="right"/>
              <w:ind w:right="468"/>
              <w:spacing w:after="0"/>
              <w:rPr>
                <w:sz w:val="20"/>
                <w:szCs w:val="20"/>
                <w:color w:val="auto"/>
              </w:rPr>
            </w:pPr>
            <w:r>
              <w:rPr>
                <w:rFonts w:ascii="Arial" w:cs="Arial" w:eastAsia="Arial" w:hAnsi="Arial"/>
                <w:sz w:val="14"/>
                <w:szCs w:val="14"/>
                <w:b w:val="1"/>
                <w:bCs w:val="1"/>
                <w:color w:val="FFFFFF"/>
              </w:rPr>
              <w:t>% of Female</w:t>
            </w:r>
          </w:p>
        </w:tc>
      </w:tr>
      <w:tr>
        <w:trPr>
          <w:trHeight w:val="190"/>
        </w:trPr>
        <w:tc>
          <w:tcPr>
            <w:tcW w:w="3160" w:type="dxa"/>
            <w:vAlign w:val="bottom"/>
            <w:shd w:val="clear" w:color="auto" w:fill="481F6E"/>
          </w:tcPr>
          <w:p>
            <w:pPr>
              <w:spacing w:after="0"/>
              <w:rPr>
                <w:sz w:val="16"/>
                <w:szCs w:val="16"/>
                <w:color w:val="auto"/>
              </w:rPr>
            </w:pPr>
          </w:p>
        </w:tc>
        <w:tc>
          <w:tcPr>
            <w:tcW w:w="1180" w:type="dxa"/>
            <w:vAlign w:val="bottom"/>
            <w:shd w:val="clear" w:color="auto" w:fill="481F6E"/>
          </w:tcPr>
          <w:p>
            <w:pPr>
              <w:spacing w:after="0"/>
              <w:rPr>
                <w:sz w:val="16"/>
                <w:szCs w:val="16"/>
                <w:color w:val="auto"/>
              </w:rPr>
            </w:pPr>
          </w:p>
        </w:tc>
        <w:tc>
          <w:tcPr>
            <w:tcW w:w="1000" w:type="dxa"/>
            <w:vAlign w:val="bottom"/>
            <w:shd w:val="clear" w:color="auto" w:fill="481F6E"/>
          </w:tcPr>
          <w:p>
            <w:pPr>
              <w:spacing w:after="0"/>
              <w:rPr>
                <w:sz w:val="16"/>
                <w:szCs w:val="16"/>
                <w:color w:val="auto"/>
              </w:rPr>
            </w:pPr>
          </w:p>
        </w:tc>
        <w:tc>
          <w:tcPr>
            <w:tcW w:w="2040" w:type="dxa"/>
            <w:vAlign w:val="bottom"/>
            <w:gridSpan w:val="2"/>
            <w:shd w:val="clear" w:color="auto" w:fill="481F6E"/>
          </w:tcPr>
          <w:p>
            <w:pPr>
              <w:jc w:val="right"/>
              <w:ind w:right="728"/>
              <w:spacing w:after="0"/>
              <w:rPr>
                <w:sz w:val="20"/>
                <w:szCs w:val="20"/>
                <w:color w:val="auto"/>
              </w:rPr>
            </w:pPr>
            <w:r>
              <w:rPr>
                <w:rFonts w:ascii="Arial" w:cs="Arial" w:eastAsia="Arial" w:hAnsi="Arial"/>
                <w:sz w:val="14"/>
                <w:szCs w:val="14"/>
                <w:b w:val="1"/>
                <w:bCs w:val="1"/>
                <w:color w:val="FFFFFF"/>
              </w:rPr>
              <w:t>Employees</w:t>
            </w:r>
          </w:p>
        </w:tc>
        <w:tc>
          <w:tcPr>
            <w:tcW w:w="1100" w:type="dxa"/>
            <w:vAlign w:val="bottom"/>
            <w:shd w:val="clear" w:color="auto" w:fill="481F6E"/>
          </w:tcPr>
          <w:p>
            <w:pPr>
              <w:spacing w:after="0"/>
              <w:rPr>
                <w:sz w:val="16"/>
                <w:szCs w:val="16"/>
                <w:color w:val="auto"/>
              </w:rPr>
            </w:pPr>
          </w:p>
        </w:tc>
        <w:tc>
          <w:tcPr>
            <w:tcW w:w="920" w:type="dxa"/>
            <w:vAlign w:val="bottom"/>
            <w:shd w:val="clear" w:color="auto" w:fill="481F6E"/>
          </w:tcPr>
          <w:p>
            <w:pPr>
              <w:spacing w:after="0"/>
              <w:rPr>
                <w:sz w:val="16"/>
                <w:szCs w:val="16"/>
                <w:color w:val="auto"/>
              </w:rPr>
            </w:pPr>
          </w:p>
        </w:tc>
        <w:tc>
          <w:tcPr>
            <w:tcW w:w="1860" w:type="dxa"/>
            <w:vAlign w:val="bottom"/>
            <w:gridSpan w:val="2"/>
            <w:shd w:val="clear" w:color="auto" w:fill="481F6E"/>
          </w:tcPr>
          <w:p>
            <w:pPr>
              <w:jc w:val="right"/>
              <w:ind w:right="528"/>
              <w:spacing w:after="0"/>
              <w:rPr>
                <w:sz w:val="20"/>
                <w:szCs w:val="20"/>
                <w:color w:val="auto"/>
              </w:rPr>
            </w:pPr>
            <w:r>
              <w:rPr>
                <w:rFonts w:ascii="Arial" w:cs="Arial" w:eastAsia="Arial" w:hAnsi="Arial"/>
                <w:sz w:val="14"/>
                <w:szCs w:val="14"/>
                <w:b w:val="1"/>
                <w:bCs w:val="1"/>
                <w:color w:val="FFFFFF"/>
              </w:rPr>
              <w:t>Employees</w:t>
            </w:r>
          </w:p>
        </w:tc>
      </w:tr>
      <w:tr>
        <w:trPr>
          <w:trHeight w:val="376"/>
        </w:trPr>
        <w:tc>
          <w:tcPr>
            <w:tcW w:w="3160" w:type="dxa"/>
            <w:vAlign w:val="bottom"/>
            <w:shd w:val="clear" w:color="auto" w:fill="481F6E"/>
          </w:tcPr>
          <w:p>
            <w:pPr>
              <w:spacing w:after="0"/>
              <w:rPr>
                <w:sz w:val="24"/>
                <w:szCs w:val="24"/>
                <w:color w:val="auto"/>
              </w:rPr>
            </w:pPr>
          </w:p>
        </w:tc>
        <w:tc>
          <w:tcPr>
            <w:tcW w:w="1180" w:type="dxa"/>
            <w:vAlign w:val="bottom"/>
            <w:shd w:val="clear" w:color="auto" w:fill="481F6E"/>
          </w:tcPr>
          <w:p>
            <w:pPr>
              <w:jc w:val="right"/>
              <w:ind w:right="448"/>
              <w:spacing w:after="0"/>
              <w:rPr>
                <w:sz w:val="20"/>
                <w:szCs w:val="20"/>
                <w:color w:val="auto"/>
              </w:rPr>
            </w:pPr>
            <w:r>
              <w:rPr>
                <w:rFonts w:ascii="Arial" w:cs="Arial" w:eastAsia="Arial" w:hAnsi="Arial"/>
                <w:sz w:val="14"/>
                <w:szCs w:val="14"/>
                <w:b w:val="1"/>
                <w:bCs w:val="1"/>
                <w:color w:val="FFFFFF"/>
              </w:rPr>
              <w:t>2018</w:t>
            </w:r>
          </w:p>
        </w:tc>
        <w:tc>
          <w:tcPr>
            <w:tcW w:w="1000" w:type="dxa"/>
            <w:vAlign w:val="bottom"/>
            <w:shd w:val="clear" w:color="auto" w:fill="481F6E"/>
          </w:tcPr>
          <w:p>
            <w:pPr>
              <w:jc w:val="right"/>
              <w:ind w:right="428"/>
              <w:spacing w:after="0"/>
              <w:rPr>
                <w:sz w:val="20"/>
                <w:szCs w:val="20"/>
                <w:color w:val="auto"/>
              </w:rPr>
            </w:pPr>
            <w:r>
              <w:rPr>
                <w:rFonts w:ascii="Arial" w:cs="Arial" w:eastAsia="Arial" w:hAnsi="Arial"/>
                <w:sz w:val="14"/>
                <w:szCs w:val="14"/>
                <w:b w:val="1"/>
                <w:bCs w:val="1"/>
                <w:color w:val="FFFFFF"/>
              </w:rPr>
              <w:t>2019</w:t>
            </w:r>
          </w:p>
        </w:tc>
        <w:tc>
          <w:tcPr>
            <w:tcW w:w="1160" w:type="dxa"/>
            <w:vAlign w:val="bottom"/>
            <w:shd w:val="clear" w:color="auto" w:fill="481F6E"/>
          </w:tcPr>
          <w:p>
            <w:pPr>
              <w:jc w:val="right"/>
              <w:ind w:right="568"/>
              <w:spacing w:after="0"/>
              <w:rPr>
                <w:sz w:val="20"/>
                <w:szCs w:val="20"/>
                <w:color w:val="auto"/>
              </w:rPr>
            </w:pPr>
            <w:r>
              <w:rPr>
                <w:rFonts w:ascii="Arial" w:cs="Arial" w:eastAsia="Arial" w:hAnsi="Arial"/>
                <w:sz w:val="14"/>
                <w:szCs w:val="14"/>
                <w:b w:val="1"/>
                <w:bCs w:val="1"/>
                <w:color w:val="FFFFFF"/>
              </w:rPr>
              <w:t>2018</w:t>
            </w:r>
          </w:p>
        </w:tc>
        <w:tc>
          <w:tcPr>
            <w:tcW w:w="880" w:type="dxa"/>
            <w:vAlign w:val="bottom"/>
            <w:shd w:val="clear" w:color="auto" w:fill="481F6E"/>
          </w:tcPr>
          <w:p>
            <w:pPr>
              <w:jc w:val="right"/>
              <w:ind w:right="428"/>
              <w:spacing w:after="0"/>
              <w:rPr>
                <w:sz w:val="20"/>
                <w:szCs w:val="20"/>
                <w:color w:val="auto"/>
              </w:rPr>
            </w:pPr>
            <w:r>
              <w:rPr>
                <w:rFonts w:ascii="Arial" w:cs="Arial" w:eastAsia="Arial" w:hAnsi="Arial"/>
                <w:sz w:val="14"/>
                <w:szCs w:val="14"/>
                <w:b w:val="1"/>
                <w:bCs w:val="1"/>
                <w:color w:val="FFFFFF"/>
              </w:rPr>
              <w:t>2019</w:t>
            </w:r>
          </w:p>
        </w:tc>
        <w:tc>
          <w:tcPr>
            <w:tcW w:w="1100" w:type="dxa"/>
            <w:vAlign w:val="bottom"/>
            <w:shd w:val="clear" w:color="auto" w:fill="481F6E"/>
          </w:tcPr>
          <w:p>
            <w:pPr>
              <w:jc w:val="right"/>
              <w:ind w:right="528"/>
              <w:spacing w:after="0"/>
              <w:rPr>
                <w:sz w:val="20"/>
                <w:szCs w:val="20"/>
                <w:color w:val="auto"/>
              </w:rPr>
            </w:pPr>
            <w:r>
              <w:rPr>
                <w:rFonts w:ascii="Arial" w:cs="Arial" w:eastAsia="Arial" w:hAnsi="Arial"/>
                <w:sz w:val="14"/>
                <w:szCs w:val="14"/>
                <w:b w:val="1"/>
                <w:bCs w:val="1"/>
                <w:color w:val="FFFFFF"/>
              </w:rPr>
              <w:t>2018</w:t>
            </w:r>
          </w:p>
        </w:tc>
        <w:tc>
          <w:tcPr>
            <w:tcW w:w="920" w:type="dxa"/>
            <w:vAlign w:val="bottom"/>
            <w:shd w:val="clear" w:color="auto" w:fill="481F6E"/>
          </w:tcPr>
          <w:p>
            <w:pPr>
              <w:jc w:val="right"/>
              <w:ind w:right="428"/>
              <w:spacing w:after="0"/>
              <w:rPr>
                <w:sz w:val="20"/>
                <w:szCs w:val="20"/>
                <w:color w:val="auto"/>
              </w:rPr>
            </w:pPr>
            <w:r>
              <w:rPr>
                <w:rFonts w:ascii="Arial" w:cs="Arial" w:eastAsia="Arial" w:hAnsi="Arial"/>
                <w:sz w:val="14"/>
                <w:szCs w:val="14"/>
                <w:b w:val="1"/>
                <w:bCs w:val="1"/>
                <w:color w:val="FFFFFF"/>
              </w:rPr>
              <w:t>2019</w:t>
            </w:r>
          </w:p>
        </w:tc>
        <w:tc>
          <w:tcPr>
            <w:tcW w:w="1020" w:type="dxa"/>
            <w:vAlign w:val="bottom"/>
            <w:shd w:val="clear" w:color="auto" w:fill="481F6E"/>
          </w:tcPr>
          <w:p>
            <w:pPr>
              <w:jc w:val="right"/>
              <w:ind w:right="428"/>
              <w:spacing w:after="0"/>
              <w:rPr>
                <w:sz w:val="20"/>
                <w:szCs w:val="20"/>
                <w:color w:val="auto"/>
              </w:rPr>
            </w:pPr>
            <w:r>
              <w:rPr>
                <w:rFonts w:ascii="Arial" w:cs="Arial" w:eastAsia="Arial" w:hAnsi="Arial"/>
                <w:sz w:val="14"/>
                <w:szCs w:val="14"/>
                <w:b w:val="1"/>
                <w:bCs w:val="1"/>
                <w:color w:val="FFFFFF"/>
              </w:rPr>
              <w:t>2018</w:t>
            </w:r>
          </w:p>
        </w:tc>
        <w:tc>
          <w:tcPr>
            <w:tcW w:w="840" w:type="dxa"/>
            <w:vAlign w:val="bottom"/>
            <w:shd w:val="clear" w:color="auto" w:fill="481F6E"/>
          </w:tcPr>
          <w:p>
            <w:pPr>
              <w:jc w:val="right"/>
              <w:ind w:right="268"/>
              <w:spacing w:after="0"/>
              <w:rPr>
                <w:sz w:val="20"/>
                <w:szCs w:val="20"/>
                <w:color w:val="auto"/>
              </w:rPr>
            </w:pPr>
            <w:r>
              <w:rPr>
                <w:rFonts w:ascii="Arial" w:cs="Arial" w:eastAsia="Arial" w:hAnsi="Arial"/>
                <w:sz w:val="14"/>
                <w:szCs w:val="14"/>
                <w:b w:val="1"/>
                <w:bCs w:val="1"/>
                <w:color w:val="FFFFFF"/>
              </w:rPr>
              <w:t>2019</w:t>
            </w:r>
          </w:p>
        </w:tc>
      </w:tr>
      <w:tr>
        <w:trPr>
          <w:trHeight w:val="267"/>
        </w:trPr>
        <w:tc>
          <w:tcPr>
            <w:tcW w:w="316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Executive officers</w:t>
            </w:r>
          </w:p>
        </w:tc>
        <w:tc>
          <w:tcPr>
            <w:tcW w:w="1180" w:type="dxa"/>
            <w:vAlign w:val="bottom"/>
            <w:tcBorders>
              <w:bottom w:val="single" w:sz="8" w:color="D7D8D6"/>
            </w:tcBorders>
          </w:tcPr>
          <w:p>
            <w:pPr>
              <w:jc w:val="right"/>
              <w:ind w:right="128"/>
              <w:spacing w:after="0"/>
              <w:rPr>
                <w:sz w:val="20"/>
                <w:szCs w:val="20"/>
                <w:color w:val="auto"/>
              </w:rPr>
            </w:pPr>
            <w:r>
              <w:rPr>
                <w:rFonts w:ascii="Arial" w:cs="Arial" w:eastAsia="Arial" w:hAnsi="Arial"/>
                <w:sz w:val="14"/>
                <w:szCs w:val="14"/>
                <w:color w:val="333740"/>
              </w:rPr>
              <w:t>8</w:t>
            </w:r>
          </w:p>
        </w:tc>
        <w:tc>
          <w:tcPr>
            <w:tcW w:w="1000" w:type="dxa"/>
            <w:vAlign w:val="bottom"/>
            <w:tcBorders>
              <w:bottom w:val="single" w:sz="8" w:color="D7D8D6"/>
            </w:tcBorders>
          </w:tcPr>
          <w:p>
            <w:pPr>
              <w:jc w:val="right"/>
              <w:ind w:right="108"/>
              <w:spacing w:after="0"/>
              <w:rPr>
                <w:sz w:val="20"/>
                <w:szCs w:val="20"/>
                <w:color w:val="auto"/>
              </w:rPr>
            </w:pPr>
            <w:r>
              <w:rPr>
                <w:rFonts w:ascii="Arial" w:cs="Arial" w:eastAsia="Arial" w:hAnsi="Arial"/>
                <w:sz w:val="14"/>
                <w:szCs w:val="14"/>
                <w:color w:val="333740"/>
              </w:rPr>
              <w:t>7</w:t>
            </w:r>
          </w:p>
        </w:tc>
        <w:tc>
          <w:tcPr>
            <w:tcW w:w="1160" w:type="dxa"/>
            <w:vAlign w:val="bottom"/>
            <w:tcBorders>
              <w:bottom w:val="single" w:sz="8" w:color="D7D8D6"/>
            </w:tcBorders>
          </w:tcPr>
          <w:p>
            <w:pPr>
              <w:jc w:val="right"/>
              <w:ind w:right="248"/>
              <w:spacing w:after="0"/>
              <w:rPr>
                <w:sz w:val="20"/>
                <w:szCs w:val="20"/>
                <w:color w:val="auto"/>
              </w:rPr>
            </w:pPr>
            <w:r>
              <w:rPr>
                <w:rFonts w:ascii="Arial" w:cs="Arial" w:eastAsia="Arial" w:hAnsi="Arial"/>
                <w:sz w:val="14"/>
                <w:szCs w:val="14"/>
                <w:color w:val="333740"/>
              </w:rPr>
              <w:t>3</w:t>
            </w:r>
          </w:p>
        </w:tc>
        <w:tc>
          <w:tcPr>
            <w:tcW w:w="880" w:type="dxa"/>
            <w:vAlign w:val="bottom"/>
            <w:tcBorders>
              <w:bottom w:val="single" w:sz="8" w:color="D7D8D6"/>
            </w:tcBorders>
          </w:tcPr>
          <w:p>
            <w:pPr>
              <w:jc w:val="right"/>
              <w:ind w:right="128"/>
              <w:spacing w:after="0"/>
              <w:rPr>
                <w:sz w:val="20"/>
                <w:szCs w:val="20"/>
                <w:color w:val="auto"/>
              </w:rPr>
            </w:pPr>
            <w:r>
              <w:rPr>
                <w:rFonts w:ascii="Arial" w:cs="Arial" w:eastAsia="Arial" w:hAnsi="Arial"/>
                <w:sz w:val="14"/>
                <w:szCs w:val="14"/>
                <w:color w:val="333740"/>
              </w:rPr>
              <w:t>4</w:t>
            </w:r>
          </w:p>
        </w:tc>
        <w:tc>
          <w:tcPr>
            <w:tcW w:w="1100" w:type="dxa"/>
            <w:vAlign w:val="bottom"/>
            <w:tcBorders>
              <w:bottom w:val="single" w:sz="8" w:color="D7D8D6"/>
            </w:tcBorders>
          </w:tcPr>
          <w:p>
            <w:pPr>
              <w:jc w:val="right"/>
              <w:ind w:right="208"/>
              <w:spacing w:after="0"/>
              <w:rPr>
                <w:sz w:val="20"/>
                <w:szCs w:val="20"/>
                <w:color w:val="auto"/>
              </w:rPr>
            </w:pPr>
            <w:r>
              <w:rPr>
                <w:rFonts w:ascii="Arial" w:cs="Arial" w:eastAsia="Arial" w:hAnsi="Arial"/>
                <w:sz w:val="14"/>
                <w:szCs w:val="14"/>
                <w:color w:val="333740"/>
              </w:rPr>
              <w:t>11</w:t>
            </w:r>
          </w:p>
        </w:tc>
        <w:tc>
          <w:tcPr>
            <w:tcW w:w="920" w:type="dxa"/>
            <w:vAlign w:val="bottom"/>
            <w:tcBorders>
              <w:bottom w:val="single" w:sz="8" w:color="D7D8D6"/>
            </w:tcBorders>
          </w:tcPr>
          <w:p>
            <w:pPr>
              <w:jc w:val="right"/>
              <w:ind w:right="108"/>
              <w:spacing w:after="0"/>
              <w:rPr>
                <w:sz w:val="20"/>
                <w:szCs w:val="20"/>
                <w:color w:val="auto"/>
              </w:rPr>
            </w:pPr>
            <w:r>
              <w:rPr>
                <w:rFonts w:ascii="Arial" w:cs="Arial" w:eastAsia="Arial" w:hAnsi="Arial"/>
                <w:sz w:val="14"/>
                <w:szCs w:val="14"/>
                <w:color w:val="333740"/>
              </w:rPr>
              <w:t>11</w:t>
            </w:r>
          </w:p>
        </w:tc>
        <w:tc>
          <w:tcPr>
            <w:tcW w:w="1020" w:type="dxa"/>
            <w:vAlign w:val="bottom"/>
            <w:tcBorders>
              <w:bottom w:val="single" w:sz="8" w:color="D7D8D6"/>
            </w:tcBorders>
          </w:tcPr>
          <w:p>
            <w:pPr>
              <w:jc w:val="right"/>
              <w:ind w:right="128"/>
              <w:spacing w:after="0"/>
              <w:rPr>
                <w:sz w:val="20"/>
                <w:szCs w:val="20"/>
                <w:color w:val="auto"/>
              </w:rPr>
            </w:pPr>
            <w:r>
              <w:rPr>
                <w:rFonts w:ascii="Arial" w:cs="Arial" w:eastAsia="Arial" w:hAnsi="Arial"/>
                <w:sz w:val="14"/>
                <w:szCs w:val="14"/>
                <w:color w:val="333740"/>
              </w:rPr>
              <w:t>27%</w:t>
            </w:r>
          </w:p>
        </w:tc>
        <w:tc>
          <w:tcPr>
            <w:tcW w:w="84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36%</w:t>
            </w:r>
          </w:p>
        </w:tc>
      </w:tr>
      <w:tr>
        <w:trPr>
          <w:trHeight w:val="267"/>
        </w:trPr>
        <w:tc>
          <w:tcPr>
            <w:tcW w:w="316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Senior managers</w:t>
            </w:r>
          </w:p>
        </w:tc>
        <w:tc>
          <w:tcPr>
            <w:tcW w:w="1180" w:type="dxa"/>
            <w:vAlign w:val="bottom"/>
            <w:tcBorders>
              <w:bottom w:val="single" w:sz="8" w:color="D7D8D6"/>
            </w:tcBorders>
          </w:tcPr>
          <w:p>
            <w:pPr>
              <w:jc w:val="right"/>
              <w:ind w:right="128"/>
              <w:spacing w:after="0"/>
              <w:rPr>
                <w:sz w:val="20"/>
                <w:szCs w:val="20"/>
                <w:color w:val="auto"/>
              </w:rPr>
            </w:pPr>
            <w:r>
              <w:rPr>
                <w:rFonts w:ascii="Arial" w:cs="Arial" w:eastAsia="Arial" w:hAnsi="Arial"/>
                <w:sz w:val="14"/>
                <w:szCs w:val="14"/>
                <w:color w:val="333740"/>
              </w:rPr>
              <w:t>98</w:t>
            </w:r>
          </w:p>
        </w:tc>
        <w:tc>
          <w:tcPr>
            <w:tcW w:w="1000" w:type="dxa"/>
            <w:vAlign w:val="bottom"/>
            <w:tcBorders>
              <w:bottom w:val="single" w:sz="8" w:color="D7D8D6"/>
            </w:tcBorders>
          </w:tcPr>
          <w:p>
            <w:pPr>
              <w:jc w:val="right"/>
              <w:ind w:right="108"/>
              <w:spacing w:after="0"/>
              <w:rPr>
                <w:sz w:val="20"/>
                <w:szCs w:val="20"/>
                <w:color w:val="auto"/>
              </w:rPr>
            </w:pPr>
            <w:r>
              <w:rPr>
                <w:rFonts w:ascii="Arial" w:cs="Arial" w:eastAsia="Arial" w:hAnsi="Arial"/>
                <w:sz w:val="14"/>
                <w:szCs w:val="14"/>
                <w:color w:val="333740"/>
              </w:rPr>
              <w:t>84</w:t>
            </w:r>
          </w:p>
        </w:tc>
        <w:tc>
          <w:tcPr>
            <w:tcW w:w="1160" w:type="dxa"/>
            <w:vAlign w:val="bottom"/>
            <w:tcBorders>
              <w:bottom w:val="single" w:sz="8" w:color="D7D8D6"/>
            </w:tcBorders>
          </w:tcPr>
          <w:p>
            <w:pPr>
              <w:jc w:val="right"/>
              <w:ind w:right="248"/>
              <w:spacing w:after="0"/>
              <w:rPr>
                <w:sz w:val="20"/>
                <w:szCs w:val="20"/>
                <w:color w:val="auto"/>
              </w:rPr>
            </w:pPr>
            <w:r>
              <w:rPr>
                <w:rFonts w:ascii="Arial" w:cs="Arial" w:eastAsia="Arial" w:hAnsi="Arial"/>
                <w:sz w:val="14"/>
                <w:szCs w:val="14"/>
                <w:color w:val="333740"/>
              </w:rPr>
              <w:t>17</w:t>
            </w:r>
          </w:p>
        </w:tc>
        <w:tc>
          <w:tcPr>
            <w:tcW w:w="880" w:type="dxa"/>
            <w:vAlign w:val="bottom"/>
            <w:tcBorders>
              <w:bottom w:val="single" w:sz="8" w:color="D7D8D6"/>
            </w:tcBorders>
          </w:tcPr>
          <w:p>
            <w:pPr>
              <w:jc w:val="right"/>
              <w:ind w:right="128"/>
              <w:spacing w:after="0"/>
              <w:rPr>
                <w:sz w:val="20"/>
                <w:szCs w:val="20"/>
                <w:color w:val="auto"/>
              </w:rPr>
            </w:pPr>
            <w:r>
              <w:rPr>
                <w:rFonts w:ascii="Arial" w:cs="Arial" w:eastAsia="Arial" w:hAnsi="Arial"/>
                <w:sz w:val="14"/>
                <w:szCs w:val="14"/>
                <w:color w:val="333740"/>
              </w:rPr>
              <w:t>24</w:t>
            </w:r>
          </w:p>
        </w:tc>
        <w:tc>
          <w:tcPr>
            <w:tcW w:w="1100" w:type="dxa"/>
            <w:vAlign w:val="bottom"/>
            <w:tcBorders>
              <w:bottom w:val="single" w:sz="8" w:color="D7D8D6"/>
            </w:tcBorders>
          </w:tcPr>
          <w:p>
            <w:pPr>
              <w:jc w:val="right"/>
              <w:ind w:right="208"/>
              <w:spacing w:after="0"/>
              <w:rPr>
                <w:sz w:val="20"/>
                <w:szCs w:val="20"/>
                <w:color w:val="auto"/>
              </w:rPr>
            </w:pPr>
            <w:r>
              <w:rPr>
                <w:rFonts w:ascii="Arial" w:cs="Arial" w:eastAsia="Arial" w:hAnsi="Arial"/>
                <w:sz w:val="14"/>
                <w:szCs w:val="14"/>
                <w:color w:val="333740"/>
              </w:rPr>
              <w:t>115</w:t>
            </w:r>
          </w:p>
        </w:tc>
        <w:tc>
          <w:tcPr>
            <w:tcW w:w="920" w:type="dxa"/>
            <w:vAlign w:val="bottom"/>
            <w:tcBorders>
              <w:bottom w:val="single" w:sz="8" w:color="D7D8D6"/>
            </w:tcBorders>
          </w:tcPr>
          <w:p>
            <w:pPr>
              <w:jc w:val="right"/>
              <w:ind w:right="108"/>
              <w:spacing w:after="0"/>
              <w:rPr>
                <w:sz w:val="20"/>
                <w:szCs w:val="20"/>
                <w:color w:val="auto"/>
              </w:rPr>
            </w:pPr>
            <w:r>
              <w:rPr>
                <w:rFonts w:ascii="Arial" w:cs="Arial" w:eastAsia="Arial" w:hAnsi="Arial"/>
                <w:sz w:val="14"/>
                <w:szCs w:val="14"/>
                <w:color w:val="333740"/>
              </w:rPr>
              <w:t>108</w:t>
            </w:r>
          </w:p>
        </w:tc>
        <w:tc>
          <w:tcPr>
            <w:tcW w:w="1020" w:type="dxa"/>
            <w:vAlign w:val="bottom"/>
            <w:tcBorders>
              <w:bottom w:val="single" w:sz="8" w:color="D7D8D6"/>
            </w:tcBorders>
          </w:tcPr>
          <w:p>
            <w:pPr>
              <w:jc w:val="right"/>
              <w:ind w:right="128"/>
              <w:spacing w:after="0"/>
              <w:rPr>
                <w:sz w:val="20"/>
                <w:szCs w:val="20"/>
                <w:color w:val="auto"/>
              </w:rPr>
            </w:pPr>
            <w:r>
              <w:rPr>
                <w:rFonts w:ascii="Arial" w:cs="Arial" w:eastAsia="Arial" w:hAnsi="Arial"/>
                <w:sz w:val="14"/>
                <w:szCs w:val="14"/>
                <w:color w:val="333740"/>
              </w:rPr>
              <w:t>15%</w:t>
            </w:r>
          </w:p>
        </w:tc>
        <w:tc>
          <w:tcPr>
            <w:tcW w:w="84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22%</w:t>
            </w:r>
          </w:p>
        </w:tc>
      </w:tr>
      <w:tr>
        <w:trPr>
          <w:trHeight w:val="267"/>
        </w:trPr>
        <w:tc>
          <w:tcPr>
            <w:tcW w:w="316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Employees on payroll (overall)</w:t>
            </w:r>
          </w:p>
        </w:tc>
        <w:tc>
          <w:tcPr>
            <w:tcW w:w="1180" w:type="dxa"/>
            <w:vAlign w:val="bottom"/>
            <w:tcBorders>
              <w:bottom w:val="single" w:sz="8" w:color="D7D8D6"/>
            </w:tcBorders>
          </w:tcPr>
          <w:p>
            <w:pPr>
              <w:jc w:val="right"/>
              <w:ind w:right="128"/>
              <w:spacing w:after="0"/>
              <w:rPr>
                <w:sz w:val="20"/>
                <w:szCs w:val="20"/>
                <w:color w:val="auto"/>
              </w:rPr>
            </w:pPr>
            <w:r>
              <w:rPr>
                <w:rFonts w:ascii="Arial" w:cs="Arial" w:eastAsia="Arial" w:hAnsi="Arial"/>
                <w:sz w:val="14"/>
                <w:szCs w:val="14"/>
                <w:color w:val="333740"/>
              </w:rPr>
              <w:t>28,987</w:t>
            </w:r>
          </w:p>
        </w:tc>
        <w:tc>
          <w:tcPr>
            <w:tcW w:w="1000" w:type="dxa"/>
            <w:vAlign w:val="bottom"/>
            <w:tcBorders>
              <w:bottom w:val="single" w:sz="8" w:color="D7D8D6"/>
            </w:tcBorders>
          </w:tcPr>
          <w:p>
            <w:pPr>
              <w:jc w:val="right"/>
              <w:ind w:right="108"/>
              <w:spacing w:after="0"/>
              <w:rPr>
                <w:sz w:val="20"/>
                <w:szCs w:val="20"/>
                <w:color w:val="auto"/>
              </w:rPr>
            </w:pPr>
            <w:r>
              <w:rPr>
                <w:rFonts w:ascii="Arial" w:cs="Arial" w:eastAsia="Arial" w:hAnsi="Arial"/>
                <w:sz w:val="14"/>
                <w:szCs w:val="14"/>
                <w:color w:val="333740"/>
              </w:rPr>
              <w:t>28,760</w:t>
            </w:r>
          </w:p>
        </w:tc>
        <w:tc>
          <w:tcPr>
            <w:tcW w:w="1160" w:type="dxa"/>
            <w:vAlign w:val="bottom"/>
            <w:tcBorders>
              <w:bottom w:val="single" w:sz="8" w:color="D7D8D6"/>
            </w:tcBorders>
          </w:tcPr>
          <w:p>
            <w:pPr>
              <w:jc w:val="right"/>
              <w:ind w:right="248"/>
              <w:spacing w:after="0"/>
              <w:rPr>
                <w:sz w:val="20"/>
                <w:szCs w:val="20"/>
                <w:color w:val="auto"/>
              </w:rPr>
            </w:pPr>
            <w:r>
              <w:rPr>
                <w:rFonts w:ascii="Arial" w:cs="Arial" w:eastAsia="Arial" w:hAnsi="Arial"/>
                <w:sz w:val="14"/>
                <w:szCs w:val="14"/>
                <w:color w:val="333740"/>
              </w:rPr>
              <w:t>8,157</w:t>
            </w:r>
          </w:p>
        </w:tc>
        <w:tc>
          <w:tcPr>
            <w:tcW w:w="880" w:type="dxa"/>
            <w:vAlign w:val="bottom"/>
            <w:tcBorders>
              <w:bottom w:val="single" w:sz="8" w:color="D7D8D6"/>
            </w:tcBorders>
          </w:tcPr>
          <w:p>
            <w:pPr>
              <w:jc w:val="right"/>
              <w:ind w:right="128"/>
              <w:spacing w:after="0"/>
              <w:rPr>
                <w:sz w:val="20"/>
                <w:szCs w:val="20"/>
                <w:color w:val="auto"/>
              </w:rPr>
            </w:pPr>
            <w:r>
              <w:rPr>
                <w:rFonts w:ascii="Arial" w:cs="Arial" w:eastAsia="Arial" w:hAnsi="Arial"/>
                <w:sz w:val="14"/>
                <w:szCs w:val="14"/>
                <w:color w:val="333740"/>
              </w:rPr>
              <w:t>8,407</w:t>
            </w:r>
          </w:p>
        </w:tc>
        <w:tc>
          <w:tcPr>
            <w:tcW w:w="1100" w:type="dxa"/>
            <w:vAlign w:val="bottom"/>
            <w:tcBorders>
              <w:bottom w:val="single" w:sz="8" w:color="D7D8D6"/>
            </w:tcBorders>
          </w:tcPr>
          <w:p>
            <w:pPr>
              <w:jc w:val="right"/>
              <w:ind w:right="208"/>
              <w:spacing w:after="0"/>
              <w:rPr>
                <w:sz w:val="20"/>
                <w:szCs w:val="20"/>
                <w:color w:val="auto"/>
              </w:rPr>
            </w:pPr>
            <w:r>
              <w:rPr>
                <w:rFonts w:ascii="Arial" w:cs="Arial" w:eastAsia="Arial" w:hAnsi="Arial"/>
                <w:sz w:val="14"/>
                <w:szCs w:val="14"/>
                <w:color w:val="333740"/>
              </w:rPr>
              <w:t>37,144</w:t>
            </w:r>
          </w:p>
        </w:tc>
        <w:tc>
          <w:tcPr>
            <w:tcW w:w="920" w:type="dxa"/>
            <w:vAlign w:val="bottom"/>
            <w:tcBorders>
              <w:bottom w:val="single" w:sz="8" w:color="D7D8D6"/>
            </w:tcBorders>
          </w:tcPr>
          <w:p>
            <w:pPr>
              <w:jc w:val="right"/>
              <w:ind w:right="108"/>
              <w:spacing w:after="0"/>
              <w:rPr>
                <w:sz w:val="20"/>
                <w:szCs w:val="20"/>
                <w:color w:val="auto"/>
              </w:rPr>
            </w:pPr>
            <w:r>
              <w:rPr>
                <w:rFonts w:ascii="Arial" w:cs="Arial" w:eastAsia="Arial" w:hAnsi="Arial"/>
                <w:sz w:val="14"/>
                <w:szCs w:val="14"/>
                <w:color w:val="333740"/>
              </w:rPr>
              <w:t>37,167</w:t>
            </w:r>
          </w:p>
        </w:tc>
        <w:tc>
          <w:tcPr>
            <w:tcW w:w="1020" w:type="dxa"/>
            <w:vAlign w:val="bottom"/>
            <w:tcBorders>
              <w:bottom w:val="single" w:sz="8" w:color="D7D8D6"/>
            </w:tcBorders>
          </w:tcPr>
          <w:p>
            <w:pPr>
              <w:jc w:val="right"/>
              <w:ind w:right="128"/>
              <w:spacing w:after="0"/>
              <w:rPr>
                <w:sz w:val="20"/>
                <w:szCs w:val="20"/>
                <w:color w:val="auto"/>
              </w:rPr>
            </w:pPr>
            <w:r>
              <w:rPr>
                <w:rFonts w:ascii="Arial" w:cs="Arial" w:eastAsia="Arial" w:hAnsi="Arial"/>
                <w:sz w:val="14"/>
                <w:szCs w:val="14"/>
                <w:color w:val="333740"/>
              </w:rPr>
              <w:t>22%</w:t>
            </w:r>
          </w:p>
        </w:tc>
        <w:tc>
          <w:tcPr>
            <w:tcW w:w="84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23%</w:t>
            </w:r>
          </w:p>
        </w:tc>
      </w:tr>
    </w:tbl>
    <w:p>
      <w:pPr>
        <w:spacing w:after="0" w:line="363" w:lineRule="exact"/>
        <w:rPr>
          <w:sz w:val="20"/>
          <w:szCs w:val="20"/>
          <w:color w:val="auto"/>
        </w:rPr>
      </w:pPr>
    </w:p>
    <w:p>
      <w:pPr>
        <w:ind w:left="564" w:hanging="564"/>
        <w:spacing w:after="0"/>
        <w:tabs>
          <w:tab w:leader="none" w:pos="564" w:val="left"/>
        </w:tabs>
        <w:numPr>
          <w:ilvl w:val="0"/>
          <w:numId w:val="33"/>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type w:val="continuous"/>
        </w:sectPr>
      </w:pPr>
    </w:p>
    <w:bookmarkStart w:id="26" w:name="page27"/>
    <w:bookmarkEnd w:id="26"/>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4819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73"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333740"/>
        </w:rPr>
        <w:t>Promote women fairly and equally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5008245</wp:posOffset>
            </wp:positionH>
            <wp:positionV relativeFrom="paragraph">
              <wp:posOffset>-78740</wp:posOffset>
            </wp:positionV>
            <wp:extent cx="1715135" cy="2716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5135" cy="2716530"/>
                    </a:xfrm>
                    <a:prstGeom prst="rect">
                      <a:avLst/>
                    </a:prstGeom>
                    <a:noFill/>
                  </pic:spPr>
                </pic:pic>
              </a:graphicData>
            </a:graphic>
          </wp:anchor>
        </w:drawing>
      </w:r>
    </w:p>
    <w:p>
      <w:pPr>
        <w:spacing w:after="0" w:line="59" w:lineRule="exact"/>
        <w:rPr>
          <w:sz w:val="20"/>
          <w:szCs w:val="20"/>
          <w:color w:val="auto"/>
        </w:rPr>
      </w:pPr>
    </w:p>
    <w:p>
      <w:pPr>
        <w:ind w:left="4" w:right="3479"/>
        <w:spacing w:after="0" w:line="253" w:lineRule="auto"/>
        <w:rPr>
          <w:sz w:val="20"/>
          <w:szCs w:val="20"/>
          <w:color w:val="auto"/>
        </w:rPr>
      </w:pPr>
      <w:r>
        <w:rPr>
          <w:rFonts w:ascii="Arial" w:cs="Arial" w:eastAsia="Arial" w:hAnsi="Arial"/>
          <w:sz w:val="14"/>
          <w:szCs w:val="14"/>
          <w:color w:val="333740"/>
        </w:rPr>
        <w:t>Continuous discussions around improving representation of women in the organization helps us promote women fairly and equally throughout their career development process within our Company. In 2019, our People and Culture team reviewed all senior management succession plans to ensure that female candidates were considered and included. As a result, 70% of our succession plans in 2019 include at least one woman, which is a significant increase from 35%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4" w:hanging="564"/>
        <w:spacing w:after="0"/>
        <w:tabs>
          <w:tab w:leader="none" w:pos="564" w:val="left"/>
        </w:tabs>
        <w:numPr>
          <w:ilvl w:val="0"/>
          <w:numId w:val="3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4"/>
          </w:cols>
          <w:pgMar w:left="316" w:top="128" w:right="1440" w:bottom="1440" w:gutter="0" w:footer="0" w:header="0"/>
        </w:sectPr>
      </w:pPr>
    </w:p>
    <w:bookmarkStart w:id="27" w:name="page28"/>
    <w:bookmarkEnd w:id="27"/>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3"/>
          <w:szCs w:val="33"/>
          <w:color w:val="481F6E"/>
        </w:rPr>
        <w:t>Respecting the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140970</wp:posOffset>
            </wp:positionV>
            <wp:extent cx="3323590" cy="3217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23590" cy="321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244" w:right="260"/>
        <w:spacing w:after="0" w:line="249" w:lineRule="auto"/>
        <w:rPr>
          <w:sz w:val="20"/>
          <w:szCs w:val="20"/>
          <w:color w:val="auto"/>
        </w:rPr>
      </w:pPr>
      <w:r>
        <w:rPr>
          <w:rFonts w:ascii="Arial" w:cs="Arial" w:eastAsia="Arial" w:hAnsi="Arial"/>
          <w:sz w:val="14"/>
          <w:szCs w:val="14"/>
          <w:color w:val="333740"/>
        </w:rPr>
        <w:t>Respecting the Environment is the third of our three sustainability pillars. We believe our environmental responsibility requires us to operate in a manner that minimizes the impact of our operations on the environment, develop sustainable solutions</w:t>
      </w:r>
    </w:p>
    <w:p>
      <w:pPr>
        <w:spacing w:after="0" w:line="1" w:lineRule="exact"/>
        <w:rPr>
          <w:sz w:val="20"/>
          <w:szCs w:val="20"/>
          <w:color w:val="auto"/>
        </w:rPr>
      </w:pPr>
    </w:p>
    <w:p>
      <w:pPr>
        <w:ind w:left="7244" w:right="220"/>
        <w:spacing w:after="0" w:line="257" w:lineRule="auto"/>
        <w:rPr>
          <w:sz w:val="20"/>
          <w:szCs w:val="20"/>
          <w:color w:val="auto"/>
        </w:rPr>
      </w:pPr>
      <w:r>
        <w:rPr>
          <w:rFonts w:ascii="Arial" w:cs="Arial" w:eastAsia="Arial" w:hAnsi="Arial"/>
          <w:sz w:val="14"/>
          <w:szCs w:val="14"/>
          <w:color w:val="333740"/>
        </w:rPr>
        <w:t>to reduce carbon emissions within our overall environmental footprint, and avoid any environmental incidents in our operations and activities.</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81F6E"/>
        </w:rPr>
        <w:t>Respecting the Environment – Objectives</w:t>
      </w:r>
    </w:p>
    <w:p>
      <w:pPr>
        <w:spacing w:after="0" w:line="213" w:lineRule="exact"/>
        <w:rPr>
          <w:sz w:val="20"/>
          <w:szCs w:val="20"/>
          <w:color w:val="auto"/>
        </w:rPr>
      </w:pPr>
    </w:p>
    <w:p>
      <w:pPr>
        <w:ind w:left="144"/>
        <w:spacing w:after="0"/>
        <w:rPr>
          <w:sz w:val="20"/>
          <w:szCs w:val="20"/>
          <w:color w:val="auto"/>
        </w:rPr>
      </w:pPr>
      <w:r>
        <w:rPr>
          <w:rFonts w:ascii="Arial" w:cs="Arial" w:eastAsia="Arial" w:hAnsi="Arial"/>
          <w:sz w:val="14"/>
          <w:szCs w:val="14"/>
          <w:color w:val="333740"/>
        </w:rPr>
        <w:t>Our Respecting the Environment objectives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148195" cy="660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660400"/>
                    </a:xfrm>
                    <a:prstGeom prst="rect">
                      <a:avLst/>
                    </a:prstGeom>
                    <a:noFill/>
                  </pic:spPr>
                </pic:pic>
              </a:graphicData>
            </a:graphic>
          </wp:anchor>
        </w:drawing>
      </w:r>
    </w:p>
    <w:p>
      <w:pPr>
        <w:spacing w:after="0" w:line="64" w:lineRule="exact"/>
        <w:rPr>
          <w:sz w:val="20"/>
          <w:szCs w:val="20"/>
          <w:color w:val="auto"/>
        </w:rPr>
      </w:pPr>
    </w:p>
    <w:tbl>
      <w:tblPr>
        <w:tblLayout w:type="fixed"/>
        <w:tblInd w:w="124" w:type="dxa"/>
        <w:tblCellMar>
          <w:top w:w="0" w:type="dxa"/>
          <w:left w:w="0" w:type="dxa"/>
          <w:bottom w:w="0" w:type="dxa"/>
          <w:right w:w="0" w:type="dxa"/>
        </w:tblCellMar>
      </w:tblPr>
      <w:tr>
        <w:trPr>
          <w:trHeight w:val="197"/>
        </w:trPr>
        <w:tc>
          <w:tcPr>
            <w:tcW w:w="160" w:type="dxa"/>
            <w:vAlign w:val="bottom"/>
            <w:shd w:val="clear" w:color="auto" w:fill="E0E1DF"/>
          </w:tcPr>
          <w:p>
            <w:pPr>
              <w:spacing w:after="0"/>
              <w:rPr>
                <w:sz w:val="17"/>
                <w:szCs w:val="17"/>
                <w:color w:val="auto"/>
              </w:rPr>
            </w:pPr>
          </w:p>
        </w:tc>
        <w:tc>
          <w:tcPr>
            <w:tcW w:w="3760" w:type="dxa"/>
            <w:vAlign w:val="bottom"/>
            <w:shd w:val="clear" w:color="auto" w:fill="E0E1DF"/>
          </w:tcPr>
          <w:p>
            <w:pPr>
              <w:ind w:left="20"/>
              <w:spacing w:after="0"/>
              <w:rPr>
                <w:sz w:val="20"/>
                <w:szCs w:val="20"/>
                <w:color w:val="auto"/>
              </w:rPr>
            </w:pPr>
            <w:r>
              <w:rPr>
                <w:rFonts w:ascii="Arial" w:cs="Arial" w:eastAsia="Arial" w:hAnsi="Arial"/>
                <w:sz w:val="14"/>
                <w:szCs w:val="14"/>
                <w:b w:val="1"/>
                <w:bCs w:val="1"/>
                <w:color w:val="333740"/>
              </w:rPr>
              <w:t xml:space="preserve">Reduce the carbon footprint </w:t>
            </w:r>
            <w:r>
              <w:rPr>
                <w:rFonts w:ascii="Arial" w:cs="Arial" w:eastAsia="Arial" w:hAnsi="Arial"/>
                <w:sz w:val="14"/>
                <w:szCs w:val="14"/>
                <w:color w:val="333740"/>
              </w:rPr>
              <w:t>of our facilities,</w:t>
            </w:r>
          </w:p>
        </w:tc>
        <w:tc>
          <w:tcPr>
            <w:tcW w:w="3600" w:type="dxa"/>
            <w:vAlign w:val="bottom"/>
            <w:shd w:val="clear" w:color="auto" w:fill="E0E1DF"/>
          </w:tcPr>
          <w:p>
            <w:pPr>
              <w:ind w:left="560"/>
              <w:spacing w:after="0"/>
              <w:rPr>
                <w:sz w:val="20"/>
                <w:szCs w:val="20"/>
                <w:color w:val="auto"/>
              </w:rPr>
            </w:pPr>
            <w:r>
              <w:rPr>
                <w:rFonts w:ascii="Arial" w:cs="Arial" w:eastAsia="Arial" w:hAnsi="Arial"/>
                <w:sz w:val="14"/>
                <w:szCs w:val="14"/>
                <w:b w:val="1"/>
                <w:bCs w:val="1"/>
                <w:color w:val="333740"/>
              </w:rPr>
              <w:t>Provide the carbon footprint of</w:t>
            </w:r>
          </w:p>
        </w:tc>
        <w:tc>
          <w:tcPr>
            <w:tcW w:w="3620" w:type="dxa"/>
            <w:vAlign w:val="bottom"/>
            <w:shd w:val="clear" w:color="auto" w:fill="E0E1DF"/>
          </w:tcPr>
          <w:p>
            <w:pPr>
              <w:ind w:left="100"/>
              <w:spacing w:after="0"/>
              <w:rPr>
                <w:sz w:val="20"/>
                <w:szCs w:val="20"/>
                <w:color w:val="auto"/>
              </w:rPr>
            </w:pPr>
            <w:r>
              <w:rPr>
                <w:rFonts w:ascii="Arial" w:cs="Arial" w:eastAsia="Arial" w:hAnsi="Arial"/>
                <w:sz w:val="14"/>
                <w:szCs w:val="14"/>
                <w:b w:val="1"/>
                <w:bCs w:val="1"/>
                <w:color w:val="333740"/>
              </w:rPr>
              <w:t xml:space="preserve">Establish an internal carbon price </w:t>
            </w:r>
            <w:r>
              <w:rPr>
                <w:rFonts w:ascii="Arial" w:cs="Arial" w:eastAsia="Arial" w:hAnsi="Arial"/>
                <w:sz w:val="14"/>
                <w:szCs w:val="14"/>
                <w:color w:val="333740"/>
              </w:rPr>
              <w:t>for the</w:t>
            </w:r>
          </w:p>
        </w:tc>
        <w:tc>
          <w:tcPr>
            <w:tcW w:w="0" w:type="dxa"/>
            <w:vAlign w:val="bottom"/>
          </w:tcPr>
          <w:p>
            <w:pPr>
              <w:spacing w:after="0"/>
              <w:rPr>
                <w:sz w:val="1"/>
                <w:szCs w:val="1"/>
                <w:color w:val="auto"/>
              </w:rPr>
            </w:pPr>
          </w:p>
        </w:tc>
      </w:tr>
      <w:tr>
        <w:trPr>
          <w:trHeight w:val="203"/>
        </w:trPr>
        <w:tc>
          <w:tcPr>
            <w:tcW w:w="160" w:type="dxa"/>
            <w:vAlign w:val="bottom"/>
            <w:shd w:val="clear" w:color="auto" w:fill="E0E1DF"/>
          </w:tcPr>
          <w:p>
            <w:pPr>
              <w:spacing w:after="0"/>
              <w:rPr>
                <w:sz w:val="17"/>
                <w:szCs w:val="17"/>
                <w:color w:val="auto"/>
              </w:rPr>
            </w:pPr>
          </w:p>
        </w:tc>
        <w:tc>
          <w:tcPr>
            <w:tcW w:w="3760" w:type="dxa"/>
            <w:vAlign w:val="bottom"/>
            <w:shd w:val="clear" w:color="auto" w:fill="E0E1DF"/>
          </w:tcPr>
          <w:p>
            <w:pPr>
              <w:spacing w:after="0"/>
              <w:rPr>
                <w:sz w:val="20"/>
                <w:szCs w:val="20"/>
                <w:color w:val="auto"/>
              </w:rPr>
            </w:pPr>
            <w:r>
              <w:rPr>
                <w:rFonts w:ascii="Arial" w:cs="Arial" w:eastAsia="Arial" w:hAnsi="Arial"/>
                <w:sz w:val="14"/>
                <w:szCs w:val="14"/>
                <w:color w:val="333740"/>
              </w:rPr>
              <w:t>products, and solutions and reduce our greenhouse</w:t>
            </w:r>
          </w:p>
        </w:tc>
        <w:tc>
          <w:tcPr>
            <w:tcW w:w="3600" w:type="dxa"/>
            <w:vAlign w:val="bottom"/>
            <w:shd w:val="clear" w:color="auto" w:fill="E0E1DF"/>
          </w:tcPr>
          <w:p>
            <w:pPr>
              <w:ind w:left="540"/>
              <w:spacing w:after="0"/>
              <w:rPr>
                <w:sz w:val="20"/>
                <w:szCs w:val="20"/>
                <w:color w:val="auto"/>
              </w:rPr>
            </w:pPr>
            <w:r>
              <w:rPr>
                <w:rFonts w:ascii="Arial" w:cs="Arial" w:eastAsia="Arial" w:hAnsi="Arial"/>
                <w:sz w:val="14"/>
                <w:szCs w:val="14"/>
                <w:b w:val="1"/>
                <w:bCs w:val="1"/>
                <w:color w:val="333740"/>
              </w:rPr>
              <w:t>all our deliverables to clients</w:t>
            </w:r>
          </w:p>
        </w:tc>
        <w:tc>
          <w:tcPr>
            <w:tcW w:w="3620" w:type="dxa"/>
            <w:vAlign w:val="bottom"/>
            <w:shd w:val="clear" w:color="auto" w:fill="E0E1DF"/>
          </w:tcPr>
          <w:p>
            <w:pPr>
              <w:ind w:left="80"/>
              <w:spacing w:after="0"/>
              <w:rPr>
                <w:sz w:val="20"/>
                <w:szCs w:val="20"/>
                <w:color w:val="auto"/>
              </w:rPr>
            </w:pPr>
            <w:r>
              <w:rPr>
                <w:rFonts w:ascii="Arial" w:cs="Arial" w:eastAsia="Arial" w:hAnsi="Arial"/>
                <w:sz w:val="14"/>
                <w:szCs w:val="14"/>
                <w:color w:val="333740"/>
              </w:rPr>
              <w:t>entire Company, including projects and</w:t>
            </w:r>
          </w:p>
        </w:tc>
        <w:tc>
          <w:tcPr>
            <w:tcW w:w="0" w:type="dxa"/>
            <w:vAlign w:val="bottom"/>
          </w:tcPr>
          <w:p>
            <w:pPr>
              <w:spacing w:after="0"/>
              <w:rPr>
                <w:sz w:val="1"/>
                <w:szCs w:val="1"/>
                <w:color w:val="auto"/>
              </w:rPr>
            </w:pPr>
          </w:p>
        </w:tc>
      </w:tr>
      <w:tr>
        <w:trPr>
          <w:trHeight w:val="132"/>
        </w:trPr>
        <w:tc>
          <w:tcPr>
            <w:tcW w:w="160" w:type="dxa"/>
            <w:vAlign w:val="bottom"/>
            <w:shd w:val="clear" w:color="auto" w:fill="E0E1DF"/>
          </w:tcPr>
          <w:p>
            <w:pPr>
              <w:spacing w:after="0"/>
              <w:rPr>
                <w:sz w:val="11"/>
                <w:szCs w:val="11"/>
                <w:color w:val="auto"/>
              </w:rPr>
            </w:pPr>
          </w:p>
        </w:tc>
        <w:tc>
          <w:tcPr>
            <w:tcW w:w="3760" w:type="dxa"/>
            <w:vAlign w:val="bottom"/>
            <w:vMerge w:val="restart"/>
            <w:shd w:val="clear" w:color="auto" w:fill="E0E1DF"/>
          </w:tcPr>
          <w:p>
            <w:pPr>
              <w:spacing w:after="0"/>
              <w:rPr>
                <w:sz w:val="20"/>
                <w:szCs w:val="20"/>
                <w:color w:val="auto"/>
              </w:rPr>
            </w:pPr>
            <w:r>
              <w:rPr>
                <w:rFonts w:ascii="Arial" w:cs="Arial" w:eastAsia="Arial" w:hAnsi="Arial"/>
                <w:sz w:val="14"/>
                <w:szCs w:val="14"/>
                <w:color w:val="333740"/>
              </w:rPr>
              <w:t>gas emissions</w:t>
            </w:r>
          </w:p>
        </w:tc>
        <w:tc>
          <w:tcPr>
            <w:tcW w:w="3600" w:type="dxa"/>
            <w:vAlign w:val="bottom"/>
            <w:shd w:val="clear" w:color="auto" w:fill="E0E1DF"/>
          </w:tcPr>
          <w:p>
            <w:pPr>
              <w:spacing w:after="0"/>
              <w:rPr>
                <w:sz w:val="11"/>
                <w:szCs w:val="11"/>
                <w:color w:val="auto"/>
              </w:rPr>
            </w:pPr>
          </w:p>
        </w:tc>
        <w:tc>
          <w:tcPr>
            <w:tcW w:w="3620" w:type="dxa"/>
            <w:vAlign w:val="bottom"/>
            <w:shd w:val="clear" w:color="auto" w:fill="E0E1DF"/>
          </w:tcPr>
          <w:p>
            <w:pPr>
              <w:ind w:left="80"/>
              <w:spacing w:after="0" w:line="132" w:lineRule="exact"/>
              <w:rPr>
                <w:sz w:val="20"/>
                <w:szCs w:val="20"/>
                <w:color w:val="auto"/>
              </w:rPr>
            </w:pPr>
            <w:r>
              <w:rPr>
                <w:rFonts w:ascii="Arial" w:cs="Arial" w:eastAsia="Arial" w:hAnsi="Arial"/>
                <w:sz w:val="14"/>
                <w:szCs w:val="14"/>
                <w:color w:val="333740"/>
              </w:rPr>
              <w:t>operations, to inform and impact investment</w:t>
            </w:r>
          </w:p>
        </w:tc>
        <w:tc>
          <w:tcPr>
            <w:tcW w:w="0" w:type="dxa"/>
            <w:vAlign w:val="bottom"/>
          </w:tcPr>
          <w:p>
            <w:pPr>
              <w:spacing w:after="0"/>
              <w:rPr>
                <w:sz w:val="1"/>
                <w:szCs w:val="1"/>
                <w:color w:val="auto"/>
              </w:rPr>
            </w:pPr>
          </w:p>
        </w:tc>
      </w:tr>
      <w:tr>
        <w:trPr>
          <w:trHeight w:val="129"/>
        </w:trPr>
        <w:tc>
          <w:tcPr>
            <w:tcW w:w="160" w:type="dxa"/>
            <w:vAlign w:val="bottom"/>
            <w:shd w:val="clear" w:color="auto" w:fill="E0E1DF"/>
          </w:tcPr>
          <w:p>
            <w:pPr>
              <w:spacing w:after="0"/>
              <w:rPr>
                <w:sz w:val="11"/>
                <w:szCs w:val="11"/>
                <w:color w:val="auto"/>
              </w:rPr>
            </w:pPr>
          </w:p>
        </w:tc>
        <w:tc>
          <w:tcPr>
            <w:tcW w:w="3760" w:type="dxa"/>
            <w:vAlign w:val="bottom"/>
            <w:vMerge w:val="continue"/>
            <w:shd w:val="clear" w:color="auto" w:fill="E0E1DF"/>
          </w:tcPr>
          <w:p>
            <w:pPr>
              <w:spacing w:after="0"/>
              <w:rPr>
                <w:sz w:val="11"/>
                <w:szCs w:val="11"/>
                <w:color w:val="auto"/>
              </w:rPr>
            </w:pPr>
          </w:p>
        </w:tc>
        <w:tc>
          <w:tcPr>
            <w:tcW w:w="3600" w:type="dxa"/>
            <w:vAlign w:val="bottom"/>
            <w:shd w:val="clear" w:color="auto" w:fill="E0E1DF"/>
          </w:tcPr>
          <w:p>
            <w:pPr>
              <w:spacing w:after="0"/>
              <w:rPr>
                <w:sz w:val="11"/>
                <w:szCs w:val="11"/>
                <w:color w:val="auto"/>
              </w:rPr>
            </w:pPr>
          </w:p>
        </w:tc>
        <w:tc>
          <w:tcPr>
            <w:tcW w:w="3620" w:type="dxa"/>
            <w:vAlign w:val="bottom"/>
            <w:vMerge w:val="restart"/>
            <w:shd w:val="clear" w:color="auto" w:fill="E0E1DF"/>
          </w:tcPr>
          <w:p>
            <w:pPr>
              <w:ind w:left="80"/>
              <w:spacing w:after="0"/>
              <w:rPr>
                <w:sz w:val="20"/>
                <w:szCs w:val="20"/>
                <w:color w:val="auto"/>
              </w:rPr>
            </w:pPr>
            <w:r>
              <w:rPr>
                <w:rFonts w:ascii="Arial" w:cs="Arial" w:eastAsia="Arial" w:hAnsi="Arial"/>
                <w:sz w:val="14"/>
                <w:szCs w:val="14"/>
                <w:color w:val="333740"/>
              </w:rPr>
              <w:t>decisions</w:t>
            </w:r>
          </w:p>
        </w:tc>
        <w:tc>
          <w:tcPr>
            <w:tcW w:w="0" w:type="dxa"/>
            <w:vAlign w:val="bottom"/>
          </w:tcPr>
          <w:p>
            <w:pPr>
              <w:spacing w:after="0"/>
              <w:rPr>
                <w:sz w:val="1"/>
                <w:szCs w:val="1"/>
                <w:color w:val="auto"/>
              </w:rPr>
            </w:pPr>
          </w:p>
        </w:tc>
      </w:tr>
      <w:tr>
        <w:trPr>
          <w:trHeight w:val="96"/>
        </w:trPr>
        <w:tc>
          <w:tcPr>
            <w:tcW w:w="160" w:type="dxa"/>
            <w:vAlign w:val="bottom"/>
            <w:shd w:val="clear" w:color="auto" w:fill="E0E1DF"/>
          </w:tcPr>
          <w:p>
            <w:pPr>
              <w:spacing w:after="0"/>
              <w:rPr>
                <w:sz w:val="8"/>
                <w:szCs w:val="8"/>
                <w:color w:val="auto"/>
              </w:rPr>
            </w:pPr>
          </w:p>
        </w:tc>
        <w:tc>
          <w:tcPr>
            <w:tcW w:w="3760" w:type="dxa"/>
            <w:vAlign w:val="bottom"/>
            <w:shd w:val="clear" w:color="auto" w:fill="E0E1DF"/>
          </w:tcPr>
          <w:p>
            <w:pPr>
              <w:spacing w:after="0"/>
              <w:rPr>
                <w:sz w:val="8"/>
                <w:szCs w:val="8"/>
                <w:color w:val="auto"/>
              </w:rPr>
            </w:pPr>
          </w:p>
        </w:tc>
        <w:tc>
          <w:tcPr>
            <w:tcW w:w="3600" w:type="dxa"/>
            <w:vAlign w:val="bottom"/>
            <w:shd w:val="clear" w:color="auto" w:fill="E0E1DF"/>
          </w:tcPr>
          <w:p>
            <w:pPr>
              <w:spacing w:after="0"/>
              <w:rPr>
                <w:sz w:val="8"/>
                <w:szCs w:val="8"/>
                <w:color w:val="auto"/>
              </w:rPr>
            </w:pPr>
          </w:p>
        </w:tc>
        <w:tc>
          <w:tcPr>
            <w:tcW w:w="3620" w:type="dxa"/>
            <w:vAlign w:val="bottom"/>
            <w:vMerge w:val="continue"/>
            <w:shd w:val="clear" w:color="auto" w:fill="E0E1DF"/>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160" w:type="dxa"/>
            <w:vAlign w:val="bottom"/>
            <w:shd w:val="clear" w:color="auto" w:fill="E0E1DF"/>
          </w:tcPr>
          <w:p>
            <w:pPr>
              <w:spacing w:after="0"/>
              <w:rPr>
                <w:sz w:val="4"/>
                <w:szCs w:val="4"/>
                <w:color w:val="auto"/>
              </w:rPr>
            </w:pPr>
          </w:p>
        </w:tc>
        <w:tc>
          <w:tcPr>
            <w:tcW w:w="3760" w:type="dxa"/>
            <w:vAlign w:val="bottom"/>
            <w:shd w:val="clear" w:color="auto" w:fill="E0E1DF"/>
          </w:tcPr>
          <w:p>
            <w:pPr>
              <w:spacing w:after="0"/>
              <w:rPr>
                <w:sz w:val="4"/>
                <w:szCs w:val="4"/>
                <w:color w:val="auto"/>
              </w:rPr>
            </w:pPr>
          </w:p>
        </w:tc>
        <w:tc>
          <w:tcPr>
            <w:tcW w:w="3600" w:type="dxa"/>
            <w:vAlign w:val="bottom"/>
            <w:shd w:val="clear" w:color="auto" w:fill="E0E1DF"/>
          </w:tcPr>
          <w:p>
            <w:pPr>
              <w:spacing w:after="0"/>
              <w:rPr>
                <w:sz w:val="4"/>
                <w:szCs w:val="4"/>
                <w:color w:val="auto"/>
              </w:rPr>
            </w:pPr>
          </w:p>
        </w:tc>
        <w:tc>
          <w:tcPr>
            <w:tcW w:w="3620" w:type="dxa"/>
            <w:vAlign w:val="bottom"/>
            <w:shd w:val="clear" w:color="auto" w:fill="E0E1DF"/>
          </w:tcPr>
          <w:p>
            <w:pPr>
              <w:spacing w:after="0"/>
              <w:rPr>
                <w:sz w:val="4"/>
                <w:szCs w:val="4"/>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ind w:left="564" w:hanging="564"/>
        <w:spacing w:after="0"/>
        <w:tabs>
          <w:tab w:leader="none" w:pos="564" w:val="left"/>
        </w:tabs>
        <w:numPr>
          <w:ilvl w:val="0"/>
          <w:numId w:val="35"/>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28" w:name="page29"/>
    <w:bookmarkEnd w:id="28"/>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333740"/>
        </w:rPr>
        <w:t>Reduce our carbon footprint</w:t>
      </w:r>
    </w:p>
    <w:p>
      <w:pPr>
        <w:spacing w:after="0" w:line="79" w:lineRule="exact"/>
        <w:rPr>
          <w:sz w:val="20"/>
          <w:szCs w:val="20"/>
          <w:color w:val="auto"/>
        </w:rPr>
      </w:pPr>
    </w:p>
    <w:p>
      <w:pPr>
        <w:ind w:left="4" w:right="620"/>
        <w:spacing w:after="0" w:line="252" w:lineRule="auto"/>
        <w:rPr>
          <w:sz w:val="20"/>
          <w:szCs w:val="20"/>
          <w:color w:val="auto"/>
        </w:rPr>
      </w:pPr>
      <w:r>
        <w:rPr>
          <w:rFonts w:ascii="Arial" w:cs="Arial" w:eastAsia="Arial" w:hAnsi="Arial"/>
          <w:sz w:val="14"/>
          <w:szCs w:val="14"/>
          <w:color w:val="333740"/>
        </w:rPr>
        <w:t>TechnipFMC is committed to reducing carbon emissions and its overall environmental footprint by developing new, innovative, and sustainable solutions in the oil and gas market. In 2019, the Company adopted a Global Greenhouse Gas Management standard to enhance the Company’s capabilities in greenhouse gas (“</w:t>
      </w:r>
      <w:r>
        <w:rPr>
          <w:rFonts w:ascii="Arial" w:cs="Arial" w:eastAsia="Arial" w:hAnsi="Arial"/>
          <w:sz w:val="14"/>
          <w:szCs w:val="14"/>
          <w:b w:val="1"/>
          <w:bCs w:val="1"/>
          <w:color w:val="333740"/>
        </w:rPr>
        <w:t>GHG</w:t>
      </w:r>
      <w:r>
        <w:rPr>
          <w:rFonts w:ascii="Arial" w:cs="Arial" w:eastAsia="Arial" w:hAnsi="Arial"/>
          <w:sz w:val="14"/>
          <w:szCs w:val="14"/>
          <w:color w:val="333740"/>
        </w:rPr>
        <w:t>”) reduction in the Company’s business. In 2019, total GHG emissions decreased by 27% from 643,469 tons of CO</w:t>
      </w:r>
      <w:r>
        <w:rPr>
          <w:rFonts w:ascii="Arial" w:cs="Arial" w:eastAsia="Arial" w:hAnsi="Arial"/>
          <w:sz w:val="7"/>
          <w:szCs w:val="7"/>
          <w:color w:val="333740"/>
        </w:rPr>
        <w:t>2</w:t>
      </w:r>
      <w:r>
        <w:rPr>
          <w:rFonts w:ascii="Arial" w:cs="Arial" w:eastAsia="Arial" w:hAnsi="Arial"/>
          <w:sz w:val="14"/>
          <w:szCs w:val="14"/>
          <w:color w:val="333740"/>
        </w:rPr>
        <w:t xml:space="preserve"> equivalent in 2018 to 469,955 tons of CO</w:t>
      </w:r>
      <w:r>
        <w:rPr>
          <w:rFonts w:ascii="Arial" w:cs="Arial" w:eastAsia="Arial" w:hAnsi="Arial"/>
          <w:sz w:val="7"/>
          <w:szCs w:val="7"/>
          <w:color w:val="333740"/>
        </w:rPr>
        <w:t>2</w:t>
      </w:r>
      <w:r>
        <w:rPr>
          <w:rFonts w:ascii="Arial" w:cs="Arial" w:eastAsia="Arial" w:hAnsi="Arial"/>
          <w:sz w:val="14"/>
          <w:szCs w:val="14"/>
          <w:color w:val="333740"/>
        </w:rPr>
        <w:t xml:space="preserve"> equivalent in 2019. The reduction is mainly linked to the closure of important engineering, procurement, and construction (“</w:t>
      </w:r>
      <w:r>
        <w:rPr>
          <w:rFonts w:ascii="Arial" w:cs="Arial" w:eastAsia="Arial" w:hAnsi="Arial"/>
          <w:sz w:val="14"/>
          <w:szCs w:val="14"/>
          <w:b w:val="1"/>
          <w:bCs w:val="1"/>
          <w:color w:val="333740"/>
        </w:rPr>
        <w:t>EPC</w:t>
      </w:r>
      <w:r>
        <w:rPr>
          <w:rFonts w:ascii="Arial" w:cs="Arial" w:eastAsia="Arial" w:hAnsi="Arial"/>
          <w:sz w:val="14"/>
          <w:szCs w:val="14"/>
          <w:color w:val="333740"/>
        </w:rPr>
        <w:t>”) projects that completed the energy consuming phases in the first quarter of 2019.</w:t>
      </w:r>
    </w:p>
    <w:p>
      <w:pPr>
        <w:spacing w:after="0" w:line="34" w:lineRule="exact"/>
        <w:rPr>
          <w:sz w:val="20"/>
          <w:szCs w:val="20"/>
          <w:color w:val="auto"/>
        </w:rPr>
      </w:pPr>
    </w:p>
    <w:p>
      <w:pPr>
        <w:ind w:left="4" w:right="680"/>
        <w:spacing w:after="0" w:line="275" w:lineRule="auto"/>
        <w:rPr>
          <w:sz w:val="20"/>
          <w:szCs w:val="20"/>
          <w:color w:val="auto"/>
        </w:rPr>
      </w:pPr>
      <w:r>
        <w:rPr>
          <w:rFonts w:ascii="Arial" w:cs="Arial" w:eastAsia="Arial" w:hAnsi="Arial"/>
          <w:sz w:val="14"/>
          <w:szCs w:val="14"/>
          <w:color w:val="333740"/>
        </w:rPr>
        <w:t>In addition to our eﬀorts in reducing our carbon emissions within our operations, TechnipFMC is also working to ensure our next generation of products are less carbon intensive. For example, our Subsea 2.0</w:t>
      </w:r>
      <w:r>
        <w:rPr>
          <w:rFonts w:ascii="Arial" w:cs="Arial" w:eastAsia="Arial" w:hAnsi="Arial"/>
          <w:sz w:val="7"/>
          <w:szCs w:val="7"/>
          <w:color w:val="333740"/>
        </w:rPr>
        <w:t>TM</w:t>
      </w:r>
      <w:r>
        <w:rPr>
          <w:rFonts w:ascii="Arial" w:cs="Arial" w:eastAsia="Arial" w:hAnsi="Arial"/>
          <w:sz w:val="14"/>
          <w:szCs w:val="14"/>
          <w:color w:val="333740"/>
        </w:rPr>
        <w:t xml:space="preserve"> design included a lifecycle GHG analysis that demonstrated how our innovations for the production of trees may allow up to a 46% reduction in our carbon footprint as compared to the previous design.</w:t>
      </w:r>
    </w:p>
    <w:p>
      <w:pPr>
        <w:spacing w:after="0" w:line="170" w:lineRule="exact"/>
        <w:rPr>
          <w:sz w:val="20"/>
          <w:szCs w:val="20"/>
          <w:color w:val="auto"/>
        </w:rPr>
      </w:pPr>
    </w:p>
    <w:p>
      <w:pPr>
        <w:ind w:left="4" w:right="640"/>
        <w:spacing w:after="0" w:line="266" w:lineRule="auto"/>
        <w:rPr>
          <w:sz w:val="20"/>
          <w:szCs w:val="20"/>
          <w:color w:val="auto"/>
        </w:rPr>
      </w:pPr>
      <w:r>
        <w:rPr>
          <w:rFonts w:ascii="Arial" w:cs="Arial" w:eastAsia="Arial" w:hAnsi="Arial"/>
          <w:sz w:val="14"/>
          <w:szCs w:val="14"/>
          <w:color w:val="333740"/>
        </w:rPr>
        <w:t>Moreover, a comprehensive Carbon Footprint Training Program was also launched by the Company’s HSE department for all business levels and projects. As of December 31, 2019, over 30 training sessions for engineers and managers had been delivered in key Company locations. This program is focusing on extended knowledge transfer, from the lifecycle perspective, and carbon footprint concepts to empower engineers in the implementation of a complete GHG analysis for all business lines and to increase managers’ competencies on the reduction of our carbon footprint at any company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4" w:hanging="564"/>
        <w:spacing w:after="0"/>
        <w:tabs>
          <w:tab w:leader="none" w:pos="564" w:val="left"/>
        </w:tabs>
        <w:numPr>
          <w:ilvl w:val="0"/>
          <w:numId w:val="3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481F6E"/>
        </w:rPr>
        <w:t>Greenhouse Gas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120650</wp:posOffset>
            </wp:positionV>
            <wp:extent cx="1995805" cy="30276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95805" cy="3027680"/>
                    </a:xfrm>
                    <a:prstGeom prst="rect">
                      <a:avLst/>
                    </a:prstGeom>
                    <a:noFill/>
                  </pic:spPr>
                </pic:pic>
              </a:graphicData>
            </a:graphic>
          </wp:anchor>
        </w:drawing>
      </w:r>
    </w:p>
    <w:p>
      <w:pPr>
        <w:sectPr>
          <w:pgSz w:w="11900" w:h="16838" w:orient="portrait"/>
          <w:cols w:equalWidth="0" w:num="2">
            <w:col w:w="7864" w:space="720"/>
            <w:col w:w="1900"/>
          </w:cols>
          <w:pgMar w:left="316" w:top="128" w:right="1099" w:bottom="1440" w:gutter="0" w:footer="0" w:header="0"/>
        </w:sectPr>
      </w:pPr>
    </w:p>
    <w:bookmarkStart w:id="29" w:name="page30"/>
    <w:bookmarkEnd w:id="29"/>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3" w:lineRule="exact"/>
        <w:rPr>
          <w:sz w:val="20"/>
          <w:szCs w:val="20"/>
          <w:color w:val="auto"/>
        </w:rPr>
      </w:pPr>
    </w:p>
    <w:p>
      <w:pPr>
        <w:ind w:left="4" w:right="780"/>
        <w:spacing w:after="0" w:line="247" w:lineRule="auto"/>
        <w:rPr>
          <w:sz w:val="20"/>
          <w:szCs w:val="20"/>
          <w:color w:val="auto"/>
        </w:rPr>
      </w:pPr>
      <w:r>
        <w:rPr>
          <w:rFonts w:ascii="Arial" w:cs="Arial" w:eastAsia="Arial" w:hAnsi="Arial"/>
          <w:sz w:val="19"/>
          <w:szCs w:val="19"/>
          <w:color w:val="333740"/>
        </w:rPr>
        <w:t>The annual quantity of GHG emissions measured in tons of CO</w:t>
      </w:r>
      <w:r>
        <w:rPr>
          <w:rFonts w:ascii="Arial" w:cs="Arial" w:eastAsia="Arial" w:hAnsi="Arial"/>
          <w:sz w:val="7"/>
          <w:szCs w:val="7"/>
          <w:color w:val="333740"/>
        </w:rPr>
        <w:t>2</w:t>
      </w:r>
      <w:r>
        <w:rPr>
          <w:rFonts w:ascii="Arial" w:cs="Arial" w:eastAsia="Arial" w:hAnsi="Arial"/>
          <w:sz w:val="19"/>
          <w:szCs w:val="19"/>
          <w:color w:val="333740"/>
        </w:rPr>
        <w:t xml:space="preserve"> equivalent resulting from activities for which the Company is responsible and has operational control, is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127635</wp:posOffset>
            </wp:positionV>
            <wp:extent cx="4287520" cy="394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87520" cy="394335"/>
                    </a:xfrm>
                    <a:prstGeom prst="rect">
                      <a:avLst/>
                    </a:prstGeom>
                    <a:noFill/>
                  </pic:spPr>
                </pic:pic>
              </a:graphicData>
            </a:graphic>
          </wp:anchor>
        </w:drawing>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3980" w:type="dxa"/>
            <w:vAlign w:val="bottom"/>
            <w:shd w:val="clear" w:color="auto" w:fill="481F6E"/>
          </w:tcPr>
          <w:p>
            <w:pPr>
              <w:spacing w:after="0"/>
              <w:rPr>
                <w:sz w:val="18"/>
                <w:szCs w:val="18"/>
                <w:color w:val="auto"/>
              </w:rPr>
            </w:pPr>
          </w:p>
        </w:tc>
        <w:tc>
          <w:tcPr>
            <w:tcW w:w="2540" w:type="dxa"/>
            <w:vAlign w:val="bottom"/>
            <w:shd w:val="clear" w:color="auto" w:fill="481F6E"/>
          </w:tcPr>
          <w:p>
            <w:pPr>
              <w:jc w:val="right"/>
              <w:ind w:right="108"/>
              <w:spacing w:after="0"/>
              <w:rPr>
                <w:sz w:val="20"/>
                <w:szCs w:val="20"/>
                <w:color w:val="auto"/>
              </w:rPr>
            </w:pPr>
            <w:r>
              <w:rPr>
                <w:rFonts w:ascii="Arial" w:cs="Arial" w:eastAsia="Arial" w:hAnsi="Arial"/>
                <w:sz w:val="14"/>
                <w:szCs w:val="14"/>
                <w:b w:val="1"/>
                <w:bCs w:val="1"/>
                <w:color w:val="FFFFFF"/>
              </w:rPr>
              <w:t>2018</w:t>
            </w:r>
          </w:p>
        </w:tc>
        <w:tc>
          <w:tcPr>
            <w:tcW w:w="1380" w:type="dxa"/>
            <w:vAlign w:val="bottom"/>
            <w:tcBorders>
              <w:right w:val="single" w:sz="8" w:color="481F6E"/>
            </w:tcBorders>
            <w:shd w:val="clear" w:color="auto" w:fill="481F6E"/>
          </w:tcPr>
          <w:p>
            <w:pPr>
              <w:spacing w:after="0"/>
              <w:rPr>
                <w:sz w:val="18"/>
                <w:szCs w:val="18"/>
                <w:color w:val="auto"/>
              </w:rPr>
            </w:pPr>
          </w:p>
        </w:tc>
        <w:tc>
          <w:tcPr>
            <w:tcW w:w="2000" w:type="dxa"/>
            <w:vAlign w:val="bottom"/>
            <w:shd w:val="clear" w:color="auto" w:fill="481F6E"/>
          </w:tcPr>
          <w:p>
            <w:pPr>
              <w:jc w:val="right"/>
              <w:ind w:right="88"/>
              <w:spacing w:after="0"/>
              <w:rPr>
                <w:sz w:val="20"/>
                <w:szCs w:val="20"/>
                <w:color w:val="auto"/>
              </w:rPr>
            </w:pPr>
            <w:r>
              <w:rPr>
                <w:rFonts w:ascii="Arial" w:cs="Arial" w:eastAsia="Arial" w:hAnsi="Arial"/>
                <w:sz w:val="14"/>
                <w:szCs w:val="14"/>
                <w:b w:val="1"/>
                <w:bCs w:val="1"/>
                <w:color w:val="FFFFFF"/>
              </w:rPr>
              <w:t>2019</w:t>
            </w:r>
          </w:p>
        </w:tc>
        <w:tc>
          <w:tcPr>
            <w:tcW w:w="1360" w:type="dxa"/>
            <w:vAlign w:val="bottom"/>
            <w:shd w:val="clear" w:color="auto" w:fill="481F6E"/>
          </w:tcPr>
          <w:p>
            <w:pPr>
              <w:spacing w:after="0"/>
              <w:rPr>
                <w:sz w:val="18"/>
                <w:szCs w:val="18"/>
                <w:color w:val="auto"/>
              </w:rPr>
            </w:pPr>
          </w:p>
        </w:tc>
      </w:tr>
      <w:tr>
        <w:trPr>
          <w:trHeight w:val="192"/>
        </w:trPr>
        <w:tc>
          <w:tcPr>
            <w:tcW w:w="3980" w:type="dxa"/>
            <w:vAlign w:val="bottom"/>
            <w:shd w:val="clear" w:color="auto" w:fill="481F6E"/>
          </w:tcPr>
          <w:p>
            <w:pPr>
              <w:ind w:left="20"/>
              <w:spacing w:after="0"/>
              <w:rPr>
                <w:sz w:val="20"/>
                <w:szCs w:val="20"/>
                <w:color w:val="auto"/>
              </w:rPr>
            </w:pPr>
            <w:r>
              <w:rPr>
                <w:rFonts w:ascii="Arial" w:cs="Arial" w:eastAsia="Arial" w:hAnsi="Arial"/>
                <w:sz w:val="14"/>
                <w:szCs w:val="14"/>
                <w:b w:val="1"/>
                <w:bCs w:val="1"/>
                <w:color w:val="FFFFFF"/>
              </w:rPr>
              <w:t>Total GHG Emissions</w:t>
            </w:r>
          </w:p>
        </w:tc>
        <w:tc>
          <w:tcPr>
            <w:tcW w:w="2540" w:type="dxa"/>
            <w:vAlign w:val="bottom"/>
            <w:shd w:val="clear" w:color="auto" w:fill="481F6E"/>
          </w:tcPr>
          <w:p>
            <w:pPr>
              <w:jc w:val="right"/>
              <w:ind w:right="268"/>
              <w:spacing w:after="0"/>
              <w:rPr>
                <w:sz w:val="20"/>
                <w:szCs w:val="20"/>
                <w:color w:val="auto"/>
              </w:rPr>
            </w:pPr>
            <w:r>
              <w:rPr>
                <w:rFonts w:ascii="Arial" w:cs="Arial" w:eastAsia="Arial" w:hAnsi="Arial"/>
                <w:sz w:val="14"/>
                <w:szCs w:val="14"/>
                <w:b w:val="1"/>
                <w:bCs w:val="1"/>
                <w:color w:val="FFFFFF"/>
              </w:rPr>
              <w:t>Direct emissions</w:t>
            </w:r>
          </w:p>
        </w:tc>
        <w:tc>
          <w:tcPr>
            <w:tcW w:w="1380" w:type="dxa"/>
            <w:vAlign w:val="bottom"/>
            <w:tcBorders>
              <w:right w:val="single" w:sz="8" w:color="481F6E"/>
            </w:tcBorders>
            <w:shd w:val="clear" w:color="auto" w:fill="481F6E"/>
          </w:tcPr>
          <w:p>
            <w:pPr>
              <w:jc w:val="right"/>
              <w:spacing w:after="0"/>
              <w:rPr>
                <w:sz w:val="20"/>
                <w:szCs w:val="20"/>
                <w:color w:val="auto"/>
              </w:rPr>
            </w:pPr>
            <w:r>
              <w:rPr>
                <w:rFonts w:ascii="Arial" w:cs="Arial" w:eastAsia="Arial" w:hAnsi="Arial"/>
                <w:sz w:val="14"/>
                <w:szCs w:val="14"/>
                <w:b w:val="1"/>
                <w:bCs w:val="1"/>
                <w:color w:val="FFFFFF"/>
              </w:rPr>
              <w:t>Indirect emissions</w:t>
            </w:r>
          </w:p>
        </w:tc>
        <w:tc>
          <w:tcPr>
            <w:tcW w:w="2000" w:type="dxa"/>
            <w:vAlign w:val="bottom"/>
            <w:shd w:val="clear" w:color="auto" w:fill="481F6E"/>
          </w:tcPr>
          <w:p>
            <w:pPr>
              <w:jc w:val="right"/>
              <w:ind w:right="288"/>
              <w:spacing w:after="0"/>
              <w:rPr>
                <w:sz w:val="20"/>
                <w:szCs w:val="20"/>
                <w:color w:val="auto"/>
              </w:rPr>
            </w:pPr>
            <w:r>
              <w:rPr>
                <w:rFonts w:ascii="Arial" w:cs="Arial" w:eastAsia="Arial" w:hAnsi="Arial"/>
                <w:sz w:val="14"/>
                <w:szCs w:val="14"/>
                <w:b w:val="1"/>
                <w:bCs w:val="1"/>
                <w:color w:val="FFFFFF"/>
              </w:rPr>
              <w:t>Direct emissions</w:t>
            </w:r>
          </w:p>
        </w:tc>
        <w:tc>
          <w:tcPr>
            <w:tcW w:w="1360" w:type="dxa"/>
            <w:vAlign w:val="bottom"/>
            <w:shd w:val="clear" w:color="auto" w:fill="481F6E"/>
          </w:tcPr>
          <w:p>
            <w:pPr>
              <w:jc w:val="right"/>
              <w:spacing w:after="0"/>
              <w:rPr>
                <w:sz w:val="20"/>
                <w:szCs w:val="20"/>
                <w:color w:val="auto"/>
              </w:rPr>
            </w:pPr>
            <w:r>
              <w:rPr>
                <w:rFonts w:ascii="Arial" w:cs="Arial" w:eastAsia="Arial" w:hAnsi="Arial"/>
                <w:sz w:val="14"/>
                <w:szCs w:val="14"/>
                <w:b w:val="1"/>
                <w:bCs w:val="1"/>
                <w:color w:val="FFFFFF"/>
              </w:rPr>
              <w:t>Indirect emissions</w:t>
            </w:r>
          </w:p>
        </w:tc>
      </w:tr>
      <w:tr>
        <w:trPr>
          <w:trHeight w:val="199"/>
        </w:trPr>
        <w:tc>
          <w:tcPr>
            <w:tcW w:w="3980" w:type="dxa"/>
            <w:vAlign w:val="bottom"/>
            <w:tcBorders>
              <w:bottom w:val="single" w:sz="8" w:color="D7D8D6"/>
            </w:tcBorders>
            <w:shd w:val="clear" w:color="auto" w:fill="481F6E"/>
          </w:tcPr>
          <w:p>
            <w:pPr>
              <w:ind w:left="20"/>
              <w:spacing w:after="0"/>
              <w:rPr>
                <w:sz w:val="20"/>
                <w:szCs w:val="20"/>
                <w:color w:val="auto"/>
              </w:rPr>
            </w:pPr>
            <w:r>
              <w:rPr>
                <w:rFonts w:ascii="Arial" w:cs="Arial" w:eastAsia="Arial" w:hAnsi="Arial"/>
                <w:sz w:val="14"/>
                <w:szCs w:val="14"/>
                <w:b w:val="1"/>
                <w:bCs w:val="1"/>
                <w:color w:val="FFFFFF"/>
              </w:rPr>
              <w:t>(in metric tons CO</w:t>
            </w:r>
            <w:r>
              <w:rPr>
                <w:rFonts w:ascii="Arial" w:cs="Arial" w:eastAsia="Arial" w:hAnsi="Arial"/>
                <w:sz w:val="7"/>
                <w:szCs w:val="7"/>
                <w:b w:val="1"/>
                <w:bCs w:val="1"/>
                <w:color w:val="FFFFFF"/>
              </w:rPr>
              <w:t>2</w:t>
            </w:r>
            <w:r>
              <w:rPr>
                <w:rFonts w:ascii="Arial" w:cs="Arial" w:eastAsia="Arial" w:hAnsi="Arial"/>
                <w:sz w:val="14"/>
                <w:szCs w:val="14"/>
                <w:b w:val="1"/>
                <w:bCs w:val="1"/>
                <w:color w:val="FFFFFF"/>
              </w:rPr>
              <w:t xml:space="preserve"> equivalent)</w:t>
            </w:r>
          </w:p>
        </w:tc>
        <w:tc>
          <w:tcPr>
            <w:tcW w:w="2540" w:type="dxa"/>
            <w:vAlign w:val="bottom"/>
            <w:tcBorders>
              <w:bottom w:val="single" w:sz="8" w:color="D7D8D6"/>
            </w:tcBorders>
            <w:shd w:val="clear" w:color="auto" w:fill="481F6E"/>
          </w:tcPr>
          <w:p>
            <w:pPr>
              <w:jc w:val="right"/>
              <w:ind w:right="268"/>
              <w:spacing w:after="0"/>
              <w:rPr>
                <w:sz w:val="20"/>
                <w:szCs w:val="20"/>
                <w:color w:val="auto"/>
              </w:rPr>
            </w:pPr>
            <w:r>
              <w:rPr>
                <w:rFonts w:ascii="Arial" w:cs="Arial" w:eastAsia="Arial" w:hAnsi="Arial"/>
                <w:sz w:val="14"/>
                <w:szCs w:val="14"/>
                <w:b w:val="1"/>
                <w:bCs w:val="1"/>
                <w:color w:val="FFFFFF"/>
              </w:rPr>
              <w:t>Scope 1</w:t>
            </w:r>
          </w:p>
        </w:tc>
        <w:tc>
          <w:tcPr>
            <w:tcW w:w="1380" w:type="dxa"/>
            <w:vAlign w:val="bottom"/>
            <w:tcBorders>
              <w:bottom w:val="single" w:sz="8" w:color="D7D8D6"/>
              <w:right w:val="single" w:sz="8" w:color="481F6E"/>
            </w:tcBorders>
            <w:shd w:val="clear" w:color="auto" w:fill="481F6E"/>
          </w:tcPr>
          <w:p>
            <w:pPr>
              <w:jc w:val="right"/>
              <w:ind w:right="28"/>
              <w:spacing w:after="0"/>
              <w:rPr>
                <w:sz w:val="20"/>
                <w:szCs w:val="20"/>
                <w:color w:val="auto"/>
              </w:rPr>
            </w:pPr>
            <w:r>
              <w:rPr>
                <w:rFonts w:ascii="Arial" w:cs="Arial" w:eastAsia="Arial" w:hAnsi="Arial"/>
                <w:sz w:val="14"/>
                <w:szCs w:val="14"/>
                <w:b w:val="1"/>
                <w:bCs w:val="1"/>
                <w:color w:val="FFFFFF"/>
              </w:rPr>
              <w:t>Scope 2</w:t>
            </w:r>
          </w:p>
        </w:tc>
        <w:tc>
          <w:tcPr>
            <w:tcW w:w="2000" w:type="dxa"/>
            <w:vAlign w:val="bottom"/>
            <w:tcBorders>
              <w:bottom w:val="single" w:sz="8" w:color="D7D8D6"/>
            </w:tcBorders>
            <w:shd w:val="clear" w:color="auto" w:fill="481F6E"/>
          </w:tcPr>
          <w:p>
            <w:pPr>
              <w:jc w:val="right"/>
              <w:ind w:right="288"/>
              <w:spacing w:after="0"/>
              <w:rPr>
                <w:sz w:val="20"/>
                <w:szCs w:val="20"/>
                <w:color w:val="auto"/>
              </w:rPr>
            </w:pPr>
            <w:r>
              <w:rPr>
                <w:rFonts w:ascii="Arial" w:cs="Arial" w:eastAsia="Arial" w:hAnsi="Arial"/>
                <w:sz w:val="14"/>
                <w:szCs w:val="14"/>
                <w:b w:val="1"/>
                <w:bCs w:val="1"/>
                <w:color w:val="FFFFFF"/>
              </w:rPr>
              <w:t>Scope 1</w:t>
            </w:r>
          </w:p>
        </w:tc>
        <w:tc>
          <w:tcPr>
            <w:tcW w:w="1360" w:type="dxa"/>
            <w:vAlign w:val="bottom"/>
            <w:tcBorders>
              <w:bottom w:val="single" w:sz="8" w:color="D7D8D6"/>
            </w:tcBorders>
            <w:shd w:val="clear" w:color="auto" w:fill="481F6E"/>
          </w:tcPr>
          <w:p>
            <w:pPr>
              <w:jc w:val="right"/>
              <w:ind w:right="8"/>
              <w:spacing w:after="0"/>
              <w:rPr>
                <w:sz w:val="20"/>
                <w:szCs w:val="20"/>
                <w:color w:val="auto"/>
              </w:rPr>
            </w:pPr>
            <w:r>
              <w:rPr>
                <w:rFonts w:ascii="Arial" w:cs="Arial" w:eastAsia="Arial" w:hAnsi="Arial"/>
                <w:sz w:val="14"/>
                <w:szCs w:val="14"/>
                <w:b w:val="1"/>
                <w:bCs w:val="1"/>
                <w:color w:val="FFFFFF"/>
              </w:rPr>
              <w:t>Scope 2</w:t>
            </w:r>
          </w:p>
        </w:tc>
      </w:tr>
      <w:tr>
        <w:trPr>
          <w:trHeight w:val="267"/>
        </w:trPr>
        <w:tc>
          <w:tcPr>
            <w:tcW w:w="3980" w:type="dxa"/>
            <w:vAlign w:val="bottom"/>
            <w:tcBorders>
              <w:bottom w:val="single" w:sz="8" w:color="D7D8D6"/>
            </w:tcBorders>
          </w:tcPr>
          <w:p>
            <w:pPr>
              <w:ind w:left="20"/>
              <w:spacing w:after="0"/>
              <w:rPr>
                <w:sz w:val="20"/>
                <w:szCs w:val="20"/>
                <w:color w:val="auto"/>
              </w:rPr>
            </w:pPr>
            <w:r>
              <w:rPr>
                <w:rFonts w:ascii="Arial" w:cs="Arial" w:eastAsia="Arial" w:hAnsi="Arial"/>
                <w:sz w:val="14"/>
                <w:szCs w:val="14"/>
                <w:b w:val="1"/>
                <w:bCs w:val="1"/>
                <w:color w:val="333740"/>
              </w:rPr>
              <w:t>Our Assets</w:t>
            </w:r>
          </w:p>
        </w:tc>
        <w:tc>
          <w:tcPr>
            <w:tcW w:w="2540" w:type="dxa"/>
            <w:vAlign w:val="bottom"/>
            <w:tcBorders>
              <w:bottom w:val="single" w:sz="8" w:color="D7D8D6"/>
            </w:tcBorders>
          </w:tcPr>
          <w:p>
            <w:pPr>
              <w:jc w:val="right"/>
              <w:ind w:right="268"/>
              <w:spacing w:after="0"/>
              <w:rPr>
                <w:sz w:val="20"/>
                <w:szCs w:val="20"/>
                <w:color w:val="auto"/>
              </w:rPr>
            </w:pPr>
            <w:r>
              <w:rPr>
                <w:rFonts w:ascii="Arial" w:cs="Arial" w:eastAsia="Arial" w:hAnsi="Arial"/>
                <w:sz w:val="14"/>
                <w:szCs w:val="14"/>
                <w:color w:val="333740"/>
              </w:rPr>
              <w:t>254,535</w:t>
            </w:r>
          </w:p>
        </w:tc>
        <w:tc>
          <w:tcPr>
            <w:tcW w:w="1380" w:type="dxa"/>
            <w:vAlign w:val="bottom"/>
            <w:tcBorders>
              <w:bottom w:val="single" w:sz="8" w:color="D7D8D6"/>
              <w:right w:val="single" w:sz="8" w:color="D7D8D6"/>
            </w:tcBorders>
          </w:tcPr>
          <w:p>
            <w:pPr>
              <w:jc w:val="right"/>
              <w:spacing w:after="0"/>
              <w:rPr>
                <w:sz w:val="20"/>
                <w:szCs w:val="20"/>
                <w:color w:val="auto"/>
              </w:rPr>
            </w:pPr>
            <w:r>
              <w:rPr>
                <w:rFonts w:ascii="Arial" w:cs="Arial" w:eastAsia="Arial" w:hAnsi="Arial"/>
                <w:sz w:val="14"/>
                <w:szCs w:val="14"/>
                <w:color w:val="333740"/>
              </w:rPr>
              <w:t>60,401</w:t>
            </w:r>
          </w:p>
        </w:tc>
        <w:tc>
          <w:tcPr>
            <w:tcW w:w="2000" w:type="dxa"/>
            <w:vAlign w:val="bottom"/>
            <w:tcBorders>
              <w:bottom w:val="single" w:sz="8" w:color="D7D8D6"/>
            </w:tcBorders>
          </w:tcPr>
          <w:p>
            <w:pPr>
              <w:jc w:val="right"/>
              <w:ind w:right="288"/>
              <w:spacing w:after="0"/>
              <w:rPr>
                <w:sz w:val="20"/>
                <w:szCs w:val="20"/>
                <w:color w:val="auto"/>
              </w:rPr>
            </w:pPr>
            <w:r>
              <w:rPr>
                <w:rFonts w:ascii="Arial" w:cs="Arial" w:eastAsia="Arial" w:hAnsi="Arial"/>
                <w:sz w:val="14"/>
                <w:szCs w:val="14"/>
                <w:color w:val="333740"/>
              </w:rPr>
              <w:t>283,545</w:t>
            </w:r>
          </w:p>
        </w:tc>
        <w:tc>
          <w:tcPr>
            <w:tcW w:w="136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39,932</w:t>
            </w:r>
          </w:p>
        </w:tc>
      </w:tr>
      <w:tr>
        <w:trPr>
          <w:trHeight w:val="267"/>
        </w:trPr>
        <w:tc>
          <w:tcPr>
            <w:tcW w:w="3980" w:type="dxa"/>
            <w:vAlign w:val="bottom"/>
            <w:tcBorders>
              <w:bottom w:val="single" w:sz="8" w:color="D7D8D6"/>
            </w:tcBorders>
          </w:tcPr>
          <w:p>
            <w:pPr>
              <w:ind w:left="160"/>
              <w:spacing w:after="0"/>
              <w:rPr>
                <w:sz w:val="20"/>
                <w:szCs w:val="20"/>
                <w:color w:val="auto"/>
              </w:rPr>
            </w:pPr>
            <w:r>
              <w:rPr>
                <w:rFonts w:ascii="Arial" w:cs="Arial" w:eastAsia="Arial" w:hAnsi="Arial"/>
                <w:sz w:val="14"/>
                <w:szCs w:val="14"/>
                <w:i w:val="1"/>
                <w:iCs w:val="1"/>
                <w:color w:val="333740"/>
              </w:rPr>
              <w:t>Industrial sites</w:t>
            </w:r>
          </w:p>
        </w:tc>
        <w:tc>
          <w:tcPr>
            <w:tcW w:w="2540" w:type="dxa"/>
            <w:vAlign w:val="bottom"/>
            <w:tcBorders>
              <w:bottom w:val="single" w:sz="8" w:color="D7D8D6"/>
            </w:tcBorders>
          </w:tcPr>
          <w:p>
            <w:pPr>
              <w:jc w:val="right"/>
              <w:ind w:right="268"/>
              <w:spacing w:after="0"/>
              <w:rPr>
                <w:sz w:val="20"/>
                <w:szCs w:val="20"/>
                <w:color w:val="auto"/>
              </w:rPr>
            </w:pPr>
            <w:r>
              <w:rPr>
                <w:rFonts w:ascii="Arial" w:cs="Arial" w:eastAsia="Arial" w:hAnsi="Arial"/>
                <w:sz w:val="14"/>
                <w:szCs w:val="14"/>
                <w:i w:val="1"/>
                <w:iCs w:val="1"/>
                <w:color w:val="333740"/>
              </w:rPr>
              <w:t>10,968</w:t>
            </w:r>
          </w:p>
        </w:tc>
        <w:tc>
          <w:tcPr>
            <w:tcW w:w="1380" w:type="dxa"/>
            <w:vAlign w:val="bottom"/>
            <w:tcBorders>
              <w:bottom w:val="single" w:sz="8" w:color="D7D8D6"/>
              <w:right w:val="single" w:sz="8" w:color="D7D8D6"/>
            </w:tcBorders>
          </w:tcPr>
          <w:p>
            <w:pPr>
              <w:jc w:val="right"/>
              <w:spacing w:after="0"/>
              <w:rPr>
                <w:sz w:val="20"/>
                <w:szCs w:val="20"/>
                <w:color w:val="auto"/>
              </w:rPr>
            </w:pPr>
            <w:r>
              <w:rPr>
                <w:rFonts w:ascii="Arial" w:cs="Arial" w:eastAsia="Arial" w:hAnsi="Arial"/>
                <w:sz w:val="14"/>
                <w:szCs w:val="14"/>
                <w:i w:val="1"/>
                <w:iCs w:val="1"/>
                <w:color w:val="333740"/>
              </w:rPr>
              <w:t>40,778</w:t>
            </w:r>
          </w:p>
        </w:tc>
        <w:tc>
          <w:tcPr>
            <w:tcW w:w="2000" w:type="dxa"/>
            <w:vAlign w:val="bottom"/>
            <w:tcBorders>
              <w:bottom w:val="single" w:sz="8" w:color="D7D8D6"/>
            </w:tcBorders>
          </w:tcPr>
          <w:p>
            <w:pPr>
              <w:jc w:val="right"/>
              <w:ind w:right="288"/>
              <w:spacing w:after="0"/>
              <w:rPr>
                <w:sz w:val="20"/>
                <w:szCs w:val="20"/>
                <w:color w:val="auto"/>
              </w:rPr>
            </w:pPr>
            <w:r>
              <w:rPr>
                <w:rFonts w:ascii="Arial" w:cs="Arial" w:eastAsia="Arial" w:hAnsi="Arial"/>
                <w:sz w:val="14"/>
                <w:szCs w:val="14"/>
                <w:i w:val="1"/>
                <w:iCs w:val="1"/>
                <w:color w:val="333740"/>
              </w:rPr>
              <w:t>9,701</w:t>
            </w:r>
          </w:p>
        </w:tc>
        <w:tc>
          <w:tcPr>
            <w:tcW w:w="1360" w:type="dxa"/>
            <w:vAlign w:val="bottom"/>
            <w:tcBorders>
              <w:bottom w:val="single" w:sz="8" w:color="D7D8D6"/>
            </w:tcBorders>
          </w:tcPr>
          <w:p>
            <w:pPr>
              <w:jc w:val="right"/>
              <w:spacing w:after="0"/>
              <w:rPr>
                <w:sz w:val="20"/>
                <w:szCs w:val="20"/>
                <w:color w:val="auto"/>
              </w:rPr>
            </w:pPr>
            <w:r>
              <w:rPr>
                <w:rFonts w:ascii="Arial" w:cs="Arial" w:eastAsia="Arial" w:hAnsi="Arial"/>
                <w:sz w:val="14"/>
                <w:szCs w:val="14"/>
                <w:i w:val="1"/>
                <w:iCs w:val="1"/>
                <w:color w:val="333740"/>
              </w:rPr>
              <w:t>21,375</w:t>
            </w:r>
          </w:p>
        </w:tc>
      </w:tr>
      <w:tr>
        <w:trPr>
          <w:trHeight w:val="257"/>
        </w:trPr>
        <w:tc>
          <w:tcPr>
            <w:tcW w:w="3980" w:type="dxa"/>
            <w:vAlign w:val="bottom"/>
          </w:tcPr>
          <w:p>
            <w:pPr>
              <w:ind w:left="160"/>
              <w:spacing w:after="0"/>
              <w:rPr>
                <w:sz w:val="20"/>
                <w:szCs w:val="20"/>
                <w:color w:val="auto"/>
              </w:rPr>
            </w:pPr>
            <w:r>
              <w:rPr>
                <w:rFonts w:ascii="Arial" w:cs="Arial" w:eastAsia="Arial" w:hAnsi="Arial"/>
                <w:sz w:val="14"/>
                <w:szCs w:val="14"/>
                <w:i w:val="1"/>
                <w:iCs w:val="1"/>
                <w:color w:val="333740"/>
              </w:rPr>
              <w:t>Fleet</w:t>
            </w:r>
          </w:p>
        </w:tc>
        <w:tc>
          <w:tcPr>
            <w:tcW w:w="2540" w:type="dxa"/>
            <w:vAlign w:val="bottom"/>
          </w:tcPr>
          <w:p>
            <w:pPr>
              <w:jc w:val="right"/>
              <w:ind w:right="268"/>
              <w:spacing w:after="0"/>
              <w:rPr>
                <w:sz w:val="20"/>
                <w:szCs w:val="20"/>
                <w:color w:val="auto"/>
              </w:rPr>
            </w:pPr>
            <w:r>
              <w:rPr>
                <w:rFonts w:ascii="Arial" w:cs="Arial" w:eastAsia="Arial" w:hAnsi="Arial"/>
                <w:sz w:val="14"/>
                <w:szCs w:val="14"/>
                <w:i w:val="1"/>
                <w:iCs w:val="1"/>
                <w:color w:val="333740"/>
              </w:rPr>
              <w:t>242,117</w:t>
            </w:r>
          </w:p>
        </w:tc>
        <w:tc>
          <w:tcPr>
            <w:tcW w:w="1380" w:type="dxa"/>
            <w:vAlign w:val="bottom"/>
            <w:tcBorders>
              <w:right w:val="single" w:sz="8" w:color="D7D8D6"/>
            </w:tcBorders>
          </w:tcPr>
          <w:p>
            <w:pPr>
              <w:jc w:val="right"/>
              <w:spacing w:after="0"/>
              <w:rPr>
                <w:sz w:val="20"/>
                <w:szCs w:val="20"/>
                <w:color w:val="auto"/>
              </w:rPr>
            </w:pPr>
            <w:r>
              <w:rPr>
                <w:rFonts w:ascii="Arial" w:cs="Arial" w:eastAsia="Arial" w:hAnsi="Arial"/>
                <w:sz w:val="14"/>
                <w:szCs w:val="14"/>
                <w:i w:val="1"/>
                <w:iCs w:val="1"/>
                <w:color w:val="333740"/>
              </w:rPr>
              <w:t>21</w:t>
            </w:r>
          </w:p>
        </w:tc>
        <w:tc>
          <w:tcPr>
            <w:tcW w:w="2000" w:type="dxa"/>
            <w:vAlign w:val="bottom"/>
          </w:tcPr>
          <w:p>
            <w:pPr>
              <w:jc w:val="right"/>
              <w:ind w:right="288"/>
              <w:spacing w:after="0"/>
              <w:rPr>
                <w:sz w:val="20"/>
                <w:szCs w:val="20"/>
                <w:color w:val="auto"/>
              </w:rPr>
            </w:pPr>
            <w:r>
              <w:rPr>
                <w:rFonts w:ascii="Arial" w:cs="Arial" w:eastAsia="Arial" w:hAnsi="Arial"/>
                <w:sz w:val="14"/>
                <w:szCs w:val="14"/>
                <w:i w:val="1"/>
                <w:iCs w:val="1"/>
                <w:color w:val="333740"/>
              </w:rPr>
              <w:t>272,292</w:t>
            </w:r>
          </w:p>
        </w:tc>
        <w:tc>
          <w:tcPr>
            <w:tcW w:w="1360" w:type="dxa"/>
            <w:vAlign w:val="bottom"/>
          </w:tcPr>
          <w:p>
            <w:pPr>
              <w:jc w:val="right"/>
              <w:spacing w:after="0"/>
              <w:rPr>
                <w:sz w:val="20"/>
                <w:szCs w:val="20"/>
                <w:color w:val="auto"/>
              </w:rPr>
            </w:pPr>
            <w:r>
              <w:rPr>
                <w:rFonts w:ascii="Arial" w:cs="Arial" w:eastAsia="Arial" w:hAnsi="Arial"/>
                <w:sz w:val="14"/>
                <w:szCs w:val="14"/>
                <w:i w:val="1"/>
                <w:iCs w:val="1"/>
                <w:color w:val="333740"/>
              </w:rPr>
              <w:t>0</w:t>
            </w:r>
          </w:p>
        </w:tc>
      </w:tr>
      <w:tr>
        <w:trPr>
          <w:trHeight w:val="30"/>
        </w:trPr>
        <w:tc>
          <w:tcPr>
            <w:tcW w:w="3980" w:type="dxa"/>
            <w:vAlign w:val="bottom"/>
            <w:tcBorders>
              <w:bottom w:val="single" w:sz="8" w:color="D7D8D6"/>
            </w:tcBorders>
          </w:tcPr>
          <w:p>
            <w:pPr>
              <w:spacing w:after="0"/>
              <w:rPr>
                <w:sz w:val="2"/>
                <w:szCs w:val="2"/>
                <w:color w:val="auto"/>
              </w:rPr>
            </w:pPr>
          </w:p>
        </w:tc>
        <w:tc>
          <w:tcPr>
            <w:tcW w:w="2540" w:type="dxa"/>
            <w:vAlign w:val="bottom"/>
            <w:tcBorders>
              <w:bottom w:val="single" w:sz="8" w:color="D7D8D6"/>
            </w:tcBorders>
          </w:tcPr>
          <w:p>
            <w:pPr>
              <w:spacing w:after="0"/>
              <w:rPr>
                <w:sz w:val="2"/>
                <w:szCs w:val="2"/>
                <w:color w:val="auto"/>
              </w:rPr>
            </w:pPr>
          </w:p>
        </w:tc>
        <w:tc>
          <w:tcPr>
            <w:tcW w:w="1380" w:type="dxa"/>
            <w:vAlign w:val="bottom"/>
            <w:tcBorders>
              <w:bottom w:val="single" w:sz="8" w:color="D7D8D6"/>
              <w:right w:val="single" w:sz="8" w:color="D7D8D6"/>
            </w:tcBorders>
          </w:tcPr>
          <w:p>
            <w:pPr>
              <w:spacing w:after="0"/>
              <w:rPr>
                <w:sz w:val="2"/>
                <w:szCs w:val="2"/>
                <w:color w:val="auto"/>
              </w:rPr>
            </w:pPr>
          </w:p>
        </w:tc>
        <w:tc>
          <w:tcPr>
            <w:tcW w:w="2000" w:type="dxa"/>
            <w:vAlign w:val="bottom"/>
            <w:tcBorders>
              <w:bottom w:val="single" w:sz="8" w:color="D7D8D6"/>
            </w:tcBorders>
          </w:tcPr>
          <w:p>
            <w:pPr>
              <w:spacing w:after="0"/>
              <w:rPr>
                <w:sz w:val="2"/>
                <w:szCs w:val="2"/>
                <w:color w:val="auto"/>
              </w:rPr>
            </w:pPr>
          </w:p>
        </w:tc>
        <w:tc>
          <w:tcPr>
            <w:tcW w:w="1360" w:type="dxa"/>
            <w:vAlign w:val="bottom"/>
            <w:tcBorders>
              <w:bottom w:val="single" w:sz="8" w:color="D7D8D6"/>
            </w:tcBorders>
          </w:tcPr>
          <w:p>
            <w:pPr>
              <w:spacing w:after="0"/>
              <w:rPr>
                <w:sz w:val="2"/>
                <w:szCs w:val="2"/>
                <w:color w:val="auto"/>
              </w:rPr>
            </w:pPr>
          </w:p>
        </w:tc>
      </w:tr>
      <w:tr>
        <w:trPr>
          <w:trHeight w:val="259"/>
        </w:trPr>
        <w:tc>
          <w:tcPr>
            <w:tcW w:w="3980" w:type="dxa"/>
            <w:vAlign w:val="bottom"/>
            <w:tcBorders>
              <w:bottom w:val="single" w:sz="8" w:color="D7D8D6"/>
            </w:tcBorders>
          </w:tcPr>
          <w:p>
            <w:pPr>
              <w:ind w:left="160"/>
              <w:spacing w:after="0"/>
              <w:rPr>
                <w:sz w:val="20"/>
                <w:szCs w:val="20"/>
                <w:color w:val="auto"/>
              </w:rPr>
            </w:pPr>
            <w:r>
              <w:rPr>
                <w:rFonts w:ascii="Arial" w:cs="Arial" w:eastAsia="Arial" w:hAnsi="Arial"/>
                <w:sz w:val="14"/>
                <w:szCs w:val="14"/>
                <w:i w:val="1"/>
                <w:iCs w:val="1"/>
                <w:color w:val="333740"/>
              </w:rPr>
              <w:t>Offices</w:t>
            </w:r>
          </w:p>
        </w:tc>
        <w:tc>
          <w:tcPr>
            <w:tcW w:w="2540" w:type="dxa"/>
            <w:vAlign w:val="bottom"/>
            <w:tcBorders>
              <w:bottom w:val="single" w:sz="8" w:color="D7D8D6"/>
            </w:tcBorders>
          </w:tcPr>
          <w:p>
            <w:pPr>
              <w:jc w:val="right"/>
              <w:ind w:right="268"/>
              <w:spacing w:after="0"/>
              <w:rPr>
                <w:sz w:val="20"/>
                <w:szCs w:val="20"/>
                <w:color w:val="auto"/>
              </w:rPr>
            </w:pPr>
            <w:r>
              <w:rPr>
                <w:rFonts w:ascii="Arial" w:cs="Arial" w:eastAsia="Arial" w:hAnsi="Arial"/>
                <w:sz w:val="14"/>
                <w:szCs w:val="14"/>
                <w:i w:val="1"/>
                <w:iCs w:val="1"/>
                <w:color w:val="333740"/>
              </w:rPr>
              <w:t>1,450</w:t>
            </w:r>
          </w:p>
        </w:tc>
        <w:tc>
          <w:tcPr>
            <w:tcW w:w="1380" w:type="dxa"/>
            <w:vAlign w:val="bottom"/>
            <w:tcBorders>
              <w:bottom w:val="single" w:sz="8" w:color="D7D8D6"/>
              <w:right w:val="single" w:sz="8" w:color="D7D8D6"/>
            </w:tcBorders>
          </w:tcPr>
          <w:p>
            <w:pPr>
              <w:jc w:val="right"/>
              <w:spacing w:after="0"/>
              <w:rPr>
                <w:sz w:val="20"/>
                <w:szCs w:val="20"/>
                <w:color w:val="auto"/>
              </w:rPr>
            </w:pPr>
            <w:r>
              <w:rPr>
                <w:rFonts w:ascii="Arial" w:cs="Arial" w:eastAsia="Arial" w:hAnsi="Arial"/>
                <w:sz w:val="14"/>
                <w:szCs w:val="14"/>
                <w:i w:val="1"/>
                <w:iCs w:val="1"/>
                <w:color w:val="333740"/>
              </w:rPr>
              <w:t>19,602</w:t>
            </w:r>
          </w:p>
        </w:tc>
        <w:tc>
          <w:tcPr>
            <w:tcW w:w="2000" w:type="dxa"/>
            <w:vAlign w:val="bottom"/>
            <w:tcBorders>
              <w:bottom w:val="single" w:sz="8" w:color="D7D8D6"/>
            </w:tcBorders>
          </w:tcPr>
          <w:p>
            <w:pPr>
              <w:jc w:val="right"/>
              <w:ind w:right="288"/>
              <w:spacing w:after="0"/>
              <w:rPr>
                <w:sz w:val="20"/>
                <w:szCs w:val="20"/>
                <w:color w:val="auto"/>
              </w:rPr>
            </w:pPr>
            <w:r>
              <w:rPr>
                <w:rFonts w:ascii="Arial" w:cs="Arial" w:eastAsia="Arial" w:hAnsi="Arial"/>
                <w:sz w:val="14"/>
                <w:szCs w:val="14"/>
                <w:i w:val="1"/>
                <w:iCs w:val="1"/>
                <w:color w:val="333740"/>
              </w:rPr>
              <w:t>1,551</w:t>
            </w:r>
          </w:p>
        </w:tc>
        <w:tc>
          <w:tcPr>
            <w:tcW w:w="1360" w:type="dxa"/>
            <w:vAlign w:val="bottom"/>
            <w:tcBorders>
              <w:bottom w:val="single" w:sz="8" w:color="D7D8D6"/>
            </w:tcBorders>
          </w:tcPr>
          <w:p>
            <w:pPr>
              <w:jc w:val="right"/>
              <w:spacing w:after="0"/>
              <w:rPr>
                <w:sz w:val="20"/>
                <w:szCs w:val="20"/>
                <w:color w:val="auto"/>
              </w:rPr>
            </w:pPr>
            <w:r>
              <w:rPr>
                <w:rFonts w:ascii="Arial" w:cs="Arial" w:eastAsia="Arial" w:hAnsi="Arial"/>
                <w:sz w:val="14"/>
                <w:szCs w:val="14"/>
                <w:i w:val="1"/>
                <w:iCs w:val="1"/>
                <w:color w:val="333740"/>
              </w:rPr>
              <w:t>18,558</w:t>
            </w:r>
          </w:p>
        </w:tc>
      </w:tr>
      <w:tr>
        <w:trPr>
          <w:trHeight w:val="365"/>
        </w:trPr>
        <w:tc>
          <w:tcPr>
            <w:tcW w:w="3980" w:type="dxa"/>
            <w:vAlign w:val="bottom"/>
          </w:tcPr>
          <w:p>
            <w:pPr>
              <w:ind w:left="20"/>
              <w:spacing w:after="0"/>
              <w:rPr>
                <w:sz w:val="20"/>
                <w:szCs w:val="20"/>
                <w:color w:val="auto"/>
              </w:rPr>
            </w:pPr>
            <w:r>
              <w:rPr>
                <w:rFonts w:ascii="Arial" w:cs="Arial" w:eastAsia="Arial" w:hAnsi="Arial"/>
                <w:sz w:val="14"/>
                <w:szCs w:val="14"/>
                <w:b w:val="1"/>
                <w:bCs w:val="1"/>
                <w:color w:val="333740"/>
              </w:rPr>
              <w:t>Our Projects</w:t>
            </w:r>
          </w:p>
        </w:tc>
        <w:tc>
          <w:tcPr>
            <w:tcW w:w="2540" w:type="dxa"/>
            <w:vAlign w:val="bottom"/>
          </w:tcPr>
          <w:p>
            <w:pPr>
              <w:jc w:val="right"/>
              <w:ind w:right="268"/>
              <w:spacing w:after="0"/>
              <w:rPr>
                <w:sz w:val="20"/>
                <w:szCs w:val="20"/>
                <w:color w:val="auto"/>
              </w:rPr>
            </w:pPr>
            <w:r>
              <w:rPr>
                <w:rFonts w:ascii="Arial" w:cs="Arial" w:eastAsia="Arial" w:hAnsi="Arial"/>
                <w:sz w:val="14"/>
                <w:szCs w:val="14"/>
                <w:color w:val="333740"/>
              </w:rPr>
              <w:t>319,523</w:t>
            </w:r>
          </w:p>
        </w:tc>
        <w:tc>
          <w:tcPr>
            <w:tcW w:w="1380" w:type="dxa"/>
            <w:vAlign w:val="bottom"/>
            <w:tcBorders>
              <w:right w:val="single" w:sz="8" w:color="D7D8D6"/>
            </w:tcBorders>
          </w:tcPr>
          <w:p>
            <w:pPr>
              <w:jc w:val="right"/>
              <w:spacing w:after="0"/>
              <w:rPr>
                <w:sz w:val="20"/>
                <w:szCs w:val="20"/>
                <w:color w:val="auto"/>
              </w:rPr>
            </w:pPr>
            <w:r>
              <w:rPr>
                <w:rFonts w:ascii="Arial" w:cs="Arial" w:eastAsia="Arial" w:hAnsi="Arial"/>
                <w:sz w:val="14"/>
                <w:szCs w:val="14"/>
                <w:color w:val="333740"/>
              </w:rPr>
              <w:t>9,010</w:t>
            </w:r>
          </w:p>
        </w:tc>
        <w:tc>
          <w:tcPr>
            <w:tcW w:w="2000" w:type="dxa"/>
            <w:vAlign w:val="bottom"/>
          </w:tcPr>
          <w:p>
            <w:pPr>
              <w:jc w:val="right"/>
              <w:ind w:right="288"/>
              <w:spacing w:after="0"/>
              <w:rPr>
                <w:sz w:val="20"/>
                <w:szCs w:val="20"/>
                <w:color w:val="auto"/>
              </w:rPr>
            </w:pPr>
            <w:r>
              <w:rPr>
                <w:rFonts w:ascii="Arial" w:cs="Arial" w:eastAsia="Arial" w:hAnsi="Arial"/>
                <w:sz w:val="14"/>
                <w:szCs w:val="14"/>
                <w:color w:val="333740"/>
              </w:rPr>
              <w:t>132,572</w:t>
            </w:r>
          </w:p>
        </w:tc>
        <w:tc>
          <w:tcPr>
            <w:tcW w:w="1360" w:type="dxa"/>
            <w:vAlign w:val="bottom"/>
          </w:tcPr>
          <w:p>
            <w:pPr>
              <w:jc w:val="right"/>
              <w:spacing w:after="0"/>
              <w:rPr>
                <w:sz w:val="20"/>
                <w:szCs w:val="20"/>
                <w:color w:val="auto"/>
              </w:rPr>
            </w:pPr>
            <w:r>
              <w:rPr>
                <w:rFonts w:ascii="Arial" w:cs="Arial" w:eastAsia="Arial" w:hAnsi="Arial"/>
                <w:sz w:val="14"/>
                <w:szCs w:val="14"/>
                <w:color w:val="333740"/>
              </w:rPr>
              <w:t>13,906</w:t>
            </w:r>
          </w:p>
        </w:tc>
      </w:tr>
      <w:tr>
        <w:trPr>
          <w:trHeight w:val="213"/>
        </w:trPr>
        <w:tc>
          <w:tcPr>
            <w:tcW w:w="39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including Construction sites and Yards/Bases:</w:t>
            </w:r>
          </w:p>
        </w:tc>
        <w:tc>
          <w:tcPr>
            <w:tcW w:w="2540" w:type="dxa"/>
            <w:vAlign w:val="bottom"/>
            <w:tcBorders>
              <w:bottom w:val="single" w:sz="8" w:color="D7D8D6"/>
            </w:tcBorders>
          </w:tcPr>
          <w:p>
            <w:pPr>
              <w:spacing w:after="0"/>
              <w:rPr>
                <w:sz w:val="18"/>
                <w:szCs w:val="18"/>
                <w:color w:val="auto"/>
              </w:rPr>
            </w:pPr>
          </w:p>
        </w:tc>
        <w:tc>
          <w:tcPr>
            <w:tcW w:w="1380" w:type="dxa"/>
            <w:vAlign w:val="bottom"/>
            <w:tcBorders>
              <w:bottom w:val="single" w:sz="8" w:color="D7D8D6"/>
              <w:right w:val="single" w:sz="8" w:color="D7D8D6"/>
            </w:tcBorders>
          </w:tcPr>
          <w:p>
            <w:pPr>
              <w:spacing w:after="0"/>
              <w:rPr>
                <w:sz w:val="18"/>
                <w:szCs w:val="18"/>
                <w:color w:val="auto"/>
              </w:rPr>
            </w:pPr>
          </w:p>
        </w:tc>
        <w:tc>
          <w:tcPr>
            <w:tcW w:w="2000" w:type="dxa"/>
            <w:vAlign w:val="bottom"/>
            <w:tcBorders>
              <w:bottom w:val="single" w:sz="8" w:color="D7D8D6"/>
            </w:tcBorders>
          </w:tcPr>
          <w:p>
            <w:pPr>
              <w:spacing w:after="0"/>
              <w:rPr>
                <w:sz w:val="18"/>
                <w:szCs w:val="18"/>
                <w:color w:val="auto"/>
              </w:rPr>
            </w:pPr>
          </w:p>
        </w:tc>
        <w:tc>
          <w:tcPr>
            <w:tcW w:w="1360" w:type="dxa"/>
            <w:vAlign w:val="bottom"/>
            <w:tcBorders>
              <w:bottom w:val="single" w:sz="8" w:color="D7D8D6"/>
            </w:tcBorders>
          </w:tcPr>
          <w:p>
            <w:pPr>
              <w:spacing w:after="0"/>
              <w:rPr>
                <w:sz w:val="18"/>
                <w:szCs w:val="18"/>
                <w:color w:val="auto"/>
              </w:rPr>
            </w:pPr>
          </w:p>
        </w:tc>
      </w:tr>
      <w:tr>
        <w:trPr>
          <w:trHeight w:val="267"/>
        </w:trPr>
        <w:tc>
          <w:tcPr>
            <w:tcW w:w="3980" w:type="dxa"/>
            <w:vAlign w:val="bottom"/>
            <w:tcBorders>
              <w:bottom w:val="single" w:sz="8" w:color="D7D8D6"/>
            </w:tcBorders>
          </w:tcPr>
          <w:p>
            <w:pPr>
              <w:ind w:left="160"/>
              <w:spacing w:after="0"/>
              <w:rPr>
                <w:sz w:val="20"/>
                <w:szCs w:val="20"/>
                <w:color w:val="auto"/>
              </w:rPr>
            </w:pPr>
            <w:r>
              <w:rPr>
                <w:rFonts w:ascii="Arial" w:cs="Arial" w:eastAsia="Arial" w:hAnsi="Arial"/>
                <w:sz w:val="14"/>
                <w:szCs w:val="14"/>
                <w:i w:val="1"/>
                <w:iCs w:val="1"/>
                <w:color w:val="333740"/>
              </w:rPr>
              <w:t>Onshore/Offshore</w:t>
            </w:r>
          </w:p>
        </w:tc>
        <w:tc>
          <w:tcPr>
            <w:tcW w:w="2540" w:type="dxa"/>
            <w:vAlign w:val="bottom"/>
            <w:tcBorders>
              <w:bottom w:val="single" w:sz="8" w:color="D7D8D6"/>
            </w:tcBorders>
          </w:tcPr>
          <w:p>
            <w:pPr>
              <w:jc w:val="right"/>
              <w:ind w:right="268"/>
              <w:spacing w:after="0"/>
              <w:rPr>
                <w:sz w:val="20"/>
                <w:szCs w:val="20"/>
                <w:color w:val="auto"/>
              </w:rPr>
            </w:pPr>
            <w:r>
              <w:rPr>
                <w:rFonts w:ascii="Arial" w:cs="Arial" w:eastAsia="Arial" w:hAnsi="Arial"/>
                <w:sz w:val="14"/>
                <w:szCs w:val="14"/>
                <w:i w:val="1"/>
                <w:iCs w:val="1"/>
                <w:color w:val="333740"/>
              </w:rPr>
              <w:t>284,055</w:t>
            </w:r>
          </w:p>
        </w:tc>
        <w:tc>
          <w:tcPr>
            <w:tcW w:w="1380" w:type="dxa"/>
            <w:vAlign w:val="bottom"/>
            <w:tcBorders>
              <w:bottom w:val="single" w:sz="8" w:color="D7D8D6"/>
              <w:right w:val="single" w:sz="8" w:color="D7D8D6"/>
            </w:tcBorders>
          </w:tcPr>
          <w:p>
            <w:pPr>
              <w:jc w:val="right"/>
              <w:spacing w:after="0"/>
              <w:rPr>
                <w:sz w:val="20"/>
                <w:szCs w:val="20"/>
                <w:color w:val="auto"/>
              </w:rPr>
            </w:pPr>
            <w:r>
              <w:rPr>
                <w:rFonts w:ascii="Arial" w:cs="Arial" w:eastAsia="Arial" w:hAnsi="Arial"/>
                <w:sz w:val="14"/>
                <w:szCs w:val="14"/>
                <w:i w:val="1"/>
                <w:iCs w:val="1"/>
                <w:color w:val="333740"/>
              </w:rPr>
              <w:t>3,898</w:t>
            </w:r>
          </w:p>
        </w:tc>
        <w:tc>
          <w:tcPr>
            <w:tcW w:w="2000" w:type="dxa"/>
            <w:vAlign w:val="bottom"/>
            <w:tcBorders>
              <w:bottom w:val="single" w:sz="8" w:color="D7D8D6"/>
            </w:tcBorders>
          </w:tcPr>
          <w:p>
            <w:pPr>
              <w:jc w:val="right"/>
              <w:ind w:right="288"/>
              <w:spacing w:after="0"/>
              <w:rPr>
                <w:sz w:val="20"/>
                <w:szCs w:val="20"/>
                <w:color w:val="auto"/>
              </w:rPr>
            </w:pPr>
            <w:r>
              <w:rPr>
                <w:rFonts w:ascii="Arial" w:cs="Arial" w:eastAsia="Arial" w:hAnsi="Arial"/>
                <w:sz w:val="14"/>
                <w:szCs w:val="14"/>
                <w:i w:val="1"/>
                <w:iCs w:val="1"/>
                <w:color w:val="333740"/>
              </w:rPr>
              <w:t>51,780</w:t>
            </w:r>
          </w:p>
        </w:tc>
        <w:tc>
          <w:tcPr>
            <w:tcW w:w="1360" w:type="dxa"/>
            <w:vAlign w:val="bottom"/>
            <w:tcBorders>
              <w:bottom w:val="single" w:sz="8" w:color="D7D8D6"/>
            </w:tcBorders>
          </w:tcPr>
          <w:p>
            <w:pPr>
              <w:jc w:val="right"/>
              <w:spacing w:after="0"/>
              <w:rPr>
                <w:sz w:val="20"/>
                <w:szCs w:val="20"/>
                <w:color w:val="auto"/>
              </w:rPr>
            </w:pPr>
            <w:r>
              <w:rPr>
                <w:rFonts w:ascii="Arial" w:cs="Arial" w:eastAsia="Arial" w:hAnsi="Arial"/>
                <w:sz w:val="14"/>
                <w:szCs w:val="14"/>
                <w:i w:val="1"/>
                <w:iCs w:val="1"/>
                <w:color w:val="333740"/>
              </w:rPr>
              <w:t>9,128</w:t>
            </w:r>
          </w:p>
        </w:tc>
      </w:tr>
      <w:tr>
        <w:trPr>
          <w:trHeight w:val="267"/>
        </w:trPr>
        <w:tc>
          <w:tcPr>
            <w:tcW w:w="3980" w:type="dxa"/>
            <w:vAlign w:val="bottom"/>
            <w:tcBorders>
              <w:bottom w:val="single" w:sz="8" w:color="D7D8D6"/>
            </w:tcBorders>
          </w:tcPr>
          <w:p>
            <w:pPr>
              <w:ind w:left="160"/>
              <w:spacing w:after="0"/>
              <w:rPr>
                <w:sz w:val="20"/>
                <w:szCs w:val="20"/>
                <w:color w:val="auto"/>
              </w:rPr>
            </w:pPr>
            <w:r>
              <w:rPr>
                <w:rFonts w:ascii="Arial" w:cs="Arial" w:eastAsia="Arial" w:hAnsi="Arial"/>
                <w:sz w:val="14"/>
                <w:szCs w:val="14"/>
                <w:i w:val="1"/>
                <w:iCs w:val="1"/>
                <w:color w:val="333740"/>
              </w:rPr>
              <w:t>Subsea</w:t>
            </w:r>
          </w:p>
        </w:tc>
        <w:tc>
          <w:tcPr>
            <w:tcW w:w="2540" w:type="dxa"/>
            <w:vAlign w:val="bottom"/>
            <w:tcBorders>
              <w:bottom w:val="single" w:sz="8" w:color="D7D8D6"/>
            </w:tcBorders>
          </w:tcPr>
          <w:p>
            <w:pPr>
              <w:jc w:val="right"/>
              <w:ind w:right="268"/>
              <w:spacing w:after="0"/>
              <w:rPr>
                <w:sz w:val="20"/>
                <w:szCs w:val="20"/>
                <w:color w:val="auto"/>
              </w:rPr>
            </w:pPr>
            <w:r>
              <w:rPr>
                <w:rFonts w:ascii="Arial" w:cs="Arial" w:eastAsia="Arial" w:hAnsi="Arial"/>
                <w:sz w:val="14"/>
                <w:szCs w:val="14"/>
                <w:i w:val="1"/>
                <w:iCs w:val="1"/>
                <w:color w:val="333740"/>
              </w:rPr>
              <w:t>29,658</w:t>
            </w:r>
          </w:p>
        </w:tc>
        <w:tc>
          <w:tcPr>
            <w:tcW w:w="1380" w:type="dxa"/>
            <w:vAlign w:val="bottom"/>
            <w:tcBorders>
              <w:bottom w:val="single" w:sz="8" w:color="D7D8D6"/>
              <w:right w:val="single" w:sz="8" w:color="D7D8D6"/>
            </w:tcBorders>
          </w:tcPr>
          <w:p>
            <w:pPr>
              <w:jc w:val="right"/>
              <w:spacing w:after="0"/>
              <w:rPr>
                <w:sz w:val="20"/>
                <w:szCs w:val="20"/>
                <w:color w:val="auto"/>
              </w:rPr>
            </w:pPr>
            <w:r>
              <w:rPr>
                <w:rFonts w:ascii="Arial" w:cs="Arial" w:eastAsia="Arial" w:hAnsi="Arial"/>
                <w:sz w:val="14"/>
                <w:szCs w:val="14"/>
                <w:i w:val="1"/>
                <w:iCs w:val="1"/>
                <w:color w:val="333740"/>
              </w:rPr>
              <w:t>2,840</w:t>
            </w:r>
          </w:p>
        </w:tc>
        <w:tc>
          <w:tcPr>
            <w:tcW w:w="2000" w:type="dxa"/>
            <w:vAlign w:val="bottom"/>
            <w:tcBorders>
              <w:bottom w:val="single" w:sz="8" w:color="D7D8D6"/>
            </w:tcBorders>
          </w:tcPr>
          <w:p>
            <w:pPr>
              <w:jc w:val="right"/>
              <w:ind w:right="288"/>
              <w:spacing w:after="0"/>
              <w:rPr>
                <w:sz w:val="20"/>
                <w:szCs w:val="20"/>
                <w:color w:val="auto"/>
              </w:rPr>
            </w:pPr>
            <w:r>
              <w:rPr>
                <w:rFonts w:ascii="Arial" w:cs="Arial" w:eastAsia="Arial" w:hAnsi="Arial"/>
                <w:sz w:val="14"/>
                <w:szCs w:val="14"/>
                <w:i w:val="1"/>
                <w:iCs w:val="1"/>
                <w:color w:val="333740"/>
              </w:rPr>
              <w:t>76,023</w:t>
            </w:r>
          </w:p>
        </w:tc>
        <w:tc>
          <w:tcPr>
            <w:tcW w:w="1360" w:type="dxa"/>
            <w:vAlign w:val="bottom"/>
            <w:tcBorders>
              <w:bottom w:val="single" w:sz="8" w:color="D7D8D6"/>
            </w:tcBorders>
          </w:tcPr>
          <w:p>
            <w:pPr>
              <w:jc w:val="right"/>
              <w:spacing w:after="0"/>
              <w:rPr>
                <w:sz w:val="20"/>
                <w:szCs w:val="20"/>
                <w:color w:val="auto"/>
              </w:rPr>
            </w:pPr>
            <w:r>
              <w:rPr>
                <w:rFonts w:ascii="Arial" w:cs="Arial" w:eastAsia="Arial" w:hAnsi="Arial"/>
                <w:sz w:val="14"/>
                <w:szCs w:val="14"/>
                <w:i w:val="1"/>
                <w:iCs w:val="1"/>
                <w:color w:val="333740"/>
              </w:rPr>
              <w:t>2,873</w:t>
            </w:r>
          </w:p>
        </w:tc>
      </w:tr>
      <w:tr>
        <w:trPr>
          <w:trHeight w:val="267"/>
        </w:trPr>
        <w:tc>
          <w:tcPr>
            <w:tcW w:w="3980" w:type="dxa"/>
            <w:vAlign w:val="bottom"/>
            <w:tcBorders>
              <w:bottom w:val="single" w:sz="8" w:color="D7D8D6"/>
            </w:tcBorders>
          </w:tcPr>
          <w:p>
            <w:pPr>
              <w:ind w:left="160"/>
              <w:spacing w:after="0"/>
              <w:rPr>
                <w:sz w:val="20"/>
                <w:szCs w:val="20"/>
                <w:color w:val="auto"/>
              </w:rPr>
            </w:pPr>
            <w:r>
              <w:rPr>
                <w:rFonts w:ascii="Arial" w:cs="Arial" w:eastAsia="Arial" w:hAnsi="Arial"/>
                <w:sz w:val="14"/>
                <w:szCs w:val="14"/>
                <w:i w:val="1"/>
                <w:iCs w:val="1"/>
                <w:color w:val="333740"/>
              </w:rPr>
              <w:t>Other</w:t>
            </w:r>
          </w:p>
        </w:tc>
        <w:tc>
          <w:tcPr>
            <w:tcW w:w="2540" w:type="dxa"/>
            <w:vAlign w:val="bottom"/>
            <w:tcBorders>
              <w:bottom w:val="single" w:sz="8" w:color="D7D8D6"/>
            </w:tcBorders>
          </w:tcPr>
          <w:p>
            <w:pPr>
              <w:jc w:val="right"/>
              <w:ind w:right="268"/>
              <w:spacing w:after="0"/>
              <w:rPr>
                <w:sz w:val="20"/>
                <w:szCs w:val="20"/>
                <w:color w:val="auto"/>
              </w:rPr>
            </w:pPr>
            <w:r>
              <w:rPr>
                <w:rFonts w:ascii="Arial" w:cs="Arial" w:eastAsia="Arial" w:hAnsi="Arial"/>
                <w:sz w:val="14"/>
                <w:szCs w:val="14"/>
                <w:i w:val="1"/>
                <w:iCs w:val="1"/>
                <w:color w:val="333740"/>
              </w:rPr>
              <w:t>5,810</w:t>
            </w:r>
          </w:p>
        </w:tc>
        <w:tc>
          <w:tcPr>
            <w:tcW w:w="1380" w:type="dxa"/>
            <w:vAlign w:val="bottom"/>
            <w:tcBorders>
              <w:bottom w:val="single" w:sz="8" w:color="D7D8D6"/>
              <w:right w:val="single" w:sz="8" w:color="D7D8D6"/>
            </w:tcBorders>
          </w:tcPr>
          <w:p>
            <w:pPr>
              <w:jc w:val="right"/>
              <w:spacing w:after="0"/>
              <w:rPr>
                <w:sz w:val="20"/>
                <w:szCs w:val="20"/>
                <w:color w:val="auto"/>
              </w:rPr>
            </w:pPr>
            <w:r>
              <w:rPr>
                <w:rFonts w:ascii="Arial" w:cs="Arial" w:eastAsia="Arial" w:hAnsi="Arial"/>
                <w:sz w:val="14"/>
                <w:szCs w:val="14"/>
                <w:i w:val="1"/>
                <w:iCs w:val="1"/>
                <w:color w:val="333740"/>
              </w:rPr>
              <w:t>2,272</w:t>
            </w:r>
          </w:p>
        </w:tc>
        <w:tc>
          <w:tcPr>
            <w:tcW w:w="2000" w:type="dxa"/>
            <w:vAlign w:val="bottom"/>
            <w:tcBorders>
              <w:bottom w:val="single" w:sz="8" w:color="D7D8D6"/>
            </w:tcBorders>
          </w:tcPr>
          <w:p>
            <w:pPr>
              <w:jc w:val="right"/>
              <w:ind w:right="288"/>
              <w:spacing w:after="0"/>
              <w:rPr>
                <w:sz w:val="20"/>
                <w:szCs w:val="20"/>
                <w:color w:val="auto"/>
              </w:rPr>
            </w:pPr>
            <w:r>
              <w:rPr>
                <w:rFonts w:ascii="Arial" w:cs="Arial" w:eastAsia="Arial" w:hAnsi="Arial"/>
                <w:sz w:val="14"/>
                <w:szCs w:val="14"/>
                <w:i w:val="1"/>
                <w:iCs w:val="1"/>
                <w:color w:val="333740"/>
              </w:rPr>
              <w:t>4,769</w:t>
            </w:r>
          </w:p>
        </w:tc>
        <w:tc>
          <w:tcPr>
            <w:tcW w:w="1360" w:type="dxa"/>
            <w:vAlign w:val="bottom"/>
            <w:tcBorders>
              <w:bottom w:val="single" w:sz="8" w:color="D7D8D6"/>
            </w:tcBorders>
          </w:tcPr>
          <w:p>
            <w:pPr>
              <w:jc w:val="right"/>
              <w:spacing w:after="0"/>
              <w:rPr>
                <w:sz w:val="20"/>
                <w:szCs w:val="20"/>
                <w:color w:val="auto"/>
              </w:rPr>
            </w:pPr>
            <w:r>
              <w:rPr>
                <w:rFonts w:ascii="Arial" w:cs="Arial" w:eastAsia="Arial" w:hAnsi="Arial"/>
                <w:sz w:val="14"/>
                <w:szCs w:val="14"/>
                <w:i w:val="1"/>
                <w:iCs w:val="1"/>
                <w:color w:val="333740"/>
              </w:rPr>
              <w:t>1,905</w:t>
            </w:r>
          </w:p>
        </w:tc>
      </w:tr>
      <w:tr>
        <w:trPr>
          <w:trHeight w:val="267"/>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33740"/>
              </w:rPr>
              <w:t>GHG Emissions by Scope</w:t>
            </w:r>
          </w:p>
        </w:tc>
        <w:tc>
          <w:tcPr>
            <w:tcW w:w="25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333740"/>
              </w:rPr>
              <w:t>574,058</w:t>
            </w:r>
          </w:p>
        </w:tc>
        <w:tc>
          <w:tcPr>
            <w:tcW w:w="1380" w:type="dxa"/>
            <w:vAlign w:val="bottom"/>
            <w:tcBorders>
              <w:bottom w:val="single" w:sz="8" w:color="auto"/>
              <w:right w:val="single" w:sz="8" w:color="D7D8D6"/>
            </w:tcBorders>
          </w:tcPr>
          <w:p>
            <w:pPr>
              <w:jc w:val="right"/>
              <w:spacing w:after="0"/>
              <w:rPr>
                <w:sz w:val="20"/>
                <w:szCs w:val="20"/>
                <w:color w:val="auto"/>
              </w:rPr>
            </w:pPr>
            <w:r>
              <w:rPr>
                <w:rFonts w:ascii="Arial" w:cs="Arial" w:eastAsia="Arial" w:hAnsi="Arial"/>
                <w:sz w:val="14"/>
                <w:szCs w:val="14"/>
                <w:b w:val="1"/>
                <w:bCs w:val="1"/>
                <w:color w:val="333740"/>
              </w:rPr>
              <w:t>69,411</w:t>
            </w:r>
          </w:p>
        </w:tc>
        <w:tc>
          <w:tcPr>
            <w:tcW w:w="2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333740"/>
              </w:rPr>
              <w:t>416,117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33740"/>
              </w:rPr>
              <w:t>53,838</w:t>
            </w:r>
          </w:p>
        </w:tc>
      </w:tr>
      <w:tr>
        <w:trPr>
          <w:trHeight w:val="267"/>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33740"/>
              </w:rPr>
              <w:t>Total GHG Emissions</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33740"/>
              </w:rPr>
              <w:t>643,469</w:t>
            </w:r>
          </w:p>
        </w:tc>
        <w:tc>
          <w:tcPr>
            <w:tcW w:w="1380" w:type="dxa"/>
            <w:vAlign w:val="bottom"/>
            <w:tcBorders>
              <w:bottom w:val="single" w:sz="8" w:color="auto"/>
              <w:right w:val="single" w:sz="8" w:color="D7D8D6"/>
            </w:tcBorders>
          </w:tcPr>
          <w:p>
            <w:pPr>
              <w:spacing w:after="0"/>
              <w:rPr>
                <w:sz w:val="23"/>
                <w:szCs w:val="23"/>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33740"/>
              </w:rPr>
              <w:t>469,955</w:t>
            </w:r>
          </w:p>
        </w:tc>
        <w:tc>
          <w:tcPr>
            <w:tcW w:w="1360" w:type="dxa"/>
            <w:vAlign w:val="bottom"/>
            <w:tcBorders>
              <w:bottom w:val="single" w:sz="8" w:color="auto"/>
            </w:tcBorders>
          </w:tcPr>
          <w:p>
            <w:pPr>
              <w:spacing w:after="0"/>
              <w:rPr>
                <w:sz w:val="23"/>
                <w:szCs w:val="23"/>
                <w:color w:val="auto"/>
              </w:rPr>
            </w:pPr>
          </w:p>
        </w:tc>
      </w:tr>
    </w:tbl>
    <w:p>
      <w:pPr>
        <w:spacing w:after="0" w:line="161" w:lineRule="exact"/>
        <w:rPr>
          <w:sz w:val="20"/>
          <w:szCs w:val="20"/>
          <w:color w:val="auto"/>
        </w:rPr>
      </w:pPr>
    </w:p>
    <w:p>
      <w:pPr>
        <w:jc w:val="both"/>
        <w:ind w:left="4"/>
        <w:spacing w:after="0" w:line="254" w:lineRule="auto"/>
        <w:rPr>
          <w:sz w:val="20"/>
          <w:szCs w:val="20"/>
          <w:color w:val="auto"/>
        </w:rPr>
      </w:pPr>
      <w:r>
        <w:rPr>
          <w:rFonts w:ascii="Arial" w:cs="Arial" w:eastAsia="Arial" w:hAnsi="Arial"/>
          <w:sz w:val="19"/>
          <w:szCs w:val="19"/>
          <w:color w:val="333740"/>
        </w:rPr>
        <w:t>To ease yearly comparison and trend analysis, industrial sites, offices, and fleet are presented under Our Assets, being TechnipFMC’s permanent sites fully owned and operationally managed. Construction sites and Yards/Bases are aggregated under Our Projects and presented separately as they are usually temporary sites that are not owned by TechnipFMC but operationally managed during the construction phase. They are subject to important variations from one year to another, depending on the number and type of ongoing projects and the type of construction activities (e.g., early site work, civil work, construction, pre-commissioning, commissioning, or start-up).</w:t>
      </w:r>
    </w:p>
    <w:p>
      <w:pPr>
        <w:spacing w:after="0" w:line="128" w:lineRule="exact"/>
        <w:rPr>
          <w:sz w:val="20"/>
          <w:szCs w:val="20"/>
          <w:color w:val="auto"/>
        </w:rPr>
      </w:pPr>
    </w:p>
    <w:p>
      <w:pPr>
        <w:ind w:left="4" w:right="140"/>
        <w:spacing w:after="0" w:line="212" w:lineRule="auto"/>
        <w:rPr>
          <w:sz w:val="20"/>
          <w:szCs w:val="20"/>
          <w:color w:val="auto"/>
        </w:rPr>
      </w:pPr>
      <w:r>
        <w:rPr>
          <w:rFonts w:ascii="Arial" w:cs="Arial" w:eastAsia="Arial" w:hAnsi="Arial"/>
          <w:sz w:val="19"/>
          <w:szCs w:val="19"/>
          <w:color w:val="333740"/>
        </w:rPr>
        <w:t>Within our Assets, Scope 1, direct emissions (“</w:t>
      </w:r>
      <w:r>
        <w:rPr>
          <w:rFonts w:ascii="Arial" w:cs="Arial" w:eastAsia="Arial" w:hAnsi="Arial"/>
          <w:sz w:val="19"/>
          <w:szCs w:val="19"/>
          <w:b w:val="1"/>
          <w:bCs w:val="1"/>
          <w:color w:val="333740"/>
        </w:rPr>
        <w:t>Scope 1</w:t>
      </w:r>
      <w:r>
        <w:rPr>
          <w:rFonts w:ascii="Arial" w:cs="Arial" w:eastAsia="Arial" w:hAnsi="Arial"/>
          <w:sz w:val="19"/>
          <w:szCs w:val="19"/>
          <w:color w:val="333740"/>
        </w:rPr>
        <w:t>”), increased minimally, due to fleet activities compared to the same period in 2018, while Scope 2, indirect emissions (“</w:t>
      </w:r>
      <w:r>
        <w:rPr>
          <w:rFonts w:ascii="Arial" w:cs="Arial" w:eastAsia="Arial" w:hAnsi="Arial"/>
          <w:sz w:val="19"/>
          <w:szCs w:val="19"/>
          <w:b w:val="1"/>
          <w:bCs w:val="1"/>
          <w:color w:val="333740"/>
        </w:rPr>
        <w:t>Scope 2</w:t>
      </w:r>
      <w:r>
        <w:rPr>
          <w:rFonts w:ascii="Arial" w:cs="Arial" w:eastAsia="Arial" w:hAnsi="Arial"/>
          <w:sz w:val="19"/>
          <w:szCs w:val="19"/>
          <w:color w:val="333740"/>
        </w:rPr>
        <w:t>”), decreased by 34% compared to the same period in 2018. This reduction is associated with the Company’s asset energy transition in place in different countries where businesses are shifting towards certified renewables in offices and manufacturing plants. As part of the transition, 4,210 tons of CO</w:t>
      </w:r>
      <w:r>
        <w:rPr>
          <w:rFonts w:ascii="Arial" w:cs="Arial" w:eastAsia="Arial" w:hAnsi="Arial"/>
          <w:sz w:val="38"/>
          <w:szCs w:val="38"/>
          <w:color w:val="333740"/>
          <w:vertAlign w:val="subscript"/>
        </w:rPr>
        <w:t>2</w:t>
      </w:r>
      <w:r>
        <w:rPr>
          <w:rFonts w:ascii="Arial" w:cs="Arial" w:eastAsia="Arial" w:hAnsi="Arial"/>
          <w:sz w:val="19"/>
          <w:szCs w:val="19"/>
          <w:color w:val="333740"/>
        </w:rPr>
        <w:t xml:space="preserve"> equivalent have been saved by renewable energy in use in offices and manufacturing areas.</w:t>
      </w:r>
    </w:p>
    <w:p>
      <w:pPr>
        <w:spacing w:after="0" w:line="4" w:lineRule="exact"/>
        <w:rPr>
          <w:sz w:val="20"/>
          <w:szCs w:val="20"/>
          <w:color w:val="auto"/>
        </w:rPr>
      </w:pPr>
    </w:p>
    <w:p>
      <w:pPr>
        <w:jc w:val="both"/>
        <w:ind w:left="4" w:right="480"/>
        <w:spacing w:after="0" w:line="260" w:lineRule="auto"/>
        <w:rPr>
          <w:sz w:val="20"/>
          <w:szCs w:val="20"/>
          <w:color w:val="auto"/>
        </w:rPr>
      </w:pPr>
      <w:r>
        <w:rPr>
          <w:rFonts w:ascii="Arial" w:cs="Arial" w:eastAsia="Arial" w:hAnsi="Arial"/>
          <w:sz w:val="19"/>
          <w:szCs w:val="19"/>
          <w:color w:val="333740"/>
        </w:rPr>
        <w:t>With respect to TechnipFMC projects, a 59% reduction of Scope 1 emissions was registered in 2019 compared to the same period in 2018 due to the closure of several EPC projects in the first part of 2019. Scope 2 emissions increased slightly due to the restart of activities in several yards for new projects starting in the second part of 2019.</w:t>
      </w:r>
    </w:p>
    <w:p>
      <w:pPr>
        <w:spacing w:after="0" w:line="200" w:lineRule="exact"/>
        <w:rPr>
          <w:sz w:val="20"/>
          <w:szCs w:val="20"/>
          <w:color w:val="auto"/>
        </w:rPr>
      </w:pPr>
    </w:p>
    <w:p>
      <w:pPr>
        <w:spacing w:after="0" w:line="223" w:lineRule="exact"/>
        <w:rPr>
          <w:sz w:val="20"/>
          <w:szCs w:val="20"/>
          <w:color w:val="auto"/>
        </w:rPr>
      </w:pPr>
    </w:p>
    <w:p>
      <w:pPr>
        <w:ind w:left="564" w:hanging="564"/>
        <w:spacing w:after="0"/>
        <w:tabs>
          <w:tab w:leader="none" w:pos="564" w:val="left"/>
        </w:tabs>
        <w:numPr>
          <w:ilvl w:val="0"/>
          <w:numId w:val="37"/>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30" w:name="page31"/>
    <w:bookmarkEnd w:id="30"/>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07" w:lineRule="exact"/>
        <w:rPr>
          <w:sz w:val="20"/>
          <w:szCs w:val="20"/>
          <w:color w:val="auto"/>
        </w:rPr>
      </w:pPr>
    </w:p>
    <w:p>
      <w:pPr>
        <w:ind w:left="4" w:right="820"/>
        <w:spacing w:after="0" w:line="338" w:lineRule="auto"/>
        <w:rPr>
          <w:sz w:val="20"/>
          <w:szCs w:val="20"/>
          <w:color w:val="auto"/>
        </w:rPr>
      </w:pPr>
      <w:r>
        <w:rPr>
          <w:rFonts w:ascii="Arial" w:cs="Arial" w:eastAsia="Arial" w:hAnsi="Arial"/>
          <w:sz w:val="19"/>
          <w:szCs w:val="19"/>
          <w:color w:val="333740"/>
        </w:rPr>
        <w:t>The annual quantity of emissions from the purchase of electricity, heat, steam, or cooling by the Company is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6510655</wp:posOffset>
            </wp:positionH>
            <wp:positionV relativeFrom="paragraph">
              <wp:posOffset>68580</wp:posOffset>
            </wp:positionV>
            <wp:extent cx="7620" cy="2425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20" cy="242570"/>
                    </a:xfrm>
                    <a:prstGeom prst="rect">
                      <a:avLst/>
                    </a:prstGeom>
                    <a:noFill/>
                  </pic:spPr>
                </pic:pic>
              </a:graphicData>
            </a:graphic>
          </wp:anchor>
        </w:drawing>
        <w:drawing>
          <wp:anchor simplePos="0" relativeHeight="251657728" behindDoc="1" locked="0" layoutInCell="0" allowOverlap="1">
            <wp:simplePos x="0" y="0"/>
            <wp:positionH relativeFrom="column">
              <wp:posOffset>5865495</wp:posOffset>
            </wp:positionH>
            <wp:positionV relativeFrom="paragraph">
              <wp:posOffset>68580</wp:posOffset>
            </wp:positionV>
            <wp:extent cx="7620" cy="2425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20" cy="242570"/>
                    </a:xfrm>
                    <a:prstGeom prst="rect">
                      <a:avLst/>
                    </a:prstGeom>
                    <a:noFill/>
                  </pic:spPr>
                </pic:pic>
              </a:graphicData>
            </a:graphic>
          </wp:anchor>
        </w:drawing>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9240" w:type="dxa"/>
            <w:vAlign w:val="bottom"/>
            <w:shd w:val="clear" w:color="auto" w:fill="481F6E"/>
          </w:tcPr>
          <w:p>
            <w:pPr>
              <w:ind w:left="20"/>
              <w:spacing w:after="0"/>
              <w:rPr>
                <w:sz w:val="20"/>
                <w:szCs w:val="20"/>
                <w:color w:val="auto"/>
              </w:rPr>
            </w:pPr>
            <w:r>
              <w:rPr>
                <w:rFonts w:ascii="Arial" w:cs="Arial" w:eastAsia="Arial" w:hAnsi="Arial"/>
                <w:sz w:val="14"/>
                <w:szCs w:val="14"/>
                <w:b w:val="1"/>
                <w:bCs w:val="1"/>
                <w:color w:val="FFFFFF"/>
              </w:rPr>
              <w:t>Total GHG Emissions from purchase of</w:t>
            </w:r>
          </w:p>
        </w:tc>
        <w:tc>
          <w:tcPr>
            <w:tcW w:w="1280" w:type="dxa"/>
            <w:vAlign w:val="bottom"/>
            <w:shd w:val="clear" w:color="auto" w:fill="481F6E"/>
          </w:tcPr>
          <w:p>
            <w:pPr>
              <w:jc w:val="right"/>
              <w:ind w:right="228"/>
              <w:spacing w:after="0"/>
              <w:rPr>
                <w:sz w:val="20"/>
                <w:szCs w:val="20"/>
                <w:color w:val="auto"/>
              </w:rPr>
            </w:pPr>
            <w:r>
              <w:rPr>
                <w:rFonts w:ascii="Arial" w:cs="Arial" w:eastAsia="Arial" w:hAnsi="Arial"/>
                <w:sz w:val="14"/>
                <w:szCs w:val="14"/>
                <w:b w:val="1"/>
                <w:bCs w:val="1"/>
                <w:color w:val="FFFFFF"/>
              </w:rPr>
              <w:t>2018</w:t>
            </w:r>
          </w:p>
        </w:tc>
        <w:tc>
          <w:tcPr>
            <w:tcW w:w="740" w:type="dxa"/>
            <w:vAlign w:val="bottom"/>
            <w:shd w:val="clear" w:color="auto" w:fill="481F6E"/>
          </w:tcPr>
          <w:p>
            <w:pPr>
              <w:jc w:val="right"/>
              <w:spacing w:after="0"/>
              <w:rPr>
                <w:sz w:val="20"/>
                <w:szCs w:val="20"/>
                <w:color w:val="auto"/>
              </w:rPr>
            </w:pPr>
            <w:r>
              <w:rPr>
                <w:rFonts w:ascii="Arial" w:cs="Arial" w:eastAsia="Arial" w:hAnsi="Arial"/>
                <w:sz w:val="14"/>
                <w:szCs w:val="14"/>
                <w:b w:val="1"/>
                <w:bCs w:val="1"/>
                <w:color w:val="FFFFFF"/>
              </w:rPr>
              <w:t>2019</w:t>
            </w:r>
          </w:p>
        </w:tc>
      </w:tr>
      <w:tr>
        <w:trPr>
          <w:trHeight w:val="167"/>
        </w:trPr>
        <w:tc>
          <w:tcPr>
            <w:tcW w:w="9240" w:type="dxa"/>
            <w:vAlign w:val="bottom"/>
            <w:shd w:val="clear" w:color="auto" w:fill="481F6E"/>
          </w:tcPr>
          <w:p>
            <w:pPr>
              <w:ind w:left="20"/>
              <w:spacing w:after="0"/>
              <w:rPr>
                <w:sz w:val="20"/>
                <w:szCs w:val="20"/>
                <w:color w:val="auto"/>
              </w:rPr>
            </w:pPr>
            <w:r>
              <w:rPr>
                <w:rFonts w:ascii="Arial" w:cs="Arial" w:eastAsia="Arial" w:hAnsi="Arial"/>
                <w:sz w:val="14"/>
                <w:szCs w:val="14"/>
                <w:b w:val="1"/>
                <w:bCs w:val="1"/>
                <w:color w:val="FFFFFF"/>
              </w:rPr>
              <w:t>(in metric tons CO</w:t>
            </w:r>
            <w:r>
              <w:rPr>
                <w:rFonts w:ascii="Arial" w:cs="Arial" w:eastAsia="Arial" w:hAnsi="Arial"/>
                <w:sz w:val="7"/>
                <w:szCs w:val="7"/>
                <w:b w:val="1"/>
                <w:bCs w:val="1"/>
                <w:color w:val="FFFFFF"/>
              </w:rPr>
              <w:t>2</w:t>
            </w:r>
            <w:r>
              <w:rPr>
                <w:rFonts w:ascii="Arial" w:cs="Arial" w:eastAsia="Arial" w:hAnsi="Arial"/>
                <w:sz w:val="14"/>
                <w:szCs w:val="14"/>
                <w:b w:val="1"/>
                <w:bCs w:val="1"/>
                <w:color w:val="FFFFFF"/>
              </w:rPr>
              <w:t xml:space="preserve"> equivalent)</w:t>
            </w:r>
          </w:p>
        </w:tc>
        <w:tc>
          <w:tcPr>
            <w:tcW w:w="1280" w:type="dxa"/>
            <w:vAlign w:val="bottom"/>
            <w:shd w:val="clear" w:color="auto" w:fill="481F6E"/>
          </w:tcPr>
          <w:p>
            <w:pPr>
              <w:spacing w:after="0"/>
              <w:rPr>
                <w:sz w:val="14"/>
                <w:szCs w:val="14"/>
                <w:color w:val="auto"/>
              </w:rPr>
            </w:pPr>
          </w:p>
        </w:tc>
        <w:tc>
          <w:tcPr>
            <w:tcW w:w="740" w:type="dxa"/>
            <w:vAlign w:val="bottom"/>
            <w:shd w:val="clear" w:color="auto" w:fill="481F6E"/>
          </w:tcPr>
          <w:p>
            <w:pPr>
              <w:spacing w:after="0"/>
              <w:rPr>
                <w:sz w:val="14"/>
                <w:szCs w:val="14"/>
                <w:color w:val="auto"/>
              </w:rPr>
            </w:pPr>
          </w:p>
        </w:tc>
      </w:tr>
      <w:tr>
        <w:trPr>
          <w:trHeight w:val="267"/>
        </w:trPr>
        <w:tc>
          <w:tcPr>
            <w:tcW w:w="924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Electricity</w:t>
            </w:r>
          </w:p>
        </w:tc>
        <w:tc>
          <w:tcPr>
            <w:tcW w:w="1280" w:type="dxa"/>
            <w:vAlign w:val="bottom"/>
            <w:tcBorders>
              <w:bottom w:val="single" w:sz="8" w:color="D7D8D6"/>
            </w:tcBorders>
          </w:tcPr>
          <w:p>
            <w:pPr>
              <w:jc w:val="right"/>
              <w:ind w:right="228"/>
              <w:spacing w:after="0"/>
              <w:rPr>
                <w:sz w:val="20"/>
                <w:szCs w:val="20"/>
                <w:color w:val="auto"/>
              </w:rPr>
            </w:pPr>
            <w:r>
              <w:rPr>
                <w:rFonts w:ascii="Arial" w:cs="Arial" w:eastAsia="Arial" w:hAnsi="Arial"/>
                <w:sz w:val="14"/>
                <w:szCs w:val="14"/>
                <w:color w:val="333740"/>
              </w:rPr>
              <w:t>69,304</w:t>
            </w:r>
          </w:p>
        </w:tc>
        <w:tc>
          <w:tcPr>
            <w:tcW w:w="74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53,725</w:t>
            </w:r>
          </w:p>
        </w:tc>
      </w:tr>
      <w:tr>
        <w:trPr>
          <w:trHeight w:val="257"/>
        </w:trPr>
        <w:tc>
          <w:tcPr>
            <w:tcW w:w="9240" w:type="dxa"/>
            <w:vAlign w:val="bottom"/>
          </w:tcPr>
          <w:p>
            <w:pPr>
              <w:ind w:left="20"/>
              <w:spacing w:after="0"/>
              <w:rPr>
                <w:sz w:val="20"/>
                <w:szCs w:val="20"/>
                <w:color w:val="auto"/>
              </w:rPr>
            </w:pPr>
            <w:r>
              <w:rPr>
                <w:rFonts w:ascii="Arial" w:cs="Arial" w:eastAsia="Arial" w:hAnsi="Arial"/>
                <w:sz w:val="14"/>
                <w:szCs w:val="14"/>
                <w:color w:val="333740"/>
              </w:rPr>
              <w:t>Heat</w:t>
            </w:r>
          </w:p>
        </w:tc>
        <w:tc>
          <w:tcPr>
            <w:tcW w:w="1280" w:type="dxa"/>
            <w:vAlign w:val="bottom"/>
          </w:tcPr>
          <w:p>
            <w:pPr>
              <w:jc w:val="right"/>
              <w:ind w:right="228"/>
              <w:spacing w:after="0"/>
              <w:rPr>
                <w:sz w:val="20"/>
                <w:szCs w:val="20"/>
                <w:color w:val="auto"/>
              </w:rPr>
            </w:pPr>
            <w:r>
              <w:rPr>
                <w:rFonts w:ascii="Arial" w:cs="Arial" w:eastAsia="Arial" w:hAnsi="Arial"/>
                <w:sz w:val="14"/>
                <w:szCs w:val="14"/>
                <w:color w:val="333740"/>
              </w:rPr>
              <w:t>87</w:t>
            </w:r>
          </w:p>
        </w:tc>
        <w:tc>
          <w:tcPr>
            <w:tcW w:w="740" w:type="dxa"/>
            <w:vAlign w:val="bottom"/>
          </w:tcPr>
          <w:p>
            <w:pPr>
              <w:jc w:val="right"/>
              <w:spacing w:after="0"/>
              <w:rPr>
                <w:sz w:val="20"/>
                <w:szCs w:val="20"/>
                <w:color w:val="auto"/>
              </w:rPr>
            </w:pPr>
            <w:r>
              <w:rPr>
                <w:rFonts w:ascii="Arial" w:cs="Arial" w:eastAsia="Arial" w:hAnsi="Arial"/>
                <w:sz w:val="14"/>
                <w:szCs w:val="14"/>
                <w:color w:val="333740"/>
              </w:rPr>
              <w:t>0</w:t>
            </w:r>
          </w:p>
        </w:tc>
      </w:tr>
      <w:tr>
        <w:trPr>
          <w:trHeight w:val="30"/>
        </w:trPr>
        <w:tc>
          <w:tcPr>
            <w:tcW w:w="9240" w:type="dxa"/>
            <w:vAlign w:val="bottom"/>
            <w:tcBorders>
              <w:bottom w:val="single" w:sz="8" w:color="D7D8D6"/>
            </w:tcBorders>
          </w:tcPr>
          <w:p>
            <w:pPr>
              <w:spacing w:after="0"/>
              <w:rPr>
                <w:sz w:val="2"/>
                <w:szCs w:val="2"/>
                <w:color w:val="auto"/>
              </w:rPr>
            </w:pPr>
          </w:p>
        </w:tc>
        <w:tc>
          <w:tcPr>
            <w:tcW w:w="1280" w:type="dxa"/>
            <w:vAlign w:val="bottom"/>
            <w:tcBorders>
              <w:bottom w:val="single" w:sz="8" w:color="D7D8D6"/>
            </w:tcBorders>
          </w:tcPr>
          <w:p>
            <w:pPr>
              <w:spacing w:after="0"/>
              <w:rPr>
                <w:sz w:val="2"/>
                <w:szCs w:val="2"/>
                <w:color w:val="auto"/>
              </w:rPr>
            </w:pPr>
          </w:p>
        </w:tc>
        <w:tc>
          <w:tcPr>
            <w:tcW w:w="740" w:type="dxa"/>
            <w:vAlign w:val="bottom"/>
            <w:tcBorders>
              <w:bottom w:val="single" w:sz="8" w:color="D7D8D6"/>
            </w:tcBorders>
          </w:tcPr>
          <w:p>
            <w:pPr>
              <w:spacing w:after="0"/>
              <w:rPr>
                <w:sz w:val="2"/>
                <w:szCs w:val="2"/>
                <w:color w:val="auto"/>
              </w:rPr>
            </w:pPr>
          </w:p>
        </w:tc>
      </w:tr>
      <w:tr>
        <w:trPr>
          <w:trHeight w:val="259"/>
        </w:trPr>
        <w:tc>
          <w:tcPr>
            <w:tcW w:w="924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Steam</w:t>
            </w:r>
          </w:p>
        </w:tc>
        <w:tc>
          <w:tcPr>
            <w:tcW w:w="1280" w:type="dxa"/>
            <w:vAlign w:val="bottom"/>
            <w:tcBorders>
              <w:bottom w:val="single" w:sz="8" w:color="D7D8D6"/>
            </w:tcBorders>
          </w:tcPr>
          <w:p>
            <w:pPr>
              <w:jc w:val="right"/>
              <w:ind w:right="208"/>
              <w:spacing w:after="0"/>
              <w:rPr>
                <w:sz w:val="20"/>
                <w:szCs w:val="20"/>
                <w:color w:val="auto"/>
              </w:rPr>
            </w:pPr>
            <w:r>
              <w:rPr>
                <w:rFonts w:ascii="Arial" w:cs="Arial" w:eastAsia="Arial" w:hAnsi="Arial"/>
                <w:sz w:val="14"/>
                <w:szCs w:val="14"/>
                <w:color w:val="333740"/>
              </w:rPr>
              <w:t>0</w:t>
            </w:r>
          </w:p>
        </w:tc>
        <w:tc>
          <w:tcPr>
            <w:tcW w:w="74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0</w:t>
            </w:r>
          </w:p>
        </w:tc>
      </w:tr>
      <w:tr>
        <w:trPr>
          <w:trHeight w:val="267"/>
        </w:trPr>
        <w:tc>
          <w:tcPr>
            <w:tcW w:w="924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Cooling</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333740"/>
              </w:rPr>
              <w:t>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333740"/>
              </w:rPr>
              <w:t>113</w:t>
            </w:r>
          </w:p>
        </w:tc>
      </w:tr>
      <w:tr>
        <w:trPr>
          <w:trHeight w:val="267"/>
        </w:trPr>
        <w:tc>
          <w:tcPr>
            <w:tcW w:w="924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Total Emissions</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333740"/>
              </w:rPr>
              <w:t>69,411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333740"/>
              </w:rPr>
              <w:t>53,838</w:t>
            </w:r>
          </w:p>
        </w:tc>
      </w:tr>
    </w:tbl>
    <w:p>
      <w:pPr>
        <w:spacing w:after="0" w:line="341"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333740"/>
        </w:rPr>
        <w:t>GHG Emissions Intensity</w:t>
      </w:r>
    </w:p>
    <w:p>
      <w:pPr>
        <w:spacing w:after="0" w:line="45" w:lineRule="exact"/>
        <w:rPr>
          <w:sz w:val="20"/>
          <w:szCs w:val="20"/>
          <w:color w:val="auto"/>
        </w:rPr>
      </w:pPr>
    </w:p>
    <w:p>
      <w:pPr>
        <w:ind w:left="4" w:right="280"/>
        <w:spacing w:after="0"/>
        <w:rPr>
          <w:sz w:val="20"/>
          <w:szCs w:val="20"/>
          <w:color w:val="auto"/>
        </w:rPr>
      </w:pPr>
      <w:r>
        <w:rPr>
          <w:rFonts w:ascii="Arial" w:cs="Arial" w:eastAsia="Arial" w:hAnsi="Arial"/>
          <w:sz w:val="19"/>
          <w:szCs w:val="19"/>
          <w:color w:val="333740"/>
        </w:rPr>
        <w:t>The Company’s GHG emissions’ intensity factor is calculated using both direct and indirect emissions (Scope 1 and Scope 2 emissions) as a numerator and the environmental hours worked (corresponding to sites that contributed to environmental data reporting)</w:t>
      </w:r>
      <w:r>
        <w:rPr>
          <w:rFonts w:ascii="Arial" w:cs="Arial" w:eastAsia="Arial" w:hAnsi="Arial"/>
          <w:sz w:val="7"/>
          <w:szCs w:val="7"/>
          <w:color w:val="333740"/>
        </w:rPr>
        <w:t>1</w:t>
      </w:r>
      <w:r>
        <w:rPr>
          <w:rFonts w:ascii="Arial" w:cs="Arial" w:eastAsia="Arial" w:hAnsi="Arial"/>
          <w:sz w:val="19"/>
          <w:szCs w:val="19"/>
          <w:color w:val="333740"/>
        </w:rPr>
        <w:t xml:space="preserve"> as a denominator. Hours worked has been acknowledged as being the information that is the most representative of the Company’s overall activity and is frequently used in HSE standards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6510655</wp:posOffset>
            </wp:positionH>
            <wp:positionV relativeFrom="paragraph">
              <wp:posOffset>131445</wp:posOffset>
            </wp:positionV>
            <wp:extent cx="7620" cy="2349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20" cy="234950"/>
                    </a:xfrm>
                    <a:prstGeom prst="rect">
                      <a:avLst/>
                    </a:prstGeom>
                    <a:noFill/>
                  </pic:spPr>
                </pic:pic>
              </a:graphicData>
            </a:graphic>
          </wp:anchor>
        </w:drawing>
        <w:drawing>
          <wp:anchor simplePos="0" relativeHeight="251657728" behindDoc="1" locked="0" layoutInCell="0" allowOverlap="1">
            <wp:simplePos x="0" y="0"/>
            <wp:positionH relativeFrom="column">
              <wp:posOffset>5865495</wp:posOffset>
            </wp:positionH>
            <wp:positionV relativeFrom="paragraph">
              <wp:posOffset>131445</wp:posOffset>
            </wp:positionV>
            <wp:extent cx="7620" cy="2349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20" cy="234950"/>
                    </a:xfrm>
                    <a:prstGeom prst="rect">
                      <a:avLst/>
                    </a:prstGeom>
                    <a:noFill/>
                  </pic:spPr>
                </pic:pic>
              </a:graphicData>
            </a:graphic>
          </wp:anchor>
        </w:drawing>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97"/>
        </w:trPr>
        <w:tc>
          <w:tcPr>
            <w:tcW w:w="6120" w:type="dxa"/>
            <w:vAlign w:val="bottom"/>
            <w:shd w:val="clear" w:color="auto" w:fill="481F6E"/>
          </w:tcPr>
          <w:p>
            <w:pPr>
              <w:ind w:left="20"/>
              <w:spacing w:after="0"/>
              <w:rPr>
                <w:sz w:val="20"/>
                <w:szCs w:val="20"/>
                <w:color w:val="auto"/>
              </w:rPr>
            </w:pPr>
            <w:r>
              <w:rPr>
                <w:rFonts w:ascii="Arial" w:cs="Arial" w:eastAsia="Arial" w:hAnsi="Arial"/>
                <w:sz w:val="14"/>
                <w:szCs w:val="14"/>
                <w:b w:val="1"/>
                <w:bCs w:val="1"/>
                <w:color w:val="FFFFFF"/>
              </w:rPr>
              <w:t>(in kg eq. CO</w:t>
            </w:r>
            <w:r>
              <w:rPr>
                <w:rFonts w:ascii="Arial" w:cs="Arial" w:eastAsia="Arial" w:hAnsi="Arial"/>
                <w:sz w:val="7"/>
                <w:szCs w:val="7"/>
                <w:b w:val="1"/>
                <w:bCs w:val="1"/>
                <w:color w:val="FFFFFF"/>
              </w:rPr>
              <w:t>2</w:t>
            </w:r>
            <w:r>
              <w:rPr>
                <w:rFonts w:ascii="Arial" w:cs="Arial" w:eastAsia="Arial" w:hAnsi="Arial"/>
                <w:sz w:val="14"/>
                <w:szCs w:val="14"/>
                <w:b w:val="1"/>
                <w:bCs w:val="1"/>
                <w:color w:val="FFFFFF"/>
              </w:rPr>
              <w:t>/hours worked)</w:t>
            </w:r>
          </w:p>
        </w:tc>
        <w:tc>
          <w:tcPr>
            <w:tcW w:w="4440" w:type="dxa"/>
            <w:vAlign w:val="bottom"/>
            <w:shd w:val="clear" w:color="auto" w:fill="481F6E"/>
          </w:tcPr>
          <w:p>
            <w:pPr>
              <w:jc w:val="right"/>
              <w:ind w:right="268"/>
              <w:spacing w:after="0"/>
              <w:rPr>
                <w:sz w:val="20"/>
                <w:szCs w:val="20"/>
                <w:color w:val="auto"/>
              </w:rPr>
            </w:pPr>
            <w:r>
              <w:rPr>
                <w:rFonts w:ascii="Arial" w:cs="Arial" w:eastAsia="Arial" w:hAnsi="Arial"/>
                <w:sz w:val="14"/>
                <w:szCs w:val="14"/>
                <w:color w:val="FFFFFF"/>
              </w:rPr>
              <w:t>2018</w:t>
            </w:r>
          </w:p>
        </w:tc>
        <w:tc>
          <w:tcPr>
            <w:tcW w:w="700" w:type="dxa"/>
            <w:vAlign w:val="bottom"/>
            <w:shd w:val="clear" w:color="auto" w:fill="481F6E"/>
          </w:tcPr>
          <w:p>
            <w:pPr>
              <w:jc w:val="right"/>
              <w:spacing w:after="0"/>
              <w:rPr>
                <w:sz w:val="20"/>
                <w:szCs w:val="20"/>
                <w:color w:val="auto"/>
              </w:rPr>
            </w:pPr>
            <w:r>
              <w:rPr>
                <w:rFonts w:ascii="Arial" w:cs="Arial" w:eastAsia="Arial" w:hAnsi="Arial"/>
                <w:sz w:val="14"/>
                <w:szCs w:val="14"/>
                <w:color w:val="FFFFFF"/>
              </w:rPr>
              <w:t>2019</w:t>
            </w:r>
          </w:p>
        </w:tc>
      </w:tr>
      <w:tr>
        <w:trPr>
          <w:trHeight w:val="73"/>
        </w:trPr>
        <w:tc>
          <w:tcPr>
            <w:tcW w:w="6120" w:type="dxa"/>
            <w:vAlign w:val="bottom"/>
            <w:shd w:val="clear" w:color="auto" w:fill="481F6E"/>
          </w:tcPr>
          <w:p>
            <w:pPr>
              <w:spacing w:after="0"/>
              <w:rPr>
                <w:sz w:val="6"/>
                <w:szCs w:val="6"/>
                <w:color w:val="auto"/>
              </w:rPr>
            </w:pPr>
          </w:p>
        </w:tc>
        <w:tc>
          <w:tcPr>
            <w:tcW w:w="4440" w:type="dxa"/>
            <w:vAlign w:val="bottom"/>
            <w:shd w:val="clear" w:color="auto" w:fill="481F6E"/>
          </w:tcPr>
          <w:p>
            <w:pPr>
              <w:spacing w:after="0"/>
              <w:rPr>
                <w:sz w:val="6"/>
                <w:szCs w:val="6"/>
                <w:color w:val="auto"/>
              </w:rPr>
            </w:pPr>
          </w:p>
        </w:tc>
        <w:tc>
          <w:tcPr>
            <w:tcW w:w="700" w:type="dxa"/>
            <w:vAlign w:val="bottom"/>
            <w:shd w:val="clear" w:color="auto" w:fill="481F6E"/>
          </w:tcPr>
          <w:p>
            <w:pPr>
              <w:spacing w:after="0"/>
              <w:rPr>
                <w:sz w:val="6"/>
                <w:szCs w:val="6"/>
                <w:color w:val="auto"/>
              </w:rPr>
            </w:pPr>
          </w:p>
        </w:tc>
      </w:tr>
      <w:tr>
        <w:trPr>
          <w:trHeight w:val="267"/>
        </w:trPr>
        <w:tc>
          <w:tcPr>
            <w:tcW w:w="612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Total GHG Emissions Intensity</w:t>
            </w:r>
          </w:p>
        </w:tc>
        <w:tc>
          <w:tcPr>
            <w:tcW w:w="4440" w:type="dxa"/>
            <w:vAlign w:val="bottom"/>
            <w:tcBorders>
              <w:bottom w:val="single" w:sz="8" w:color="D7D8D6"/>
            </w:tcBorders>
          </w:tcPr>
          <w:p>
            <w:pPr>
              <w:jc w:val="right"/>
              <w:ind w:right="268"/>
              <w:spacing w:after="0"/>
              <w:rPr>
                <w:sz w:val="20"/>
                <w:szCs w:val="20"/>
                <w:color w:val="auto"/>
              </w:rPr>
            </w:pPr>
            <w:r>
              <w:rPr>
                <w:rFonts w:ascii="Arial" w:cs="Arial" w:eastAsia="Arial" w:hAnsi="Arial"/>
                <w:sz w:val="14"/>
                <w:szCs w:val="14"/>
                <w:color w:val="333740"/>
              </w:rPr>
              <w:t>4.07</w:t>
            </w:r>
          </w:p>
        </w:tc>
        <w:tc>
          <w:tcPr>
            <w:tcW w:w="70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2.99</w:t>
            </w:r>
          </w:p>
        </w:tc>
      </w:tr>
    </w:tbl>
    <w:p>
      <w:pPr>
        <w:spacing w:after="0" w:line="341"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333740"/>
        </w:rPr>
        <w:t>Methodology</w:t>
      </w:r>
    </w:p>
    <w:p>
      <w:pPr>
        <w:spacing w:after="0" w:line="21" w:lineRule="exact"/>
        <w:rPr>
          <w:sz w:val="20"/>
          <w:szCs w:val="20"/>
          <w:color w:val="auto"/>
        </w:rPr>
      </w:pPr>
    </w:p>
    <w:p>
      <w:pPr>
        <w:ind w:left="4" w:right="280"/>
        <w:spacing w:after="0"/>
        <w:rPr>
          <w:sz w:val="20"/>
          <w:szCs w:val="20"/>
          <w:color w:val="auto"/>
        </w:rPr>
      </w:pPr>
      <w:r>
        <w:rPr>
          <w:rFonts w:ascii="Arial" w:cs="Arial" w:eastAsia="Arial" w:hAnsi="Arial"/>
          <w:sz w:val="19"/>
          <w:szCs w:val="19"/>
          <w:color w:val="333740"/>
        </w:rPr>
        <w:t>Environmental data is collected through our HSE reporting system, Synergi, a global, integrated software solution. Each of the Company’s reporting entities is required to consolidate and record its environmental data in Synergi on a monthly basis. This data reflects the environmental performance of entities involved in the offices, construction sites, yards and spoolbases, manufacturing, and fleet operations when we own or manage the site in question and when we are responsible for managing the work.</w:t>
      </w:r>
    </w:p>
    <w:p>
      <w:pPr>
        <w:spacing w:after="0" w:line="202" w:lineRule="exact"/>
        <w:rPr>
          <w:sz w:val="20"/>
          <w:szCs w:val="20"/>
          <w:color w:val="auto"/>
        </w:rPr>
      </w:pPr>
    </w:p>
    <w:p>
      <w:pPr>
        <w:ind w:left="4" w:right="180"/>
        <w:spacing w:after="0" w:line="239" w:lineRule="auto"/>
        <w:rPr>
          <w:sz w:val="20"/>
          <w:szCs w:val="20"/>
          <w:color w:val="auto"/>
        </w:rPr>
      </w:pPr>
      <w:r>
        <w:rPr>
          <w:rFonts w:ascii="Arial" w:cs="Arial" w:eastAsia="Arial" w:hAnsi="Arial"/>
          <w:sz w:val="19"/>
          <w:szCs w:val="19"/>
          <w:color w:val="333740"/>
        </w:rPr>
        <w:t xml:space="preserve">Environmental data is aggregated for the analysis in Asset and Projects categories: industrial sites, fleet, and offices are consolidated as </w:t>
      </w:r>
      <w:r>
        <w:rPr>
          <w:rFonts w:ascii="Arial" w:cs="Arial" w:eastAsia="Arial" w:hAnsi="Arial"/>
          <w:sz w:val="19"/>
          <w:szCs w:val="19"/>
          <w:i w:val="1"/>
          <w:iCs w:val="1"/>
          <w:color w:val="333740"/>
        </w:rPr>
        <w:t>Our Assets</w:t>
      </w:r>
      <w:r>
        <w:rPr>
          <w:rFonts w:ascii="Arial" w:cs="Arial" w:eastAsia="Arial" w:hAnsi="Arial"/>
          <w:sz w:val="19"/>
          <w:szCs w:val="19"/>
          <w:color w:val="333740"/>
        </w:rPr>
        <w:t xml:space="preserve"> since these three categories represent TechnipFMC’s permanent sites (owned or leased) under full operational control, while the EPC Construction sites and Yards/Bases are not all owned sites but are all under the operational control and responsibility of the Company for short- to medium-term periods (less than five years of activities). These definitions are set out in the Company’s guidelines on environmental reporting and are in line with our HSE principles and standards.</w:t>
      </w:r>
    </w:p>
    <w:p>
      <w:pPr>
        <w:spacing w:after="0" w:line="83" w:lineRule="exact"/>
        <w:rPr>
          <w:sz w:val="20"/>
          <w:szCs w:val="20"/>
          <w:color w:val="auto"/>
        </w:rPr>
      </w:pPr>
    </w:p>
    <w:p>
      <w:pPr>
        <w:ind w:left="4" w:right="800"/>
        <w:spacing w:after="0" w:line="247" w:lineRule="auto"/>
        <w:rPr>
          <w:sz w:val="20"/>
          <w:szCs w:val="20"/>
          <w:color w:val="auto"/>
        </w:rPr>
      </w:pPr>
      <w:r>
        <w:rPr>
          <w:rFonts w:ascii="Arial" w:cs="Arial" w:eastAsia="Arial" w:hAnsi="Arial"/>
          <w:sz w:val="19"/>
          <w:szCs w:val="19"/>
          <w:color w:val="333740"/>
        </w:rPr>
        <w:t>The reporting period is the 2019 calendar year. Figures for environmental indicators have been extracted from the Company reporting tool for the period from January 1, 2019 to December 31, 2019.</w:t>
      </w:r>
    </w:p>
    <w:p>
      <w:pPr>
        <w:spacing w:after="0" w:line="76" w:lineRule="exact"/>
        <w:rPr>
          <w:sz w:val="20"/>
          <w:szCs w:val="20"/>
          <w:color w:val="auto"/>
        </w:rPr>
      </w:pPr>
    </w:p>
    <w:p>
      <w:pPr>
        <w:ind w:left="4" w:right="60"/>
        <w:spacing w:after="0"/>
        <w:rPr>
          <w:sz w:val="20"/>
          <w:szCs w:val="20"/>
          <w:color w:val="auto"/>
        </w:rPr>
      </w:pPr>
      <w:r>
        <w:rPr>
          <w:rFonts w:ascii="Arial" w:cs="Arial" w:eastAsia="Arial" w:hAnsi="Arial"/>
          <w:sz w:val="19"/>
          <w:szCs w:val="19"/>
          <w:color w:val="333740"/>
        </w:rPr>
        <w:t>To calculate Scope 1 and Scope 2 GHG emissions, energy data registered by sites for electricity consumption and fuel consumption are converted using emission factors from the IPCC Guidelines for National Greenhouse Gas Inventories, 2006, and from CAIT v8.0, 2011. Emission factors are different depending on the type of fuel, method of generating electricity, and country. They are then integrated into the reporting tool that calculates the resulting CO</w:t>
      </w:r>
      <w:r>
        <w:rPr>
          <w:rFonts w:ascii="Arial" w:cs="Arial" w:eastAsia="Arial" w:hAnsi="Arial"/>
          <w:sz w:val="7"/>
          <w:szCs w:val="7"/>
          <w:color w:val="333740"/>
        </w:rPr>
        <w:t>2</w:t>
      </w:r>
      <w:r>
        <w:rPr>
          <w:rFonts w:ascii="Arial" w:cs="Arial" w:eastAsia="Arial" w:hAnsi="Arial"/>
          <w:sz w:val="19"/>
          <w:szCs w:val="19"/>
          <w:color w:val="333740"/>
        </w:rPr>
        <w:t xml:space="preserve">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1310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105" cy="7620"/>
                    </a:xfrm>
                    <a:prstGeom prst="rect">
                      <a:avLst/>
                    </a:prstGeom>
                    <a:noFill/>
                  </pic:spPr>
                </pic:pic>
              </a:graphicData>
            </a:graphic>
          </wp:anchor>
        </w:drawing>
      </w:r>
    </w:p>
    <w:p>
      <w:pPr>
        <w:spacing w:after="0" w:line="230" w:lineRule="exact"/>
        <w:rPr>
          <w:sz w:val="20"/>
          <w:szCs w:val="20"/>
          <w:color w:val="auto"/>
        </w:rPr>
      </w:pPr>
    </w:p>
    <w:p>
      <w:pPr>
        <w:ind w:left="144" w:right="20" w:hanging="144"/>
        <w:spacing w:after="0" w:line="239" w:lineRule="auto"/>
        <w:tabs>
          <w:tab w:leader="none" w:pos="144" w:val="left"/>
        </w:tabs>
        <w:numPr>
          <w:ilvl w:val="0"/>
          <w:numId w:val="38"/>
        </w:numPr>
        <w:rPr>
          <w:rFonts w:ascii="Arial" w:cs="Arial" w:eastAsia="Arial" w:hAnsi="Arial"/>
          <w:sz w:val="11"/>
          <w:szCs w:val="11"/>
          <w:color w:val="333740"/>
        </w:rPr>
      </w:pPr>
      <w:r>
        <w:rPr>
          <w:rFonts w:ascii="Arial" w:cs="Arial" w:eastAsia="Arial" w:hAnsi="Arial"/>
          <w:sz w:val="11"/>
          <w:szCs w:val="11"/>
          <w:color w:val="333740"/>
        </w:rPr>
        <w:t>Environmental Coverage is defined as the ratio between Environmental Worked Hours in locations reporting environmental data and HSE worked hours in all Company locations. Environmental Coverage in 2019 was 93.8%, which was stable compared to 93.6% in 2018. In 2019, approximately 234 locations, projects, and vessels reported environmental data compared to 213 locations, projects, and vessels in 2018.</w:t>
      </w:r>
    </w:p>
    <w:p>
      <w:pPr>
        <w:spacing w:after="0" w:line="367" w:lineRule="exact"/>
        <w:rPr>
          <w:sz w:val="20"/>
          <w:szCs w:val="20"/>
          <w:color w:val="auto"/>
        </w:rPr>
      </w:pPr>
    </w:p>
    <w:p>
      <w:pPr>
        <w:ind w:left="564" w:hanging="564"/>
        <w:spacing w:after="0"/>
        <w:tabs>
          <w:tab w:leader="none" w:pos="564" w:val="left"/>
        </w:tabs>
        <w:numPr>
          <w:ilvl w:val="0"/>
          <w:numId w:val="39"/>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31" w:name="page32"/>
    <w:bookmarkEnd w:id="31"/>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4819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73"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333740"/>
        </w:rPr>
        <w:t>Provide the carbon footprint to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4894580</wp:posOffset>
            </wp:positionH>
            <wp:positionV relativeFrom="paragraph">
              <wp:posOffset>-78740</wp:posOffset>
            </wp:positionV>
            <wp:extent cx="1654175" cy="781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54175" cy="781685"/>
                    </a:xfrm>
                    <a:prstGeom prst="rect">
                      <a:avLst/>
                    </a:prstGeom>
                    <a:noFill/>
                  </pic:spPr>
                </pic:pic>
              </a:graphicData>
            </a:graphic>
          </wp:anchor>
        </w:drawing>
      </w:r>
    </w:p>
    <w:p>
      <w:pPr>
        <w:spacing w:after="0" w:line="59" w:lineRule="exact"/>
        <w:rPr>
          <w:sz w:val="20"/>
          <w:szCs w:val="20"/>
          <w:color w:val="auto"/>
        </w:rPr>
      </w:pPr>
    </w:p>
    <w:p>
      <w:pPr>
        <w:ind w:left="4" w:right="3959"/>
        <w:spacing w:after="0" w:line="253" w:lineRule="auto"/>
        <w:rPr>
          <w:sz w:val="20"/>
          <w:szCs w:val="20"/>
          <w:color w:val="auto"/>
        </w:rPr>
      </w:pPr>
      <w:r>
        <w:rPr>
          <w:rFonts w:ascii="Arial" w:cs="Arial" w:eastAsia="Arial" w:hAnsi="Arial"/>
          <w:sz w:val="14"/>
          <w:szCs w:val="14"/>
          <w:color w:val="333740"/>
        </w:rPr>
        <w:t>Our second Respecting the Environment objective aims to provide the carbon footprint of all our deliverables to clients through conceptual studies to help introduce our clients to new, low-carbon options in early stages of projects and highlight the carbon footprint differences between concepts as early as possible. In 2019, carbon footprint calculation modules were developed and are under implementation in both Onshore/Offshore and Subsea conceptual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714819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333740"/>
        </w:rPr>
        <w:t>Internal carbon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4772660</wp:posOffset>
            </wp:positionH>
            <wp:positionV relativeFrom="paragraph">
              <wp:posOffset>-78740</wp:posOffset>
            </wp:positionV>
            <wp:extent cx="1896745" cy="675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96745" cy="675640"/>
                    </a:xfrm>
                    <a:prstGeom prst="rect">
                      <a:avLst/>
                    </a:prstGeom>
                    <a:noFill/>
                  </pic:spPr>
                </pic:pic>
              </a:graphicData>
            </a:graphic>
          </wp:anchor>
        </w:drawing>
      </w:r>
    </w:p>
    <w:p>
      <w:pPr>
        <w:spacing w:after="0" w:line="59" w:lineRule="exact"/>
        <w:rPr>
          <w:sz w:val="20"/>
          <w:szCs w:val="20"/>
          <w:color w:val="auto"/>
        </w:rPr>
      </w:pPr>
    </w:p>
    <w:p>
      <w:pPr>
        <w:ind w:left="4" w:right="3979"/>
        <w:spacing w:after="0" w:line="249" w:lineRule="auto"/>
        <w:rPr>
          <w:sz w:val="20"/>
          <w:szCs w:val="20"/>
          <w:color w:val="auto"/>
        </w:rPr>
      </w:pPr>
      <w:r>
        <w:rPr>
          <w:rFonts w:ascii="Arial" w:cs="Arial" w:eastAsia="Arial" w:hAnsi="Arial"/>
          <w:sz w:val="14"/>
          <w:szCs w:val="14"/>
          <w:color w:val="333740"/>
        </w:rPr>
        <w:t>Since 2019, TechnipFMC has been developing a mechanism to establish an internal carbon price for the Company, focused on our assets, which should be implemented as part of the future Company’s investment decisions for capital expenditures. We followed the highest international standards on this topic, and, in 2019, we formed a business integrated Internal Carbon Price Workgroup with the participation of our HSE, EWG, Strategy, Finance, and Sustainability experts. The purpose of the workgroup was to assess the potential impact of an internal carbon price on TechnipFMC’s capital expenditures. A case study was performed and several internal carbon price methodologies were applied. The case study emphasized the improvement of the Company’s cumulative cash flow, internal rate of return, and the reduction of the payback period, and valorized the most sustainable solutions in terms of carbon emissions reduction.</w:t>
      </w:r>
    </w:p>
    <w:p>
      <w:pPr>
        <w:spacing w:after="0" w:line="3" w:lineRule="exact"/>
        <w:rPr>
          <w:sz w:val="20"/>
          <w:szCs w:val="20"/>
          <w:color w:val="auto"/>
        </w:rPr>
      </w:pPr>
    </w:p>
    <w:p>
      <w:pPr>
        <w:ind w:left="4" w:right="4279"/>
        <w:spacing w:after="0" w:line="265" w:lineRule="auto"/>
        <w:rPr>
          <w:sz w:val="20"/>
          <w:szCs w:val="20"/>
          <w:color w:val="auto"/>
        </w:rPr>
      </w:pPr>
      <w:r>
        <w:rPr>
          <w:rFonts w:ascii="Arial" w:cs="Arial" w:eastAsia="Arial" w:hAnsi="Arial"/>
          <w:sz w:val="14"/>
          <w:szCs w:val="14"/>
          <w:color w:val="333740"/>
        </w:rPr>
        <w:t>As a result of the case study, we are further progressing the development of a global internal carbon price standard and guiding principles that will be implemented in the future.</w:t>
      </w:r>
    </w:p>
    <w:p>
      <w:pPr>
        <w:spacing w:after="0" w:line="340" w:lineRule="exact"/>
        <w:rPr>
          <w:sz w:val="20"/>
          <w:szCs w:val="20"/>
          <w:color w:val="auto"/>
        </w:rPr>
      </w:pPr>
    </w:p>
    <w:p>
      <w:pPr>
        <w:ind w:left="564" w:hanging="564"/>
        <w:spacing w:after="0"/>
        <w:tabs>
          <w:tab w:leader="none" w:pos="564" w:val="left"/>
        </w:tabs>
        <w:numPr>
          <w:ilvl w:val="0"/>
          <w:numId w:val="40"/>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4"/>
          </w:cols>
          <w:pgMar w:left="316" w:top="128" w:right="1440" w:bottom="1440" w:gutter="0" w:footer="0" w:header="0"/>
        </w:sectPr>
      </w:pPr>
    </w:p>
    <w:bookmarkStart w:id="32" w:name="page33"/>
    <w:bookmarkEnd w:id="32"/>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Environmental Certifications</w:t>
      </w:r>
    </w:p>
    <w:p>
      <w:pPr>
        <w:spacing w:after="0" w:line="211" w:lineRule="exact"/>
        <w:rPr>
          <w:sz w:val="20"/>
          <w:szCs w:val="20"/>
          <w:color w:val="auto"/>
        </w:rPr>
      </w:pPr>
    </w:p>
    <w:p>
      <w:pPr>
        <w:ind w:left="4" w:right="5100"/>
        <w:spacing w:after="0" w:line="273" w:lineRule="auto"/>
        <w:rPr>
          <w:sz w:val="20"/>
          <w:szCs w:val="20"/>
          <w:color w:val="auto"/>
        </w:rPr>
      </w:pPr>
      <w:r>
        <w:rPr>
          <w:rFonts w:ascii="Arial" w:cs="Arial" w:eastAsia="Arial" w:hAnsi="Arial"/>
          <w:sz w:val="14"/>
          <w:szCs w:val="14"/>
          <w:color w:val="333740"/>
        </w:rPr>
        <w:t>Despite operating in a complex industry, we are committed to successfully managing our environmental impacts by eﬀectively measuring our environmental performance. The Company is operated in a manner that minimizes the environmental impact of, and risks associated with, our activities through eﬀective environmental management standards that are implemented in an extended lifecycle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4970145</wp:posOffset>
            </wp:positionH>
            <wp:positionV relativeFrom="paragraph">
              <wp:posOffset>-558165</wp:posOffset>
            </wp:positionV>
            <wp:extent cx="1502410" cy="690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02410" cy="690245"/>
                    </a:xfrm>
                    <a:prstGeom prst="rect">
                      <a:avLst/>
                    </a:prstGeom>
                    <a:noFill/>
                  </pic:spPr>
                </pic:pic>
              </a:graphicData>
            </a:graphic>
          </wp:anchor>
        </w:drawing>
      </w:r>
    </w:p>
    <w:p>
      <w:pPr>
        <w:ind w:left="4" w:right="5040"/>
        <w:spacing w:after="0" w:line="266" w:lineRule="auto"/>
        <w:rPr>
          <w:sz w:val="20"/>
          <w:szCs w:val="20"/>
          <w:color w:val="auto"/>
        </w:rPr>
      </w:pPr>
      <w:r>
        <w:rPr>
          <w:rFonts w:ascii="Arial" w:cs="Arial" w:eastAsia="Arial" w:hAnsi="Arial"/>
          <w:sz w:val="14"/>
          <w:szCs w:val="14"/>
          <w:color w:val="333740"/>
        </w:rPr>
        <w:t>The Company maintains a policy of seeking to implement environmental certification ISO 14001 where practicable. To meet this commitment, TechnipFMC has implemented an environmental management framework. As of December 31, 2019, 64 entities have completed the transition to the new ISO 14001:2015 standard, including all head oﬃces and managed projects, industrial sites, and fleet. For each of these entities, the environmental management system was verified and certified by an independent third party.</w:t>
      </w:r>
    </w:p>
    <w:p>
      <w:pPr>
        <w:spacing w:after="0" w:line="200" w:lineRule="exact"/>
        <w:rPr>
          <w:sz w:val="20"/>
          <w:szCs w:val="20"/>
          <w:color w:val="auto"/>
        </w:rPr>
      </w:pPr>
    </w:p>
    <w:p>
      <w:pPr>
        <w:spacing w:after="0" w:line="213"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2019 Environmental Initiatives</w:t>
      </w:r>
    </w:p>
    <w:p>
      <w:pPr>
        <w:spacing w:after="0" w:line="86" w:lineRule="exact"/>
        <w:rPr>
          <w:sz w:val="20"/>
          <w:szCs w:val="20"/>
          <w:color w:val="auto"/>
        </w:rPr>
      </w:pPr>
    </w:p>
    <w:p>
      <w:pPr>
        <w:ind w:left="4"/>
        <w:spacing w:after="0" w:line="239" w:lineRule="auto"/>
        <w:rPr>
          <w:sz w:val="20"/>
          <w:szCs w:val="20"/>
          <w:color w:val="auto"/>
        </w:rPr>
      </w:pPr>
      <w:r>
        <w:rPr>
          <w:rFonts w:ascii="Arial" w:cs="Arial" w:eastAsia="Arial" w:hAnsi="Arial"/>
          <w:sz w:val="19"/>
          <w:szCs w:val="19"/>
          <w:color w:val="333740"/>
        </w:rPr>
        <w:t>TechnipFMC has also joined global initiatives for the protection of the oceans from plastic pollution. Plastic is a valuable resource that needs to be responsibly used. The Company is committed to reducing its use of single-use plastic in day-to- day working activities. A Single-Use Plastic Elimination (“</w:t>
      </w:r>
      <w:r>
        <w:rPr>
          <w:rFonts w:ascii="Arial" w:cs="Arial" w:eastAsia="Arial" w:hAnsi="Arial"/>
          <w:sz w:val="19"/>
          <w:szCs w:val="19"/>
          <w:b w:val="1"/>
          <w:bCs w:val="1"/>
          <w:color w:val="333740"/>
        </w:rPr>
        <w:t>SUPE</w:t>
      </w:r>
      <w:r>
        <w:rPr>
          <w:rFonts w:ascii="Arial" w:cs="Arial" w:eastAsia="Arial" w:hAnsi="Arial"/>
          <w:sz w:val="19"/>
          <w:szCs w:val="19"/>
          <w:color w:val="333740"/>
        </w:rPr>
        <w:t>”) project was launched in 2018 in 52 locations, comprising 28% of Company locations, and in the fleet with the aim of eliminating single-use plastic or substituting it with more sustainable and reusable items. In 2018, the SUPE project saved approximately 167,000 plastic bottles and 2.3 million plastic cups.</w:t>
      </w:r>
    </w:p>
    <w:p>
      <w:pPr>
        <w:spacing w:after="0" w:line="83" w:lineRule="exact"/>
        <w:rPr>
          <w:sz w:val="20"/>
          <w:szCs w:val="20"/>
          <w:color w:val="auto"/>
        </w:rPr>
      </w:pPr>
    </w:p>
    <w:p>
      <w:pPr>
        <w:ind w:left="4" w:right="360"/>
        <w:spacing w:after="0" w:line="247" w:lineRule="auto"/>
        <w:rPr>
          <w:sz w:val="20"/>
          <w:szCs w:val="20"/>
          <w:color w:val="auto"/>
        </w:rPr>
      </w:pPr>
      <w:r>
        <w:rPr>
          <w:rFonts w:ascii="Arial" w:cs="Arial" w:eastAsia="Arial" w:hAnsi="Arial"/>
          <w:sz w:val="19"/>
          <w:szCs w:val="19"/>
          <w:color w:val="333740"/>
        </w:rPr>
        <w:t>In 2019, the SUPE project has been extended to over 40 countries. Approximately 139 locations, comprising 76% of Company locations, and over 30 vessels and projects have completed the elimination of single-use plastic bottles and cups.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264160</wp:posOffset>
            </wp:positionV>
            <wp:extent cx="2124710" cy="26555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24710" cy="265557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524"/>
        <w:spacing w:after="0"/>
        <w:rPr>
          <w:sz w:val="20"/>
          <w:szCs w:val="20"/>
          <w:color w:val="auto"/>
        </w:rPr>
      </w:pPr>
      <w:r>
        <w:rPr>
          <w:rFonts w:ascii="Arial" w:cs="Arial" w:eastAsia="Arial" w:hAnsi="Arial"/>
          <w:sz w:val="14"/>
          <w:szCs w:val="14"/>
          <w:b w:val="1"/>
          <w:bCs w:val="1"/>
          <w:color w:val="333740"/>
        </w:rPr>
        <w:t>Single-Use Plastic Elimination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120650</wp:posOffset>
            </wp:positionV>
            <wp:extent cx="1896745" cy="19500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96745" cy="1950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304"/>
        <w:spacing w:after="0"/>
        <w:rPr>
          <w:sz w:val="20"/>
          <w:szCs w:val="20"/>
          <w:color w:val="auto"/>
        </w:rPr>
      </w:pPr>
      <w:r>
        <w:rPr>
          <w:rFonts w:ascii="Arial" w:cs="Arial" w:eastAsia="Arial" w:hAnsi="Arial"/>
          <w:sz w:val="14"/>
          <w:szCs w:val="14"/>
          <w:color w:val="5F6369"/>
        </w:rPr>
        <w:t>No. of Locations</w:t>
      </w:r>
    </w:p>
    <w:p>
      <w:pPr>
        <w:spacing w:after="0" w:line="200" w:lineRule="exact"/>
        <w:rPr>
          <w:sz w:val="20"/>
          <w:szCs w:val="20"/>
          <w:color w:val="auto"/>
        </w:rPr>
      </w:pPr>
    </w:p>
    <w:p>
      <w:pPr>
        <w:spacing w:after="0" w:line="370" w:lineRule="exact"/>
        <w:rPr>
          <w:sz w:val="20"/>
          <w:szCs w:val="20"/>
          <w:color w:val="auto"/>
        </w:rPr>
      </w:pPr>
    </w:p>
    <w:p>
      <w:pPr>
        <w:ind w:left="564" w:hanging="564"/>
        <w:spacing w:after="0"/>
        <w:tabs>
          <w:tab w:leader="none" w:pos="564" w:val="left"/>
        </w:tabs>
        <w:numPr>
          <w:ilvl w:val="0"/>
          <w:numId w:val="41"/>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128" w:right="339" w:bottom="1440" w:gutter="0" w:footer="0" w:header="0"/>
        </w:sectPr>
      </w:pPr>
    </w:p>
    <w:bookmarkStart w:id="33" w:name="page34"/>
    <w:bookmarkEnd w:id="33"/>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p>
    <w:p>
      <w:pPr>
        <w:ind w:left="4"/>
        <w:spacing w:after="0"/>
        <w:rPr>
          <w:sz w:val="20"/>
          <w:szCs w:val="20"/>
          <w:color w:val="auto"/>
        </w:rPr>
      </w:pPr>
      <w:r>
        <w:rPr>
          <w:rFonts w:ascii="Arial" w:cs="Arial" w:eastAsia="Arial" w:hAnsi="Arial"/>
          <w:sz w:val="57"/>
          <w:szCs w:val="57"/>
          <w:color w:val="481F6E"/>
        </w:rPr>
        <w:t>Corporate Governance</w:t>
      </w:r>
    </w:p>
    <w:p>
      <w:pPr>
        <w:spacing w:after="0" w:line="400" w:lineRule="exact"/>
        <w:rPr>
          <w:sz w:val="20"/>
          <w:szCs w:val="20"/>
          <w:color w:val="auto"/>
        </w:rPr>
      </w:pPr>
    </w:p>
    <w:p>
      <w:pPr>
        <w:jc w:val="both"/>
        <w:ind w:left="4"/>
        <w:spacing w:after="0" w:line="242" w:lineRule="auto"/>
        <w:rPr>
          <w:sz w:val="20"/>
          <w:szCs w:val="20"/>
          <w:color w:val="auto"/>
        </w:rPr>
      </w:pPr>
      <w:r>
        <w:rPr>
          <w:rFonts w:ascii="Arial" w:cs="Arial" w:eastAsia="Arial" w:hAnsi="Arial"/>
          <w:sz w:val="19"/>
          <w:szCs w:val="19"/>
          <w:color w:val="333740"/>
        </w:rPr>
        <w:t>The Board believes that the purpose of corporate governance is to facilitate effective oversight and management of the Company to maximize shareholder value in a manner consistent with our vision statement, purpose, core values, Foundational Beliefs, Code of Business Conduct, and all applicable legal requirements.</w:t>
      </w:r>
    </w:p>
    <w:p>
      <w:pPr>
        <w:spacing w:after="0" w:line="68" w:lineRule="exact"/>
        <w:rPr>
          <w:sz w:val="20"/>
          <w:szCs w:val="20"/>
          <w:color w:val="auto"/>
        </w:rPr>
      </w:pPr>
    </w:p>
    <w:p>
      <w:pPr>
        <w:ind w:left="4" w:right="20"/>
        <w:spacing w:after="0"/>
        <w:rPr>
          <w:sz w:val="20"/>
          <w:szCs w:val="20"/>
          <w:color w:val="auto"/>
        </w:rPr>
      </w:pPr>
      <w:r>
        <w:rPr>
          <w:rFonts w:ascii="Arial" w:cs="Arial" w:eastAsia="Arial" w:hAnsi="Arial"/>
          <w:sz w:val="19"/>
          <w:szCs w:val="19"/>
          <w:color w:val="333740"/>
        </w:rPr>
        <w:t>The Board provides accountability, objectivity, perspective, judgment, and, in some cases, specific industry or technical knowledge or experience. In carrying out its responsibilities to our shareholders, the fundamental role of the Board is to ensure continuity of leadership; the implementation, understanding, and pursuit of a sound strategy for the success of our Company; and the availability of financial and management resources and the implementation of control systems to carry out that strategy.</w:t>
      </w:r>
    </w:p>
    <w:p>
      <w:pPr>
        <w:spacing w:after="0" w:line="215" w:lineRule="exact"/>
        <w:rPr>
          <w:sz w:val="20"/>
          <w:szCs w:val="20"/>
          <w:color w:val="auto"/>
        </w:rPr>
      </w:pPr>
    </w:p>
    <w:p>
      <w:pPr>
        <w:ind w:left="4"/>
        <w:spacing w:after="0"/>
        <w:rPr>
          <w:sz w:val="20"/>
          <w:szCs w:val="20"/>
          <w:color w:val="auto"/>
        </w:rPr>
      </w:pPr>
      <w:r>
        <w:rPr>
          <w:rFonts w:ascii="Arial" w:cs="Arial" w:eastAsia="Arial" w:hAnsi="Arial"/>
          <w:sz w:val="33"/>
          <w:szCs w:val="33"/>
          <w:color w:val="481F6E"/>
        </w:rPr>
        <w:t>Governance Guidelines and Key Board Practices</w:t>
      </w:r>
    </w:p>
    <w:p>
      <w:pPr>
        <w:spacing w:after="0" w:line="23" w:lineRule="exact"/>
        <w:rPr>
          <w:sz w:val="20"/>
          <w:szCs w:val="20"/>
          <w:color w:val="auto"/>
        </w:rPr>
      </w:pPr>
    </w:p>
    <w:p>
      <w:pPr>
        <w:ind w:left="4"/>
        <w:spacing w:after="0" w:line="238" w:lineRule="auto"/>
        <w:rPr>
          <w:sz w:val="20"/>
          <w:szCs w:val="20"/>
          <w:color w:val="auto"/>
        </w:rPr>
      </w:pPr>
      <w:r>
        <w:rPr>
          <w:rFonts w:ascii="Arial" w:cs="Arial" w:eastAsia="Arial" w:hAnsi="Arial"/>
          <w:sz w:val="19"/>
          <w:szCs w:val="19"/>
          <w:color w:val="333740"/>
        </w:rPr>
        <w:t>Our Corporate Governance Guidelines (“</w:t>
      </w:r>
      <w:r>
        <w:rPr>
          <w:rFonts w:ascii="Arial" w:cs="Arial" w:eastAsia="Arial" w:hAnsi="Arial"/>
          <w:sz w:val="19"/>
          <w:szCs w:val="19"/>
          <w:b w:val="1"/>
          <w:bCs w:val="1"/>
          <w:color w:val="333740"/>
        </w:rPr>
        <w:t>Governance Guidelines</w:t>
      </w:r>
      <w:r>
        <w:rPr>
          <w:rFonts w:ascii="Arial" w:cs="Arial" w:eastAsia="Arial" w:hAnsi="Arial"/>
          <w:sz w:val="19"/>
          <w:szCs w:val="19"/>
          <w:color w:val="333740"/>
        </w:rPr>
        <w:t>”) contain general principles and practices regarding the function of the Board and the Board committees. The Governance Guidelines establish a framework to guide the Board in its oversight responsibilities in a manner that is independent of management and aligned with the interests of our shareholders. The Board reviews these governance practices, the laws of England and Wales under which we are incorporated, the U.K. Disclosure Guidance and Transparency Rules, the regulations, directives, and decisions of the European Union, the rules and listing standards of the NYSE and Euronext, and the regulations of the SEC, as well as best practices recognized by governance authorities, to benchmark the standards under which it operates.</w:t>
      </w:r>
    </w:p>
    <w:p>
      <w:pPr>
        <w:spacing w:after="0" w:line="201"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Key Elements and Practices</w:t>
      </w:r>
    </w:p>
    <w:p>
      <w:pPr>
        <w:spacing w:after="0" w:line="43" w:lineRule="exact"/>
        <w:rPr>
          <w:sz w:val="20"/>
          <w:szCs w:val="20"/>
          <w:color w:val="auto"/>
        </w:rPr>
      </w:pPr>
    </w:p>
    <w:p>
      <w:pPr>
        <w:ind w:left="324"/>
        <w:spacing w:after="0" w:line="261" w:lineRule="auto"/>
        <w:rPr>
          <w:sz w:val="20"/>
          <w:szCs w:val="20"/>
          <w:color w:val="auto"/>
        </w:rPr>
      </w:pPr>
      <w:r>
        <w:rPr>
          <w:rFonts w:ascii="Arial" w:cs="Arial" w:eastAsia="Arial" w:hAnsi="Arial"/>
          <w:sz w:val="14"/>
          <w:szCs w:val="14"/>
          <w:i w:val="1"/>
          <w:iCs w:val="1"/>
          <w:color w:val="333740"/>
        </w:rPr>
        <w:t xml:space="preserve">Composition of the Board. </w:t>
      </w:r>
      <w:r>
        <w:rPr>
          <w:rFonts w:ascii="Arial" w:cs="Arial" w:eastAsia="Arial" w:hAnsi="Arial"/>
          <w:sz w:val="14"/>
          <w:szCs w:val="14"/>
          <w:color w:val="333740"/>
        </w:rPr>
        <w:t>Our Board seeks to attract professionals who are not only qualified under the governance rules pertinent to our Company but also bring diversity</w:t>
      </w:r>
      <w:r>
        <w:rPr>
          <w:rFonts w:ascii="Arial" w:cs="Arial" w:eastAsia="Arial" w:hAnsi="Arial"/>
          <w:sz w:val="14"/>
          <w:szCs w:val="14"/>
          <w:i w:val="1"/>
          <w:iCs w:val="1"/>
          <w:color w:val="333740"/>
        </w:rPr>
        <w:t xml:space="preserve"> </w:t>
      </w:r>
      <w:r>
        <w:rPr>
          <w:rFonts w:ascii="Arial" w:cs="Arial" w:eastAsia="Arial" w:hAnsi="Arial"/>
          <w:sz w:val="14"/>
          <w:szCs w:val="14"/>
          <w:color w:val="333740"/>
        </w:rPr>
        <w:t>of thought and experience. Our Nominating and Corporate Governance Committee considers multiple factors when determining whether a candidate is qualified to serve on our Board in order to achieve a balance between fresh perspectives and the deep knowledge and experience of our more tenured directors. As such, our Nominating and Corporate Governance Committee often considers a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-436245</wp:posOffset>
            </wp:positionV>
            <wp:extent cx="38100" cy="755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82" w:lineRule="exact"/>
        <w:rPr>
          <w:sz w:val="20"/>
          <w:szCs w:val="20"/>
          <w:color w:val="auto"/>
        </w:rPr>
      </w:pPr>
    </w:p>
    <w:p>
      <w:pPr>
        <w:ind w:left="604" w:hanging="318"/>
        <w:spacing w:after="0"/>
        <w:tabs>
          <w:tab w:leader="none" w:pos="604" w:val="left"/>
        </w:tabs>
        <w:numPr>
          <w:ilvl w:val="0"/>
          <w:numId w:val="42"/>
        </w:numPr>
        <w:rPr>
          <w:rFonts w:ascii="Arial" w:cs="Arial" w:eastAsia="Arial" w:hAnsi="Arial"/>
          <w:sz w:val="14"/>
          <w:szCs w:val="14"/>
          <w:color w:val="333740"/>
        </w:rPr>
      </w:pPr>
      <w:r>
        <w:rPr>
          <w:rFonts w:ascii="Arial" w:cs="Arial" w:eastAsia="Arial" w:hAnsi="Arial"/>
          <w:sz w:val="14"/>
          <w:szCs w:val="14"/>
          <w:color w:val="333740"/>
        </w:rPr>
        <w:t>Experience in corporate management, as a board member of another publicly held company, and in finance and accounting and/or compensation practices</w:t>
      </w:r>
    </w:p>
    <w:p>
      <w:pPr>
        <w:spacing w:after="0" w:line="6" w:lineRule="exact"/>
        <w:rPr>
          <w:rFonts w:ascii="Arial" w:cs="Arial" w:eastAsia="Arial" w:hAnsi="Arial"/>
          <w:sz w:val="14"/>
          <w:szCs w:val="14"/>
          <w:color w:val="333740"/>
        </w:rPr>
      </w:pPr>
    </w:p>
    <w:p>
      <w:pPr>
        <w:ind w:left="604" w:hanging="318"/>
        <w:spacing w:after="0"/>
        <w:tabs>
          <w:tab w:leader="none" w:pos="604" w:val="left"/>
        </w:tabs>
        <w:numPr>
          <w:ilvl w:val="0"/>
          <w:numId w:val="42"/>
        </w:numPr>
        <w:rPr>
          <w:rFonts w:ascii="Arial" w:cs="Arial" w:eastAsia="Arial" w:hAnsi="Arial"/>
          <w:sz w:val="14"/>
          <w:szCs w:val="14"/>
          <w:color w:val="333740"/>
        </w:rPr>
      </w:pPr>
      <w:r>
        <w:rPr>
          <w:rFonts w:ascii="Arial" w:cs="Arial" w:eastAsia="Arial" w:hAnsi="Arial"/>
          <w:sz w:val="14"/>
          <w:szCs w:val="14"/>
          <w:color w:val="333740"/>
        </w:rPr>
        <w:t>Professional and academic experience relevant to our industry</w:t>
      </w:r>
    </w:p>
    <w:p>
      <w:pPr>
        <w:spacing w:after="0" w:line="42" w:lineRule="exact"/>
        <w:rPr>
          <w:rFonts w:ascii="Arial" w:cs="Arial" w:eastAsia="Arial" w:hAnsi="Arial"/>
          <w:sz w:val="14"/>
          <w:szCs w:val="14"/>
          <w:color w:val="333740"/>
        </w:rPr>
      </w:pPr>
    </w:p>
    <w:p>
      <w:pPr>
        <w:ind w:left="604" w:hanging="318"/>
        <w:spacing w:after="0"/>
        <w:tabs>
          <w:tab w:leader="none" w:pos="604" w:val="left"/>
        </w:tabs>
        <w:numPr>
          <w:ilvl w:val="0"/>
          <w:numId w:val="42"/>
        </w:numPr>
        <w:rPr>
          <w:rFonts w:ascii="Arial" w:cs="Arial" w:eastAsia="Arial" w:hAnsi="Arial"/>
          <w:sz w:val="14"/>
          <w:szCs w:val="14"/>
          <w:color w:val="333740"/>
        </w:rPr>
      </w:pPr>
      <w:r>
        <w:rPr>
          <w:rFonts w:ascii="Arial" w:cs="Arial" w:eastAsia="Arial" w:hAnsi="Arial"/>
          <w:sz w:val="14"/>
          <w:szCs w:val="14"/>
          <w:color w:val="333740"/>
        </w:rPr>
        <w:t>Leadership skills</w:t>
      </w:r>
    </w:p>
    <w:p>
      <w:pPr>
        <w:spacing w:after="0" w:line="42" w:lineRule="exact"/>
        <w:rPr>
          <w:rFonts w:ascii="Arial" w:cs="Arial" w:eastAsia="Arial" w:hAnsi="Arial"/>
          <w:sz w:val="14"/>
          <w:szCs w:val="14"/>
          <w:color w:val="333740"/>
        </w:rPr>
      </w:pPr>
    </w:p>
    <w:p>
      <w:pPr>
        <w:ind w:left="604" w:hanging="318"/>
        <w:spacing w:after="0"/>
        <w:tabs>
          <w:tab w:leader="none" w:pos="604" w:val="left"/>
        </w:tabs>
        <w:numPr>
          <w:ilvl w:val="0"/>
          <w:numId w:val="42"/>
        </w:numPr>
        <w:rPr>
          <w:rFonts w:ascii="Arial" w:cs="Arial" w:eastAsia="Arial" w:hAnsi="Arial"/>
          <w:sz w:val="14"/>
          <w:szCs w:val="14"/>
          <w:color w:val="333740"/>
        </w:rPr>
      </w:pPr>
      <w:r>
        <w:rPr>
          <w:rFonts w:ascii="Arial" w:cs="Arial" w:eastAsia="Arial" w:hAnsi="Arial"/>
          <w:sz w:val="14"/>
          <w:szCs w:val="14"/>
          <w:color w:val="333740"/>
        </w:rPr>
        <w:t>Cultural perspective and diversity of thought</w:t>
      </w:r>
    </w:p>
    <w:p>
      <w:pPr>
        <w:spacing w:after="0" w:line="30" w:lineRule="exact"/>
        <w:rPr>
          <w:rFonts w:ascii="Arial" w:cs="Arial" w:eastAsia="Arial" w:hAnsi="Arial"/>
          <w:sz w:val="14"/>
          <w:szCs w:val="14"/>
          <w:color w:val="333740"/>
        </w:rPr>
      </w:pPr>
    </w:p>
    <w:p>
      <w:pPr>
        <w:ind w:left="604" w:hanging="318"/>
        <w:spacing w:after="0"/>
        <w:tabs>
          <w:tab w:leader="none" w:pos="604" w:val="left"/>
        </w:tabs>
        <w:numPr>
          <w:ilvl w:val="0"/>
          <w:numId w:val="42"/>
        </w:numPr>
        <w:rPr>
          <w:rFonts w:ascii="Arial" w:cs="Arial" w:eastAsia="Arial" w:hAnsi="Arial"/>
          <w:sz w:val="14"/>
          <w:szCs w:val="14"/>
          <w:color w:val="333740"/>
        </w:rPr>
      </w:pPr>
      <w:r>
        <w:rPr>
          <w:rFonts w:ascii="Arial" w:cs="Arial" w:eastAsia="Arial" w:hAnsi="Arial"/>
          <w:sz w:val="14"/>
          <w:szCs w:val="14"/>
          <w:color w:val="333740"/>
        </w:rPr>
        <w:t>Ability to commit the time required for service on our Board</w:t>
      </w:r>
    </w:p>
    <w:p>
      <w:pPr>
        <w:spacing w:after="0" w:line="88" w:lineRule="exact"/>
        <w:rPr>
          <w:sz w:val="20"/>
          <w:szCs w:val="20"/>
          <w:color w:val="auto"/>
        </w:rPr>
      </w:pPr>
    </w:p>
    <w:p>
      <w:pPr>
        <w:ind w:left="324" w:right="100"/>
        <w:spacing w:after="0" w:line="258" w:lineRule="auto"/>
        <w:rPr>
          <w:sz w:val="20"/>
          <w:szCs w:val="20"/>
          <w:color w:val="auto"/>
        </w:rPr>
      </w:pPr>
      <w:r>
        <w:rPr>
          <w:rFonts w:ascii="Arial" w:cs="Arial" w:eastAsia="Arial" w:hAnsi="Arial"/>
          <w:sz w:val="14"/>
          <w:szCs w:val="14"/>
          <w:i w:val="1"/>
          <w:iCs w:val="1"/>
          <w:color w:val="333740"/>
        </w:rPr>
        <w:t xml:space="preserve">Board and Committee Evaluations. </w:t>
      </w:r>
      <w:r>
        <w:rPr>
          <w:rFonts w:ascii="Arial" w:cs="Arial" w:eastAsia="Arial" w:hAnsi="Arial"/>
          <w:sz w:val="14"/>
          <w:szCs w:val="14"/>
          <w:color w:val="333740"/>
        </w:rPr>
        <w:t>Each year, our directors complete a self-evaluation to determine whether the Board and its committees are functioning effectively.</w:t>
      </w:r>
      <w:r>
        <w:rPr>
          <w:rFonts w:ascii="Arial" w:cs="Arial" w:eastAsia="Arial" w:hAnsi="Arial"/>
          <w:sz w:val="14"/>
          <w:szCs w:val="14"/>
          <w:i w:val="1"/>
          <w:iCs w:val="1"/>
          <w:color w:val="333740"/>
        </w:rPr>
        <w:t xml:space="preserve"> </w:t>
      </w:r>
      <w:r>
        <w:rPr>
          <w:rFonts w:ascii="Arial" w:cs="Arial" w:eastAsia="Arial" w:hAnsi="Arial"/>
          <w:sz w:val="14"/>
          <w:szCs w:val="14"/>
          <w:color w:val="333740"/>
        </w:rPr>
        <w:t xml:space="preserve">Additionally, each of the Audit, Compensation, Nominating and Corporate Governance, and Strategy Committees conducts a separate evaluation of its own performance and the adequacy of its charter. These evaluations include an assessment of the diversity of talents, expertise, and occupational and personal backgrounds of the Board members. The Nominating and Corporate Governance Committee receives comments </w:t>
      </w:r>
      <w:r>
        <w:rPr>
          <w:rFonts w:ascii="Arial" w:cs="Arial" w:eastAsia="Arial" w:hAnsi="Arial"/>
          <w:sz w:val="14"/>
          <w:szCs w:val="14"/>
          <w:color w:val="000000"/>
        </w:rPr>
        <w:t>from all directors and reports the results of the evaluations annually to the Board, as</w:t>
      </w:r>
      <w:r>
        <w:rPr>
          <w:rFonts w:ascii="Arial" w:cs="Arial" w:eastAsia="Arial" w:hAnsi="Arial"/>
          <w:sz w:val="14"/>
          <w:szCs w:val="14"/>
          <w:color w:val="333740"/>
        </w:rPr>
        <w:t xml:space="preserve"> </w:t>
      </w:r>
      <w:r>
        <w:rPr>
          <w:rFonts w:ascii="Arial" w:cs="Arial" w:eastAsia="Arial" w:hAnsi="Arial"/>
          <w:sz w:val="14"/>
          <w:szCs w:val="14"/>
          <w:color w:val="000000"/>
        </w:rPr>
        <w:t>well as recommendations for improvements in the overall performance of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-541020</wp:posOffset>
            </wp:positionV>
            <wp:extent cx="38100" cy="755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1" w:lineRule="exact"/>
        <w:rPr>
          <w:sz w:val="20"/>
          <w:szCs w:val="20"/>
          <w:color w:val="auto"/>
        </w:rPr>
      </w:pPr>
    </w:p>
    <w:p>
      <w:pPr>
        <w:ind w:left="324" w:right="40"/>
        <w:spacing w:after="0" w:line="286" w:lineRule="auto"/>
        <w:rPr>
          <w:sz w:val="20"/>
          <w:szCs w:val="20"/>
          <w:color w:val="auto"/>
        </w:rPr>
      </w:pPr>
      <w:r>
        <w:rPr>
          <w:rFonts w:ascii="Arial" w:cs="Arial" w:eastAsia="Arial" w:hAnsi="Arial"/>
          <w:sz w:val="14"/>
          <w:szCs w:val="14"/>
          <w:i w:val="1"/>
          <w:iCs w:val="1"/>
          <w:color w:val="333740"/>
        </w:rPr>
        <w:t xml:space="preserve">New Director Orientation and Continuing Education. </w:t>
      </w:r>
      <w:r>
        <w:rPr>
          <w:rFonts w:ascii="Arial" w:cs="Arial" w:eastAsia="Arial" w:hAnsi="Arial"/>
          <w:sz w:val="14"/>
          <w:szCs w:val="14"/>
          <w:color w:val="333740"/>
        </w:rPr>
        <w:t>An orientation program has been developed for new non-executive directors, which includes written materials and</w:t>
      </w:r>
      <w:r>
        <w:rPr>
          <w:rFonts w:ascii="Arial" w:cs="Arial" w:eastAsia="Arial" w:hAnsi="Arial"/>
          <w:sz w:val="14"/>
          <w:szCs w:val="14"/>
          <w:i w:val="1"/>
          <w:iCs w:val="1"/>
          <w:color w:val="333740"/>
        </w:rPr>
        <w:t xml:space="preserve"> </w:t>
      </w:r>
      <w:r>
        <w:rPr>
          <w:rFonts w:ascii="Arial" w:cs="Arial" w:eastAsia="Arial" w:hAnsi="Arial"/>
          <w:sz w:val="14"/>
          <w:szCs w:val="14"/>
          <w:color w:val="333740"/>
        </w:rPr>
        <w:t xml:space="preserve">meetings with our executive officers. The orientation program </w:t>
      </w:r>
      <w:r>
        <w:rPr>
          <w:rFonts w:ascii="Arial" w:cs="Arial" w:eastAsia="Arial" w:hAnsi="Arial"/>
          <w:sz w:val="14"/>
          <w:szCs w:val="14"/>
          <w:color w:val="000000"/>
        </w:rPr>
        <w:t>is designed to provide general information about our Board and its committees; a review of director duties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38100" cy="755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06" w:lineRule="exact"/>
        <w:rPr>
          <w:sz w:val="20"/>
          <w:szCs w:val="20"/>
          <w:color w:val="auto"/>
        </w:rPr>
      </w:pPr>
    </w:p>
    <w:p>
      <w:pPr>
        <w:ind w:left="564" w:hanging="564"/>
        <w:spacing w:after="0"/>
        <w:tabs>
          <w:tab w:leader="none" w:pos="564" w:val="left"/>
        </w:tabs>
        <w:numPr>
          <w:ilvl w:val="0"/>
          <w:numId w:val="43"/>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128" w:right="339" w:bottom="1440" w:gutter="0" w:footer="0" w:header="0"/>
        </w:sectPr>
      </w:pPr>
    </w:p>
    <w:bookmarkStart w:id="34" w:name="page35"/>
    <w:bookmarkEnd w:id="34"/>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51" w:lineRule="exact"/>
        <w:rPr>
          <w:sz w:val="20"/>
          <w:szCs w:val="20"/>
          <w:color w:val="auto"/>
        </w:rPr>
      </w:pPr>
    </w:p>
    <w:p>
      <w:pPr>
        <w:ind w:left="324" w:right="420"/>
        <w:spacing w:after="0" w:line="257" w:lineRule="auto"/>
        <w:rPr>
          <w:sz w:val="20"/>
          <w:szCs w:val="20"/>
          <w:color w:val="auto"/>
        </w:rPr>
      </w:pPr>
      <w:r>
        <w:rPr>
          <w:rFonts w:ascii="Arial" w:cs="Arial" w:eastAsia="Arial" w:hAnsi="Arial"/>
          <w:sz w:val="14"/>
          <w:szCs w:val="14"/>
          <w:color w:val="auto"/>
        </w:rPr>
        <w:t>responsibilities; and comprehensive information about our industry, operations, strategies, and challenges. The Board believes that ongoing education is important for maintaining an effective Board. Accordingly, our Board encourages directors to participate in ongoing education and reimburses directors for expenses incurred in connection with such education programs.</w:t>
      </w:r>
    </w:p>
    <w:p>
      <w:pPr>
        <w:spacing w:after="0" w:line="30" w:lineRule="exact"/>
        <w:rPr>
          <w:sz w:val="20"/>
          <w:szCs w:val="20"/>
          <w:color w:val="auto"/>
        </w:rPr>
      </w:pPr>
    </w:p>
    <w:p>
      <w:pPr>
        <w:ind w:left="324" w:right="100"/>
        <w:spacing w:after="0" w:line="259" w:lineRule="auto"/>
        <w:rPr>
          <w:sz w:val="20"/>
          <w:szCs w:val="20"/>
          <w:color w:val="auto"/>
        </w:rPr>
      </w:pPr>
      <w:r>
        <w:rPr>
          <w:rFonts w:ascii="Arial" w:cs="Arial" w:eastAsia="Arial" w:hAnsi="Arial"/>
          <w:sz w:val="14"/>
          <w:szCs w:val="14"/>
          <w:i w:val="1"/>
          <w:iCs w:val="1"/>
          <w:color w:val="333740"/>
        </w:rPr>
        <w:t xml:space="preserve">Retirement Policy. </w:t>
      </w:r>
      <w:r>
        <w:rPr>
          <w:rFonts w:ascii="Arial" w:cs="Arial" w:eastAsia="Arial" w:hAnsi="Arial"/>
          <w:sz w:val="14"/>
          <w:szCs w:val="14"/>
          <w:color w:val="333740"/>
        </w:rPr>
        <w:t>As further described in our Governance Guidelines, a non-executive director whose birth date occurs prior to July 1st must retire at the annual general</w:t>
      </w:r>
      <w:r>
        <w:rPr>
          <w:rFonts w:ascii="Arial" w:cs="Arial" w:eastAsia="Arial" w:hAnsi="Arial"/>
          <w:sz w:val="14"/>
          <w:szCs w:val="14"/>
          <w:i w:val="1"/>
          <w:iCs w:val="1"/>
          <w:color w:val="333740"/>
        </w:rPr>
        <w:t xml:space="preserve"> </w:t>
      </w:r>
      <w:r>
        <w:rPr>
          <w:rFonts w:ascii="Arial" w:cs="Arial" w:eastAsia="Arial" w:hAnsi="Arial"/>
          <w:sz w:val="14"/>
          <w:szCs w:val="14"/>
          <w:color w:val="333740"/>
        </w:rPr>
        <w:t>meeting of shareholders of the Company during the year of such director’s 72nd birthday, and a non-executive director whose birth date occurs on or after July 1st must retire at the annual general meeting of shareholders of the Company the year following such director’s 72nd birthday. Our Board may waive this policy on a case-by-case basis on the recommendation of the Nominating and Corporate Governance Committee if it deems a waiver to be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-433070</wp:posOffset>
            </wp:positionV>
            <wp:extent cx="38100" cy="755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17" w:lineRule="exact"/>
        <w:rPr>
          <w:sz w:val="20"/>
          <w:szCs w:val="20"/>
          <w:color w:val="auto"/>
        </w:rPr>
      </w:pPr>
    </w:p>
    <w:p>
      <w:pPr>
        <w:ind w:left="324"/>
        <w:spacing w:after="0" w:line="286" w:lineRule="auto"/>
        <w:rPr>
          <w:sz w:val="20"/>
          <w:szCs w:val="20"/>
          <w:color w:val="auto"/>
        </w:rPr>
      </w:pPr>
      <w:r>
        <w:rPr>
          <w:rFonts w:ascii="Arial" w:cs="Arial" w:eastAsia="Arial" w:hAnsi="Arial"/>
          <w:sz w:val="14"/>
          <w:szCs w:val="14"/>
          <w:i w:val="1"/>
          <w:iCs w:val="1"/>
          <w:color w:val="333740"/>
        </w:rPr>
        <w:t xml:space="preserve">Director Share Ownership Requirements. </w:t>
      </w:r>
      <w:r>
        <w:rPr>
          <w:rFonts w:ascii="Arial" w:cs="Arial" w:eastAsia="Arial" w:hAnsi="Arial"/>
          <w:sz w:val="14"/>
          <w:szCs w:val="14"/>
          <w:color w:val="333740"/>
        </w:rPr>
        <w:t>Within five years following initial election to the Board, directors are required to own Ordinary Shares with a value equal to or more</w:t>
      </w:r>
      <w:r>
        <w:rPr>
          <w:rFonts w:ascii="Arial" w:cs="Arial" w:eastAsia="Arial" w:hAnsi="Arial"/>
          <w:sz w:val="14"/>
          <w:szCs w:val="14"/>
          <w:i w:val="1"/>
          <w:iCs w:val="1"/>
          <w:color w:val="333740"/>
        </w:rPr>
        <w:t xml:space="preserve"> </w:t>
      </w:r>
      <w:r>
        <w:rPr>
          <w:rFonts w:ascii="Arial" w:cs="Arial" w:eastAsia="Arial" w:hAnsi="Arial"/>
          <w:sz w:val="14"/>
          <w:szCs w:val="14"/>
          <w:color w:val="333740"/>
        </w:rPr>
        <w:t>than five times the Company’s annual cash retainer paid to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38100" cy="755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54" w:lineRule="exact"/>
        <w:rPr>
          <w:sz w:val="20"/>
          <w:szCs w:val="20"/>
          <w:color w:val="auto"/>
        </w:rPr>
      </w:pPr>
    </w:p>
    <w:p>
      <w:pPr>
        <w:ind w:left="4"/>
        <w:spacing w:after="0"/>
        <w:rPr>
          <w:sz w:val="20"/>
          <w:szCs w:val="20"/>
          <w:color w:val="auto"/>
        </w:rPr>
      </w:pPr>
      <w:r>
        <w:rPr>
          <w:rFonts w:ascii="Arial" w:cs="Arial" w:eastAsia="Arial" w:hAnsi="Arial"/>
          <w:sz w:val="33"/>
          <w:szCs w:val="33"/>
          <w:color w:val="481F6E"/>
        </w:rPr>
        <w:t>Shareholder Engagement</w:t>
      </w:r>
    </w:p>
    <w:p>
      <w:pPr>
        <w:spacing w:after="0" w:line="37" w:lineRule="exact"/>
        <w:rPr>
          <w:sz w:val="20"/>
          <w:szCs w:val="20"/>
          <w:color w:val="auto"/>
        </w:rPr>
      </w:pPr>
    </w:p>
    <w:p>
      <w:pPr>
        <w:ind w:left="4"/>
        <w:spacing w:after="0" w:line="239" w:lineRule="auto"/>
        <w:rPr>
          <w:sz w:val="20"/>
          <w:szCs w:val="20"/>
          <w:color w:val="auto"/>
        </w:rPr>
      </w:pPr>
      <w:r>
        <w:rPr>
          <w:rFonts w:ascii="Arial" w:cs="Arial" w:eastAsia="Arial" w:hAnsi="Arial"/>
          <w:sz w:val="19"/>
          <w:szCs w:val="19"/>
          <w:color w:val="333740"/>
        </w:rPr>
        <w:t>Our relationship and ongoing dialogue with our shareholders is an important part of our Board’s corporate governance commitment. Our Lead Independent Director and Compensation Committee Chair, or our executives and management from our Legal, People and Culture, and Investor Relations groups, meet with shareholders regularly on a variety of topics. Management provides reports to the Board and its committees regarding the key themes and results of these conversations, including typical investor concerns and questions, and emerging issues related to governance, compensation, safety, and sustainability.</w:t>
      </w:r>
    </w:p>
    <w:p>
      <w:pPr>
        <w:spacing w:after="0" w:line="71" w:lineRule="exact"/>
        <w:rPr>
          <w:sz w:val="20"/>
          <w:szCs w:val="20"/>
          <w:color w:val="auto"/>
        </w:rPr>
      </w:pPr>
    </w:p>
    <w:p>
      <w:pPr>
        <w:ind w:left="4" w:right="60"/>
        <w:spacing w:after="0" w:line="242" w:lineRule="auto"/>
        <w:rPr>
          <w:sz w:val="20"/>
          <w:szCs w:val="20"/>
          <w:color w:val="auto"/>
        </w:rPr>
      </w:pPr>
      <w:r>
        <w:rPr>
          <w:rFonts w:ascii="Arial" w:cs="Arial" w:eastAsia="Arial" w:hAnsi="Arial"/>
          <w:sz w:val="19"/>
          <w:szCs w:val="19"/>
          <w:color w:val="333740"/>
        </w:rPr>
        <w:t>Although we were pleased that our shareholders voted in favor of all of our 2019 proposals, the approval threshold of 70% for our 2018 executive compensation program was below our preferred threshold of 75% for our proposals. This vote outcome prompted us to engage with shareholders and proxy advisory firms earlier than usual to connect and understand the reasons behind the support.</w:t>
      </w:r>
    </w:p>
    <w:p>
      <w:pPr>
        <w:spacing w:after="0" w:line="80" w:lineRule="exact"/>
        <w:rPr>
          <w:sz w:val="20"/>
          <w:szCs w:val="20"/>
          <w:color w:val="auto"/>
        </w:rPr>
      </w:pPr>
    </w:p>
    <w:p>
      <w:pPr>
        <w:ind w:left="4" w:right="200"/>
        <w:spacing w:after="0"/>
        <w:rPr>
          <w:sz w:val="20"/>
          <w:szCs w:val="20"/>
          <w:color w:val="auto"/>
        </w:rPr>
      </w:pPr>
      <w:r>
        <w:rPr>
          <w:rFonts w:ascii="Arial" w:cs="Arial" w:eastAsia="Arial" w:hAnsi="Arial"/>
          <w:sz w:val="19"/>
          <w:szCs w:val="19"/>
          <w:color w:val="333740"/>
        </w:rPr>
        <w:t>As such, we contacted shareholders and proxy advisory firms after our 2019 Annual Meeting to seek their views specifically on our executive compensation program and any governance-related feedback, including those related to negative votes for some of our directors. These transparent and productive discussions allowed us to better understand potential disconnects between our disclosure and how our compensation program actually operates.</w:t>
      </w:r>
    </w:p>
    <w:p>
      <w:pPr>
        <w:spacing w:after="0" w:line="82" w:lineRule="exact"/>
        <w:rPr>
          <w:sz w:val="20"/>
          <w:szCs w:val="20"/>
          <w:color w:val="auto"/>
        </w:rPr>
      </w:pPr>
    </w:p>
    <w:p>
      <w:pPr>
        <w:ind w:left="4"/>
        <w:spacing w:after="0" w:line="239" w:lineRule="auto"/>
        <w:rPr>
          <w:sz w:val="20"/>
          <w:szCs w:val="20"/>
          <w:color w:val="auto"/>
        </w:rPr>
      </w:pPr>
      <w:r>
        <w:rPr>
          <w:rFonts w:ascii="Arial" w:cs="Arial" w:eastAsia="Arial" w:hAnsi="Arial"/>
          <w:sz w:val="19"/>
          <w:szCs w:val="19"/>
          <w:color w:val="333740"/>
        </w:rPr>
        <w:t>Furthermore, in early 2020, we further engaged our shareholders in order to discuss more broadly our announced spin- off transaction, our Board leadership structure, our general Board practices, our executive compensation program, and our sustainability efforts. We welcomed our shareholders’ feedback and suggestions in maintaining the balance between strengthening the link between pay and performance, retaining and motivating our executives, and appropriately compensating our executives for outperformance, while increasing long-term shareholder value.</w:t>
      </w:r>
    </w:p>
    <w:p>
      <w:pPr>
        <w:spacing w:after="0" w:line="71" w:lineRule="exact"/>
        <w:rPr>
          <w:sz w:val="20"/>
          <w:szCs w:val="20"/>
          <w:color w:val="auto"/>
        </w:rPr>
      </w:pPr>
    </w:p>
    <w:p>
      <w:pPr>
        <w:ind w:left="4" w:right="40"/>
        <w:spacing w:after="0" w:line="239" w:lineRule="auto"/>
        <w:rPr>
          <w:sz w:val="20"/>
          <w:szCs w:val="20"/>
          <w:color w:val="auto"/>
        </w:rPr>
      </w:pPr>
      <w:r>
        <w:rPr>
          <w:rFonts w:ascii="Arial" w:cs="Arial" w:eastAsia="Arial" w:hAnsi="Arial"/>
          <w:sz w:val="19"/>
          <w:szCs w:val="19"/>
          <w:color w:val="333740"/>
        </w:rPr>
        <w:t>Overall, for our 2019-2020 engagement, we contacted proxy advisory firms and our top shareholders representing approximately 50% of our Ordinary Shares outstanding. Management, and in some instances, our Lead Independent Director or our Compensation Committee Chair, held meetings with proxy advisory firms and shareholders representing approximately 13% of our Ordinary Shares outstanding. Some shareholders did not require a meeting as they either indicated their support for our compensation and governance practices or did not have questions regarding our compensation or governance practices.</w:t>
      </w:r>
    </w:p>
    <w:p>
      <w:pPr>
        <w:spacing w:after="0" w:line="356" w:lineRule="exact"/>
        <w:rPr>
          <w:sz w:val="20"/>
          <w:szCs w:val="20"/>
          <w:color w:val="auto"/>
        </w:rPr>
      </w:pPr>
    </w:p>
    <w:p>
      <w:pPr>
        <w:ind w:left="564" w:hanging="564"/>
        <w:spacing w:after="0"/>
        <w:tabs>
          <w:tab w:leader="none" w:pos="564" w:val="left"/>
        </w:tabs>
        <w:numPr>
          <w:ilvl w:val="0"/>
          <w:numId w:val="4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35" w:name="page36"/>
    <w:bookmarkEnd w:id="35"/>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Board Responsiveness to Shareholder Feedback</w:t>
      </w:r>
    </w:p>
    <w:p>
      <w:pPr>
        <w:spacing w:after="0" w:line="86" w:lineRule="exact"/>
        <w:rPr>
          <w:sz w:val="20"/>
          <w:szCs w:val="20"/>
          <w:color w:val="auto"/>
        </w:rPr>
      </w:pPr>
    </w:p>
    <w:p>
      <w:pPr>
        <w:ind w:left="4" w:right="120"/>
        <w:spacing w:after="0" w:line="247" w:lineRule="auto"/>
        <w:rPr>
          <w:sz w:val="20"/>
          <w:szCs w:val="20"/>
          <w:color w:val="auto"/>
        </w:rPr>
      </w:pPr>
      <w:r>
        <w:rPr>
          <w:rFonts w:ascii="Arial" w:cs="Arial" w:eastAsia="Arial" w:hAnsi="Arial"/>
          <w:sz w:val="19"/>
          <w:szCs w:val="19"/>
          <w:color w:val="333740"/>
        </w:rPr>
        <w:t>In 2019, we adjusted certain features of our compensation program and updated certain governance disclosures based on insightful feedback from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148195" cy="43859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4385945"/>
                    </a:xfrm>
                    <a:prstGeom prst="rect">
                      <a:avLst/>
                    </a:prstGeom>
                    <a:noFill/>
                  </pic:spPr>
                </pic:pic>
              </a:graphicData>
            </a:graphic>
          </wp:anchor>
        </w:drawing>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374"/>
        </w:trPr>
        <w:tc>
          <w:tcPr>
            <w:tcW w:w="3260" w:type="dxa"/>
            <w:vAlign w:val="bottom"/>
            <w:tcBorders>
              <w:bottom w:val="single" w:sz="8" w:color="4B1F67"/>
            </w:tcBorders>
            <w:gridSpan w:val="2"/>
            <w:shd w:val="clear" w:color="auto" w:fill="4B1F67"/>
          </w:tcPr>
          <w:p>
            <w:pPr>
              <w:ind w:left="180"/>
              <w:spacing w:after="0"/>
              <w:rPr>
                <w:sz w:val="20"/>
                <w:szCs w:val="20"/>
                <w:color w:val="auto"/>
              </w:rPr>
            </w:pPr>
            <w:r>
              <w:rPr>
                <w:rFonts w:ascii="Arial" w:cs="Arial" w:eastAsia="Arial" w:hAnsi="Arial"/>
                <w:sz w:val="18"/>
                <w:szCs w:val="18"/>
                <w:b w:val="1"/>
                <w:bCs w:val="1"/>
                <w:color w:val="FFFFFF"/>
              </w:rPr>
              <w:t>What We Heard</w:t>
            </w:r>
          </w:p>
        </w:tc>
        <w:tc>
          <w:tcPr>
            <w:tcW w:w="8000" w:type="dxa"/>
            <w:vAlign w:val="bottom"/>
            <w:tcBorders>
              <w:bottom w:val="single" w:sz="8" w:color="D21A22"/>
            </w:tcBorders>
            <w:gridSpan w:val="2"/>
            <w:shd w:val="clear" w:color="auto" w:fill="D21A22"/>
          </w:tcPr>
          <w:p>
            <w:pPr>
              <w:ind w:left="200"/>
              <w:spacing w:after="0"/>
              <w:rPr>
                <w:sz w:val="20"/>
                <w:szCs w:val="20"/>
                <w:color w:val="auto"/>
              </w:rPr>
            </w:pPr>
            <w:r>
              <w:rPr>
                <w:rFonts w:ascii="Arial" w:cs="Arial" w:eastAsia="Arial" w:hAnsi="Arial"/>
                <w:sz w:val="14"/>
                <w:szCs w:val="14"/>
                <w:b w:val="1"/>
                <w:bCs w:val="1"/>
                <w:color w:val="FFFFFF"/>
              </w:rPr>
              <w:t>What We Did</w:t>
            </w: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E0E1DF"/>
          </w:tcPr>
          <w:p>
            <w:pPr>
              <w:ind w:left="180"/>
              <w:spacing w:after="0"/>
              <w:rPr>
                <w:sz w:val="20"/>
                <w:szCs w:val="20"/>
                <w:color w:val="auto"/>
              </w:rPr>
            </w:pPr>
            <w:r>
              <w:rPr>
                <w:rFonts w:ascii="Arial" w:cs="Arial" w:eastAsia="Arial" w:hAnsi="Arial"/>
                <w:sz w:val="14"/>
                <w:szCs w:val="14"/>
                <w:b w:val="1"/>
                <w:bCs w:val="1"/>
                <w:color w:val="333740"/>
              </w:rPr>
              <w:t>Reinforce the link between annual</w:t>
            </w:r>
          </w:p>
        </w:tc>
        <w:tc>
          <w:tcPr>
            <w:tcW w:w="320" w:type="dxa"/>
            <w:vAlign w:val="bottom"/>
            <w:shd w:val="clear" w:color="auto" w:fill="E0E1DF"/>
          </w:tcPr>
          <w:p>
            <w:pPr>
              <w:spacing w:after="0"/>
              <w:rPr>
                <w:sz w:val="22"/>
                <w:szCs w:val="22"/>
                <w:color w:val="auto"/>
              </w:rPr>
            </w:pPr>
          </w:p>
        </w:tc>
        <w:tc>
          <w:tcPr>
            <w:tcW w:w="7680" w:type="dxa"/>
            <w:vAlign w:val="bottom"/>
            <w:shd w:val="clear" w:color="auto" w:fill="E0E1DF"/>
          </w:tcPr>
          <w:p>
            <w:pPr>
              <w:ind w:left="40"/>
              <w:spacing w:after="0"/>
              <w:rPr>
                <w:sz w:val="20"/>
                <w:szCs w:val="20"/>
                <w:color w:val="auto"/>
              </w:rPr>
            </w:pPr>
            <w:r>
              <w:rPr>
                <w:rFonts w:ascii="Arial" w:cs="Arial" w:eastAsia="Arial" w:hAnsi="Arial"/>
                <w:sz w:val="14"/>
                <w:szCs w:val="14"/>
                <w:color w:val="333740"/>
              </w:rPr>
              <w:t>EBITDA as a Percentage of Revenue, which reflects the performance and sustainability of our business,</w:t>
            </w:r>
          </w:p>
        </w:tc>
        <w:tc>
          <w:tcPr>
            <w:tcW w:w="0" w:type="dxa"/>
            <w:vAlign w:val="bottom"/>
          </w:tcPr>
          <w:p>
            <w:pPr>
              <w:spacing w:after="0"/>
              <w:rPr>
                <w:sz w:val="1"/>
                <w:szCs w:val="1"/>
                <w:color w:val="auto"/>
              </w:rPr>
            </w:pPr>
          </w:p>
        </w:tc>
      </w:tr>
      <w:tr>
        <w:trPr>
          <w:trHeight w:val="167"/>
        </w:trPr>
        <w:tc>
          <w:tcPr>
            <w:tcW w:w="3260" w:type="dxa"/>
            <w:vAlign w:val="bottom"/>
            <w:gridSpan w:val="2"/>
            <w:shd w:val="clear" w:color="auto" w:fill="E0E1DF"/>
          </w:tcPr>
          <w:p>
            <w:pPr>
              <w:ind w:left="180"/>
              <w:spacing w:after="0"/>
              <w:rPr>
                <w:sz w:val="20"/>
                <w:szCs w:val="20"/>
                <w:color w:val="auto"/>
              </w:rPr>
            </w:pPr>
            <w:r>
              <w:rPr>
                <w:rFonts w:ascii="Arial" w:cs="Arial" w:eastAsia="Arial" w:hAnsi="Arial"/>
                <w:sz w:val="14"/>
                <w:szCs w:val="14"/>
                <w:b w:val="1"/>
                <w:bCs w:val="1"/>
                <w:color w:val="333740"/>
              </w:rPr>
              <w:t>incentive metrics and business</w:t>
            </w:r>
          </w:p>
        </w:tc>
        <w:tc>
          <w:tcPr>
            <w:tcW w:w="320" w:type="dxa"/>
            <w:vAlign w:val="bottom"/>
            <w:shd w:val="clear" w:color="auto" w:fill="E0E1DF"/>
          </w:tcPr>
          <w:p>
            <w:pPr>
              <w:spacing w:after="0"/>
              <w:rPr>
                <w:sz w:val="14"/>
                <w:szCs w:val="14"/>
                <w:color w:val="auto"/>
              </w:rPr>
            </w:pPr>
          </w:p>
        </w:tc>
        <w:tc>
          <w:tcPr>
            <w:tcW w:w="7680" w:type="dxa"/>
            <w:vAlign w:val="bottom"/>
            <w:shd w:val="clear" w:color="auto" w:fill="E0E1DF"/>
          </w:tcPr>
          <w:p>
            <w:pPr>
              <w:ind w:left="20"/>
              <w:spacing w:after="0"/>
              <w:rPr>
                <w:sz w:val="20"/>
                <w:szCs w:val="20"/>
                <w:color w:val="auto"/>
              </w:rPr>
            </w:pPr>
            <w:r>
              <w:rPr>
                <w:rFonts w:ascii="Arial" w:cs="Arial" w:eastAsia="Arial" w:hAnsi="Arial"/>
                <w:sz w:val="14"/>
                <w:szCs w:val="14"/>
                <w:color w:val="333740"/>
              </w:rPr>
              <w:t>was introduced as a metric under our 2018 annual incentive plan and continued as a metric in 2019, as</w:t>
            </w:r>
          </w:p>
        </w:tc>
        <w:tc>
          <w:tcPr>
            <w:tcW w:w="0" w:type="dxa"/>
            <w:vAlign w:val="bottom"/>
          </w:tcPr>
          <w:p>
            <w:pPr>
              <w:spacing w:after="0"/>
              <w:rPr>
                <w:sz w:val="1"/>
                <w:szCs w:val="1"/>
                <w:color w:val="auto"/>
              </w:rPr>
            </w:pPr>
          </w:p>
        </w:tc>
      </w:tr>
      <w:tr>
        <w:trPr>
          <w:trHeight w:val="167"/>
        </w:trPr>
        <w:tc>
          <w:tcPr>
            <w:tcW w:w="3260" w:type="dxa"/>
            <w:vAlign w:val="bottom"/>
            <w:gridSpan w:val="2"/>
            <w:shd w:val="clear" w:color="auto" w:fill="E0E1DF"/>
          </w:tcPr>
          <w:p>
            <w:pPr>
              <w:ind w:left="180"/>
              <w:spacing w:after="0"/>
              <w:rPr>
                <w:sz w:val="20"/>
                <w:szCs w:val="20"/>
                <w:color w:val="auto"/>
              </w:rPr>
            </w:pPr>
            <w:r>
              <w:rPr>
                <w:rFonts w:ascii="Arial" w:cs="Arial" w:eastAsia="Arial" w:hAnsi="Arial"/>
                <w:sz w:val="14"/>
                <w:szCs w:val="14"/>
                <w:b w:val="1"/>
                <w:bCs w:val="1"/>
                <w:color w:val="333740"/>
              </w:rPr>
              <w:t>strategy</w:t>
            </w:r>
          </w:p>
        </w:tc>
        <w:tc>
          <w:tcPr>
            <w:tcW w:w="320" w:type="dxa"/>
            <w:vAlign w:val="bottom"/>
            <w:shd w:val="clear" w:color="auto" w:fill="E0E1DF"/>
          </w:tcPr>
          <w:p>
            <w:pPr>
              <w:spacing w:after="0"/>
              <w:rPr>
                <w:sz w:val="14"/>
                <w:szCs w:val="14"/>
                <w:color w:val="auto"/>
              </w:rPr>
            </w:pPr>
          </w:p>
        </w:tc>
        <w:tc>
          <w:tcPr>
            <w:tcW w:w="7680" w:type="dxa"/>
            <w:vAlign w:val="bottom"/>
            <w:shd w:val="clear" w:color="auto" w:fill="E0E1DF"/>
          </w:tcPr>
          <w:p>
            <w:pPr>
              <w:ind w:left="20"/>
              <w:spacing w:after="0"/>
              <w:rPr>
                <w:sz w:val="20"/>
                <w:szCs w:val="20"/>
                <w:color w:val="auto"/>
              </w:rPr>
            </w:pPr>
            <w:r>
              <w:rPr>
                <w:rFonts w:ascii="Arial" w:cs="Arial" w:eastAsia="Arial" w:hAnsi="Arial"/>
                <w:sz w:val="14"/>
                <w:szCs w:val="14"/>
                <w:color w:val="333740"/>
              </w:rPr>
              <w:t>many shareholders confirmed that this metric, in addition to EBITDA ($) and Working Capital Days, is an</w:t>
            </w:r>
          </w:p>
        </w:tc>
        <w:tc>
          <w:tcPr>
            <w:tcW w:w="0" w:type="dxa"/>
            <w:vAlign w:val="bottom"/>
          </w:tcPr>
          <w:p>
            <w:pPr>
              <w:spacing w:after="0"/>
              <w:rPr>
                <w:sz w:val="1"/>
                <w:szCs w:val="1"/>
                <w:color w:val="auto"/>
              </w:rPr>
            </w:pPr>
          </w:p>
        </w:tc>
      </w:tr>
      <w:tr>
        <w:trPr>
          <w:trHeight w:val="225"/>
        </w:trPr>
        <w:tc>
          <w:tcPr>
            <w:tcW w:w="260" w:type="dxa"/>
            <w:vAlign w:val="bottom"/>
            <w:shd w:val="clear" w:color="auto" w:fill="E0E1DF"/>
          </w:tcPr>
          <w:p>
            <w:pPr>
              <w:spacing w:after="0"/>
              <w:rPr>
                <w:sz w:val="19"/>
                <w:szCs w:val="19"/>
                <w:color w:val="auto"/>
              </w:rPr>
            </w:pPr>
          </w:p>
        </w:tc>
        <w:tc>
          <w:tcPr>
            <w:tcW w:w="3000" w:type="dxa"/>
            <w:vAlign w:val="bottom"/>
            <w:shd w:val="clear" w:color="auto" w:fill="E0E1DF"/>
          </w:tcPr>
          <w:p>
            <w:pPr>
              <w:spacing w:after="0"/>
              <w:rPr>
                <w:sz w:val="19"/>
                <w:szCs w:val="19"/>
                <w:color w:val="auto"/>
              </w:rPr>
            </w:pPr>
          </w:p>
        </w:tc>
        <w:tc>
          <w:tcPr>
            <w:tcW w:w="320" w:type="dxa"/>
            <w:vAlign w:val="bottom"/>
            <w:shd w:val="clear" w:color="auto" w:fill="E0E1DF"/>
          </w:tcPr>
          <w:p>
            <w:pPr>
              <w:spacing w:after="0"/>
              <w:rPr>
                <w:sz w:val="19"/>
                <w:szCs w:val="19"/>
                <w:color w:val="auto"/>
              </w:rPr>
            </w:pPr>
          </w:p>
        </w:tc>
        <w:tc>
          <w:tcPr>
            <w:tcW w:w="7680" w:type="dxa"/>
            <w:vAlign w:val="bottom"/>
            <w:shd w:val="clear" w:color="auto" w:fill="E0E1DF"/>
          </w:tcPr>
          <w:p>
            <w:pPr>
              <w:ind w:left="20"/>
              <w:spacing w:after="0"/>
              <w:rPr>
                <w:sz w:val="20"/>
                <w:szCs w:val="20"/>
                <w:color w:val="auto"/>
              </w:rPr>
            </w:pPr>
            <w:r>
              <w:rPr>
                <w:rFonts w:ascii="Arial" w:cs="Arial" w:eastAsia="Arial" w:hAnsi="Arial"/>
                <w:sz w:val="14"/>
                <w:szCs w:val="14"/>
                <w:color w:val="333740"/>
              </w:rPr>
              <w:t>appropriate measure and aligned with shareholder interests.</w:t>
            </w:r>
          </w:p>
        </w:tc>
        <w:tc>
          <w:tcPr>
            <w:tcW w:w="0" w:type="dxa"/>
            <w:vAlign w:val="bottom"/>
          </w:tcPr>
          <w:p>
            <w:pPr>
              <w:spacing w:after="0"/>
              <w:rPr>
                <w:sz w:val="1"/>
                <w:szCs w:val="1"/>
                <w:color w:val="auto"/>
              </w:rPr>
            </w:pPr>
          </w:p>
        </w:tc>
      </w:tr>
      <w:tr>
        <w:trPr>
          <w:trHeight w:val="181"/>
        </w:trPr>
        <w:tc>
          <w:tcPr>
            <w:tcW w:w="260" w:type="dxa"/>
            <w:vAlign w:val="bottom"/>
            <w:shd w:val="clear" w:color="auto" w:fill="E0E1DF"/>
          </w:tcPr>
          <w:p>
            <w:pPr>
              <w:spacing w:after="0"/>
              <w:rPr>
                <w:sz w:val="15"/>
                <w:szCs w:val="15"/>
                <w:color w:val="auto"/>
              </w:rPr>
            </w:pPr>
          </w:p>
        </w:tc>
        <w:tc>
          <w:tcPr>
            <w:tcW w:w="3000" w:type="dxa"/>
            <w:vAlign w:val="bottom"/>
            <w:shd w:val="clear" w:color="auto" w:fill="E0E1DF"/>
          </w:tcPr>
          <w:p>
            <w:pPr>
              <w:spacing w:after="0"/>
              <w:rPr>
                <w:sz w:val="15"/>
                <w:szCs w:val="15"/>
                <w:color w:val="auto"/>
              </w:rPr>
            </w:pPr>
          </w:p>
        </w:tc>
        <w:tc>
          <w:tcPr>
            <w:tcW w:w="320" w:type="dxa"/>
            <w:vAlign w:val="bottom"/>
            <w:shd w:val="clear" w:color="auto" w:fill="E0E1DF"/>
          </w:tcPr>
          <w:p>
            <w:pPr>
              <w:spacing w:after="0"/>
              <w:rPr>
                <w:sz w:val="15"/>
                <w:szCs w:val="15"/>
                <w:color w:val="auto"/>
              </w:rPr>
            </w:pPr>
          </w:p>
        </w:tc>
        <w:tc>
          <w:tcPr>
            <w:tcW w:w="7680" w:type="dxa"/>
            <w:vAlign w:val="bottom"/>
            <w:shd w:val="clear" w:color="auto" w:fill="E0E1DF"/>
          </w:tcPr>
          <w:p>
            <w:pPr>
              <w:ind w:left="40"/>
              <w:spacing w:after="0"/>
              <w:rPr>
                <w:sz w:val="20"/>
                <w:szCs w:val="20"/>
                <w:color w:val="auto"/>
              </w:rPr>
            </w:pPr>
            <w:r>
              <w:rPr>
                <w:rFonts w:ascii="Arial" w:cs="Arial" w:eastAsia="Arial" w:hAnsi="Arial"/>
                <w:sz w:val="14"/>
                <w:szCs w:val="14"/>
                <w:color w:val="333740"/>
              </w:rPr>
              <w:t>Continued the use of ROIC in our long-term equity incentive plan, in addition to relative TSR. ROIC is an</w:t>
            </w:r>
          </w:p>
        </w:tc>
        <w:tc>
          <w:tcPr>
            <w:tcW w:w="0" w:type="dxa"/>
            <w:vAlign w:val="bottom"/>
          </w:tcPr>
          <w:p>
            <w:pPr>
              <w:spacing w:after="0"/>
              <w:rPr>
                <w:sz w:val="1"/>
                <w:szCs w:val="1"/>
                <w:color w:val="auto"/>
              </w:rPr>
            </w:pPr>
          </w:p>
        </w:tc>
      </w:tr>
      <w:tr>
        <w:trPr>
          <w:trHeight w:val="167"/>
        </w:trPr>
        <w:tc>
          <w:tcPr>
            <w:tcW w:w="260" w:type="dxa"/>
            <w:vAlign w:val="bottom"/>
            <w:shd w:val="clear" w:color="auto" w:fill="E0E1DF"/>
          </w:tcPr>
          <w:p>
            <w:pPr>
              <w:spacing w:after="0"/>
              <w:rPr>
                <w:sz w:val="14"/>
                <w:szCs w:val="14"/>
                <w:color w:val="auto"/>
              </w:rPr>
            </w:pPr>
          </w:p>
        </w:tc>
        <w:tc>
          <w:tcPr>
            <w:tcW w:w="3000" w:type="dxa"/>
            <w:vAlign w:val="bottom"/>
            <w:shd w:val="clear" w:color="auto" w:fill="E0E1DF"/>
          </w:tcPr>
          <w:p>
            <w:pPr>
              <w:spacing w:after="0"/>
              <w:rPr>
                <w:sz w:val="14"/>
                <w:szCs w:val="14"/>
                <w:color w:val="auto"/>
              </w:rPr>
            </w:pPr>
          </w:p>
        </w:tc>
        <w:tc>
          <w:tcPr>
            <w:tcW w:w="320" w:type="dxa"/>
            <w:vAlign w:val="bottom"/>
            <w:shd w:val="clear" w:color="auto" w:fill="E0E1DF"/>
          </w:tcPr>
          <w:p>
            <w:pPr>
              <w:spacing w:after="0"/>
              <w:rPr>
                <w:sz w:val="14"/>
                <w:szCs w:val="14"/>
                <w:color w:val="auto"/>
              </w:rPr>
            </w:pPr>
          </w:p>
        </w:tc>
        <w:tc>
          <w:tcPr>
            <w:tcW w:w="7680" w:type="dxa"/>
            <w:vAlign w:val="bottom"/>
            <w:shd w:val="clear" w:color="auto" w:fill="E0E1DF"/>
          </w:tcPr>
          <w:p>
            <w:pPr>
              <w:ind w:left="20"/>
              <w:spacing w:after="0"/>
              <w:rPr>
                <w:sz w:val="20"/>
                <w:szCs w:val="20"/>
                <w:color w:val="auto"/>
              </w:rPr>
            </w:pPr>
            <w:r>
              <w:rPr>
                <w:rFonts w:ascii="Arial" w:cs="Arial" w:eastAsia="Arial" w:hAnsi="Arial"/>
                <w:sz w:val="14"/>
                <w:szCs w:val="14"/>
                <w:color w:val="333740"/>
              </w:rPr>
              <w:t>absolute financial metric that measures management’s ability to eﬃciently allocate capital, and</w:t>
            </w:r>
          </w:p>
        </w:tc>
        <w:tc>
          <w:tcPr>
            <w:tcW w:w="0" w:type="dxa"/>
            <w:vAlign w:val="bottom"/>
          </w:tcPr>
          <w:p>
            <w:pPr>
              <w:spacing w:after="0"/>
              <w:rPr>
                <w:sz w:val="1"/>
                <w:szCs w:val="1"/>
                <w:color w:val="auto"/>
              </w:rPr>
            </w:pPr>
          </w:p>
        </w:tc>
      </w:tr>
      <w:tr>
        <w:trPr>
          <w:trHeight w:val="167"/>
        </w:trPr>
        <w:tc>
          <w:tcPr>
            <w:tcW w:w="260" w:type="dxa"/>
            <w:vAlign w:val="bottom"/>
            <w:shd w:val="clear" w:color="auto" w:fill="E0E1DF"/>
          </w:tcPr>
          <w:p>
            <w:pPr>
              <w:spacing w:after="0"/>
              <w:rPr>
                <w:sz w:val="14"/>
                <w:szCs w:val="14"/>
                <w:color w:val="auto"/>
              </w:rPr>
            </w:pPr>
          </w:p>
        </w:tc>
        <w:tc>
          <w:tcPr>
            <w:tcW w:w="3000" w:type="dxa"/>
            <w:vAlign w:val="bottom"/>
            <w:shd w:val="clear" w:color="auto" w:fill="E0E1DF"/>
          </w:tcPr>
          <w:p>
            <w:pPr>
              <w:spacing w:after="0"/>
              <w:rPr>
                <w:sz w:val="14"/>
                <w:szCs w:val="14"/>
                <w:color w:val="auto"/>
              </w:rPr>
            </w:pPr>
          </w:p>
        </w:tc>
        <w:tc>
          <w:tcPr>
            <w:tcW w:w="320" w:type="dxa"/>
            <w:vAlign w:val="bottom"/>
            <w:shd w:val="clear" w:color="auto" w:fill="E0E1DF"/>
          </w:tcPr>
          <w:p>
            <w:pPr>
              <w:spacing w:after="0"/>
              <w:rPr>
                <w:sz w:val="14"/>
                <w:szCs w:val="14"/>
                <w:color w:val="auto"/>
              </w:rPr>
            </w:pPr>
          </w:p>
        </w:tc>
        <w:tc>
          <w:tcPr>
            <w:tcW w:w="7680" w:type="dxa"/>
            <w:vAlign w:val="bottom"/>
            <w:shd w:val="clear" w:color="auto" w:fill="E0E1DF"/>
          </w:tcPr>
          <w:p>
            <w:pPr>
              <w:ind w:left="20"/>
              <w:spacing w:after="0"/>
              <w:rPr>
                <w:sz w:val="20"/>
                <w:szCs w:val="20"/>
                <w:color w:val="auto"/>
              </w:rPr>
            </w:pPr>
            <w:r>
              <w:rPr>
                <w:rFonts w:ascii="Arial" w:cs="Arial" w:eastAsia="Arial" w:hAnsi="Arial"/>
                <w:sz w:val="14"/>
                <w:szCs w:val="14"/>
                <w:color w:val="333740"/>
              </w:rPr>
              <w:t>performance for ROIC is measured against an internal target. The relative TSR metric is based on share</w:t>
            </w:r>
          </w:p>
        </w:tc>
        <w:tc>
          <w:tcPr>
            <w:tcW w:w="0" w:type="dxa"/>
            <w:vAlign w:val="bottom"/>
          </w:tcPr>
          <w:p>
            <w:pPr>
              <w:spacing w:after="0"/>
              <w:rPr>
                <w:sz w:val="1"/>
                <w:szCs w:val="1"/>
                <w:color w:val="auto"/>
              </w:rPr>
            </w:pPr>
          </w:p>
        </w:tc>
      </w:tr>
      <w:tr>
        <w:trPr>
          <w:trHeight w:val="167"/>
        </w:trPr>
        <w:tc>
          <w:tcPr>
            <w:tcW w:w="260" w:type="dxa"/>
            <w:vAlign w:val="bottom"/>
            <w:shd w:val="clear" w:color="auto" w:fill="E0E1DF"/>
          </w:tcPr>
          <w:p>
            <w:pPr>
              <w:spacing w:after="0"/>
              <w:rPr>
                <w:sz w:val="14"/>
                <w:szCs w:val="14"/>
                <w:color w:val="auto"/>
              </w:rPr>
            </w:pPr>
          </w:p>
        </w:tc>
        <w:tc>
          <w:tcPr>
            <w:tcW w:w="3000" w:type="dxa"/>
            <w:vAlign w:val="bottom"/>
            <w:shd w:val="clear" w:color="auto" w:fill="E0E1DF"/>
          </w:tcPr>
          <w:p>
            <w:pPr>
              <w:spacing w:after="0"/>
              <w:rPr>
                <w:sz w:val="14"/>
                <w:szCs w:val="14"/>
                <w:color w:val="auto"/>
              </w:rPr>
            </w:pPr>
          </w:p>
        </w:tc>
        <w:tc>
          <w:tcPr>
            <w:tcW w:w="320" w:type="dxa"/>
            <w:vAlign w:val="bottom"/>
            <w:shd w:val="clear" w:color="auto" w:fill="E0E1DF"/>
          </w:tcPr>
          <w:p>
            <w:pPr>
              <w:spacing w:after="0"/>
              <w:rPr>
                <w:sz w:val="14"/>
                <w:szCs w:val="14"/>
                <w:color w:val="auto"/>
              </w:rPr>
            </w:pPr>
          </w:p>
        </w:tc>
        <w:tc>
          <w:tcPr>
            <w:tcW w:w="7680" w:type="dxa"/>
            <w:vAlign w:val="bottom"/>
            <w:shd w:val="clear" w:color="auto" w:fill="E0E1DF"/>
          </w:tcPr>
          <w:p>
            <w:pPr>
              <w:ind w:left="20"/>
              <w:spacing w:after="0"/>
              <w:rPr>
                <w:sz w:val="20"/>
                <w:szCs w:val="20"/>
                <w:color w:val="auto"/>
              </w:rPr>
            </w:pPr>
            <w:r>
              <w:rPr>
                <w:rFonts w:ascii="Arial" w:cs="Arial" w:eastAsia="Arial" w:hAnsi="Arial"/>
                <w:sz w:val="14"/>
                <w:szCs w:val="14"/>
                <w:color w:val="333740"/>
              </w:rPr>
              <w:t>price performance relative to an external peer group. Due to the cyclical nature of the oil and gas</w:t>
            </w:r>
          </w:p>
        </w:tc>
        <w:tc>
          <w:tcPr>
            <w:tcW w:w="0" w:type="dxa"/>
            <w:vAlign w:val="bottom"/>
          </w:tcPr>
          <w:p>
            <w:pPr>
              <w:spacing w:after="0"/>
              <w:rPr>
                <w:sz w:val="1"/>
                <w:szCs w:val="1"/>
                <w:color w:val="auto"/>
              </w:rPr>
            </w:pPr>
          </w:p>
        </w:tc>
      </w:tr>
      <w:tr>
        <w:trPr>
          <w:trHeight w:val="167"/>
        </w:trPr>
        <w:tc>
          <w:tcPr>
            <w:tcW w:w="260" w:type="dxa"/>
            <w:vAlign w:val="bottom"/>
            <w:shd w:val="clear" w:color="auto" w:fill="E0E1DF"/>
          </w:tcPr>
          <w:p>
            <w:pPr>
              <w:spacing w:after="0"/>
              <w:rPr>
                <w:sz w:val="14"/>
                <w:szCs w:val="14"/>
                <w:color w:val="auto"/>
              </w:rPr>
            </w:pPr>
          </w:p>
        </w:tc>
        <w:tc>
          <w:tcPr>
            <w:tcW w:w="3000" w:type="dxa"/>
            <w:vAlign w:val="bottom"/>
            <w:shd w:val="clear" w:color="auto" w:fill="E0E1DF"/>
          </w:tcPr>
          <w:p>
            <w:pPr>
              <w:spacing w:after="0"/>
              <w:rPr>
                <w:sz w:val="14"/>
                <w:szCs w:val="14"/>
                <w:color w:val="auto"/>
              </w:rPr>
            </w:pPr>
          </w:p>
        </w:tc>
        <w:tc>
          <w:tcPr>
            <w:tcW w:w="320" w:type="dxa"/>
            <w:vAlign w:val="bottom"/>
            <w:shd w:val="clear" w:color="auto" w:fill="E0E1DF"/>
          </w:tcPr>
          <w:p>
            <w:pPr>
              <w:spacing w:after="0"/>
              <w:rPr>
                <w:sz w:val="14"/>
                <w:szCs w:val="14"/>
                <w:color w:val="auto"/>
              </w:rPr>
            </w:pPr>
          </w:p>
        </w:tc>
        <w:tc>
          <w:tcPr>
            <w:tcW w:w="7680" w:type="dxa"/>
            <w:vAlign w:val="bottom"/>
            <w:shd w:val="clear" w:color="auto" w:fill="E0E1DF"/>
          </w:tcPr>
          <w:p>
            <w:pPr>
              <w:ind w:left="20"/>
              <w:spacing w:after="0"/>
              <w:rPr>
                <w:sz w:val="20"/>
                <w:szCs w:val="20"/>
                <w:color w:val="auto"/>
              </w:rPr>
            </w:pPr>
            <w:r>
              <w:rPr>
                <w:rFonts w:ascii="Arial" w:cs="Arial" w:eastAsia="Arial" w:hAnsi="Arial"/>
                <w:sz w:val="14"/>
                <w:szCs w:val="14"/>
                <w:color w:val="333740"/>
              </w:rPr>
              <w:t>industry, shareholders have supported inclusion of both internal and external metrics in long-term equity</w:t>
            </w:r>
          </w:p>
        </w:tc>
        <w:tc>
          <w:tcPr>
            <w:tcW w:w="0" w:type="dxa"/>
            <w:vAlign w:val="bottom"/>
          </w:tcPr>
          <w:p>
            <w:pPr>
              <w:spacing w:after="0"/>
              <w:rPr>
                <w:sz w:val="1"/>
                <w:szCs w:val="1"/>
                <w:color w:val="auto"/>
              </w:rPr>
            </w:pPr>
          </w:p>
        </w:tc>
      </w:tr>
      <w:tr>
        <w:trPr>
          <w:trHeight w:val="225"/>
        </w:trPr>
        <w:tc>
          <w:tcPr>
            <w:tcW w:w="260" w:type="dxa"/>
            <w:vAlign w:val="bottom"/>
            <w:shd w:val="clear" w:color="auto" w:fill="E0E1DF"/>
          </w:tcPr>
          <w:p>
            <w:pPr>
              <w:spacing w:after="0"/>
              <w:rPr>
                <w:sz w:val="19"/>
                <w:szCs w:val="19"/>
                <w:color w:val="auto"/>
              </w:rPr>
            </w:pPr>
          </w:p>
        </w:tc>
        <w:tc>
          <w:tcPr>
            <w:tcW w:w="3000" w:type="dxa"/>
            <w:vAlign w:val="bottom"/>
            <w:shd w:val="clear" w:color="auto" w:fill="E0E1DF"/>
          </w:tcPr>
          <w:p>
            <w:pPr>
              <w:spacing w:after="0"/>
              <w:rPr>
                <w:sz w:val="19"/>
                <w:szCs w:val="19"/>
                <w:color w:val="auto"/>
              </w:rPr>
            </w:pPr>
          </w:p>
        </w:tc>
        <w:tc>
          <w:tcPr>
            <w:tcW w:w="320" w:type="dxa"/>
            <w:vAlign w:val="bottom"/>
            <w:shd w:val="clear" w:color="auto" w:fill="E0E1DF"/>
          </w:tcPr>
          <w:p>
            <w:pPr>
              <w:spacing w:after="0"/>
              <w:rPr>
                <w:sz w:val="19"/>
                <w:szCs w:val="19"/>
                <w:color w:val="auto"/>
              </w:rPr>
            </w:pPr>
          </w:p>
        </w:tc>
        <w:tc>
          <w:tcPr>
            <w:tcW w:w="7680" w:type="dxa"/>
            <w:vAlign w:val="bottom"/>
            <w:shd w:val="clear" w:color="auto" w:fill="E0E1DF"/>
          </w:tcPr>
          <w:p>
            <w:pPr>
              <w:ind w:left="20"/>
              <w:spacing w:after="0"/>
              <w:rPr>
                <w:sz w:val="20"/>
                <w:szCs w:val="20"/>
                <w:color w:val="auto"/>
              </w:rPr>
            </w:pPr>
            <w:r>
              <w:rPr>
                <w:rFonts w:ascii="Arial" w:cs="Arial" w:eastAsia="Arial" w:hAnsi="Arial"/>
                <w:sz w:val="14"/>
                <w:szCs w:val="14"/>
                <w:color w:val="333740"/>
              </w:rPr>
              <w:t>incentive plans.</w:t>
            </w:r>
          </w:p>
        </w:tc>
        <w:tc>
          <w:tcPr>
            <w:tcW w:w="0" w:type="dxa"/>
            <w:vAlign w:val="bottom"/>
          </w:tcPr>
          <w:p>
            <w:pPr>
              <w:spacing w:after="0"/>
              <w:rPr>
                <w:sz w:val="1"/>
                <w:szCs w:val="1"/>
                <w:color w:val="auto"/>
              </w:rPr>
            </w:pPr>
          </w:p>
        </w:tc>
      </w:tr>
      <w:tr>
        <w:trPr>
          <w:trHeight w:val="193"/>
        </w:trPr>
        <w:tc>
          <w:tcPr>
            <w:tcW w:w="260" w:type="dxa"/>
            <w:vAlign w:val="bottom"/>
            <w:shd w:val="clear" w:color="auto" w:fill="E0E1DF"/>
          </w:tcPr>
          <w:p>
            <w:pPr>
              <w:spacing w:after="0"/>
              <w:rPr>
                <w:sz w:val="16"/>
                <w:szCs w:val="16"/>
                <w:color w:val="auto"/>
              </w:rPr>
            </w:pPr>
          </w:p>
        </w:tc>
        <w:tc>
          <w:tcPr>
            <w:tcW w:w="3000" w:type="dxa"/>
            <w:vAlign w:val="bottom"/>
            <w:shd w:val="clear" w:color="auto" w:fill="E0E1DF"/>
          </w:tcPr>
          <w:p>
            <w:pPr>
              <w:spacing w:after="0"/>
              <w:rPr>
                <w:sz w:val="16"/>
                <w:szCs w:val="16"/>
                <w:color w:val="auto"/>
              </w:rPr>
            </w:pPr>
          </w:p>
        </w:tc>
        <w:tc>
          <w:tcPr>
            <w:tcW w:w="320" w:type="dxa"/>
            <w:vAlign w:val="bottom"/>
            <w:shd w:val="clear" w:color="auto" w:fill="E0E1DF"/>
          </w:tcPr>
          <w:p>
            <w:pPr>
              <w:spacing w:after="0"/>
              <w:rPr>
                <w:sz w:val="16"/>
                <w:szCs w:val="16"/>
                <w:color w:val="auto"/>
              </w:rPr>
            </w:pPr>
          </w:p>
        </w:tc>
        <w:tc>
          <w:tcPr>
            <w:tcW w:w="7680" w:type="dxa"/>
            <w:vAlign w:val="bottom"/>
            <w:shd w:val="clear" w:color="auto" w:fill="E0E1DF"/>
          </w:tcPr>
          <w:p>
            <w:pPr>
              <w:ind w:left="40"/>
              <w:spacing w:after="0"/>
              <w:rPr>
                <w:sz w:val="20"/>
                <w:szCs w:val="20"/>
                <w:color w:val="auto"/>
              </w:rPr>
            </w:pPr>
            <w:r>
              <w:rPr>
                <w:rFonts w:ascii="Arial" w:cs="Arial" w:eastAsia="Arial" w:hAnsi="Arial"/>
                <w:sz w:val="14"/>
                <w:szCs w:val="14"/>
                <w:color w:val="333740"/>
              </w:rPr>
              <w:t>Our CEO’s annual cash incentive bonus in 2019 was based on Company performance measures and</w:t>
            </w:r>
          </w:p>
        </w:tc>
        <w:tc>
          <w:tcPr>
            <w:tcW w:w="0" w:type="dxa"/>
            <w:vAlign w:val="bottom"/>
          </w:tcPr>
          <w:p>
            <w:pPr>
              <w:spacing w:after="0"/>
              <w:rPr>
                <w:sz w:val="1"/>
                <w:szCs w:val="1"/>
                <w:color w:val="auto"/>
              </w:rPr>
            </w:pPr>
          </w:p>
        </w:tc>
      </w:tr>
      <w:tr>
        <w:trPr>
          <w:trHeight w:val="167"/>
        </w:trPr>
        <w:tc>
          <w:tcPr>
            <w:tcW w:w="260" w:type="dxa"/>
            <w:vAlign w:val="bottom"/>
            <w:shd w:val="clear" w:color="auto" w:fill="E0E1DF"/>
          </w:tcPr>
          <w:p>
            <w:pPr>
              <w:spacing w:after="0"/>
              <w:rPr>
                <w:sz w:val="14"/>
                <w:szCs w:val="14"/>
                <w:color w:val="auto"/>
              </w:rPr>
            </w:pPr>
          </w:p>
        </w:tc>
        <w:tc>
          <w:tcPr>
            <w:tcW w:w="3000" w:type="dxa"/>
            <w:vAlign w:val="bottom"/>
            <w:shd w:val="clear" w:color="auto" w:fill="E0E1DF"/>
          </w:tcPr>
          <w:p>
            <w:pPr>
              <w:spacing w:after="0"/>
              <w:rPr>
                <w:sz w:val="14"/>
                <w:szCs w:val="14"/>
                <w:color w:val="auto"/>
              </w:rPr>
            </w:pPr>
          </w:p>
        </w:tc>
        <w:tc>
          <w:tcPr>
            <w:tcW w:w="320" w:type="dxa"/>
            <w:vAlign w:val="bottom"/>
            <w:shd w:val="clear" w:color="auto" w:fill="E0E1DF"/>
          </w:tcPr>
          <w:p>
            <w:pPr>
              <w:spacing w:after="0"/>
              <w:rPr>
                <w:sz w:val="14"/>
                <w:szCs w:val="14"/>
                <w:color w:val="auto"/>
              </w:rPr>
            </w:pPr>
          </w:p>
        </w:tc>
        <w:tc>
          <w:tcPr>
            <w:tcW w:w="7680" w:type="dxa"/>
            <w:vAlign w:val="bottom"/>
            <w:shd w:val="clear" w:color="auto" w:fill="E0E1DF"/>
          </w:tcPr>
          <w:p>
            <w:pPr>
              <w:ind w:left="20"/>
              <w:spacing w:after="0"/>
              <w:rPr>
                <w:sz w:val="20"/>
                <w:szCs w:val="20"/>
                <w:color w:val="auto"/>
              </w:rPr>
            </w:pPr>
            <w:r>
              <w:rPr>
                <w:rFonts w:ascii="Arial" w:cs="Arial" w:eastAsia="Arial" w:hAnsi="Arial"/>
                <w:sz w:val="14"/>
                <w:szCs w:val="14"/>
                <w:color w:val="333740"/>
              </w:rPr>
              <w:t>individual performance, the latter of which was based on specific objectives, including certain</w:t>
            </w:r>
          </w:p>
        </w:tc>
        <w:tc>
          <w:tcPr>
            <w:tcW w:w="0" w:type="dxa"/>
            <w:vAlign w:val="bottom"/>
          </w:tcPr>
          <w:p>
            <w:pPr>
              <w:spacing w:after="0"/>
              <w:rPr>
                <w:sz w:val="1"/>
                <w:szCs w:val="1"/>
                <w:color w:val="auto"/>
              </w:rPr>
            </w:pPr>
          </w:p>
        </w:tc>
      </w:tr>
      <w:tr>
        <w:trPr>
          <w:trHeight w:val="225"/>
        </w:trPr>
        <w:tc>
          <w:tcPr>
            <w:tcW w:w="260" w:type="dxa"/>
            <w:vAlign w:val="bottom"/>
            <w:shd w:val="clear" w:color="auto" w:fill="E0E1DF"/>
          </w:tcPr>
          <w:p>
            <w:pPr>
              <w:spacing w:after="0"/>
              <w:rPr>
                <w:sz w:val="19"/>
                <w:szCs w:val="19"/>
                <w:color w:val="auto"/>
              </w:rPr>
            </w:pPr>
          </w:p>
        </w:tc>
        <w:tc>
          <w:tcPr>
            <w:tcW w:w="3000" w:type="dxa"/>
            <w:vAlign w:val="bottom"/>
            <w:shd w:val="clear" w:color="auto" w:fill="E0E1DF"/>
          </w:tcPr>
          <w:p>
            <w:pPr>
              <w:spacing w:after="0"/>
              <w:rPr>
                <w:sz w:val="19"/>
                <w:szCs w:val="19"/>
                <w:color w:val="auto"/>
              </w:rPr>
            </w:pPr>
          </w:p>
        </w:tc>
        <w:tc>
          <w:tcPr>
            <w:tcW w:w="320" w:type="dxa"/>
            <w:vAlign w:val="bottom"/>
            <w:shd w:val="clear" w:color="auto" w:fill="E0E1DF"/>
          </w:tcPr>
          <w:p>
            <w:pPr>
              <w:spacing w:after="0"/>
              <w:rPr>
                <w:sz w:val="19"/>
                <w:szCs w:val="19"/>
                <w:color w:val="auto"/>
              </w:rPr>
            </w:pPr>
          </w:p>
        </w:tc>
        <w:tc>
          <w:tcPr>
            <w:tcW w:w="7680" w:type="dxa"/>
            <w:vAlign w:val="bottom"/>
            <w:shd w:val="clear" w:color="auto" w:fill="E0E1DF"/>
          </w:tcPr>
          <w:p>
            <w:pPr>
              <w:ind w:left="20"/>
              <w:spacing w:after="0"/>
              <w:rPr>
                <w:sz w:val="20"/>
                <w:szCs w:val="20"/>
                <w:color w:val="auto"/>
              </w:rPr>
            </w:pPr>
            <w:r>
              <w:rPr>
                <w:rFonts w:ascii="Arial" w:cs="Arial" w:eastAsia="Arial" w:hAnsi="Arial"/>
                <w:sz w:val="14"/>
                <w:szCs w:val="14"/>
                <w:color w:val="333740"/>
              </w:rPr>
              <w:t>sustainability objectives to further reinforce the Company’s commitment to our Foundational Beliefs.</w:t>
            </w:r>
          </w:p>
        </w:tc>
        <w:tc>
          <w:tcPr>
            <w:tcW w:w="0" w:type="dxa"/>
            <w:vAlign w:val="bottom"/>
          </w:tcPr>
          <w:p>
            <w:pPr>
              <w:spacing w:after="0"/>
              <w:rPr>
                <w:sz w:val="1"/>
                <w:szCs w:val="1"/>
                <w:color w:val="auto"/>
              </w:rPr>
            </w:pPr>
          </w:p>
        </w:tc>
      </w:tr>
      <w:tr>
        <w:trPr>
          <w:trHeight w:val="396"/>
        </w:trPr>
        <w:tc>
          <w:tcPr>
            <w:tcW w:w="3260" w:type="dxa"/>
            <w:vAlign w:val="bottom"/>
            <w:gridSpan w:val="2"/>
            <w:shd w:val="clear" w:color="auto" w:fill="E0E1DF"/>
          </w:tcPr>
          <w:p>
            <w:pPr>
              <w:ind w:left="180"/>
              <w:spacing w:after="0"/>
              <w:rPr>
                <w:sz w:val="20"/>
                <w:szCs w:val="20"/>
                <w:color w:val="auto"/>
              </w:rPr>
            </w:pPr>
            <w:r>
              <w:rPr>
                <w:rFonts w:ascii="Arial" w:cs="Arial" w:eastAsia="Arial" w:hAnsi="Arial"/>
                <w:sz w:val="14"/>
                <w:szCs w:val="14"/>
                <w:b w:val="1"/>
                <w:bCs w:val="1"/>
                <w:color w:val="333740"/>
              </w:rPr>
              <w:t>Consider increasing the at-risk</w:t>
            </w:r>
          </w:p>
        </w:tc>
        <w:tc>
          <w:tcPr>
            <w:tcW w:w="320" w:type="dxa"/>
            <w:vAlign w:val="bottom"/>
            <w:shd w:val="clear" w:color="auto" w:fill="E0E1DF"/>
          </w:tcPr>
          <w:p>
            <w:pPr>
              <w:spacing w:after="0"/>
              <w:rPr>
                <w:sz w:val="24"/>
                <w:szCs w:val="24"/>
                <w:color w:val="auto"/>
              </w:rPr>
            </w:pPr>
          </w:p>
        </w:tc>
        <w:tc>
          <w:tcPr>
            <w:tcW w:w="7680" w:type="dxa"/>
            <w:vAlign w:val="bottom"/>
            <w:shd w:val="clear" w:color="auto" w:fill="E0E1DF"/>
          </w:tcPr>
          <w:p>
            <w:pPr>
              <w:ind w:left="40"/>
              <w:spacing w:after="0"/>
              <w:rPr>
                <w:sz w:val="20"/>
                <w:szCs w:val="20"/>
                <w:color w:val="auto"/>
              </w:rPr>
            </w:pPr>
            <w:r>
              <w:rPr>
                <w:rFonts w:ascii="Arial" w:cs="Arial" w:eastAsia="Arial" w:hAnsi="Arial"/>
                <w:sz w:val="14"/>
                <w:szCs w:val="14"/>
                <w:color w:val="333740"/>
              </w:rPr>
              <w:t>For 2020, we will discontinue use of stock options, and performance- based equity will represent 70% of annual equity</w:t>
            </w:r>
          </w:p>
        </w:tc>
        <w:tc>
          <w:tcPr>
            <w:tcW w:w="0" w:type="dxa"/>
            <w:vAlign w:val="bottom"/>
          </w:tcPr>
          <w:p>
            <w:pPr>
              <w:spacing w:after="0"/>
              <w:rPr>
                <w:sz w:val="1"/>
                <w:szCs w:val="1"/>
                <w:color w:val="auto"/>
              </w:rPr>
            </w:pPr>
          </w:p>
        </w:tc>
      </w:tr>
      <w:tr>
        <w:trPr>
          <w:trHeight w:val="156"/>
        </w:trPr>
        <w:tc>
          <w:tcPr>
            <w:tcW w:w="3260" w:type="dxa"/>
            <w:vAlign w:val="bottom"/>
            <w:gridSpan w:val="2"/>
            <w:shd w:val="clear" w:color="auto" w:fill="E0E1DF"/>
          </w:tcPr>
          <w:p>
            <w:pPr>
              <w:ind w:left="180"/>
              <w:spacing w:after="0" w:line="155" w:lineRule="exact"/>
              <w:rPr>
                <w:sz w:val="20"/>
                <w:szCs w:val="20"/>
                <w:color w:val="auto"/>
              </w:rPr>
            </w:pPr>
            <w:r>
              <w:rPr>
                <w:rFonts w:ascii="Arial" w:cs="Arial" w:eastAsia="Arial" w:hAnsi="Arial"/>
                <w:sz w:val="14"/>
                <w:szCs w:val="14"/>
                <w:b w:val="1"/>
                <w:bCs w:val="1"/>
                <w:color w:val="333740"/>
              </w:rPr>
              <w:t>portion</w:t>
            </w:r>
          </w:p>
        </w:tc>
        <w:tc>
          <w:tcPr>
            <w:tcW w:w="320" w:type="dxa"/>
            <w:vAlign w:val="bottom"/>
            <w:shd w:val="clear" w:color="auto" w:fill="E0E1DF"/>
          </w:tcPr>
          <w:p>
            <w:pPr>
              <w:spacing w:after="0"/>
              <w:rPr>
                <w:sz w:val="13"/>
                <w:szCs w:val="13"/>
                <w:color w:val="auto"/>
              </w:rPr>
            </w:pPr>
          </w:p>
        </w:tc>
        <w:tc>
          <w:tcPr>
            <w:tcW w:w="7680" w:type="dxa"/>
            <w:vAlign w:val="bottom"/>
            <w:shd w:val="clear" w:color="auto" w:fill="E0E1DF"/>
          </w:tcPr>
          <w:p>
            <w:pPr>
              <w:ind w:left="20"/>
              <w:spacing w:after="0" w:line="155" w:lineRule="exact"/>
              <w:rPr>
                <w:sz w:val="20"/>
                <w:szCs w:val="20"/>
                <w:color w:val="auto"/>
              </w:rPr>
            </w:pPr>
            <w:r>
              <w:rPr>
                <w:rFonts w:ascii="Arial" w:cs="Arial" w:eastAsia="Arial" w:hAnsi="Arial"/>
                <w:sz w:val="14"/>
                <w:szCs w:val="14"/>
                <w:color w:val="333740"/>
              </w:rPr>
              <w:t>awards.</w:t>
            </w:r>
          </w:p>
        </w:tc>
        <w:tc>
          <w:tcPr>
            <w:tcW w:w="0" w:type="dxa"/>
            <w:vAlign w:val="bottom"/>
          </w:tcPr>
          <w:p>
            <w:pPr>
              <w:spacing w:after="0"/>
              <w:rPr>
                <w:sz w:val="1"/>
                <w:szCs w:val="1"/>
                <w:color w:val="auto"/>
              </w:rPr>
            </w:pPr>
          </w:p>
        </w:tc>
      </w:tr>
      <w:tr>
        <w:trPr>
          <w:trHeight w:val="225"/>
        </w:trPr>
        <w:tc>
          <w:tcPr>
            <w:tcW w:w="3260" w:type="dxa"/>
            <w:vAlign w:val="bottom"/>
            <w:gridSpan w:val="2"/>
            <w:shd w:val="clear" w:color="auto" w:fill="E0E1DF"/>
          </w:tcPr>
          <w:p>
            <w:pPr>
              <w:ind w:left="180"/>
              <w:spacing w:after="0"/>
              <w:rPr>
                <w:sz w:val="20"/>
                <w:szCs w:val="20"/>
                <w:color w:val="auto"/>
              </w:rPr>
            </w:pPr>
            <w:r>
              <w:rPr>
                <w:rFonts w:ascii="Arial" w:cs="Arial" w:eastAsia="Arial" w:hAnsi="Arial"/>
                <w:sz w:val="14"/>
                <w:szCs w:val="14"/>
                <w:b w:val="1"/>
                <w:bCs w:val="1"/>
                <w:color w:val="333740"/>
              </w:rPr>
              <w:t>of executive compensation</w:t>
            </w:r>
          </w:p>
        </w:tc>
        <w:tc>
          <w:tcPr>
            <w:tcW w:w="320" w:type="dxa"/>
            <w:vAlign w:val="bottom"/>
            <w:shd w:val="clear" w:color="auto" w:fill="E0E1DF"/>
          </w:tcPr>
          <w:p>
            <w:pPr>
              <w:spacing w:after="0"/>
              <w:rPr>
                <w:sz w:val="19"/>
                <w:szCs w:val="19"/>
                <w:color w:val="auto"/>
              </w:rPr>
            </w:pPr>
          </w:p>
        </w:tc>
        <w:tc>
          <w:tcPr>
            <w:tcW w:w="7680" w:type="dxa"/>
            <w:vAlign w:val="bottom"/>
            <w:shd w:val="clear" w:color="auto" w:fill="E0E1D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0" w:type="dxa"/>
            <w:vAlign w:val="bottom"/>
            <w:shd w:val="clear" w:color="auto" w:fill="E0E1DF"/>
          </w:tcPr>
          <w:p>
            <w:pPr>
              <w:spacing w:after="0"/>
              <w:rPr>
                <w:sz w:val="16"/>
                <w:szCs w:val="16"/>
                <w:color w:val="auto"/>
              </w:rPr>
            </w:pPr>
          </w:p>
        </w:tc>
        <w:tc>
          <w:tcPr>
            <w:tcW w:w="3000" w:type="dxa"/>
            <w:vAlign w:val="bottom"/>
            <w:shd w:val="clear" w:color="auto" w:fill="E0E1DF"/>
          </w:tcPr>
          <w:p>
            <w:pPr>
              <w:ind w:left="80"/>
              <w:spacing w:after="0"/>
              <w:rPr>
                <w:sz w:val="20"/>
                <w:szCs w:val="20"/>
                <w:color w:val="auto"/>
              </w:rPr>
            </w:pPr>
            <w:r>
              <w:rPr>
                <w:rFonts w:ascii="Arial" w:cs="Arial" w:eastAsia="Arial" w:hAnsi="Arial"/>
                <w:sz w:val="14"/>
                <w:szCs w:val="14"/>
                <w:color w:val="333740"/>
              </w:rPr>
              <w:t>Some shareholders do not consider</w:t>
            </w:r>
          </w:p>
        </w:tc>
        <w:tc>
          <w:tcPr>
            <w:tcW w:w="320" w:type="dxa"/>
            <w:vAlign w:val="bottom"/>
            <w:shd w:val="clear" w:color="auto" w:fill="E0E1DF"/>
          </w:tcPr>
          <w:p>
            <w:pPr>
              <w:spacing w:after="0"/>
              <w:rPr>
                <w:sz w:val="16"/>
                <w:szCs w:val="16"/>
                <w:color w:val="auto"/>
              </w:rPr>
            </w:pPr>
          </w:p>
        </w:tc>
        <w:tc>
          <w:tcPr>
            <w:tcW w:w="7680" w:type="dxa"/>
            <w:vAlign w:val="bottom"/>
            <w:shd w:val="clear" w:color="auto" w:fill="E0E1D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60" w:type="dxa"/>
            <w:vAlign w:val="bottom"/>
            <w:shd w:val="clear" w:color="auto" w:fill="E0E1DF"/>
          </w:tcPr>
          <w:p>
            <w:pPr>
              <w:spacing w:after="0"/>
              <w:rPr>
                <w:sz w:val="14"/>
                <w:szCs w:val="14"/>
                <w:color w:val="auto"/>
              </w:rPr>
            </w:pPr>
          </w:p>
        </w:tc>
        <w:tc>
          <w:tcPr>
            <w:tcW w:w="3000" w:type="dxa"/>
            <w:vAlign w:val="bottom"/>
            <w:shd w:val="clear" w:color="auto" w:fill="E0E1DF"/>
          </w:tcPr>
          <w:p>
            <w:pPr>
              <w:ind w:left="80"/>
              <w:spacing w:after="0"/>
              <w:rPr>
                <w:sz w:val="20"/>
                <w:szCs w:val="20"/>
                <w:color w:val="auto"/>
              </w:rPr>
            </w:pPr>
            <w:r>
              <w:rPr>
                <w:rFonts w:ascii="Arial" w:cs="Arial" w:eastAsia="Arial" w:hAnsi="Arial"/>
                <w:sz w:val="14"/>
                <w:szCs w:val="14"/>
                <w:color w:val="333740"/>
              </w:rPr>
              <w:t>stock options as at-risk as they believe</w:t>
            </w:r>
          </w:p>
        </w:tc>
        <w:tc>
          <w:tcPr>
            <w:tcW w:w="320" w:type="dxa"/>
            <w:vAlign w:val="bottom"/>
            <w:shd w:val="clear" w:color="auto" w:fill="E0E1DF"/>
          </w:tcPr>
          <w:p>
            <w:pPr>
              <w:spacing w:after="0"/>
              <w:rPr>
                <w:sz w:val="14"/>
                <w:szCs w:val="14"/>
                <w:color w:val="auto"/>
              </w:rPr>
            </w:pPr>
          </w:p>
        </w:tc>
        <w:tc>
          <w:tcPr>
            <w:tcW w:w="7680" w:type="dxa"/>
            <w:vAlign w:val="bottom"/>
            <w:shd w:val="clear" w:color="auto" w:fill="E0E1D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 w:type="dxa"/>
            <w:vAlign w:val="bottom"/>
            <w:shd w:val="clear" w:color="auto" w:fill="E0E1DF"/>
          </w:tcPr>
          <w:p>
            <w:pPr>
              <w:spacing w:after="0"/>
              <w:rPr>
                <w:sz w:val="14"/>
                <w:szCs w:val="14"/>
                <w:color w:val="auto"/>
              </w:rPr>
            </w:pPr>
          </w:p>
        </w:tc>
        <w:tc>
          <w:tcPr>
            <w:tcW w:w="3000" w:type="dxa"/>
            <w:vAlign w:val="bottom"/>
            <w:shd w:val="clear" w:color="auto" w:fill="E0E1DF"/>
          </w:tcPr>
          <w:p>
            <w:pPr>
              <w:ind w:left="80"/>
              <w:spacing w:after="0"/>
              <w:rPr>
                <w:sz w:val="20"/>
                <w:szCs w:val="20"/>
                <w:color w:val="auto"/>
              </w:rPr>
            </w:pPr>
            <w:r>
              <w:rPr>
                <w:rFonts w:ascii="Arial" w:cs="Arial" w:eastAsia="Arial" w:hAnsi="Arial"/>
                <w:sz w:val="14"/>
                <w:szCs w:val="14"/>
                <w:color w:val="333740"/>
              </w:rPr>
              <w:t>time-based stock options do not include</w:t>
            </w:r>
          </w:p>
        </w:tc>
        <w:tc>
          <w:tcPr>
            <w:tcW w:w="320" w:type="dxa"/>
            <w:vAlign w:val="bottom"/>
            <w:shd w:val="clear" w:color="auto" w:fill="E0E1DF"/>
          </w:tcPr>
          <w:p>
            <w:pPr>
              <w:spacing w:after="0"/>
              <w:rPr>
                <w:sz w:val="14"/>
                <w:szCs w:val="14"/>
                <w:color w:val="auto"/>
              </w:rPr>
            </w:pPr>
          </w:p>
        </w:tc>
        <w:tc>
          <w:tcPr>
            <w:tcW w:w="7680" w:type="dxa"/>
            <w:vAlign w:val="bottom"/>
            <w:shd w:val="clear" w:color="auto" w:fill="E0E1D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 w:type="dxa"/>
            <w:vAlign w:val="bottom"/>
            <w:shd w:val="clear" w:color="auto" w:fill="E0E1DF"/>
          </w:tcPr>
          <w:p>
            <w:pPr>
              <w:spacing w:after="0"/>
              <w:rPr>
                <w:sz w:val="14"/>
                <w:szCs w:val="14"/>
                <w:color w:val="auto"/>
              </w:rPr>
            </w:pPr>
          </w:p>
        </w:tc>
        <w:tc>
          <w:tcPr>
            <w:tcW w:w="3000" w:type="dxa"/>
            <w:vAlign w:val="bottom"/>
            <w:shd w:val="clear" w:color="auto" w:fill="E0E1DF"/>
          </w:tcPr>
          <w:p>
            <w:pPr>
              <w:ind w:left="80"/>
              <w:spacing w:after="0"/>
              <w:rPr>
                <w:sz w:val="20"/>
                <w:szCs w:val="20"/>
                <w:color w:val="auto"/>
              </w:rPr>
            </w:pPr>
            <w:r>
              <w:rPr>
                <w:rFonts w:ascii="Arial" w:cs="Arial" w:eastAsia="Arial" w:hAnsi="Arial"/>
                <w:sz w:val="14"/>
                <w:szCs w:val="14"/>
                <w:color w:val="333740"/>
              </w:rPr>
              <w:t>performance conditions despite their</w:t>
            </w:r>
          </w:p>
        </w:tc>
        <w:tc>
          <w:tcPr>
            <w:tcW w:w="320" w:type="dxa"/>
            <w:vAlign w:val="bottom"/>
            <w:shd w:val="clear" w:color="auto" w:fill="E0E1DF"/>
          </w:tcPr>
          <w:p>
            <w:pPr>
              <w:spacing w:after="0"/>
              <w:rPr>
                <w:sz w:val="14"/>
                <w:szCs w:val="14"/>
                <w:color w:val="auto"/>
              </w:rPr>
            </w:pPr>
          </w:p>
        </w:tc>
        <w:tc>
          <w:tcPr>
            <w:tcW w:w="7680" w:type="dxa"/>
            <w:vAlign w:val="bottom"/>
            <w:shd w:val="clear" w:color="auto" w:fill="E0E1D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60" w:type="dxa"/>
            <w:vAlign w:val="bottom"/>
            <w:shd w:val="clear" w:color="auto" w:fill="E0E1DF"/>
          </w:tcPr>
          <w:p>
            <w:pPr>
              <w:spacing w:after="0"/>
              <w:rPr>
                <w:sz w:val="19"/>
                <w:szCs w:val="19"/>
                <w:color w:val="auto"/>
              </w:rPr>
            </w:pPr>
          </w:p>
        </w:tc>
        <w:tc>
          <w:tcPr>
            <w:tcW w:w="3000" w:type="dxa"/>
            <w:vAlign w:val="bottom"/>
            <w:shd w:val="clear" w:color="auto" w:fill="E0E1DF"/>
          </w:tcPr>
          <w:p>
            <w:pPr>
              <w:ind w:left="80"/>
              <w:spacing w:after="0"/>
              <w:rPr>
                <w:sz w:val="20"/>
                <w:szCs w:val="20"/>
                <w:color w:val="auto"/>
              </w:rPr>
            </w:pPr>
            <w:r>
              <w:rPr>
                <w:rFonts w:ascii="Arial" w:cs="Arial" w:eastAsia="Arial" w:hAnsi="Arial"/>
                <w:sz w:val="14"/>
                <w:szCs w:val="14"/>
                <w:color w:val="333740"/>
              </w:rPr>
              <w:t>intrinsic performance threshold</w:t>
            </w:r>
          </w:p>
        </w:tc>
        <w:tc>
          <w:tcPr>
            <w:tcW w:w="320" w:type="dxa"/>
            <w:vAlign w:val="bottom"/>
            <w:shd w:val="clear" w:color="auto" w:fill="E0E1DF"/>
          </w:tcPr>
          <w:p>
            <w:pPr>
              <w:spacing w:after="0"/>
              <w:rPr>
                <w:sz w:val="19"/>
                <w:szCs w:val="19"/>
                <w:color w:val="auto"/>
              </w:rPr>
            </w:pPr>
          </w:p>
        </w:tc>
        <w:tc>
          <w:tcPr>
            <w:tcW w:w="7680" w:type="dxa"/>
            <w:vAlign w:val="bottom"/>
            <w:shd w:val="clear" w:color="auto" w:fill="E0E1DF"/>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3260" w:type="dxa"/>
            <w:vAlign w:val="bottom"/>
            <w:gridSpan w:val="2"/>
            <w:shd w:val="clear" w:color="auto" w:fill="E0E1DF"/>
          </w:tcPr>
          <w:p>
            <w:pPr>
              <w:ind w:left="180"/>
              <w:spacing w:after="0"/>
              <w:rPr>
                <w:sz w:val="20"/>
                <w:szCs w:val="20"/>
                <w:color w:val="auto"/>
              </w:rPr>
            </w:pPr>
            <w:r>
              <w:rPr>
                <w:rFonts w:ascii="Arial" w:cs="Arial" w:eastAsia="Arial" w:hAnsi="Arial"/>
                <w:sz w:val="14"/>
                <w:szCs w:val="14"/>
                <w:b w:val="1"/>
                <w:bCs w:val="1"/>
                <w:color w:val="333740"/>
              </w:rPr>
              <w:t>Improve transparency on outcomes</w:t>
            </w:r>
          </w:p>
        </w:tc>
        <w:tc>
          <w:tcPr>
            <w:tcW w:w="320" w:type="dxa"/>
            <w:vAlign w:val="bottom"/>
            <w:shd w:val="clear" w:color="auto" w:fill="E0E1DF"/>
          </w:tcPr>
          <w:p>
            <w:pPr>
              <w:spacing w:after="0"/>
              <w:rPr>
                <w:sz w:val="24"/>
                <w:szCs w:val="24"/>
                <w:color w:val="auto"/>
              </w:rPr>
            </w:pPr>
          </w:p>
        </w:tc>
        <w:tc>
          <w:tcPr>
            <w:tcW w:w="7680" w:type="dxa"/>
            <w:vAlign w:val="bottom"/>
            <w:shd w:val="clear" w:color="auto" w:fill="E0E1DF"/>
          </w:tcPr>
          <w:p>
            <w:pPr>
              <w:ind w:left="40"/>
              <w:spacing w:after="0"/>
              <w:rPr>
                <w:sz w:val="20"/>
                <w:szCs w:val="20"/>
                <w:color w:val="auto"/>
              </w:rPr>
            </w:pPr>
            <w:r>
              <w:rPr>
                <w:rFonts w:ascii="Arial" w:cs="Arial" w:eastAsia="Arial" w:hAnsi="Arial"/>
                <w:sz w:val="14"/>
                <w:szCs w:val="14"/>
                <w:color w:val="333740"/>
              </w:rPr>
              <w:t>This Proxy Statement provides details of performance and vesting for the 2017 PSU grant, our first PSU grant to vest</w:t>
            </w:r>
          </w:p>
        </w:tc>
        <w:tc>
          <w:tcPr>
            <w:tcW w:w="0" w:type="dxa"/>
            <w:vAlign w:val="bottom"/>
          </w:tcPr>
          <w:p>
            <w:pPr>
              <w:spacing w:after="0"/>
              <w:rPr>
                <w:sz w:val="1"/>
                <w:szCs w:val="1"/>
                <w:color w:val="auto"/>
              </w:rPr>
            </w:pPr>
          </w:p>
        </w:tc>
      </w:tr>
      <w:tr>
        <w:trPr>
          <w:trHeight w:val="167"/>
        </w:trPr>
        <w:tc>
          <w:tcPr>
            <w:tcW w:w="3260" w:type="dxa"/>
            <w:vAlign w:val="bottom"/>
            <w:gridSpan w:val="2"/>
            <w:shd w:val="clear" w:color="auto" w:fill="E0E1DF"/>
          </w:tcPr>
          <w:p>
            <w:pPr>
              <w:ind w:left="180"/>
              <w:spacing w:after="0"/>
              <w:rPr>
                <w:sz w:val="20"/>
                <w:szCs w:val="20"/>
                <w:color w:val="auto"/>
              </w:rPr>
            </w:pPr>
            <w:r>
              <w:rPr>
                <w:rFonts w:ascii="Arial" w:cs="Arial" w:eastAsia="Arial" w:hAnsi="Arial"/>
                <w:sz w:val="14"/>
                <w:szCs w:val="14"/>
                <w:b w:val="1"/>
                <w:bCs w:val="1"/>
                <w:color w:val="333740"/>
              </w:rPr>
              <w:t>under annual incentive plan and</w:t>
            </w:r>
          </w:p>
        </w:tc>
        <w:tc>
          <w:tcPr>
            <w:tcW w:w="320" w:type="dxa"/>
            <w:vAlign w:val="bottom"/>
            <w:shd w:val="clear" w:color="auto" w:fill="E0E1DF"/>
          </w:tcPr>
          <w:p>
            <w:pPr>
              <w:spacing w:after="0"/>
              <w:rPr>
                <w:sz w:val="14"/>
                <w:szCs w:val="14"/>
                <w:color w:val="auto"/>
              </w:rPr>
            </w:pPr>
          </w:p>
        </w:tc>
        <w:tc>
          <w:tcPr>
            <w:tcW w:w="7680" w:type="dxa"/>
            <w:vAlign w:val="bottom"/>
            <w:shd w:val="clear" w:color="auto" w:fill="E0E1DF"/>
          </w:tcPr>
          <w:p>
            <w:pPr>
              <w:ind w:left="20"/>
              <w:spacing w:after="0"/>
              <w:rPr>
                <w:sz w:val="20"/>
                <w:szCs w:val="20"/>
                <w:color w:val="auto"/>
              </w:rPr>
            </w:pPr>
            <w:r>
              <w:rPr>
                <w:rFonts w:ascii="Arial" w:cs="Arial" w:eastAsia="Arial" w:hAnsi="Arial"/>
                <w:sz w:val="14"/>
                <w:szCs w:val="14"/>
                <w:color w:val="333740"/>
              </w:rPr>
              <w:t>since the merger of Technip S.A. and FMC Technologies, Inc. (the “</w:t>
            </w:r>
            <w:r>
              <w:rPr>
                <w:rFonts w:ascii="Arial" w:cs="Arial" w:eastAsia="Arial" w:hAnsi="Arial"/>
                <w:sz w:val="14"/>
                <w:szCs w:val="14"/>
                <w:b w:val="1"/>
                <w:bCs w:val="1"/>
                <w:color w:val="333740"/>
              </w:rPr>
              <w:t>Merger</w:t>
            </w:r>
            <w:r>
              <w:rPr>
                <w:rFonts w:ascii="Arial" w:cs="Arial" w:eastAsia="Arial" w:hAnsi="Arial"/>
                <w:sz w:val="14"/>
                <w:szCs w:val="14"/>
                <w:color w:val="333740"/>
              </w:rPr>
              <w:t>”) was completed in 2017.</w:t>
            </w: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E0E1DF"/>
          </w:tcPr>
          <w:p>
            <w:pPr>
              <w:ind w:left="180"/>
              <w:spacing w:after="0"/>
              <w:rPr>
                <w:sz w:val="20"/>
                <w:szCs w:val="20"/>
                <w:color w:val="auto"/>
              </w:rPr>
            </w:pPr>
            <w:r>
              <w:rPr>
                <w:rFonts w:ascii="Arial" w:cs="Arial" w:eastAsia="Arial" w:hAnsi="Arial"/>
                <w:sz w:val="14"/>
                <w:szCs w:val="14"/>
                <w:b w:val="1"/>
                <w:bCs w:val="1"/>
                <w:color w:val="333740"/>
              </w:rPr>
              <w:t>vesting of PSUs</w:t>
            </w:r>
          </w:p>
        </w:tc>
        <w:tc>
          <w:tcPr>
            <w:tcW w:w="320" w:type="dxa"/>
            <w:vAlign w:val="bottom"/>
            <w:shd w:val="clear" w:color="auto" w:fill="E0E1DF"/>
          </w:tcPr>
          <w:p>
            <w:pPr>
              <w:spacing w:after="0"/>
              <w:rPr>
                <w:sz w:val="18"/>
                <w:szCs w:val="18"/>
                <w:color w:val="auto"/>
              </w:rPr>
            </w:pPr>
          </w:p>
        </w:tc>
        <w:tc>
          <w:tcPr>
            <w:tcW w:w="7680" w:type="dxa"/>
            <w:vAlign w:val="bottom"/>
            <w:shd w:val="clear" w:color="auto" w:fill="E0E1D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60" w:type="dxa"/>
            <w:vAlign w:val="bottom"/>
            <w:shd w:val="clear" w:color="auto" w:fill="E0E1DF"/>
          </w:tcPr>
          <w:p>
            <w:pPr>
              <w:spacing w:after="0"/>
              <w:rPr>
                <w:sz w:val="15"/>
                <w:szCs w:val="15"/>
                <w:color w:val="auto"/>
              </w:rPr>
            </w:pPr>
          </w:p>
        </w:tc>
        <w:tc>
          <w:tcPr>
            <w:tcW w:w="3000" w:type="dxa"/>
            <w:vAlign w:val="bottom"/>
            <w:shd w:val="clear" w:color="auto" w:fill="E0E1DF"/>
          </w:tcPr>
          <w:p>
            <w:pPr>
              <w:ind w:left="80"/>
              <w:spacing w:after="0"/>
              <w:rPr>
                <w:sz w:val="20"/>
                <w:szCs w:val="20"/>
                <w:color w:val="auto"/>
              </w:rPr>
            </w:pPr>
            <w:r>
              <w:rPr>
                <w:rFonts w:ascii="Arial" w:cs="Arial" w:eastAsia="Arial" w:hAnsi="Arial"/>
                <w:sz w:val="14"/>
                <w:szCs w:val="14"/>
                <w:color w:val="333740"/>
              </w:rPr>
              <w:t>Some shareholders requested clarity</w:t>
            </w:r>
          </w:p>
        </w:tc>
        <w:tc>
          <w:tcPr>
            <w:tcW w:w="320" w:type="dxa"/>
            <w:vAlign w:val="bottom"/>
            <w:shd w:val="clear" w:color="auto" w:fill="E0E1DF"/>
          </w:tcPr>
          <w:p>
            <w:pPr>
              <w:spacing w:after="0"/>
              <w:rPr>
                <w:sz w:val="15"/>
                <w:szCs w:val="15"/>
                <w:color w:val="auto"/>
              </w:rPr>
            </w:pPr>
          </w:p>
        </w:tc>
        <w:tc>
          <w:tcPr>
            <w:tcW w:w="7680" w:type="dxa"/>
            <w:vAlign w:val="bottom"/>
            <w:vMerge w:val="restart"/>
            <w:shd w:val="clear" w:color="auto" w:fill="E0E1DF"/>
          </w:tcPr>
          <w:p>
            <w:pPr>
              <w:ind w:left="40"/>
              <w:spacing w:after="0"/>
              <w:rPr>
                <w:sz w:val="20"/>
                <w:szCs w:val="20"/>
                <w:color w:val="auto"/>
              </w:rPr>
            </w:pPr>
            <w:r>
              <w:rPr>
                <w:rFonts w:ascii="Arial" w:cs="Arial" w:eastAsia="Arial" w:hAnsi="Arial"/>
                <w:sz w:val="14"/>
                <w:szCs w:val="14"/>
                <w:color w:val="333740"/>
              </w:rPr>
              <w:t>All other incentive goals, performance, and payout outcomes were previously disclosed.</w:t>
            </w:r>
          </w:p>
        </w:tc>
        <w:tc>
          <w:tcPr>
            <w:tcW w:w="0" w:type="dxa"/>
            <w:vAlign w:val="bottom"/>
          </w:tcPr>
          <w:p>
            <w:pPr>
              <w:spacing w:after="0"/>
              <w:rPr>
                <w:sz w:val="1"/>
                <w:szCs w:val="1"/>
                <w:color w:val="auto"/>
              </w:rPr>
            </w:pPr>
          </w:p>
        </w:tc>
      </w:tr>
      <w:tr>
        <w:trPr>
          <w:trHeight w:val="95"/>
        </w:trPr>
        <w:tc>
          <w:tcPr>
            <w:tcW w:w="260" w:type="dxa"/>
            <w:vAlign w:val="bottom"/>
            <w:shd w:val="clear" w:color="auto" w:fill="E0E1DF"/>
          </w:tcPr>
          <w:p>
            <w:pPr>
              <w:spacing w:after="0"/>
              <w:rPr>
                <w:sz w:val="8"/>
                <w:szCs w:val="8"/>
                <w:color w:val="auto"/>
              </w:rPr>
            </w:pPr>
          </w:p>
        </w:tc>
        <w:tc>
          <w:tcPr>
            <w:tcW w:w="3000" w:type="dxa"/>
            <w:vAlign w:val="bottom"/>
            <w:vMerge w:val="restart"/>
            <w:shd w:val="clear" w:color="auto" w:fill="E0E1DF"/>
          </w:tcPr>
          <w:p>
            <w:pPr>
              <w:ind w:left="80"/>
              <w:spacing w:after="0"/>
              <w:rPr>
                <w:sz w:val="20"/>
                <w:szCs w:val="20"/>
                <w:color w:val="auto"/>
              </w:rPr>
            </w:pPr>
            <w:r>
              <w:rPr>
                <w:rFonts w:ascii="Arial" w:cs="Arial" w:eastAsia="Arial" w:hAnsi="Arial"/>
                <w:sz w:val="14"/>
                <w:szCs w:val="14"/>
                <w:color w:val="333740"/>
              </w:rPr>
              <w:t>regarding PSU payouts during periods</w:t>
            </w:r>
          </w:p>
        </w:tc>
        <w:tc>
          <w:tcPr>
            <w:tcW w:w="320" w:type="dxa"/>
            <w:vAlign w:val="bottom"/>
            <w:shd w:val="clear" w:color="auto" w:fill="E0E1DF"/>
          </w:tcPr>
          <w:p>
            <w:pPr>
              <w:spacing w:after="0"/>
              <w:rPr>
                <w:sz w:val="8"/>
                <w:szCs w:val="8"/>
                <w:color w:val="auto"/>
              </w:rPr>
            </w:pPr>
          </w:p>
        </w:tc>
        <w:tc>
          <w:tcPr>
            <w:tcW w:w="7680" w:type="dxa"/>
            <w:vAlign w:val="bottom"/>
            <w:vMerge w:val="continue"/>
            <w:shd w:val="clear" w:color="auto" w:fill="E0E1DF"/>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60" w:type="dxa"/>
            <w:vAlign w:val="bottom"/>
            <w:shd w:val="clear" w:color="auto" w:fill="E0E1DF"/>
          </w:tcPr>
          <w:p>
            <w:pPr>
              <w:spacing w:after="0"/>
              <w:rPr>
                <w:sz w:val="6"/>
                <w:szCs w:val="6"/>
                <w:color w:val="auto"/>
              </w:rPr>
            </w:pPr>
          </w:p>
        </w:tc>
        <w:tc>
          <w:tcPr>
            <w:tcW w:w="3000" w:type="dxa"/>
            <w:vAlign w:val="bottom"/>
            <w:vMerge w:val="continue"/>
            <w:shd w:val="clear" w:color="auto" w:fill="E0E1DF"/>
          </w:tcPr>
          <w:p>
            <w:pPr>
              <w:spacing w:after="0"/>
              <w:rPr>
                <w:sz w:val="6"/>
                <w:szCs w:val="6"/>
                <w:color w:val="auto"/>
              </w:rPr>
            </w:pPr>
          </w:p>
        </w:tc>
        <w:tc>
          <w:tcPr>
            <w:tcW w:w="320" w:type="dxa"/>
            <w:vAlign w:val="bottom"/>
            <w:shd w:val="clear" w:color="auto" w:fill="E0E1DF"/>
          </w:tcPr>
          <w:p>
            <w:pPr>
              <w:spacing w:after="0"/>
              <w:rPr>
                <w:sz w:val="6"/>
                <w:szCs w:val="6"/>
                <w:color w:val="auto"/>
              </w:rPr>
            </w:pPr>
          </w:p>
        </w:tc>
        <w:tc>
          <w:tcPr>
            <w:tcW w:w="7680" w:type="dxa"/>
            <w:vAlign w:val="bottom"/>
            <w:shd w:val="clear" w:color="auto" w:fill="E0E1DF"/>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60" w:type="dxa"/>
            <w:vAlign w:val="bottom"/>
            <w:shd w:val="clear" w:color="auto" w:fill="E0E1DF"/>
          </w:tcPr>
          <w:p>
            <w:pPr>
              <w:spacing w:after="0"/>
              <w:rPr>
                <w:sz w:val="19"/>
                <w:szCs w:val="19"/>
                <w:color w:val="auto"/>
              </w:rPr>
            </w:pPr>
          </w:p>
        </w:tc>
        <w:tc>
          <w:tcPr>
            <w:tcW w:w="3000" w:type="dxa"/>
            <w:vAlign w:val="bottom"/>
            <w:shd w:val="clear" w:color="auto" w:fill="E0E1DF"/>
          </w:tcPr>
          <w:p>
            <w:pPr>
              <w:ind w:left="80"/>
              <w:spacing w:after="0"/>
              <w:rPr>
                <w:sz w:val="20"/>
                <w:szCs w:val="20"/>
                <w:color w:val="auto"/>
              </w:rPr>
            </w:pPr>
            <w:r>
              <w:rPr>
                <w:rFonts w:ascii="Arial" w:cs="Arial" w:eastAsia="Arial" w:hAnsi="Arial"/>
                <w:sz w:val="14"/>
                <w:szCs w:val="14"/>
                <w:color w:val="333740"/>
              </w:rPr>
              <w:t>of declining performance</w:t>
            </w:r>
          </w:p>
        </w:tc>
        <w:tc>
          <w:tcPr>
            <w:tcW w:w="320" w:type="dxa"/>
            <w:vAlign w:val="bottom"/>
            <w:shd w:val="clear" w:color="auto" w:fill="E0E1DF"/>
          </w:tcPr>
          <w:p>
            <w:pPr>
              <w:spacing w:after="0"/>
              <w:rPr>
                <w:sz w:val="19"/>
                <w:szCs w:val="19"/>
                <w:color w:val="auto"/>
              </w:rPr>
            </w:pPr>
          </w:p>
        </w:tc>
        <w:tc>
          <w:tcPr>
            <w:tcW w:w="7680" w:type="dxa"/>
            <w:vAlign w:val="bottom"/>
            <w:shd w:val="clear" w:color="auto" w:fill="E0E1DF"/>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3260" w:type="dxa"/>
            <w:vAlign w:val="bottom"/>
            <w:gridSpan w:val="2"/>
            <w:shd w:val="clear" w:color="auto" w:fill="E0E1DF"/>
          </w:tcPr>
          <w:p>
            <w:pPr>
              <w:ind w:left="180"/>
              <w:spacing w:after="0"/>
              <w:rPr>
                <w:sz w:val="20"/>
                <w:szCs w:val="20"/>
                <w:color w:val="auto"/>
              </w:rPr>
            </w:pPr>
            <w:r>
              <w:rPr>
                <w:rFonts w:ascii="Arial" w:cs="Arial" w:eastAsia="Arial" w:hAnsi="Arial"/>
                <w:sz w:val="14"/>
                <w:szCs w:val="14"/>
                <w:b w:val="1"/>
                <w:bCs w:val="1"/>
                <w:color w:val="333740"/>
              </w:rPr>
              <w:t>Concern over the duration of two</w:t>
            </w:r>
          </w:p>
        </w:tc>
        <w:tc>
          <w:tcPr>
            <w:tcW w:w="320" w:type="dxa"/>
            <w:vAlign w:val="bottom"/>
            <w:shd w:val="clear" w:color="auto" w:fill="E0E1DF"/>
          </w:tcPr>
          <w:p>
            <w:pPr>
              <w:spacing w:after="0"/>
              <w:rPr>
                <w:sz w:val="24"/>
                <w:szCs w:val="24"/>
                <w:color w:val="auto"/>
              </w:rPr>
            </w:pPr>
          </w:p>
        </w:tc>
        <w:tc>
          <w:tcPr>
            <w:tcW w:w="7680" w:type="dxa"/>
            <w:vAlign w:val="bottom"/>
            <w:shd w:val="clear" w:color="auto" w:fill="E0E1DF"/>
          </w:tcPr>
          <w:p>
            <w:pPr>
              <w:ind w:left="40"/>
              <w:spacing w:after="0"/>
              <w:rPr>
                <w:sz w:val="20"/>
                <w:szCs w:val="20"/>
                <w:color w:val="auto"/>
              </w:rPr>
            </w:pPr>
            <w:r>
              <w:rPr>
                <w:rFonts w:ascii="Arial" w:cs="Arial" w:eastAsia="Arial" w:hAnsi="Arial"/>
                <w:sz w:val="14"/>
                <w:szCs w:val="14"/>
                <w:color w:val="333740"/>
              </w:rPr>
              <w:t>We eliminated the role of Executive Chairman following completion of post-Merger integration and reduced to a single,</w:t>
            </w:r>
          </w:p>
        </w:tc>
        <w:tc>
          <w:tcPr>
            <w:tcW w:w="0" w:type="dxa"/>
            <w:vAlign w:val="bottom"/>
          </w:tcPr>
          <w:p>
            <w:pPr>
              <w:spacing w:after="0"/>
              <w:rPr>
                <w:sz w:val="1"/>
                <w:szCs w:val="1"/>
                <w:color w:val="auto"/>
              </w:rPr>
            </w:pPr>
          </w:p>
        </w:tc>
      </w:tr>
      <w:tr>
        <w:trPr>
          <w:trHeight w:val="167"/>
        </w:trPr>
        <w:tc>
          <w:tcPr>
            <w:tcW w:w="3260" w:type="dxa"/>
            <w:vAlign w:val="bottom"/>
            <w:gridSpan w:val="2"/>
            <w:shd w:val="clear" w:color="auto" w:fill="E0E1DF"/>
          </w:tcPr>
          <w:p>
            <w:pPr>
              <w:ind w:left="180"/>
              <w:spacing w:after="0"/>
              <w:rPr>
                <w:sz w:val="20"/>
                <w:szCs w:val="20"/>
                <w:color w:val="auto"/>
              </w:rPr>
            </w:pPr>
            <w:r>
              <w:rPr>
                <w:rFonts w:ascii="Arial" w:cs="Arial" w:eastAsia="Arial" w:hAnsi="Arial"/>
                <w:sz w:val="14"/>
                <w:szCs w:val="14"/>
                <w:b w:val="1"/>
                <w:bCs w:val="1"/>
                <w:color w:val="333740"/>
              </w:rPr>
              <w:t>CEO-level compensation packages</w:t>
            </w:r>
          </w:p>
        </w:tc>
        <w:tc>
          <w:tcPr>
            <w:tcW w:w="320" w:type="dxa"/>
            <w:vAlign w:val="bottom"/>
            <w:shd w:val="clear" w:color="auto" w:fill="E0E1DF"/>
          </w:tcPr>
          <w:p>
            <w:pPr>
              <w:spacing w:after="0"/>
              <w:rPr>
                <w:sz w:val="14"/>
                <w:szCs w:val="14"/>
                <w:color w:val="auto"/>
              </w:rPr>
            </w:pPr>
          </w:p>
        </w:tc>
        <w:tc>
          <w:tcPr>
            <w:tcW w:w="7680" w:type="dxa"/>
            <w:vAlign w:val="bottom"/>
            <w:shd w:val="clear" w:color="auto" w:fill="E0E1DF"/>
          </w:tcPr>
          <w:p>
            <w:pPr>
              <w:ind w:left="20"/>
              <w:spacing w:after="0"/>
              <w:rPr>
                <w:sz w:val="20"/>
                <w:szCs w:val="20"/>
                <w:color w:val="auto"/>
              </w:rPr>
            </w:pPr>
            <w:r>
              <w:rPr>
                <w:rFonts w:ascii="Arial" w:cs="Arial" w:eastAsia="Arial" w:hAnsi="Arial"/>
                <w:sz w:val="14"/>
                <w:szCs w:val="14"/>
                <w:color w:val="333740"/>
              </w:rPr>
              <w:t>CEO-level compensation structure. Mr. Pferdehirt’s compensation package was not materially increased with the</w:t>
            </w:r>
          </w:p>
        </w:tc>
        <w:tc>
          <w:tcPr>
            <w:tcW w:w="0" w:type="dxa"/>
            <w:vAlign w:val="bottom"/>
          </w:tcPr>
          <w:p>
            <w:pPr>
              <w:spacing w:after="0"/>
              <w:rPr>
                <w:sz w:val="1"/>
                <w:szCs w:val="1"/>
                <w:color w:val="auto"/>
              </w:rPr>
            </w:pPr>
          </w:p>
        </w:tc>
      </w:tr>
      <w:tr>
        <w:trPr>
          <w:trHeight w:val="167"/>
        </w:trPr>
        <w:tc>
          <w:tcPr>
            <w:tcW w:w="3260" w:type="dxa"/>
            <w:vAlign w:val="bottom"/>
            <w:gridSpan w:val="2"/>
            <w:shd w:val="clear" w:color="auto" w:fill="E0E1DF"/>
          </w:tcPr>
          <w:p>
            <w:pPr>
              <w:ind w:left="180"/>
              <w:spacing w:after="0"/>
              <w:rPr>
                <w:sz w:val="20"/>
                <w:szCs w:val="20"/>
                <w:color w:val="auto"/>
              </w:rPr>
            </w:pPr>
            <w:r>
              <w:rPr>
                <w:rFonts w:ascii="Arial" w:cs="Arial" w:eastAsia="Arial" w:hAnsi="Arial"/>
                <w:sz w:val="14"/>
                <w:szCs w:val="14"/>
                <w:b w:val="1"/>
                <w:bCs w:val="1"/>
                <w:color w:val="333740"/>
              </w:rPr>
              <w:t>(for</w:t>
            </w:r>
          </w:p>
        </w:tc>
        <w:tc>
          <w:tcPr>
            <w:tcW w:w="320" w:type="dxa"/>
            <w:vAlign w:val="bottom"/>
            <w:shd w:val="clear" w:color="auto" w:fill="E0E1DF"/>
          </w:tcPr>
          <w:p>
            <w:pPr>
              <w:spacing w:after="0"/>
              <w:rPr>
                <w:sz w:val="14"/>
                <w:szCs w:val="14"/>
                <w:color w:val="auto"/>
              </w:rPr>
            </w:pPr>
          </w:p>
        </w:tc>
        <w:tc>
          <w:tcPr>
            <w:tcW w:w="7680" w:type="dxa"/>
            <w:vAlign w:val="bottom"/>
            <w:shd w:val="clear" w:color="auto" w:fill="E0E1DF"/>
          </w:tcPr>
          <w:p>
            <w:pPr>
              <w:ind w:left="20"/>
              <w:spacing w:after="0"/>
              <w:rPr>
                <w:sz w:val="20"/>
                <w:szCs w:val="20"/>
                <w:color w:val="auto"/>
              </w:rPr>
            </w:pPr>
            <w:r>
              <w:rPr>
                <w:rFonts w:ascii="Arial" w:cs="Arial" w:eastAsia="Arial" w:hAnsi="Arial"/>
                <w:sz w:val="14"/>
                <w:szCs w:val="14"/>
                <w:color w:val="333740"/>
              </w:rPr>
              <w:t>assumption of additional Chairman duties.</w:t>
            </w:r>
          </w:p>
        </w:tc>
        <w:tc>
          <w:tcPr>
            <w:tcW w:w="0" w:type="dxa"/>
            <w:vAlign w:val="bottom"/>
          </w:tcPr>
          <w:p>
            <w:pPr>
              <w:spacing w:after="0"/>
              <w:rPr>
                <w:sz w:val="1"/>
                <w:szCs w:val="1"/>
                <w:color w:val="auto"/>
              </w:rPr>
            </w:pPr>
          </w:p>
        </w:tc>
      </w:tr>
      <w:tr>
        <w:trPr>
          <w:trHeight w:val="132"/>
        </w:trPr>
        <w:tc>
          <w:tcPr>
            <w:tcW w:w="3260" w:type="dxa"/>
            <w:vAlign w:val="bottom"/>
            <w:gridSpan w:val="2"/>
            <w:shd w:val="clear" w:color="auto" w:fill="E0E1DF"/>
          </w:tcPr>
          <w:p>
            <w:pPr>
              <w:ind w:left="180"/>
              <w:spacing w:after="0" w:line="132" w:lineRule="exact"/>
              <w:rPr>
                <w:sz w:val="20"/>
                <w:szCs w:val="20"/>
                <w:color w:val="auto"/>
              </w:rPr>
            </w:pPr>
            <w:r>
              <w:rPr>
                <w:rFonts w:ascii="Arial" w:cs="Arial" w:eastAsia="Arial" w:hAnsi="Arial"/>
                <w:sz w:val="14"/>
                <w:szCs w:val="14"/>
                <w:b w:val="1"/>
                <w:bCs w:val="1"/>
                <w:color w:val="333740"/>
              </w:rPr>
              <w:t>separate Executive Chairman and</w:t>
            </w:r>
          </w:p>
        </w:tc>
        <w:tc>
          <w:tcPr>
            <w:tcW w:w="320" w:type="dxa"/>
            <w:vAlign w:val="bottom"/>
            <w:shd w:val="clear" w:color="auto" w:fill="E0E1DF"/>
          </w:tcPr>
          <w:p>
            <w:pPr>
              <w:spacing w:after="0"/>
              <w:rPr>
                <w:sz w:val="11"/>
                <w:szCs w:val="11"/>
                <w:color w:val="auto"/>
              </w:rPr>
            </w:pPr>
          </w:p>
        </w:tc>
        <w:tc>
          <w:tcPr>
            <w:tcW w:w="7680" w:type="dxa"/>
            <w:vAlign w:val="bottom"/>
            <w:shd w:val="clear" w:color="auto" w:fill="E0E1DF"/>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260" w:type="dxa"/>
            <w:vAlign w:val="bottom"/>
            <w:gridSpan w:val="2"/>
            <w:shd w:val="clear" w:color="auto" w:fill="E0E1DF"/>
          </w:tcPr>
          <w:p>
            <w:pPr>
              <w:ind w:left="180"/>
              <w:spacing w:after="0"/>
              <w:rPr>
                <w:sz w:val="20"/>
                <w:szCs w:val="20"/>
                <w:color w:val="auto"/>
              </w:rPr>
            </w:pPr>
            <w:r>
              <w:rPr>
                <w:rFonts w:ascii="Arial" w:cs="Arial" w:eastAsia="Arial" w:hAnsi="Arial"/>
                <w:sz w:val="14"/>
                <w:szCs w:val="14"/>
                <w:b w:val="1"/>
                <w:bCs w:val="1"/>
                <w:color w:val="333740"/>
              </w:rPr>
              <w:t>CEO)</w:t>
            </w:r>
          </w:p>
        </w:tc>
        <w:tc>
          <w:tcPr>
            <w:tcW w:w="320" w:type="dxa"/>
            <w:vAlign w:val="bottom"/>
            <w:shd w:val="clear" w:color="auto" w:fill="E0E1DF"/>
          </w:tcPr>
          <w:p>
            <w:pPr>
              <w:spacing w:after="0"/>
              <w:rPr>
                <w:sz w:val="19"/>
                <w:szCs w:val="19"/>
                <w:color w:val="auto"/>
              </w:rPr>
            </w:pPr>
          </w:p>
        </w:tc>
        <w:tc>
          <w:tcPr>
            <w:tcW w:w="7680" w:type="dxa"/>
            <w:vAlign w:val="bottom"/>
            <w:shd w:val="clear" w:color="auto" w:fill="E0E1D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60" w:type="dxa"/>
            <w:vAlign w:val="bottom"/>
            <w:shd w:val="clear" w:color="auto" w:fill="E0E1DF"/>
          </w:tcPr>
          <w:p>
            <w:pPr>
              <w:spacing w:after="0"/>
              <w:rPr>
                <w:sz w:val="2"/>
                <w:szCs w:val="2"/>
                <w:color w:val="auto"/>
              </w:rPr>
            </w:pPr>
          </w:p>
        </w:tc>
        <w:tc>
          <w:tcPr>
            <w:tcW w:w="3000" w:type="dxa"/>
            <w:vAlign w:val="bottom"/>
            <w:shd w:val="clear" w:color="auto" w:fill="E0E1DF"/>
          </w:tcPr>
          <w:p>
            <w:pPr>
              <w:spacing w:after="0"/>
              <w:rPr>
                <w:sz w:val="2"/>
                <w:szCs w:val="2"/>
                <w:color w:val="auto"/>
              </w:rPr>
            </w:pPr>
          </w:p>
        </w:tc>
        <w:tc>
          <w:tcPr>
            <w:tcW w:w="320" w:type="dxa"/>
            <w:vAlign w:val="bottom"/>
            <w:shd w:val="clear" w:color="auto" w:fill="E0E1DF"/>
          </w:tcPr>
          <w:p>
            <w:pPr>
              <w:spacing w:after="0"/>
              <w:rPr>
                <w:sz w:val="2"/>
                <w:szCs w:val="2"/>
                <w:color w:val="auto"/>
              </w:rPr>
            </w:pPr>
          </w:p>
        </w:tc>
        <w:tc>
          <w:tcPr>
            <w:tcW w:w="7680" w:type="dxa"/>
            <w:vAlign w:val="bottom"/>
            <w:shd w:val="clear" w:color="auto" w:fill="E0E1D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ind w:left="564" w:hanging="564"/>
        <w:spacing w:after="0"/>
        <w:tabs>
          <w:tab w:leader="none" w:pos="564" w:val="left"/>
        </w:tabs>
        <w:numPr>
          <w:ilvl w:val="0"/>
          <w:numId w:val="45"/>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36" w:name="page37"/>
    <w:bookmarkEnd w:id="36"/>
    <w:tbl>
      <w:tblPr>
        <w:tblLayout w:type="fixed"/>
        <w:tblInd w:w="4" w:type="dxa"/>
        <w:tblCellMar>
          <w:top w:w="0" w:type="dxa"/>
          <w:left w:w="0" w:type="dxa"/>
          <w:bottom w:w="0" w:type="dxa"/>
          <w:right w:w="0" w:type="dxa"/>
        </w:tblCellMar>
      </w:tblPr>
      <w:tr>
        <w:trPr>
          <w:trHeight w:val="169"/>
        </w:trPr>
        <w:tc>
          <w:tcPr>
            <w:tcW w:w="3240" w:type="dxa"/>
            <w:vAlign w:val="bottom"/>
            <w:gridSpan w:val="2"/>
          </w:tcPr>
          <w:p>
            <w:pPr>
              <w:ind w:left="20"/>
              <w:spacing w:after="0"/>
              <w:rPr>
                <w:sz w:val="20"/>
                <w:szCs w:val="20"/>
                <w:color w:val="auto"/>
              </w:rPr>
            </w:pPr>
            <w:r>
              <w:rPr>
                <w:rFonts w:ascii="Arial" w:cs="Arial" w:eastAsia="Arial" w:hAnsi="Arial"/>
                <w:sz w:val="13"/>
                <w:szCs w:val="13"/>
                <w:b w:val="1"/>
                <w:bCs w:val="1"/>
                <w:color w:val="481F6E"/>
              </w:rPr>
              <w:t>TechnipFMC Proxy Statement 2020</w:t>
            </w:r>
          </w:p>
        </w:tc>
        <w:tc>
          <w:tcPr>
            <w:tcW w:w="14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120" w:type="dxa"/>
            <w:vAlign w:val="bottom"/>
            <w:shd w:val="clear" w:color="auto" w:fill="481F6E"/>
          </w:tcPr>
          <w:p>
            <w:pPr>
              <w:spacing w:after="0"/>
              <w:rPr>
                <w:sz w:val="23"/>
                <w:szCs w:val="23"/>
                <w:color w:val="auto"/>
              </w:rPr>
            </w:pPr>
          </w:p>
        </w:tc>
        <w:tc>
          <w:tcPr>
            <w:tcW w:w="3120" w:type="dxa"/>
            <w:vAlign w:val="bottom"/>
            <w:shd w:val="clear" w:color="auto" w:fill="481F6E"/>
          </w:tcPr>
          <w:p>
            <w:pPr>
              <w:ind w:left="40"/>
              <w:spacing w:after="0"/>
              <w:rPr>
                <w:sz w:val="20"/>
                <w:szCs w:val="20"/>
                <w:color w:val="auto"/>
              </w:rPr>
            </w:pPr>
            <w:r>
              <w:rPr>
                <w:rFonts w:ascii="Arial" w:cs="Arial" w:eastAsia="Arial" w:hAnsi="Arial"/>
                <w:sz w:val="14"/>
                <w:szCs w:val="14"/>
                <w:color w:val="FFFFFF"/>
              </w:rPr>
              <w:t>What We Heard</w:t>
            </w:r>
          </w:p>
        </w:tc>
        <w:tc>
          <w:tcPr>
            <w:tcW w:w="140" w:type="dxa"/>
            <w:vAlign w:val="bottom"/>
            <w:shd w:val="clear" w:color="auto" w:fill="D72930"/>
          </w:tcPr>
          <w:p>
            <w:pPr>
              <w:spacing w:after="0"/>
              <w:rPr>
                <w:sz w:val="23"/>
                <w:szCs w:val="23"/>
                <w:color w:val="auto"/>
              </w:rPr>
            </w:pPr>
          </w:p>
        </w:tc>
        <w:tc>
          <w:tcPr>
            <w:tcW w:w="7880" w:type="dxa"/>
            <w:vAlign w:val="bottom"/>
            <w:shd w:val="clear" w:color="auto" w:fill="D72930"/>
          </w:tcPr>
          <w:p>
            <w:pPr>
              <w:ind w:left="40"/>
              <w:spacing w:after="0"/>
              <w:rPr>
                <w:sz w:val="20"/>
                <w:szCs w:val="20"/>
                <w:color w:val="auto"/>
              </w:rPr>
            </w:pPr>
            <w:r>
              <w:rPr>
                <w:rFonts w:ascii="Arial" w:cs="Arial" w:eastAsia="Arial" w:hAnsi="Arial"/>
                <w:sz w:val="14"/>
                <w:szCs w:val="14"/>
                <w:color w:val="FFFFFF"/>
              </w:rPr>
              <w:t>What We Did</w:t>
            </w:r>
          </w:p>
        </w:tc>
        <w:tc>
          <w:tcPr>
            <w:tcW w:w="0" w:type="dxa"/>
            <w:vAlign w:val="bottom"/>
          </w:tcPr>
          <w:p>
            <w:pPr>
              <w:spacing w:after="0"/>
              <w:rPr>
                <w:sz w:val="1"/>
                <w:szCs w:val="1"/>
                <w:color w:val="auto"/>
              </w:rPr>
            </w:pPr>
          </w:p>
        </w:tc>
      </w:tr>
      <w:tr>
        <w:trPr>
          <w:trHeight w:val="61"/>
        </w:trPr>
        <w:tc>
          <w:tcPr>
            <w:tcW w:w="120" w:type="dxa"/>
            <w:vAlign w:val="bottom"/>
            <w:shd w:val="clear" w:color="auto" w:fill="481F6E"/>
          </w:tcPr>
          <w:p>
            <w:pPr>
              <w:spacing w:after="0"/>
              <w:rPr>
                <w:sz w:val="5"/>
                <w:szCs w:val="5"/>
                <w:color w:val="auto"/>
              </w:rPr>
            </w:pPr>
          </w:p>
        </w:tc>
        <w:tc>
          <w:tcPr>
            <w:tcW w:w="3120" w:type="dxa"/>
            <w:vAlign w:val="bottom"/>
            <w:shd w:val="clear" w:color="auto" w:fill="481F6E"/>
          </w:tcPr>
          <w:p>
            <w:pPr>
              <w:spacing w:after="0"/>
              <w:rPr>
                <w:sz w:val="5"/>
                <w:szCs w:val="5"/>
                <w:color w:val="auto"/>
              </w:rPr>
            </w:pPr>
          </w:p>
        </w:tc>
        <w:tc>
          <w:tcPr>
            <w:tcW w:w="140" w:type="dxa"/>
            <w:vAlign w:val="bottom"/>
            <w:shd w:val="clear" w:color="auto" w:fill="D72930"/>
          </w:tcPr>
          <w:p>
            <w:pPr>
              <w:spacing w:after="0"/>
              <w:rPr>
                <w:sz w:val="5"/>
                <w:szCs w:val="5"/>
                <w:color w:val="auto"/>
              </w:rPr>
            </w:pPr>
          </w:p>
        </w:tc>
        <w:tc>
          <w:tcPr>
            <w:tcW w:w="7880" w:type="dxa"/>
            <w:vAlign w:val="bottom"/>
            <w:shd w:val="clear" w:color="auto" w:fill="D72930"/>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20" w:type="dxa"/>
            <w:vAlign w:val="bottom"/>
            <w:shd w:val="clear" w:color="auto" w:fill="D7D8D6"/>
          </w:tcPr>
          <w:p>
            <w:pPr>
              <w:spacing w:after="0"/>
              <w:rPr>
                <w:sz w:val="18"/>
                <w:szCs w:val="18"/>
                <w:color w:val="auto"/>
              </w:rPr>
            </w:pPr>
          </w:p>
        </w:tc>
        <w:tc>
          <w:tcPr>
            <w:tcW w:w="312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Disclosing shareholder feedback from</w:t>
            </w:r>
          </w:p>
        </w:tc>
        <w:tc>
          <w:tcPr>
            <w:tcW w:w="140" w:type="dxa"/>
            <w:vAlign w:val="bottom"/>
            <w:shd w:val="clear" w:color="auto" w:fill="D7D8D6"/>
          </w:tcPr>
          <w:p>
            <w:pPr>
              <w:spacing w:after="0"/>
              <w:rPr>
                <w:sz w:val="18"/>
                <w:szCs w:val="18"/>
                <w:color w:val="auto"/>
              </w:rPr>
            </w:pPr>
          </w:p>
        </w:tc>
        <w:tc>
          <w:tcPr>
            <w:tcW w:w="7880" w:type="dxa"/>
            <w:vAlign w:val="bottom"/>
            <w:shd w:val="clear" w:color="auto" w:fill="D7D8D6"/>
          </w:tcPr>
          <w:p>
            <w:pPr>
              <w:ind w:left="180"/>
              <w:spacing w:after="0"/>
              <w:rPr>
                <w:sz w:val="20"/>
                <w:szCs w:val="20"/>
                <w:color w:val="auto"/>
              </w:rPr>
            </w:pPr>
            <w:r>
              <w:rPr>
                <w:rFonts w:ascii="Arial" w:cs="Arial" w:eastAsia="Arial" w:hAnsi="Arial"/>
                <w:sz w:val="14"/>
                <w:szCs w:val="14"/>
                <w:color w:val="333740"/>
              </w:rPr>
              <w:t>We have added additional disclosure of our shareholder engagement program, including this list of feedback received,</w:t>
            </w:r>
          </w:p>
        </w:tc>
        <w:tc>
          <w:tcPr>
            <w:tcW w:w="0" w:type="dxa"/>
            <w:vAlign w:val="bottom"/>
          </w:tcPr>
          <w:p>
            <w:pPr>
              <w:spacing w:after="0"/>
              <w:rPr>
                <w:sz w:val="1"/>
                <w:szCs w:val="1"/>
                <w:color w:val="auto"/>
              </w:rPr>
            </w:pPr>
          </w:p>
        </w:tc>
      </w:tr>
      <w:tr>
        <w:trPr>
          <w:trHeight w:val="167"/>
        </w:trPr>
        <w:tc>
          <w:tcPr>
            <w:tcW w:w="120" w:type="dxa"/>
            <w:vAlign w:val="bottom"/>
            <w:shd w:val="clear" w:color="auto" w:fill="D7D8D6"/>
          </w:tcPr>
          <w:p>
            <w:pPr>
              <w:spacing w:after="0"/>
              <w:rPr>
                <w:sz w:val="14"/>
                <w:szCs w:val="14"/>
                <w:color w:val="auto"/>
              </w:rPr>
            </w:pPr>
          </w:p>
        </w:tc>
        <w:tc>
          <w:tcPr>
            <w:tcW w:w="312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shareholder engagement program</w:t>
            </w:r>
          </w:p>
        </w:tc>
        <w:tc>
          <w:tcPr>
            <w:tcW w:w="140" w:type="dxa"/>
            <w:vAlign w:val="bottom"/>
            <w:shd w:val="clear" w:color="auto" w:fill="D7D8D6"/>
          </w:tcPr>
          <w:p>
            <w:pPr>
              <w:spacing w:after="0"/>
              <w:rPr>
                <w:sz w:val="14"/>
                <w:szCs w:val="14"/>
                <w:color w:val="auto"/>
              </w:rPr>
            </w:pPr>
          </w:p>
        </w:tc>
        <w:tc>
          <w:tcPr>
            <w:tcW w:w="7880" w:type="dxa"/>
            <w:vAlign w:val="bottom"/>
            <w:shd w:val="clear" w:color="auto" w:fill="D7D8D6"/>
          </w:tcPr>
          <w:p>
            <w:pPr>
              <w:ind w:left="180"/>
              <w:spacing w:after="0"/>
              <w:rPr>
                <w:sz w:val="20"/>
                <w:szCs w:val="20"/>
                <w:color w:val="auto"/>
              </w:rPr>
            </w:pPr>
            <w:r>
              <w:rPr>
                <w:rFonts w:ascii="Arial" w:cs="Arial" w:eastAsia="Arial" w:hAnsi="Arial"/>
                <w:sz w:val="14"/>
                <w:szCs w:val="14"/>
                <w:color w:val="333740"/>
              </w:rPr>
              <w:t>and our response to shareholder concerns.</w:t>
            </w:r>
          </w:p>
        </w:tc>
        <w:tc>
          <w:tcPr>
            <w:tcW w:w="0" w:type="dxa"/>
            <w:vAlign w:val="bottom"/>
          </w:tcPr>
          <w:p>
            <w:pPr>
              <w:spacing w:after="0"/>
              <w:rPr>
                <w:sz w:val="1"/>
                <w:szCs w:val="1"/>
                <w:color w:val="auto"/>
              </w:rPr>
            </w:pPr>
          </w:p>
        </w:tc>
      </w:tr>
      <w:tr>
        <w:trPr>
          <w:trHeight w:val="167"/>
        </w:trPr>
        <w:tc>
          <w:tcPr>
            <w:tcW w:w="120" w:type="dxa"/>
            <w:vAlign w:val="bottom"/>
            <w:shd w:val="clear" w:color="auto" w:fill="D7D8D6"/>
          </w:tcPr>
          <w:p>
            <w:pPr>
              <w:spacing w:after="0"/>
              <w:rPr>
                <w:sz w:val="14"/>
                <w:szCs w:val="14"/>
                <w:color w:val="auto"/>
              </w:rPr>
            </w:pPr>
          </w:p>
        </w:tc>
        <w:tc>
          <w:tcPr>
            <w:tcW w:w="312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and</w:t>
            </w:r>
          </w:p>
        </w:tc>
        <w:tc>
          <w:tcPr>
            <w:tcW w:w="140" w:type="dxa"/>
            <w:vAlign w:val="bottom"/>
            <w:shd w:val="clear" w:color="auto" w:fill="D7D8D6"/>
          </w:tcPr>
          <w:p>
            <w:pPr>
              <w:spacing w:after="0"/>
              <w:rPr>
                <w:sz w:val="14"/>
                <w:szCs w:val="14"/>
                <w:color w:val="auto"/>
              </w:rPr>
            </w:pPr>
          </w:p>
        </w:tc>
        <w:tc>
          <w:tcPr>
            <w:tcW w:w="788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0" w:type="dxa"/>
            <w:vAlign w:val="bottom"/>
            <w:shd w:val="clear" w:color="auto" w:fill="D7D8D6"/>
          </w:tcPr>
          <w:p>
            <w:pPr>
              <w:spacing w:after="0"/>
              <w:rPr>
                <w:sz w:val="19"/>
                <w:szCs w:val="19"/>
                <w:color w:val="auto"/>
              </w:rPr>
            </w:pPr>
          </w:p>
        </w:tc>
        <w:tc>
          <w:tcPr>
            <w:tcW w:w="312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Company response</w:t>
            </w:r>
          </w:p>
        </w:tc>
        <w:tc>
          <w:tcPr>
            <w:tcW w:w="140" w:type="dxa"/>
            <w:vAlign w:val="bottom"/>
            <w:shd w:val="clear" w:color="auto" w:fill="D7D8D6"/>
          </w:tcPr>
          <w:p>
            <w:pPr>
              <w:spacing w:after="0"/>
              <w:rPr>
                <w:sz w:val="19"/>
                <w:szCs w:val="19"/>
                <w:color w:val="auto"/>
              </w:rPr>
            </w:pPr>
          </w:p>
        </w:tc>
        <w:tc>
          <w:tcPr>
            <w:tcW w:w="7880" w:type="dxa"/>
            <w:vAlign w:val="bottom"/>
            <w:shd w:val="clear" w:color="auto" w:fill="D7D8D6"/>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120" w:type="dxa"/>
            <w:vAlign w:val="bottom"/>
            <w:shd w:val="clear" w:color="auto" w:fill="D7D8D6"/>
          </w:tcPr>
          <w:p>
            <w:pPr>
              <w:spacing w:after="0"/>
              <w:rPr>
                <w:sz w:val="24"/>
                <w:szCs w:val="24"/>
                <w:color w:val="auto"/>
              </w:rPr>
            </w:pPr>
          </w:p>
        </w:tc>
        <w:tc>
          <w:tcPr>
            <w:tcW w:w="3120" w:type="dxa"/>
            <w:vAlign w:val="bottom"/>
            <w:shd w:val="clear" w:color="auto" w:fill="D7D8D6"/>
          </w:tcPr>
          <w:p>
            <w:pPr>
              <w:ind w:left="40"/>
              <w:spacing w:after="0"/>
              <w:rPr>
                <w:sz w:val="20"/>
                <w:szCs w:val="20"/>
                <w:color w:val="auto"/>
              </w:rPr>
            </w:pPr>
            <w:r>
              <w:rPr>
                <w:rFonts w:ascii="Arial" w:cs="Arial" w:eastAsia="Arial" w:hAnsi="Arial"/>
                <w:sz w:val="14"/>
                <w:szCs w:val="14"/>
                <w:b w:val="1"/>
                <w:bCs w:val="1"/>
                <w:color w:val="333740"/>
              </w:rPr>
              <w:t>Additional transparency regarding our</w:t>
            </w:r>
          </w:p>
        </w:tc>
        <w:tc>
          <w:tcPr>
            <w:tcW w:w="140" w:type="dxa"/>
            <w:vAlign w:val="bottom"/>
            <w:shd w:val="clear" w:color="auto" w:fill="D7D8D6"/>
          </w:tcPr>
          <w:p>
            <w:pPr>
              <w:spacing w:after="0"/>
              <w:rPr>
                <w:sz w:val="24"/>
                <w:szCs w:val="24"/>
                <w:color w:val="auto"/>
              </w:rPr>
            </w:pPr>
          </w:p>
        </w:tc>
        <w:tc>
          <w:tcPr>
            <w:tcW w:w="7880" w:type="dxa"/>
            <w:vAlign w:val="bottom"/>
            <w:shd w:val="clear" w:color="auto" w:fill="D7D8D6"/>
          </w:tcPr>
          <w:p>
            <w:pPr>
              <w:ind w:left="180"/>
              <w:spacing w:after="0"/>
              <w:rPr>
                <w:sz w:val="20"/>
                <w:szCs w:val="20"/>
                <w:color w:val="auto"/>
              </w:rPr>
            </w:pPr>
            <w:r>
              <w:rPr>
                <w:rFonts w:ascii="Arial" w:cs="Arial" w:eastAsia="Arial" w:hAnsi="Arial"/>
                <w:sz w:val="14"/>
                <w:szCs w:val="14"/>
                <w:color w:val="333740"/>
              </w:rPr>
              <w:t>The Nominating and Corporate Governance Committee monitors the other board commitments of directors to ensure</w:t>
            </w:r>
          </w:p>
        </w:tc>
        <w:tc>
          <w:tcPr>
            <w:tcW w:w="0" w:type="dxa"/>
            <w:vAlign w:val="bottom"/>
          </w:tcPr>
          <w:p>
            <w:pPr>
              <w:spacing w:after="0"/>
              <w:rPr>
                <w:sz w:val="1"/>
                <w:szCs w:val="1"/>
                <w:color w:val="auto"/>
              </w:rPr>
            </w:pPr>
          </w:p>
        </w:tc>
      </w:tr>
      <w:tr>
        <w:trPr>
          <w:trHeight w:val="225"/>
        </w:trPr>
        <w:tc>
          <w:tcPr>
            <w:tcW w:w="120" w:type="dxa"/>
            <w:vAlign w:val="bottom"/>
            <w:shd w:val="clear" w:color="auto" w:fill="D7D8D6"/>
          </w:tcPr>
          <w:p>
            <w:pPr>
              <w:spacing w:after="0"/>
              <w:rPr>
                <w:sz w:val="19"/>
                <w:szCs w:val="19"/>
                <w:color w:val="auto"/>
              </w:rPr>
            </w:pPr>
          </w:p>
        </w:tc>
        <w:tc>
          <w:tcPr>
            <w:tcW w:w="3120" w:type="dxa"/>
            <w:vAlign w:val="bottom"/>
            <w:shd w:val="clear" w:color="auto" w:fill="D7D8D6"/>
          </w:tcPr>
          <w:p>
            <w:pPr>
              <w:ind w:left="40"/>
              <w:spacing w:after="0"/>
              <w:rPr>
                <w:sz w:val="20"/>
                <w:szCs w:val="20"/>
                <w:color w:val="auto"/>
              </w:rPr>
            </w:pPr>
            <w:r>
              <w:rPr>
                <w:rFonts w:ascii="Arial" w:cs="Arial" w:eastAsia="Arial" w:hAnsi="Arial"/>
                <w:sz w:val="14"/>
                <w:szCs w:val="14"/>
                <w:b w:val="1"/>
                <w:bCs w:val="1"/>
                <w:color w:val="333740"/>
              </w:rPr>
              <w:t>directors’ other board commitments</w:t>
            </w:r>
          </w:p>
        </w:tc>
        <w:tc>
          <w:tcPr>
            <w:tcW w:w="140" w:type="dxa"/>
            <w:vAlign w:val="bottom"/>
            <w:shd w:val="clear" w:color="auto" w:fill="D7D8D6"/>
          </w:tcPr>
          <w:p>
            <w:pPr>
              <w:spacing w:after="0"/>
              <w:rPr>
                <w:sz w:val="19"/>
                <w:szCs w:val="19"/>
                <w:color w:val="auto"/>
              </w:rPr>
            </w:pPr>
          </w:p>
        </w:tc>
        <w:tc>
          <w:tcPr>
            <w:tcW w:w="7880" w:type="dxa"/>
            <w:vAlign w:val="bottom"/>
            <w:shd w:val="clear" w:color="auto" w:fill="D7D8D6"/>
          </w:tcPr>
          <w:p>
            <w:pPr>
              <w:ind w:left="180"/>
              <w:spacing w:after="0"/>
              <w:rPr>
                <w:sz w:val="20"/>
                <w:szCs w:val="20"/>
                <w:color w:val="auto"/>
              </w:rPr>
            </w:pPr>
            <w:r>
              <w:rPr>
                <w:rFonts w:ascii="Arial" w:cs="Arial" w:eastAsia="Arial" w:hAnsi="Arial"/>
                <w:sz w:val="14"/>
                <w:szCs w:val="14"/>
                <w:color w:val="333740"/>
              </w:rPr>
              <w:t>their ability to diligently serve on the Board and our shareholders.</w:t>
            </w:r>
          </w:p>
        </w:tc>
        <w:tc>
          <w:tcPr>
            <w:tcW w:w="0" w:type="dxa"/>
            <w:vAlign w:val="bottom"/>
          </w:tcPr>
          <w:p>
            <w:pPr>
              <w:spacing w:after="0"/>
              <w:rPr>
                <w:sz w:val="1"/>
                <w:szCs w:val="1"/>
                <w:color w:val="auto"/>
              </w:rPr>
            </w:pPr>
          </w:p>
        </w:tc>
      </w:tr>
      <w:tr>
        <w:trPr>
          <w:trHeight w:val="195"/>
        </w:trPr>
        <w:tc>
          <w:tcPr>
            <w:tcW w:w="120" w:type="dxa"/>
            <w:vAlign w:val="bottom"/>
            <w:shd w:val="clear" w:color="auto" w:fill="D7D8D6"/>
          </w:tcPr>
          <w:p>
            <w:pPr>
              <w:spacing w:after="0"/>
              <w:rPr>
                <w:sz w:val="16"/>
                <w:szCs w:val="16"/>
                <w:color w:val="auto"/>
              </w:rPr>
            </w:pPr>
          </w:p>
        </w:tc>
        <w:tc>
          <w:tcPr>
            <w:tcW w:w="3120" w:type="dxa"/>
            <w:vAlign w:val="bottom"/>
            <w:shd w:val="clear" w:color="auto" w:fill="D7D8D6"/>
          </w:tcPr>
          <w:p>
            <w:pPr>
              <w:ind w:left="180"/>
              <w:spacing w:after="0"/>
              <w:rPr>
                <w:sz w:val="20"/>
                <w:szCs w:val="20"/>
                <w:color w:val="auto"/>
              </w:rPr>
            </w:pPr>
            <w:r>
              <w:rPr>
                <w:rFonts w:ascii="Arial" w:cs="Arial" w:eastAsia="Arial" w:hAnsi="Arial"/>
                <w:sz w:val="14"/>
                <w:szCs w:val="14"/>
                <w:color w:val="333740"/>
              </w:rPr>
              <w:t>Some shareholders expressed possible</w:t>
            </w:r>
          </w:p>
        </w:tc>
        <w:tc>
          <w:tcPr>
            <w:tcW w:w="140" w:type="dxa"/>
            <w:vAlign w:val="bottom"/>
            <w:shd w:val="clear" w:color="auto" w:fill="D7D8D6"/>
          </w:tcPr>
          <w:p>
            <w:pPr>
              <w:spacing w:after="0"/>
              <w:rPr>
                <w:sz w:val="16"/>
                <w:szCs w:val="16"/>
                <w:color w:val="auto"/>
              </w:rPr>
            </w:pPr>
          </w:p>
        </w:tc>
        <w:tc>
          <w:tcPr>
            <w:tcW w:w="7880" w:type="dxa"/>
            <w:vAlign w:val="bottom"/>
            <w:shd w:val="clear" w:color="auto" w:fill="D7D8D6"/>
          </w:tcPr>
          <w:p>
            <w:pPr>
              <w:ind w:left="180"/>
              <w:spacing w:after="0"/>
              <w:rPr>
                <w:sz w:val="20"/>
                <w:szCs w:val="20"/>
                <w:color w:val="auto"/>
              </w:rPr>
            </w:pPr>
            <w:r>
              <w:rPr>
                <w:rFonts w:ascii="Arial" w:cs="Arial" w:eastAsia="Arial" w:hAnsi="Arial"/>
                <w:sz w:val="14"/>
                <w:szCs w:val="14"/>
                <w:color w:val="333740"/>
              </w:rPr>
              <w:t>We have provided more detailed disclosures regarding how we evaluate our directors’ performance and commitment to</w:t>
            </w:r>
          </w:p>
        </w:tc>
        <w:tc>
          <w:tcPr>
            <w:tcW w:w="0" w:type="dxa"/>
            <w:vAlign w:val="bottom"/>
          </w:tcPr>
          <w:p>
            <w:pPr>
              <w:spacing w:after="0"/>
              <w:rPr>
                <w:sz w:val="1"/>
                <w:szCs w:val="1"/>
                <w:color w:val="auto"/>
              </w:rPr>
            </w:pPr>
          </w:p>
        </w:tc>
      </w:tr>
      <w:tr>
        <w:trPr>
          <w:trHeight w:val="184"/>
        </w:trPr>
        <w:tc>
          <w:tcPr>
            <w:tcW w:w="120" w:type="dxa"/>
            <w:vAlign w:val="bottom"/>
            <w:shd w:val="clear" w:color="auto" w:fill="D7D8D6"/>
          </w:tcPr>
          <w:p>
            <w:pPr>
              <w:spacing w:after="0"/>
              <w:rPr>
                <w:sz w:val="15"/>
                <w:szCs w:val="15"/>
                <w:color w:val="auto"/>
              </w:rPr>
            </w:pPr>
          </w:p>
        </w:tc>
        <w:tc>
          <w:tcPr>
            <w:tcW w:w="3120" w:type="dxa"/>
            <w:vAlign w:val="bottom"/>
            <w:shd w:val="clear" w:color="auto" w:fill="D7D8D6"/>
          </w:tcPr>
          <w:p>
            <w:pPr>
              <w:ind w:left="180"/>
              <w:spacing w:after="0"/>
              <w:rPr>
                <w:sz w:val="20"/>
                <w:szCs w:val="20"/>
                <w:color w:val="auto"/>
              </w:rPr>
            </w:pPr>
            <w:r>
              <w:rPr>
                <w:rFonts w:ascii="Arial" w:cs="Arial" w:eastAsia="Arial" w:hAnsi="Arial"/>
                <w:sz w:val="14"/>
                <w:szCs w:val="14"/>
                <w:color w:val="333740"/>
              </w:rPr>
              <w:t>concern with overboarding</w:t>
            </w:r>
          </w:p>
        </w:tc>
        <w:tc>
          <w:tcPr>
            <w:tcW w:w="140" w:type="dxa"/>
            <w:vAlign w:val="bottom"/>
            <w:shd w:val="clear" w:color="auto" w:fill="D7D8D6"/>
          </w:tcPr>
          <w:p>
            <w:pPr>
              <w:spacing w:after="0"/>
              <w:rPr>
                <w:sz w:val="15"/>
                <w:szCs w:val="15"/>
                <w:color w:val="auto"/>
              </w:rPr>
            </w:pPr>
          </w:p>
        </w:tc>
        <w:tc>
          <w:tcPr>
            <w:tcW w:w="7880" w:type="dxa"/>
            <w:vAlign w:val="bottom"/>
            <w:shd w:val="clear" w:color="auto" w:fill="D7D8D6"/>
          </w:tcPr>
          <w:p>
            <w:pPr>
              <w:ind w:left="180"/>
              <w:spacing w:after="0"/>
              <w:rPr>
                <w:sz w:val="20"/>
                <w:szCs w:val="20"/>
                <w:color w:val="auto"/>
              </w:rPr>
            </w:pPr>
            <w:r>
              <w:rPr>
                <w:rFonts w:ascii="Arial" w:cs="Arial" w:eastAsia="Arial" w:hAnsi="Arial"/>
                <w:sz w:val="14"/>
                <w:szCs w:val="14"/>
                <w:color w:val="333740"/>
              </w:rPr>
              <w:t>our Company, including other board commitments.</w:t>
            </w:r>
          </w:p>
        </w:tc>
        <w:tc>
          <w:tcPr>
            <w:tcW w:w="0" w:type="dxa"/>
            <w:vAlign w:val="bottom"/>
          </w:tcPr>
          <w:p>
            <w:pPr>
              <w:spacing w:after="0"/>
              <w:rPr>
                <w:sz w:val="1"/>
                <w:szCs w:val="1"/>
                <w:color w:val="auto"/>
              </w:rPr>
            </w:pPr>
          </w:p>
        </w:tc>
      </w:tr>
      <w:tr>
        <w:trPr>
          <w:trHeight w:val="281"/>
        </w:trPr>
        <w:tc>
          <w:tcPr>
            <w:tcW w:w="120" w:type="dxa"/>
            <w:vAlign w:val="bottom"/>
            <w:shd w:val="clear" w:color="auto" w:fill="D7D8D6"/>
          </w:tcPr>
          <w:p>
            <w:pPr>
              <w:spacing w:after="0"/>
              <w:rPr>
                <w:sz w:val="24"/>
                <w:szCs w:val="24"/>
                <w:color w:val="auto"/>
              </w:rPr>
            </w:pPr>
          </w:p>
        </w:tc>
        <w:tc>
          <w:tcPr>
            <w:tcW w:w="312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Additional disclosures regarding the</w:t>
            </w:r>
          </w:p>
        </w:tc>
        <w:tc>
          <w:tcPr>
            <w:tcW w:w="140" w:type="dxa"/>
            <w:vAlign w:val="bottom"/>
            <w:shd w:val="clear" w:color="auto" w:fill="D7D8D6"/>
          </w:tcPr>
          <w:p>
            <w:pPr>
              <w:spacing w:after="0"/>
              <w:rPr>
                <w:sz w:val="24"/>
                <w:szCs w:val="24"/>
                <w:color w:val="auto"/>
              </w:rPr>
            </w:pPr>
          </w:p>
        </w:tc>
        <w:tc>
          <w:tcPr>
            <w:tcW w:w="7880" w:type="dxa"/>
            <w:vAlign w:val="bottom"/>
            <w:shd w:val="clear" w:color="auto" w:fill="D7D8D6"/>
          </w:tcPr>
          <w:p>
            <w:pPr>
              <w:ind w:left="180"/>
              <w:spacing w:after="0"/>
              <w:rPr>
                <w:sz w:val="20"/>
                <w:szCs w:val="20"/>
                <w:color w:val="auto"/>
              </w:rPr>
            </w:pPr>
            <w:r>
              <w:rPr>
                <w:rFonts w:ascii="Arial" w:cs="Arial" w:eastAsia="Arial" w:hAnsi="Arial"/>
                <w:sz w:val="14"/>
                <w:szCs w:val="14"/>
                <w:color w:val="333740"/>
              </w:rPr>
              <w:t>Sustainability is one of the Company’s Foundational Beliefs, and we have provided additional disclosures regarding our</w:t>
            </w:r>
          </w:p>
        </w:tc>
        <w:tc>
          <w:tcPr>
            <w:tcW w:w="0" w:type="dxa"/>
            <w:vAlign w:val="bottom"/>
          </w:tcPr>
          <w:p>
            <w:pPr>
              <w:spacing w:after="0"/>
              <w:rPr>
                <w:sz w:val="1"/>
                <w:szCs w:val="1"/>
                <w:color w:val="auto"/>
              </w:rPr>
            </w:pPr>
          </w:p>
        </w:tc>
      </w:tr>
      <w:tr>
        <w:trPr>
          <w:trHeight w:val="225"/>
        </w:trPr>
        <w:tc>
          <w:tcPr>
            <w:tcW w:w="120" w:type="dxa"/>
            <w:vAlign w:val="bottom"/>
            <w:shd w:val="clear" w:color="auto" w:fill="D7D8D6"/>
          </w:tcPr>
          <w:p>
            <w:pPr>
              <w:spacing w:after="0"/>
              <w:rPr>
                <w:sz w:val="19"/>
                <w:szCs w:val="19"/>
                <w:color w:val="auto"/>
              </w:rPr>
            </w:pPr>
          </w:p>
        </w:tc>
        <w:tc>
          <w:tcPr>
            <w:tcW w:w="312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Company’s sustainability focus</w:t>
            </w:r>
          </w:p>
        </w:tc>
        <w:tc>
          <w:tcPr>
            <w:tcW w:w="140" w:type="dxa"/>
            <w:vAlign w:val="bottom"/>
            <w:shd w:val="clear" w:color="auto" w:fill="D7D8D6"/>
          </w:tcPr>
          <w:p>
            <w:pPr>
              <w:spacing w:after="0"/>
              <w:rPr>
                <w:sz w:val="19"/>
                <w:szCs w:val="19"/>
                <w:color w:val="auto"/>
              </w:rPr>
            </w:pPr>
          </w:p>
        </w:tc>
        <w:tc>
          <w:tcPr>
            <w:tcW w:w="7880" w:type="dxa"/>
            <w:vAlign w:val="bottom"/>
            <w:shd w:val="clear" w:color="auto" w:fill="D7D8D6"/>
          </w:tcPr>
          <w:p>
            <w:pPr>
              <w:ind w:left="180"/>
              <w:spacing w:after="0"/>
              <w:rPr>
                <w:sz w:val="20"/>
                <w:szCs w:val="20"/>
                <w:color w:val="auto"/>
              </w:rPr>
            </w:pPr>
            <w:r>
              <w:rPr>
                <w:rFonts w:ascii="Arial" w:cs="Arial" w:eastAsia="Arial" w:hAnsi="Arial"/>
                <w:sz w:val="14"/>
                <w:szCs w:val="14"/>
                <w:color w:val="333740"/>
              </w:rPr>
              <w:t>three sustainability pillars and our 2018 and 2019 sustainability efforts and achievements.</w:t>
            </w:r>
          </w:p>
        </w:tc>
        <w:tc>
          <w:tcPr>
            <w:tcW w:w="0" w:type="dxa"/>
            <w:vAlign w:val="bottom"/>
          </w:tcPr>
          <w:p>
            <w:pPr>
              <w:spacing w:after="0"/>
              <w:rPr>
                <w:sz w:val="1"/>
                <w:szCs w:val="1"/>
                <w:color w:val="auto"/>
              </w:rPr>
            </w:pPr>
          </w:p>
        </w:tc>
      </w:tr>
      <w:tr>
        <w:trPr>
          <w:trHeight w:val="265"/>
        </w:trPr>
        <w:tc>
          <w:tcPr>
            <w:tcW w:w="120" w:type="dxa"/>
            <w:vAlign w:val="bottom"/>
            <w:shd w:val="clear" w:color="auto" w:fill="D7D8D6"/>
          </w:tcPr>
          <w:p>
            <w:pPr>
              <w:spacing w:after="0"/>
              <w:rPr>
                <w:sz w:val="23"/>
                <w:szCs w:val="23"/>
                <w:color w:val="auto"/>
              </w:rPr>
            </w:pPr>
          </w:p>
        </w:tc>
        <w:tc>
          <w:tcPr>
            <w:tcW w:w="312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Concern regarding the independence</w:t>
            </w:r>
          </w:p>
        </w:tc>
        <w:tc>
          <w:tcPr>
            <w:tcW w:w="140" w:type="dxa"/>
            <w:vAlign w:val="bottom"/>
            <w:shd w:val="clear" w:color="auto" w:fill="D7D8D6"/>
          </w:tcPr>
          <w:p>
            <w:pPr>
              <w:spacing w:after="0"/>
              <w:rPr>
                <w:sz w:val="23"/>
                <w:szCs w:val="23"/>
                <w:color w:val="auto"/>
              </w:rPr>
            </w:pPr>
          </w:p>
        </w:tc>
        <w:tc>
          <w:tcPr>
            <w:tcW w:w="7880" w:type="dxa"/>
            <w:vAlign w:val="bottom"/>
            <w:shd w:val="clear" w:color="auto" w:fill="D7D8D6"/>
          </w:tcPr>
          <w:p>
            <w:pPr>
              <w:ind w:left="180"/>
              <w:spacing w:after="0"/>
              <w:rPr>
                <w:sz w:val="20"/>
                <w:szCs w:val="20"/>
                <w:color w:val="auto"/>
              </w:rPr>
            </w:pPr>
            <w:r>
              <w:rPr>
                <w:rFonts w:ascii="Arial" w:cs="Arial" w:eastAsia="Arial" w:hAnsi="Arial"/>
                <w:sz w:val="14"/>
                <w:szCs w:val="14"/>
                <w:color w:val="333740"/>
              </w:rPr>
              <w:t>We clarified our disclosure related to the Company’s commercial agreement with Bpifrance Participations to explain the</w:t>
            </w:r>
          </w:p>
        </w:tc>
        <w:tc>
          <w:tcPr>
            <w:tcW w:w="0" w:type="dxa"/>
            <w:vAlign w:val="bottom"/>
          </w:tcPr>
          <w:p>
            <w:pPr>
              <w:spacing w:after="0"/>
              <w:rPr>
                <w:sz w:val="1"/>
                <w:szCs w:val="1"/>
                <w:color w:val="auto"/>
              </w:rPr>
            </w:pPr>
          </w:p>
        </w:tc>
      </w:tr>
      <w:tr>
        <w:trPr>
          <w:trHeight w:val="167"/>
        </w:trPr>
        <w:tc>
          <w:tcPr>
            <w:tcW w:w="120" w:type="dxa"/>
            <w:vAlign w:val="bottom"/>
            <w:shd w:val="clear" w:color="auto" w:fill="D7D8D6"/>
          </w:tcPr>
          <w:p>
            <w:pPr>
              <w:spacing w:after="0"/>
              <w:rPr>
                <w:sz w:val="14"/>
                <w:szCs w:val="14"/>
                <w:color w:val="auto"/>
              </w:rPr>
            </w:pPr>
          </w:p>
        </w:tc>
        <w:tc>
          <w:tcPr>
            <w:tcW w:w="312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of one of our directors, Arnaud</w:t>
            </w:r>
          </w:p>
        </w:tc>
        <w:tc>
          <w:tcPr>
            <w:tcW w:w="140" w:type="dxa"/>
            <w:vAlign w:val="bottom"/>
            <w:shd w:val="clear" w:color="auto" w:fill="D7D8D6"/>
          </w:tcPr>
          <w:p>
            <w:pPr>
              <w:spacing w:after="0"/>
              <w:rPr>
                <w:sz w:val="14"/>
                <w:szCs w:val="14"/>
                <w:color w:val="auto"/>
              </w:rPr>
            </w:pPr>
          </w:p>
        </w:tc>
        <w:tc>
          <w:tcPr>
            <w:tcW w:w="7880" w:type="dxa"/>
            <w:vAlign w:val="bottom"/>
            <w:shd w:val="clear" w:color="auto" w:fill="D7D8D6"/>
          </w:tcPr>
          <w:p>
            <w:pPr>
              <w:ind w:left="180"/>
              <w:spacing w:after="0"/>
              <w:rPr>
                <w:sz w:val="20"/>
                <w:szCs w:val="20"/>
                <w:color w:val="auto"/>
              </w:rPr>
            </w:pPr>
            <w:r>
              <w:rPr>
                <w:rFonts w:ascii="Arial" w:cs="Arial" w:eastAsia="Arial" w:hAnsi="Arial"/>
                <w:sz w:val="14"/>
                <w:szCs w:val="14"/>
                <w:color w:val="333740"/>
              </w:rPr>
              <w:t>limited nature of the scope and duration of this agreement.</w:t>
            </w:r>
          </w:p>
        </w:tc>
        <w:tc>
          <w:tcPr>
            <w:tcW w:w="0" w:type="dxa"/>
            <w:vAlign w:val="bottom"/>
          </w:tcPr>
          <w:p>
            <w:pPr>
              <w:spacing w:after="0"/>
              <w:rPr>
                <w:sz w:val="1"/>
                <w:szCs w:val="1"/>
                <w:color w:val="auto"/>
              </w:rPr>
            </w:pPr>
          </w:p>
        </w:tc>
      </w:tr>
      <w:tr>
        <w:trPr>
          <w:trHeight w:val="167"/>
        </w:trPr>
        <w:tc>
          <w:tcPr>
            <w:tcW w:w="120" w:type="dxa"/>
            <w:vAlign w:val="bottom"/>
            <w:shd w:val="clear" w:color="auto" w:fill="D7D8D6"/>
          </w:tcPr>
          <w:p>
            <w:pPr>
              <w:spacing w:after="0"/>
              <w:rPr>
                <w:sz w:val="14"/>
                <w:szCs w:val="14"/>
                <w:color w:val="auto"/>
              </w:rPr>
            </w:pPr>
          </w:p>
        </w:tc>
        <w:tc>
          <w:tcPr>
            <w:tcW w:w="312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Caudoux, due to a commercial</w:t>
            </w:r>
          </w:p>
        </w:tc>
        <w:tc>
          <w:tcPr>
            <w:tcW w:w="140" w:type="dxa"/>
            <w:vAlign w:val="bottom"/>
            <w:shd w:val="clear" w:color="auto" w:fill="D7D8D6"/>
          </w:tcPr>
          <w:p>
            <w:pPr>
              <w:spacing w:after="0"/>
              <w:rPr>
                <w:sz w:val="14"/>
                <w:szCs w:val="14"/>
                <w:color w:val="auto"/>
              </w:rPr>
            </w:pPr>
          </w:p>
        </w:tc>
        <w:tc>
          <w:tcPr>
            <w:tcW w:w="788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shd w:val="clear" w:color="auto" w:fill="D7D8D6"/>
          </w:tcPr>
          <w:p>
            <w:pPr>
              <w:spacing w:after="0"/>
              <w:rPr>
                <w:sz w:val="14"/>
                <w:szCs w:val="14"/>
                <w:color w:val="auto"/>
              </w:rPr>
            </w:pPr>
          </w:p>
        </w:tc>
        <w:tc>
          <w:tcPr>
            <w:tcW w:w="312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agreement between an aﬃliate of</w:t>
            </w:r>
          </w:p>
        </w:tc>
        <w:tc>
          <w:tcPr>
            <w:tcW w:w="140" w:type="dxa"/>
            <w:vAlign w:val="bottom"/>
            <w:shd w:val="clear" w:color="auto" w:fill="D7D8D6"/>
          </w:tcPr>
          <w:p>
            <w:pPr>
              <w:spacing w:after="0"/>
              <w:rPr>
                <w:sz w:val="14"/>
                <w:szCs w:val="14"/>
                <w:color w:val="auto"/>
              </w:rPr>
            </w:pPr>
          </w:p>
        </w:tc>
        <w:tc>
          <w:tcPr>
            <w:tcW w:w="788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shd w:val="clear" w:color="auto" w:fill="D7D8D6"/>
          </w:tcPr>
          <w:p>
            <w:pPr>
              <w:spacing w:after="0"/>
              <w:rPr>
                <w:sz w:val="14"/>
                <w:szCs w:val="14"/>
                <w:color w:val="auto"/>
              </w:rPr>
            </w:pPr>
          </w:p>
        </w:tc>
        <w:tc>
          <w:tcPr>
            <w:tcW w:w="312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Banque publique d’investissement</w:t>
            </w:r>
          </w:p>
        </w:tc>
        <w:tc>
          <w:tcPr>
            <w:tcW w:w="140" w:type="dxa"/>
            <w:vAlign w:val="bottom"/>
            <w:shd w:val="clear" w:color="auto" w:fill="D7D8D6"/>
          </w:tcPr>
          <w:p>
            <w:pPr>
              <w:spacing w:after="0"/>
              <w:rPr>
                <w:sz w:val="14"/>
                <w:szCs w:val="14"/>
                <w:color w:val="auto"/>
              </w:rPr>
            </w:pPr>
          </w:p>
        </w:tc>
        <w:tc>
          <w:tcPr>
            <w:tcW w:w="788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0" w:type="dxa"/>
            <w:vAlign w:val="bottom"/>
            <w:shd w:val="clear" w:color="auto" w:fill="D7D8D6"/>
          </w:tcPr>
          <w:p>
            <w:pPr>
              <w:spacing w:after="0"/>
              <w:rPr>
                <w:sz w:val="19"/>
                <w:szCs w:val="19"/>
                <w:color w:val="auto"/>
              </w:rPr>
            </w:pPr>
          </w:p>
        </w:tc>
        <w:tc>
          <w:tcPr>
            <w:tcW w:w="312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(“Bpifrance”) and the Company</w:t>
            </w:r>
          </w:p>
        </w:tc>
        <w:tc>
          <w:tcPr>
            <w:tcW w:w="140" w:type="dxa"/>
            <w:vAlign w:val="bottom"/>
            <w:shd w:val="clear" w:color="auto" w:fill="D7D8D6"/>
          </w:tcPr>
          <w:p>
            <w:pPr>
              <w:spacing w:after="0"/>
              <w:rPr>
                <w:sz w:val="19"/>
                <w:szCs w:val="19"/>
                <w:color w:val="auto"/>
              </w:rPr>
            </w:pPr>
          </w:p>
        </w:tc>
        <w:tc>
          <w:tcPr>
            <w:tcW w:w="7880" w:type="dxa"/>
            <w:vAlign w:val="bottom"/>
            <w:shd w:val="clear" w:color="auto" w:fill="D7D8D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20" w:type="dxa"/>
            <w:vAlign w:val="bottom"/>
            <w:shd w:val="clear" w:color="auto" w:fill="D7D8D6"/>
          </w:tcPr>
          <w:p>
            <w:pPr>
              <w:spacing w:after="0"/>
              <w:rPr>
                <w:sz w:val="16"/>
                <w:szCs w:val="16"/>
                <w:color w:val="auto"/>
              </w:rPr>
            </w:pPr>
          </w:p>
        </w:tc>
        <w:tc>
          <w:tcPr>
            <w:tcW w:w="3120" w:type="dxa"/>
            <w:vAlign w:val="bottom"/>
            <w:vMerge w:val="restart"/>
            <w:shd w:val="clear" w:color="auto" w:fill="D7D8D6"/>
          </w:tcPr>
          <w:p>
            <w:pPr>
              <w:spacing w:after="0"/>
              <w:rPr>
                <w:sz w:val="20"/>
                <w:szCs w:val="20"/>
                <w:color w:val="auto"/>
              </w:rPr>
            </w:pPr>
            <w:r>
              <w:rPr>
                <w:rFonts w:ascii="Arial" w:cs="Arial" w:eastAsia="Arial" w:hAnsi="Arial"/>
                <w:sz w:val="14"/>
                <w:szCs w:val="14"/>
                <w:b w:val="1"/>
                <w:bCs w:val="1"/>
                <w:color w:val="333740"/>
              </w:rPr>
              <w:t>Concern regarding our director,</w:t>
            </w:r>
          </w:p>
        </w:tc>
        <w:tc>
          <w:tcPr>
            <w:tcW w:w="140" w:type="dxa"/>
            <w:vAlign w:val="bottom"/>
            <w:shd w:val="clear" w:color="auto" w:fill="D7D8D6"/>
          </w:tcPr>
          <w:p>
            <w:pPr>
              <w:spacing w:after="0"/>
              <w:rPr>
                <w:sz w:val="16"/>
                <w:szCs w:val="16"/>
                <w:color w:val="auto"/>
              </w:rPr>
            </w:pPr>
          </w:p>
        </w:tc>
        <w:tc>
          <w:tcPr>
            <w:tcW w:w="7880" w:type="dxa"/>
            <w:vAlign w:val="bottom"/>
            <w:shd w:val="clear" w:color="auto" w:fill="D7D8D6"/>
          </w:tcPr>
          <w:p>
            <w:pPr>
              <w:ind w:left="160"/>
              <w:spacing w:after="0"/>
              <w:rPr>
                <w:sz w:val="20"/>
                <w:szCs w:val="20"/>
                <w:color w:val="auto"/>
              </w:rPr>
            </w:pPr>
            <w:r>
              <w:rPr>
                <w:rFonts w:ascii="Arial" w:cs="Arial" w:eastAsia="Arial" w:hAnsi="Arial"/>
                <w:sz w:val="14"/>
                <w:szCs w:val="14"/>
                <w:color w:val="333740"/>
              </w:rPr>
              <w:t>We have provided additional disclosure clarifying that Ms. Debon’s directorship with Lydec S.A. was related to her duties</w:t>
            </w:r>
          </w:p>
        </w:tc>
        <w:tc>
          <w:tcPr>
            <w:tcW w:w="0" w:type="dxa"/>
            <w:vAlign w:val="bottom"/>
          </w:tcPr>
          <w:p>
            <w:pPr>
              <w:spacing w:after="0"/>
              <w:rPr>
                <w:sz w:val="1"/>
                <w:szCs w:val="1"/>
                <w:color w:val="auto"/>
              </w:rPr>
            </w:pPr>
          </w:p>
        </w:tc>
      </w:tr>
      <w:tr>
        <w:trPr>
          <w:trHeight w:val="70"/>
        </w:trPr>
        <w:tc>
          <w:tcPr>
            <w:tcW w:w="120" w:type="dxa"/>
            <w:vAlign w:val="bottom"/>
            <w:shd w:val="clear" w:color="auto" w:fill="D7D8D6"/>
          </w:tcPr>
          <w:p>
            <w:pPr>
              <w:spacing w:after="0"/>
              <w:rPr>
                <w:sz w:val="6"/>
                <w:szCs w:val="6"/>
                <w:color w:val="auto"/>
              </w:rPr>
            </w:pPr>
          </w:p>
        </w:tc>
        <w:tc>
          <w:tcPr>
            <w:tcW w:w="3120" w:type="dxa"/>
            <w:vAlign w:val="bottom"/>
            <w:vMerge w:val="continue"/>
            <w:shd w:val="clear" w:color="auto" w:fill="D7D8D6"/>
          </w:tcPr>
          <w:p>
            <w:pPr>
              <w:spacing w:after="0"/>
              <w:rPr>
                <w:sz w:val="6"/>
                <w:szCs w:val="6"/>
                <w:color w:val="auto"/>
              </w:rPr>
            </w:pPr>
          </w:p>
        </w:tc>
        <w:tc>
          <w:tcPr>
            <w:tcW w:w="140" w:type="dxa"/>
            <w:vAlign w:val="bottom"/>
            <w:shd w:val="clear" w:color="auto" w:fill="D7D8D6"/>
          </w:tcPr>
          <w:p>
            <w:pPr>
              <w:spacing w:after="0"/>
              <w:rPr>
                <w:sz w:val="6"/>
                <w:szCs w:val="6"/>
                <w:color w:val="auto"/>
              </w:rPr>
            </w:pPr>
          </w:p>
        </w:tc>
        <w:tc>
          <w:tcPr>
            <w:tcW w:w="7880" w:type="dxa"/>
            <w:vAlign w:val="bottom"/>
            <w:vMerge w:val="restart"/>
            <w:shd w:val="clear" w:color="auto" w:fill="D7D8D6"/>
          </w:tcPr>
          <w:p>
            <w:pPr>
              <w:ind w:left="140"/>
              <w:spacing w:after="0"/>
              <w:rPr>
                <w:sz w:val="20"/>
                <w:szCs w:val="20"/>
                <w:color w:val="auto"/>
              </w:rPr>
            </w:pPr>
            <w:r>
              <w:rPr>
                <w:rFonts w:ascii="Arial" w:cs="Arial" w:eastAsia="Arial" w:hAnsi="Arial"/>
                <w:sz w:val="14"/>
                <w:szCs w:val="14"/>
                <w:color w:val="333740"/>
              </w:rPr>
              <w:t>and responsibilities as an executive officer of the Suez Group.</w:t>
            </w:r>
          </w:p>
        </w:tc>
        <w:tc>
          <w:tcPr>
            <w:tcW w:w="0" w:type="dxa"/>
            <w:vAlign w:val="bottom"/>
          </w:tcPr>
          <w:p>
            <w:pPr>
              <w:spacing w:after="0"/>
              <w:rPr>
                <w:sz w:val="1"/>
                <w:szCs w:val="1"/>
                <w:color w:val="auto"/>
              </w:rPr>
            </w:pPr>
          </w:p>
        </w:tc>
      </w:tr>
      <w:tr>
        <w:trPr>
          <w:trHeight w:val="102"/>
        </w:trPr>
        <w:tc>
          <w:tcPr>
            <w:tcW w:w="120" w:type="dxa"/>
            <w:vAlign w:val="bottom"/>
            <w:shd w:val="clear" w:color="auto" w:fill="D7D8D6"/>
          </w:tcPr>
          <w:p>
            <w:pPr>
              <w:spacing w:after="0"/>
              <w:rPr>
                <w:sz w:val="8"/>
                <w:szCs w:val="8"/>
                <w:color w:val="auto"/>
              </w:rPr>
            </w:pPr>
          </w:p>
        </w:tc>
        <w:tc>
          <w:tcPr>
            <w:tcW w:w="3120" w:type="dxa"/>
            <w:vAlign w:val="bottom"/>
            <w:vMerge w:val="restart"/>
            <w:shd w:val="clear" w:color="auto" w:fill="D7D8D6"/>
          </w:tcPr>
          <w:p>
            <w:pPr>
              <w:spacing w:after="0"/>
              <w:rPr>
                <w:sz w:val="20"/>
                <w:szCs w:val="20"/>
                <w:color w:val="auto"/>
              </w:rPr>
            </w:pPr>
            <w:r>
              <w:rPr>
                <w:rFonts w:ascii="Arial" w:cs="Arial" w:eastAsia="Arial" w:hAnsi="Arial"/>
                <w:sz w:val="14"/>
                <w:szCs w:val="14"/>
                <w:b w:val="1"/>
                <w:bCs w:val="1"/>
                <w:color w:val="333740"/>
              </w:rPr>
              <w:t>Marie-Ange Debon’s, service on other</w:t>
            </w:r>
          </w:p>
        </w:tc>
        <w:tc>
          <w:tcPr>
            <w:tcW w:w="140" w:type="dxa"/>
            <w:vAlign w:val="bottom"/>
            <w:shd w:val="clear" w:color="auto" w:fill="D7D8D6"/>
          </w:tcPr>
          <w:p>
            <w:pPr>
              <w:spacing w:after="0"/>
              <w:rPr>
                <w:sz w:val="8"/>
                <w:szCs w:val="8"/>
                <w:color w:val="auto"/>
              </w:rPr>
            </w:pPr>
          </w:p>
        </w:tc>
        <w:tc>
          <w:tcPr>
            <w:tcW w:w="7880" w:type="dxa"/>
            <w:vAlign w:val="bottom"/>
            <w:vMerge w:val="continue"/>
            <w:shd w:val="clear" w:color="auto" w:fill="D7D8D6"/>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20" w:type="dxa"/>
            <w:vAlign w:val="bottom"/>
            <w:shd w:val="clear" w:color="auto" w:fill="D7D8D6"/>
          </w:tcPr>
          <w:p>
            <w:pPr>
              <w:spacing w:after="0"/>
              <w:rPr>
                <w:sz w:val="5"/>
                <w:szCs w:val="5"/>
                <w:color w:val="auto"/>
              </w:rPr>
            </w:pPr>
          </w:p>
        </w:tc>
        <w:tc>
          <w:tcPr>
            <w:tcW w:w="3120" w:type="dxa"/>
            <w:vAlign w:val="bottom"/>
            <w:vMerge w:val="continue"/>
            <w:shd w:val="clear" w:color="auto" w:fill="D7D8D6"/>
          </w:tcPr>
          <w:p>
            <w:pPr>
              <w:spacing w:after="0"/>
              <w:rPr>
                <w:sz w:val="5"/>
                <w:szCs w:val="5"/>
                <w:color w:val="auto"/>
              </w:rPr>
            </w:pPr>
          </w:p>
        </w:tc>
        <w:tc>
          <w:tcPr>
            <w:tcW w:w="140" w:type="dxa"/>
            <w:vAlign w:val="bottom"/>
            <w:shd w:val="clear" w:color="auto" w:fill="D7D8D6"/>
          </w:tcPr>
          <w:p>
            <w:pPr>
              <w:spacing w:after="0"/>
              <w:rPr>
                <w:sz w:val="5"/>
                <w:szCs w:val="5"/>
                <w:color w:val="auto"/>
              </w:rPr>
            </w:pPr>
          </w:p>
        </w:tc>
        <w:tc>
          <w:tcPr>
            <w:tcW w:w="7880" w:type="dxa"/>
            <w:vAlign w:val="bottom"/>
            <w:shd w:val="clear" w:color="auto" w:fill="D7D8D6"/>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20" w:type="dxa"/>
            <w:vAlign w:val="bottom"/>
            <w:shd w:val="clear" w:color="auto" w:fill="D7D8D6"/>
          </w:tcPr>
          <w:p>
            <w:pPr>
              <w:spacing w:after="0"/>
              <w:rPr>
                <w:sz w:val="14"/>
                <w:szCs w:val="14"/>
                <w:color w:val="auto"/>
              </w:rPr>
            </w:pPr>
          </w:p>
        </w:tc>
        <w:tc>
          <w:tcPr>
            <w:tcW w:w="312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public company boards when she also</w:t>
            </w:r>
          </w:p>
        </w:tc>
        <w:tc>
          <w:tcPr>
            <w:tcW w:w="140" w:type="dxa"/>
            <w:vAlign w:val="bottom"/>
            <w:shd w:val="clear" w:color="auto" w:fill="D7D8D6"/>
          </w:tcPr>
          <w:p>
            <w:pPr>
              <w:spacing w:after="0"/>
              <w:rPr>
                <w:sz w:val="14"/>
                <w:szCs w:val="14"/>
                <w:color w:val="auto"/>
              </w:rPr>
            </w:pPr>
          </w:p>
        </w:tc>
        <w:tc>
          <w:tcPr>
            <w:tcW w:w="788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shd w:val="clear" w:color="auto" w:fill="D7D8D6"/>
          </w:tcPr>
          <w:p>
            <w:pPr>
              <w:spacing w:after="0"/>
              <w:rPr>
                <w:sz w:val="14"/>
                <w:szCs w:val="14"/>
                <w:color w:val="auto"/>
              </w:rPr>
            </w:pPr>
          </w:p>
        </w:tc>
        <w:tc>
          <w:tcPr>
            <w:tcW w:w="312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served as an executive of the Suez</w:t>
            </w:r>
          </w:p>
        </w:tc>
        <w:tc>
          <w:tcPr>
            <w:tcW w:w="140" w:type="dxa"/>
            <w:vAlign w:val="bottom"/>
            <w:shd w:val="clear" w:color="auto" w:fill="D7D8D6"/>
          </w:tcPr>
          <w:p>
            <w:pPr>
              <w:spacing w:after="0"/>
              <w:rPr>
                <w:sz w:val="14"/>
                <w:szCs w:val="14"/>
                <w:color w:val="auto"/>
              </w:rPr>
            </w:pPr>
          </w:p>
        </w:tc>
        <w:tc>
          <w:tcPr>
            <w:tcW w:w="788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0" w:type="dxa"/>
            <w:vAlign w:val="bottom"/>
            <w:shd w:val="clear" w:color="auto" w:fill="D7D8D6"/>
          </w:tcPr>
          <w:p>
            <w:pPr>
              <w:spacing w:after="0"/>
              <w:rPr>
                <w:sz w:val="19"/>
                <w:szCs w:val="19"/>
                <w:color w:val="auto"/>
              </w:rPr>
            </w:pPr>
          </w:p>
        </w:tc>
        <w:tc>
          <w:tcPr>
            <w:tcW w:w="312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Group</w:t>
            </w:r>
          </w:p>
        </w:tc>
        <w:tc>
          <w:tcPr>
            <w:tcW w:w="140" w:type="dxa"/>
            <w:vAlign w:val="bottom"/>
            <w:shd w:val="clear" w:color="auto" w:fill="D7D8D6"/>
          </w:tcPr>
          <w:p>
            <w:pPr>
              <w:spacing w:after="0"/>
              <w:rPr>
                <w:sz w:val="19"/>
                <w:szCs w:val="19"/>
                <w:color w:val="auto"/>
              </w:rPr>
            </w:pPr>
          </w:p>
        </w:tc>
        <w:tc>
          <w:tcPr>
            <w:tcW w:w="7880" w:type="dxa"/>
            <w:vAlign w:val="bottom"/>
            <w:shd w:val="clear" w:color="auto" w:fill="D7D8D6"/>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20" w:type="dxa"/>
            <w:vAlign w:val="bottom"/>
            <w:shd w:val="clear" w:color="auto" w:fill="D7D8D6"/>
          </w:tcPr>
          <w:p>
            <w:pPr>
              <w:spacing w:after="0"/>
              <w:rPr>
                <w:sz w:val="16"/>
                <w:szCs w:val="16"/>
                <w:color w:val="auto"/>
              </w:rPr>
            </w:pPr>
          </w:p>
        </w:tc>
        <w:tc>
          <w:tcPr>
            <w:tcW w:w="3120" w:type="dxa"/>
            <w:vAlign w:val="bottom"/>
            <w:shd w:val="clear" w:color="auto" w:fill="D7D8D6"/>
          </w:tcPr>
          <w:p>
            <w:pPr>
              <w:ind w:left="40"/>
              <w:spacing w:after="0"/>
              <w:rPr>
                <w:sz w:val="20"/>
                <w:szCs w:val="20"/>
                <w:color w:val="auto"/>
              </w:rPr>
            </w:pPr>
            <w:r>
              <w:rPr>
                <w:rFonts w:ascii="Arial" w:cs="Arial" w:eastAsia="Arial" w:hAnsi="Arial"/>
                <w:sz w:val="14"/>
                <w:szCs w:val="14"/>
                <w:b w:val="1"/>
                <w:bCs w:val="1"/>
                <w:color w:val="333740"/>
              </w:rPr>
              <w:t>Cautionary support for our Audit</w:t>
            </w:r>
          </w:p>
        </w:tc>
        <w:tc>
          <w:tcPr>
            <w:tcW w:w="140" w:type="dxa"/>
            <w:vAlign w:val="bottom"/>
            <w:shd w:val="clear" w:color="auto" w:fill="D7D8D6"/>
          </w:tcPr>
          <w:p>
            <w:pPr>
              <w:spacing w:after="0"/>
              <w:rPr>
                <w:sz w:val="16"/>
                <w:szCs w:val="16"/>
                <w:color w:val="auto"/>
              </w:rPr>
            </w:pPr>
          </w:p>
        </w:tc>
        <w:tc>
          <w:tcPr>
            <w:tcW w:w="7880" w:type="dxa"/>
            <w:vAlign w:val="bottom"/>
            <w:vMerge w:val="restart"/>
            <w:shd w:val="clear" w:color="auto" w:fill="D7D8D6"/>
          </w:tcPr>
          <w:p>
            <w:pPr>
              <w:ind w:left="180"/>
              <w:spacing w:after="0"/>
              <w:rPr>
                <w:sz w:val="20"/>
                <w:szCs w:val="20"/>
                <w:color w:val="auto"/>
              </w:rPr>
            </w:pPr>
            <w:r>
              <w:rPr>
                <w:rFonts w:ascii="Arial" w:cs="Arial" w:eastAsia="Arial" w:hAnsi="Arial"/>
                <w:sz w:val="14"/>
                <w:szCs w:val="14"/>
                <w:color w:val="333740"/>
              </w:rPr>
              <w:t>We disclosed via our Form 10-K that our prior material weaknesses have been remediated and that our internal control</w:t>
            </w:r>
          </w:p>
        </w:tc>
        <w:tc>
          <w:tcPr>
            <w:tcW w:w="0" w:type="dxa"/>
            <w:vAlign w:val="bottom"/>
          </w:tcPr>
          <w:p>
            <w:pPr>
              <w:spacing w:after="0"/>
              <w:rPr>
                <w:sz w:val="1"/>
                <w:szCs w:val="1"/>
                <w:color w:val="auto"/>
              </w:rPr>
            </w:pPr>
          </w:p>
        </w:tc>
      </w:tr>
      <w:tr>
        <w:trPr>
          <w:trHeight w:val="121"/>
        </w:trPr>
        <w:tc>
          <w:tcPr>
            <w:tcW w:w="120" w:type="dxa"/>
            <w:vAlign w:val="bottom"/>
            <w:shd w:val="clear" w:color="auto" w:fill="D7D8D6"/>
          </w:tcPr>
          <w:p>
            <w:pPr>
              <w:spacing w:after="0"/>
              <w:rPr>
                <w:sz w:val="10"/>
                <w:szCs w:val="10"/>
                <w:color w:val="auto"/>
              </w:rPr>
            </w:pPr>
          </w:p>
        </w:tc>
        <w:tc>
          <w:tcPr>
            <w:tcW w:w="3120" w:type="dxa"/>
            <w:vAlign w:val="bottom"/>
            <w:vMerge w:val="restart"/>
            <w:shd w:val="clear" w:color="auto" w:fill="D7D8D6"/>
          </w:tcPr>
          <w:p>
            <w:pPr>
              <w:ind w:left="40"/>
              <w:spacing w:after="0"/>
              <w:rPr>
                <w:sz w:val="20"/>
                <w:szCs w:val="20"/>
                <w:color w:val="auto"/>
              </w:rPr>
            </w:pPr>
            <w:r>
              <w:rPr>
                <w:rFonts w:ascii="Arial" w:cs="Arial" w:eastAsia="Arial" w:hAnsi="Arial"/>
                <w:sz w:val="14"/>
                <w:szCs w:val="14"/>
                <w:b w:val="1"/>
                <w:bCs w:val="1"/>
                <w:color w:val="333740"/>
              </w:rPr>
              <w:t>Committee due to previously</w:t>
            </w:r>
          </w:p>
        </w:tc>
        <w:tc>
          <w:tcPr>
            <w:tcW w:w="140" w:type="dxa"/>
            <w:vAlign w:val="bottom"/>
            <w:shd w:val="clear" w:color="auto" w:fill="D7D8D6"/>
          </w:tcPr>
          <w:p>
            <w:pPr>
              <w:spacing w:after="0"/>
              <w:rPr>
                <w:sz w:val="10"/>
                <w:szCs w:val="10"/>
                <w:color w:val="auto"/>
              </w:rPr>
            </w:pPr>
          </w:p>
        </w:tc>
        <w:tc>
          <w:tcPr>
            <w:tcW w:w="7880" w:type="dxa"/>
            <w:vAlign w:val="bottom"/>
            <w:vMerge w:val="continue"/>
            <w:shd w:val="clear" w:color="auto" w:fill="D7D8D6"/>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20" w:type="dxa"/>
            <w:vAlign w:val="bottom"/>
            <w:shd w:val="clear" w:color="auto" w:fill="D7D8D6"/>
          </w:tcPr>
          <w:p>
            <w:pPr>
              <w:spacing w:after="0"/>
              <w:rPr>
                <w:sz w:val="4"/>
                <w:szCs w:val="4"/>
                <w:color w:val="auto"/>
              </w:rPr>
            </w:pPr>
          </w:p>
        </w:tc>
        <w:tc>
          <w:tcPr>
            <w:tcW w:w="3120" w:type="dxa"/>
            <w:vAlign w:val="bottom"/>
            <w:vMerge w:val="continue"/>
            <w:shd w:val="clear" w:color="auto" w:fill="D7D8D6"/>
          </w:tcPr>
          <w:p>
            <w:pPr>
              <w:spacing w:after="0"/>
              <w:rPr>
                <w:sz w:val="4"/>
                <w:szCs w:val="4"/>
                <w:color w:val="auto"/>
              </w:rPr>
            </w:pPr>
          </w:p>
        </w:tc>
        <w:tc>
          <w:tcPr>
            <w:tcW w:w="140" w:type="dxa"/>
            <w:vAlign w:val="bottom"/>
            <w:shd w:val="clear" w:color="auto" w:fill="D7D8D6"/>
          </w:tcPr>
          <w:p>
            <w:pPr>
              <w:spacing w:after="0"/>
              <w:rPr>
                <w:sz w:val="4"/>
                <w:szCs w:val="4"/>
                <w:color w:val="auto"/>
              </w:rPr>
            </w:pPr>
          </w:p>
        </w:tc>
        <w:tc>
          <w:tcPr>
            <w:tcW w:w="7880" w:type="dxa"/>
            <w:vAlign w:val="bottom"/>
            <w:vMerge w:val="restart"/>
            <w:shd w:val="clear" w:color="auto" w:fill="D7D8D6"/>
          </w:tcPr>
          <w:p>
            <w:pPr>
              <w:ind w:left="180"/>
              <w:spacing w:after="0"/>
              <w:rPr>
                <w:sz w:val="20"/>
                <w:szCs w:val="20"/>
                <w:color w:val="auto"/>
              </w:rPr>
            </w:pPr>
            <w:r>
              <w:rPr>
                <w:rFonts w:ascii="Arial" w:cs="Arial" w:eastAsia="Arial" w:hAnsi="Arial"/>
                <w:sz w:val="14"/>
                <w:szCs w:val="14"/>
                <w:color w:val="333740"/>
              </w:rPr>
              <w:t>over financial reporting was effective as of December 31, 2019.</w:t>
            </w:r>
          </w:p>
        </w:tc>
        <w:tc>
          <w:tcPr>
            <w:tcW w:w="0" w:type="dxa"/>
            <w:vAlign w:val="bottom"/>
          </w:tcPr>
          <w:p>
            <w:pPr>
              <w:spacing w:after="0"/>
              <w:rPr>
                <w:sz w:val="1"/>
                <w:szCs w:val="1"/>
                <w:color w:val="auto"/>
              </w:rPr>
            </w:pPr>
          </w:p>
        </w:tc>
      </w:tr>
      <w:tr>
        <w:trPr>
          <w:trHeight w:val="125"/>
        </w:trPr>
        <w:tc>
          <w:tcPr>
            <w:tcW w:w="120" w:type="dxa"/>
            <w:vAlign w:val="bottom"/>
            <w:shd w:val="clear" w:color="auto" w:fill="D7D8D6"/>
          </w:tcPr>
          <w:p>
            <w:pPr>
              <w:spacing w:after="0"/>
              <w:rPr>
                <w:sz w:val="10"/>
                <w:szCs w:val="10"/>
                <w:color w:val="auto"/>
              </w:rPr>
            </w:pPr>
          </w:p>
        </w:tc>
        <w:tc>
          <w:tcPr>
            <w:tcW w:w="3120" w:type="dxa"/>
            <w:vAlign w:val="bottom"/>
            <w:vMerge w:val="restart"/>
            <w:shd w:val="clear" w:color="auto" w:fill="D7D8D6"/>
          </w:tcPr>
          <w:p>
            <w:pPr>
              <w:ind w:left="40"/>
              <w:spacing w:after="0"/>
              <w:rPr>
                <w:sz w:val="20"/>
                <w:szCs w:val="20"/>
                <w:color w:val="auto"/>
              </w:rPr>
            </w:pPr>
            <w:r>
              <w:rPr>
                <w:rFonts w:ascii="Arial" w:cs="Arial" w:eastAsia="Arial" w:hAnsi="Arial"/>
                <w:sz w:val="14"/>
                <w:szCs w:val="14"/>
                <w:b w:val="1"/>
                <w:bCs w:val="1"/>
                <w:color w:val="333740"/>
              </w:rPr>
              <w:t>disclosed</w:t>
            </w:r>
          </w:p>
        </w:tc>
        <w:tc>
          <w:tcPr>
            <w:tcW w:w="140" w:type="dxa"/>
            <w:vAlign w:val="bottom"/>
            <w:shd w:val="clear" w:color="auto" w:fill="D7D8D6"/>
          </w:tcPr>
          <w:p>
            <w:pPr>
              <w:spacing w:after="0"/>
              <w:rPr>
                <w:sz w:val="10"/>
                <w:szCs w:val="10"/>
                <w:color w:val="auto"/>
              </w:rPr>
            </w:pPr>
          </w:p>
        </w:tc>
        <w:tc>
          <w:tcPr>
            <w:tcW w:w="7880" w:type="dxa"/>
            <w:vAlign w:val="bottom"/>
            <w:vMerge w:val="continue"/>
            <w:shd w:val="clear" w:color="auto" w:fill="D7D8D6"/>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120" w:type="dxa"/>
            <w:vAlign w:val="bottom"/>
            <w:shd w:val="clear" w:color="auto" w:fill="D7D8D6"/>
          </w:tcPr>
          <w:p>
            <w:pPr>
              <w:spacing w:after="0"/>
              <w:rPr>
                <w:sz w:val="3"/>
                <w:szCs w:val="3"/>
                <w:color w:val="auto"/>
              </w:rPr>
            </w:pPr>
          </w:p>
        </w:tc>
        <w:tc>
          <w:tcPr>
            <w:tcW w:w="3120" w:type="dxa"/>
            <w:vAlign w:val="bottom"/>
            <w:vMerge w:val="continue"/>
            <w:shd w:val="clear" w:color="auto" w:fill="D7D8D6"/>
          </w:tcPr>
          <w:p>
            <w:pPr>
              <w:spacing w:after="0"/>
              <w:rPr>
                <w:sz w:val="3"/>
                <w:szCs w:val="3"/>
                <w:color w:val="auto"/>
              </w:rPr>
            </w:pPr>
          </w:p>
        </w:tc>
        <w:tc>
          <w:tcPr>
            <w:tcW w:w="140" w:type="dxa"/>
            <w:vAlign w:val="bottom"/>
            <w:shd w:val="clear" w:color="auto" w:fill="D7D8D6"/>
          </w:tcPr>
          <w:p>
            <w:pPr>
              <w:spacing w:after="0"/>
              <w:rPr>
                <w:sz w:val="3"/>
                <w:szCs w:val="3"/>
                <w:color w:val="auto"/>
              </w:rPr>
            </w:pPr>
          </w:p>
        </w:tc>
        <w:tc>
          <w:tcPr>
            <w:tcW w:w="7880" w:type="dxa"/>
            <w:vAlign w:val="bottom"/>
            <w:shd w:val="clear" w:color="auto" w:fill="D7D8D6"/>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20" w:type="dxa"/>
            <w:vAlign w:val="bottom"/>
            <w:shd w:val="clear" w:color="auto" w:fill="D7D8D6"/>
          </w:tcPr>
          <w:p>
            <w:pPr>
              <w:spacing w:after="0"/>
              <w:rPr>
                <w:sz w:val="14"/>
                <w:szCs w:val="14"/>
                <w:color w:val="auto"/>
              </w:rPr>
            </w:pPr>
          </w:p>
        </w:tc>
        <w:tc>
          <w:tcPr>
            <w:tcW w:w="3120" w:type="dxa"/>
            <w:vAlign w:val="bottom"/>
            <w:shd w:val="clear" w:color="auto" w:fill="D7D8D6"/>
          </w:tcPr>
          <w:p>
            <w:pPr>
              <w:ind w:left="40"/>
              <w:spacing w:after="0"/>
              <w:rPr>
                <w:sz w:val="20"/>
                <w:szCs w:val="20"/>
                <w:color w:val="auto"/>
              </w:rPr>
            </w:pPr>
            <w:r>
              <w:rPr>
                <w:rFonts w:ascii="Arial" w:cs="Arial" w:eastAsia="Arial" w:hAnsi="Arial"/>
                <w:sz w:val="14"/>
                <w:szCs w:val="14"/>
                <w:b w:val="1"/>
                <w:bCs w:val="1"/>
                <w:color w:val="333740"/>
              </w:rPr>
              <w:t>material weaknesses in the</w:t>
            </w:r>
          </w:p>
        </w:tc>
        <w:tc>
          <w:tcPr>
            <w:tcW w:w="140" w:type="dxa"/>
            <w:vAlign w:val="bottom"/>
            <w:shd w:val="clear" w:color="auto" w:fill="D7D8D6"/>
          </w:tcPr>
          <w:p>
            <w:pPr>
              <w:spacing w:after="0"/>
              <w:rPr>
                <w:sz w:val="14"/>
                <w:szCs w:val="14"/>
                <w:color w:val="auto"/>
              </w:rPr>
            </w:pPr>
          </w:p>
        </w:tc>
        <w:tc>
          <w:tcPr>
            <w:tcW w:w="788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shd w:val="clear" w:color="auto" w:fill="D7D8D6"/>
          </w:tcPr>
          <w:p>
            <w:pPr>
              <w:spacing w:after="0"/>
              <w:rPr>
                <w:sz w:val="14"/>
                <w:szCs w:val="14"/>
                <w:color w:val="auto"/>
              </w:rPr>
            </w:pPr>
          </w:p>
        </w:tc>
        <w:tc>
          <w:tcPr>
            <w:tcW w:w="3120" w:type="dxa"/>
            <w:vAlign w:val="bottom"/>
            <w:shd w:val="clear" w:color="auto" w:fill="D7D8D6"/>
          </w:tcPr>
          <w:p>
            <w:pPr>
              <w:ind w:left="40"/>
              <w:spacing w:after="0"/>
              <w:rPr>
                <w:sz w:val="20"/>
                <w:szCs w:val="20"/>
                <w:color w:val="auto"/>
              </w:rPr>
            </w:pPr>
            <w:r>
              <w:rPr>
                <w:rFonts w:ascii="Arial" w:cs="Arial" w:eastAsia="Arial" w:hAnsi="Arial"/>
                <w:sz w:val="14"/>
                <w:szCs w:val="14"/>
                <w:b w:val="1"/>
                <w:bCs w:val="1"/>
                <w:color w:val="333740"/>
              </w:rPr>
              <w:t>Company’s</w:t>
            </w:r>
          </w:p>
        </w:tc>
        <w:tc>
          <w:tcPr>
            <w:tcW w:w="140" w:type="dxa"/>
            <w:vAlign w:val="bottom"/>
            <w:shd w:val="clear" w:color="auto" w:fill="D7D8D6"/>
          </w:tcPr>
          <w:p>
            <w:pPr>
              <w:spacing w:after="0"/>
              <w:rPr>
                <w:sz w:val="14"/>
                <w:szCs w:val="14"/>
                <w:color w:val="auto"/>
              </w:rPr>
            </w:pPr>
          </w:p>
        </w:tc>
        <w:tc>
          <w:tcPr>
            <w:tcW w:w="788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shd w:val="clear" w:color="auto" w:fill="D7D8D6"/>
          </w:tcPr>
          <w:p>
            <w:pPr>
              <w:spacing w:after="0"/>
              <w:rPr>
                <w:sz w:val="14"/>
                <w:szCs w:val="14"/>
                <w:color w:val="auto"/>
              </w:rPr>
            </w:pPr>
          </w:p>
        </w:tc>
        <w:tc>
          <w:tcPr>
            <w:tcW w:w="3120" w:type="dxa"/>
            <w:vAlign w:val="bottom"/>
            <w:shd w:val="clear" w:color="auto" w:fill="D7D8D6"/>
          </w:tcPr>
          <w:p>
            <w:pPr>
              <w:ind w:left="40"/>
              <w:spacing w:after="0"/>
              <w:rPr>
                <w:sz w:val="20"/>
                <w:szCs w:val="20"/>
                <w:color w:val="auto"/>
              </w:rPr>
            </w:pPr>
            <w:r>
              <w:rPr>
                <w:rFonts w:ascii="Arial" w:cs="Arial" w:eastAsia="Arial" w:hAnsi="Arial"/>
                <w:sz w:val="14"/>
                <w:szCs w:val="14"/>
                <w:b w:val="1"/>
                <w:bCs w:val="1"/>
                <w:color w:val="333740"/>
              </w:rPr>
              <w:t>internal control over financial</w:t>
            </w:r>
          </w:p>
        </w:tc>
        <w:tc>
          <w:tcPr>
            <w:tcW w:w="140" w:type="dxa"/>
            <w:vAlign w:val="bottom"/>
            <w:shd w:val="clear" w:color="auto" w:fill="D7D8D6"/>
          </w:tcPr>
          <w:p>
            <w:pPr>
              <w:spacing w:after="0"/>
              <w:rPr>
                <w:sz w:val="14"/>
                <w:szCs w:val="14"/>
                <w:color w:val="auto"/>
              </w:rPr>
            </w:pPr>
          </w:p>
        </w:tc>
        <w:tc>
          <w:tcPr>
            <w:tcW w:w="788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0" w:type="dxa"/>
            <w:vAlign w:val="bottom"/>
            <w:shd w:val="clear" w:color="auto" w:fill="D7D8D6"/>
          </w:tcPr>
          <w:p>
            <w:pPr>
              <w:spacing w:after="0"/>
              <w:rPr>
                <w:sz w:val="19"/>
                <w:szCs w:val="19"/>
                <w:color w:val="auto"/>
              </w:rPr>
            </w:pPr>
          </w:p>
        </w:tc>
        <w:tc>
          <w:tcPr>
            <w:tcW w:w="3120" w:type="dxa"/>
            <w:vAlign w:val="bottom"/>
            <w:shd w:val="clear" w:color="auto" w:fill="D7D8D6"/>
          </w:tcPr>
          <w:p>
            <w:pPr>
              <w:ind w:left="40"/>
              <w:spacing w:after="0"/>
              <w:rPr>
                <w:sz w:val="20"/>
                <w:szCs w:val="20"/>
                <w:color w:val="auto"/>
              </w:rPr>
            </w:pPr>
            <w:r>
              <w:rPr>
                <w:rFonts w:ascii="Arial" w:cs="Arial" w:eastAsia="Arial" w:hAnsi="Arial"/>
                <w:sz w:val="14"/>
                <w:szCs w:val="14"/>
                <w:b w:val="1"/>
                <w:bCs w:val="1"/>
                <w:color w:val="333740"/>
              </w:rPr>
              <w:t>reporting</w:t>
            </w:r>
          </w:p>
        </w:tc>
        <w:tc>
          <w:tcPr>
            <w:tcW w:w="140" w:type="dxa"/>
            <w:vAlign w:val="bottom"/>
            <w:shd w:val="clear" w:color="auto" w:fill="D7D8D6"/>
          </w:tcPr>
          <w:p>
            <w:pPr>
              <w:spacing w:after="0"/>
              <w:rPr>
                <w:sz w:val="19"/>
                <w:szCs w:val="19"/>
                <w:color w:val="auto"/>
              </w:rPr>
            </w:pPr>
          </w:p>
        </w:tc>
        <w:tc>
          <w:tcPr>
            <w:tcW w:w="7880" w:type="dxa"/>
            <w:vAlign w:val="bottom"/>
            <w:shd w:val="clear" w:color="auto" w:fill="D7D8D6"/>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20" w:type="dxa"/>
            <w:vAlign w:val="bottom"/>
            <w:shd w:val="clear" w:color="auto" w:fill="D7D8D6"/>
          </w:tcPr>
          <w:p>
            <w:pPr>
              <w:spacing w:after="0"/>
              <w:rPr>
                <w:sz w:val="10"/>
                <w:szCs w:val="10"/>
                <w:color w:val="auto"/>
              </w:rPr>
            </w:pPr>
          </w:p>
        </w:tc>
        <w:tc>
          <w:tcPr>
            <w:tcW w:w="3120" w:type="dxa"/>
            <w:vAlign w:val="bottom"/>
            <w:shd w:val="clear" w:color="auto" w:fill="D7D8D6"/>
          </w:tcPr>
          <w:p>
            <w:pPr>
              <w:spacing w:after="0"/>
              <w:rPr>
                <w:sz w:val="10"/>
                <w:szCs w:val="10"/>
                <w:color w:val="auto"/>
              </w:rPr>
            </w:pPr>
          </w:p>
        </w:tc>
        <w:tc>
          <w:tcPr>
            <w:tcW w:w="140" w:type="dxa"/>
            <w:vAlign w:val="bottom"/>
            <w:shd w:val="clear" w:color="auto" w:fill="D7D8D6"/>
          </w:tcPr>
          <w:p>
            <w:pPr>
              <w:spacing w:after="0"/>
              <w:rPr>
                <w:sz w:val="10"/>
                <w:szCs w:val="10"/>
                <w:color w:val="auto"/>
              </w:rPr>
            </w:pPr>
          </w:p>
        </w:tc>
        <w:tc>
          <w:tcPr>
            <w:tcW w:w="7880" w:type="dxa"/>
            <w:vAlign w:val="bottom"/>
            <w:shd w:val="clear" w:color="auto" w:fill="D7D8D6"/>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-3839210</wp:posOffset>
            </wp:positionV>
            <wp:extent cx="7148195" cy="383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3839845"/>
                    </a:xfrm>
                    <a:prstGeom prst="rect">
                      <a:avLst/>
                    </a:prstGeom>
                    <a:noFill/>
                  </pic:spPr>
                </pic:pic>
              </a:graphicData>
            </a:graphic>
          </wp:anchor>
        </w:drawing>
      </w:r>
    </w:p>
    <w:p>
      <w:pPr>
        <w:spacing w:after="0" w:line="343" w:lineRule="exact"/>
        <w:rPr>
          <w:sz w:val="20"/>
          <w:szCs w:val="20"/>
          <w:color w:val="auto"/>
        </w:rPr>
      </w:pPr>
    </w:p>
    <w:p>
      <w:pPr>
        <w:ind w:left="564" w:hanging="564"/>
        <w:spacing w:after="0"/>
        <w:tabs>
          <w:tab w:leader="none" w:pos="564" w:val="left"/>
        </w:tabs>
        <w:numPr>
          <w:ilvl w:val="0"/>
          <w:numId w:val="4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37" w:name="page38"/>
    <w:bookmarkEnd w:id="37"/>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3"/>
          <w:szCs w:val="33"/>
          <w:color w:val="481F6E"/>
        </w:rPr>
        <w:t>Leadership Structure of the Board</w:t>
      </w:r>
    </w:p>
    <w:p>
      <w:pPr>
        <w:spacing w:after="0" w:line="25" w:lineRule="exact"/>
        <w:rPr>
          <w:sz w:val="20"/>
          <w:szCs w:val="20"/>
          <w:color w:val="auto"/>
        </w:rPr>
      </w:pPr>
    </w:p>
    <w:p>
      <w:pPr>
        <w:ind w:left="4"/>
        <w:spacing w:after="0" w:line="239" w:lineRule="auto"/>
        <w:rPr>
          <w:sz w:val="20"/>
          <w:szCs w:val="20"/>
          <w:color w:val="auto"/>
        </w:rPr>
      </w:pPr>
      <w:r>
        <w:rPr>
          <w:rFonts w:ascii="Arial" w:cs="Arial" w:eastAsia="Arial" w:hAnsi="Arial"/>
          <w:sz w:val="19"/>
          <w:szCs w:val="19"/>
          <w:color w:val="333740"/>
        </w:rPr>
        <w:t>Following the retirement of our former Executive Chairman, Thierry Pilenko, in May 2019, the independent members of our Board gave thoughtful consideration to the Board’s leadership structure. The Board believes that our shareholders are best served by a Board that has the flexibility to adjust our leadership structure to the evolving needs of the Company. With the completion of the post-Merger integration, the Board determined that combining the roles of Chairman and CEO, paired with a strong Lead Independent Director, would be in the best interests of our shareholders.</w:t>
      </w:r>
    </w:p>
    <w:p>
      <w:pPr>
        <w:spacing w:after="0" w:line="83" w:lineRule="exact"/>
        <w:rPr>
          <w:sz w:val="20"/>
          <w:szCs w:val="20"/>
          <w:color w:val="auto"/>
        </w:rPr>
      </w:pPr>
    </w:p>
    <w:p>
      <w:pPr>
        <w:ind w:left="4"/>
        <w:spacing w:after="0"/>
        <w:rPr>
          <w:sz w:val="20"/>
          <w:szCs w:val="20"/>
          <w:color w:val="auto"/>
        </w:rPr>
      </w:pPr>
      <w:r>
        <w:rPr>
          <w:rFonts w:ascii="Arial" w:cs="Arial" w:eastAsia="Arial" w:hAnsi="Arial"/>
          <w:sz w:val="19"/>
          <w:szCs w:val="19"/>
          <w:color w:val="333740"/>
        </w:rPr>
        <w:t>Each of their specific responsibilities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148195" cy="1974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97485"/>
                    </a:xfrm>
                    <a:prstGeom prst="rect">
                      <a:avLst/>
                    </a:prstGeom>
                    <a:noFill/>
                  </pic:spPr>
                </pic:pic>
              </a:graphicData>
            </a:graphic>
          </wp:anchor>
        </w:drawing>
      </w:r>
    </w:p>
    <w:p>
      <w:pPr>
        <w:spacing w:after="0" w:line="11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FFFFFF"/>
        </w:rPr>
        <w:t>Executive and Board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148195" cy="12750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275080"/>
                    </a:xfrm>
                    <a:prstGeom prst="rect">
                      <a:avLst/>
                    </a:prstGeom>
                    <a:noFill/>
                  </pic:spPr>
                </pic:pic>
              </a:graphicData>
            </a:graphic>
          </wp:anchor>
        </w:drawing>
      </w:r>
    </w:p>
    <w:p>
      <w:pPr>
        <w:spacing w:after="0" w:line="154" w:lineRule="exact"/>
        <w:rPr>
          <w:sz w:val="20"/>
          <w:szCs w:val="20"/>
          <w:color w:val="auto"/>
        </w:rPr>
      </w:pPr>
    </w:p>
    <w:p>
      <w:pPr>
        <w:ind w:left="2944"/>
        <w:spacing w:after="0"/>
        <w:rPr>
          <w:sz w:val="20"/>
          <w:szCs w:val="20"/>
          <w:color w:val="auto"/>
        </w:rPr>
      </w:pPr>
      <w:r>
        <w:rPr>
          <w:rFonts w:ascii="Arial" w:cs="Arial" w:eastAsia="Arial" w:hAnsi="Arial"/>
          <w:sz w:val="14"/>
          <w:szCs w:val="14"/>
          <w:b w:val="1"/>
          <w:bCs w:val="1"/>
          <w:color w:val="auto"/>
        </w:rPr>
        <w:t>Key Responsibilities</w:t>
      </w:r>
    </w:p>
    <w:p>
      <w:pPr>
        <w:spacing w:after="0" w:line="40" w:lineRule="exact"/>
        <w:rPr>
          <w:sz w:val="20"/>
          <w:szCs w:val="20"/>
          <w:color w:val="auto"/>
        </w:rPr>
      </w:pPr>
    </w:p>
    <w:p>
      <w:pPr>
        <w:ind w:left="3124"/>
        <w:spacing w:after="0"/>
        <w:rPr>
          <w:sz w:val="20"/>
          <w:szCs w:val="20"/>
          <w:color w:val="auto"/>
        </w:rPr>
      </w:pPr>
      <w:r>
        <w:rPr>
          <w:rFonts w:ascii="Arial" w:cs="Arial" w:eastAsia="Arial" w:hAnsi="Arial"/>
          <w:sz w:val="14"/>
          <w:szCs w:val="14"/>
          <w:color w:val="auto"/>
        </w:rPr>
        <w:t>All strategic and operational aspects of the Company</w:t>
      </w:r>
    </w:p>
    <w:p>
      <w:pPr>
        <w:spacing w:after="0" w:line="30" w:lineRule="exact"/>
        <w:rPr>
          <w:sz w:val="20"/>
          <w:szCs w:val="20"/>
          <w:color w:val="auto"/>
        </w:rPr>
      </w:pPr>
    </w:p>
    <w:p>
      <w:pPr>
        <w:ind w:left="2944"/>
        <w:spacing w:after="0"/>
        <w:rPr>
          <w:sz w:val="20"/>
          <w:szCs w:val="20"/>
          <w:color w:val="auto"/>
        </w:rPr>
      </w:pPr>
      <w:r>
        <w:rPr>
          <w:sz w:val="1"/>
          <w:szCs w:val="1"/>
          <w:color w:val="auto"/>
        </w:rPr>
        <w:drawing>
          <wp:inline distT="0" distB="0" distL="0" distR="0">
            <wp:extent cx="45720" cy="7556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auto"/>
        </w:rPr>
        <w:t xml:space="preserve"> Serving as the principal external spokesperson for the Company with analysts, investors, media, and clients</w:t>
      </w:r>
    </w:p>
    <w:p>
      <w:pPr>
        <w:spacing w:after="0" w:line="56" w:lineRule="exact"/>
        <w:rPr>
          <w:sz w:val="20"/>
          <w:szCs w:val="20"/>
          <w:color w:val="auto"/>
        </w:rPr>
      </w:pPr>
    </w:p>
    <w:p>
      <w:pPr>
        <w:ind w:left="3124"/>
        <w:spacing w:after="0"/>
        <w:rPr>
          <w:sz w:val="20"/>
          <w:szCs w:val="20"/>
          <w:color w:val="auto"/>
        </w:rPr>
      </w:pPr>
      <w:r>
        <w:rPr>
          <w:rFonts w:ascii="Arial" w:cs="Arial" w:eastAsia="Arial" w:hAnsi="Arial"/>
          <w:sz w:val="14"/>
          <w:szCs w:val="14"/>
          <w:color w:val="auto"/>
        </w:rPr>
        <w:t>Managing all executives of the Company</w:t>
      </w:r>
    </w:p>
    <w:p>
      <w:pPr>
        <w:spacing w:after="0" w:line="64" w:lineRule="exact"/>
        <w:rPr>
          <w:sz w:val="20"/>
          <w:szCs w:val="20"/>
          <w:color w:val="auto"/>
        </w:rPr>
      </w:pPr>
    </w:p>
    <w:p>
      <w:pPr>
        <w:ind w:left="3124"/>
        <w:spacing w:after="0"/>
        <w:rPr>
          <w:sz w:val="20"/>
          <w:szCs w:val="20"/>
          <w:color w:val="auto"/>
        </w:rPr>
      </w:pPr>
      <w:r>
        <w:rPr>
          <w:rFonts w:ascii="Arial" w:cs="Arial" w:eastAsia="Arial" w:hAnsi="Arial"/>
          <w:sz w:val="14"/>
          <w:szCs w:val="14"/>
          <w:color w:val="auto"/>
        </w:rPr>
        <w:t>Leading the Board</w:t>
      </w:r>
    </w:p>
    <w:p>
      <w:pPr>
        <w:spacing w:after="0" w:line="81" w:lineRule="exact"/>
        <w:rPr>
          <w:sz w:val="20"/>
          <w:szCs w:val="20"/>
          <w:color w:val="auto"/>
        </w:rPr>
      </w:pPr>
    </w:p>
    <w:p>
      <w:pPr>
        <w:ind w:left="3104"/>
        <w:spacing w:after="0"/>
        <w:rPr>
          <w:sz w:val="20"/>
          <w:szCs w:val="20"/>
          <w:color w:val="auto"/>
        </w:rPr>
      </w:pPr>
      <w:r>
        <w:rPr>
          <w:rFonts w:ascii="Arial" w:cs="Arial" w:eastAsia="Arial" w:hAnsi="Arial"/>
          <w:sz w:val="14"/>
          <w:szCs w:val="14"/>
          <w:color w:val="auto"/>
        </w:rPr>
        <w:t>High-level government and client engagement</w:t>
      </w:r>
    </w:p>
    <w:p>
      <w:pPr>
        <w:spacing w:after="0" w:line="299" w:lineRule="exact"/>
        <w:rPr>
          <w:sz w:val="20"/>
          <w:szCs w:val="20"/>
          <w:color w:val="auto"/>
        </w:rPr>
      </w:pPr>
    </w:p>
    <w:p>
      <w:pPr>
        <w:jc w:val="center"/>
        <w:ind w:right="8396"/>
        <w:spacing w:after="0"/>
        <w:rPr>
          <w:sz w:val="20"/>
          <w:szCs w:val="20"/>
          <w:color w:val="auto"/>
        </w:rPr>
      </w:pPr>
      <w:r>
        <w:rPr>
          <w:rFonts w:ascii="Arial" w:cs="Arial" w:eastAsia="Arial" w:hAnsi="Arial"/>
          <w:sz w:val="14"/>
          <w:szCs w:val="14"/>
          <w:b w:val="1"/>
          <w:bCs w:val="1"/>
          <w:color w:val="333740"/>
        </w:rPr>
        <w:t>Douglas J. Pferdehirt</w:t>
      </w:r>
    </w:p>
    <w:p>
      <w:pPr>
        <w:spacing w:after="0" w:line="60" w:lineRule="exact"/>
        <w:rPr>
          <w:sz w:val="20"/>
          <w:szCs w:val="20"/>
          <w:color w:val="auto"/>
        </w:rPr>
      </w:pPr>
    </w:p>
    <w:p>
      <w:pPr>
        <w:jc w:val="center"/>
        <w:ind w:right="8396"/>
        <w:spacing w:after="0"/>
        <w:rPr>
          <w:sz w:val="20"/>
          <w:szCs w:val="20"/>
          <w:color w:val="auto"/>
        </w:rPr>
      </w:pPr>
      <w:r>
        <w:rPr>
          <w:rFonts w:ascii="Arial" w:cs="Arial" w:eastAsia="Arial" w:hAnsi="Arial"/>
          <w:sz w:val="14"/>
          <w:szCs w:val="14"/>
          <w:color w:val="333740"/>
        </w:rPr>
        <w:t>Chairman of the Board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48195" cy="1974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97485"/>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FFFFFF"/>
        </w:rPr>
        <w:t>Independent Leadership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624"/>
        <w:spacing w:after="0"/>
        <w:rPr>
          <w:sz w:val="20"/>
          <w:szCs w:val="20"/>
          <w:color w:val="auto"/>
        </w:rPr>
      </w:pPr>
      <w:r>
        <w:rPr>
          <w:rFonts w:ascii="Arial" w:cs="Arial" w:eastAsia="Arial" w:hAnsi="Arial"/>
          <w:sz w:val="14"/>
          <w:szCs w:val="14"/>
          <w:b w:val="1"/>
          <w:bCs w:val="1"/>
          <w:color w:val="333740"/>
        </w:rPr>
        <w:t>Pascal Colombani</w:t>
      </w:r>
    </w:p>
    <w:p>
      <w:pPr>
        <w:spacing w:after="0" w:line="48" w:lineRule="exact"/>
        <w:rPr>
          <w:sz w:val="20"/>
          <w:szCs w:val="20"/>
          <w:color w:val="auto"/>
        </w:rPr>
      </w:pPr>
    </w:p>
    <w:p>
      <w:pPr>
        <w:jc w:val="center"/>
        <w:ind w:left="624"/>
        <w:spacing w:after="0"/>
        <w:rPr>
          <w:sz w:val="20"/>
          <w:szCs w:val="20"/>
          <w:color w:val="auto"/>
        </w:rPr>
      </w:pPr>
      <w:r>
        <w:rPr>
          <w:rFonts w:ascii="Arial" w:cs="Arial" w:eastAsia="Arial" w:hAnsi="Arial"/>
          <w:sz w:val="14"/>
          <w:szCs w:val="14"/>
          <w:color w:val="333740"/>
        </w:rPr>
        <w:t>Lead Independent Director</w:t>
      </w:r>
    </w:p>
    <w:p>
      <w:pPr>
        <w:spacing w:after="0" w:line="200" w:lineRule="exact"/>
        <w:rPr>
          <w:sz w:val="20"/>
          <w:szCs w:val="20"/>
          <w:color w:val="auto"/>
        </w:rPr>
      </w:pPr>
    </w:p>
    <w:p>
      <w:pPr>
        <w:spacing w:after="0" w:line="203" w:lineRule="exact"/>
        <w:rPr>
          <w:sz w:val="20"/>
          <w:szCs w:val="20"/>
          <w:color w:val="auto"/>
        </w:rPr>
      </w:pPr>
    </w:p>
    <w:p>
      <w:pPr>
        <w:ind w:left="564" w:hanging="564"/>
        <w:spacing w:after="0"/>
        <w:tabs>
          <w:tab w:leader="none" w:pos="564" w:val="left"/>
        </w:tabs>
        <w:numPr>
          <w:ilvl w:val="0"/>
          <w:numId w:val="47"/>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-258445</wp:posOffset>
            </wp:positionV>
            <wp:extent cx="7148195" cy="12750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27508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Approving Board meeting schedules and agendas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Presiding over all meetings of the Board at which the Chairman and CEO is not present</w:t>
      </w:r>
    </w:p>
    <w:p>
      <w:pPr>
        <w:spacing w:after="0" w:line="64" w:lineRule="exact"/>
        <w:rPr>
          <w:sz w:val="20"/>
          <w:szCs w:val="20"/>
          <w:color w:val="auto"/>
        </w:rPr>
      </w:pPr>
    </w:p>
    <w:p>
      <w:pPr>
        <w:spacing w:after="0"/>
        <w:rPr>
          <w:sz w:val="20"/>
          <w:szCs w:val="20"/>
          <w:color w:val="auto"/>
        </w:rPr>
      </w:pPr>
      <w:r>
        <w:rPr>
          <w:sz w:val="1"/>
          <w:szCs w:val="1"/>
          <w:color w:val="auto"/>
        </w:rPr>
        <w:drawing>
          <wp:inline distT="0" distB="0" distL="0" distR="0">
            <wp:extent cx="45720" cy="7556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auto"/>
        </w:rPr>
        <w:t xml:space="preserve"> Presiding over executive sessions of the independent directors</w:t>
      </w:r>
    </w:p>
    <w:p>
      <w:pPr>
        <w:spacing w:after="0" w:line="56" w:lineRule="exact"/>
        <w:rPr>
          <w:sz w:val="20"/>
          <w:szCs w:val="20"/>
          <w:color w:val="auto"/>
        </w:rPr>
      </w:pPr>
    </w:p>
    <w:p>
      <w:pPr>
        <w:ind w:left="180" w:right="2080"/>
        <w:spacing w:after="0" w:line="348" w:lineRule="auto"/>
        <w:rPr>
          <w:sz w:val="20"/>
          <w:szCs w:val="20"/>
          <w:color w:val="auto"/>
        </w:rPr>
      </w:pPr>
      <w:r>
        <w:rPr>
          <w:rFonts w:ascii="Arial" w:cs="Arial" w:eastAsia="Arial" w:hAnsi="Arial"/>
          <w:sz w:val="14"/>
          <w:szCs w:val="14"/>
          <w:color w:val="auto"/>
        </w:rPr>
        <w:t>Acting as the liaison between the independent directors and the Chairman and CEO Monitoring and reporting to the Board any conflicts of interests of directors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Participating in the Company’s shareholder engagement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556895</wp:posOffset>
            </wp:positionV>
            <wp:extent cx="714819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2324" w:space="620"/>
            <w:col w:w="8280"/>
          </w:cols>
          <w:pgMar w:left="316" w:top="128" w:right="359" w:bottom="1440" w:gutter="0" w:footer="0" w:header="0"/>
          <w:type w:val="continuous"/>
        </w:sectPr>
      </w:pPr>
    </w:p>
    <w:bookmarkStart w:id="38" w:name="page39"/>
    <w:bookmarkEnd w:id="38"/>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3" w:lineRule="exact"/>
        <w:rPr>
          <w:sz w:val="20"/>
          <w:szCs w:val="20"/>
          <w:color w:val="auto"/>
        </w:rPr>
      </w:pPr>
    </w:p>
    <w:p>
      <w:pPr>
        <w:ind w:left="4" w:right="80"/>
        <w:spacing w:after="0" w:line="238" w:lineRule="auto"/>
        <w:rPr>
          <w:sz w:val="20"/>
          <w:szCs w:val="20"/>
          <w:color w:val="auto"/>
        </w:rPr>
      </w:pPr>
      <w:r>
        <w:rPr>
          <w:rFonts w:ascii="Arial" w:cs="Arial" w:eastAsia="Arial" w:hAnsi="Arial"/>
          <w:sz w:val="19"/>
          <w:szCs w:val="19"/>
          <w:color w:val="333740"/>
        </w:rPr>
        <w:t>The determination to combine the Chairman and CEO role was based on the Board’s strong belief that a combined Chairman and CEO role leads to a more effective Board that remains balanced and independent due to the presence of a strong Lead Independent Director, while also creating a unified approach on corporate strategy development and execution and streamlining accountability for our performance. In making this determination, the Board also evaluated Mr. Pferdehirt’s performance as CEO and director, his positive relationships with other directors and senior management, and the strategic perspective, comprehension, and knowledge of day-to-day operations he would bring to the role of Chairman.</w:t>
      </w:r>
    </w:p>
    <w:p>
      <w:pPr>
        <w:spacing w:after="0" w:line="44" w:lineRule="exact"/>
        <w:rPr>
          <w:sz w:val="20"/>
          <w:szCs w:val="20"/>
          <w:color w:val="auto"/>
        </w:rPr>
      </w:pPr>
    </w:p>
    <w:p>
      <w:pPr>
        <w:ind w:left="564" w:right="20"/>
        <w:spacing w:after="0" w:line="253" w:lineRule="auto"/>
        <w:rPr>
          <w:sz w:val="20"/>
          <w:szCs w:val="20"/>
          <w:color w:val="auto"/>
        </w:rPr>
      </w:pPr>
      <w:r>
        <w:rPr>
          <w:rFonts w:ascii="Arial" w:cs="Arial" w:eastAsia="Arial" w:hAnsi="Arial"/>
          <w:sz w:val="14"/>
          <w:szCs w:val="14"/>
          <w:i w:val="1"/>
          <w:iCs w:val="1"/>
          <w:color w:val="333740"/>
        </w:rPr>
        <w:t xml:space="preserve">Balanced, Independent, and Effective Board – </w:t>
      </w:r>
      <w:r>
        <w:rPr>
          <w:rFonts w:ascii="Arial" w:cs="Arial" w:eastAsia="Arial" w:hAnsi="Arial"/>
          <w:sz w:val="14"/>
          <w:szCs w:val="14"/>
          <w:color w:val="333740"/>
        </w:rPr>
        <w:t>The Board believes that a combined Chairman and CEO leadership structure is balanced by the oversight of the</w:t>
      </w:r>
      <w:r>
        <w:rPr>
          <w:rFonts w:ascii="Arial" w:cs="Arial" w:eastAsia="Arial" w:hAnsi="Arial"/>
          <w:sz w:val="14"/>
          <w:szCs w:val="14"/>
          <w:i w:val="1"/>
          <w:iCs w:val="1"/>
          <w:color w:val="333740"/>
        </w:rPr>
        <w:t xml:space="preserve"> </w:t>
      </w:r>
      <w:r>
        <w:rPr>
          <w:rFonts w:ascii="Arial" w:cs="Arial" w:eastAsia="Arial" w:hAnsi="Arial"/>
          <w:sz w:val="14"/>
          <w:szCs w:val="14"/>
          <w:color w:val="333740"/>
        </w:rPr>
        <w:t xml:space="preserve">remaining 13 members of our Board, each of whom is an independent director, and ensures that the Board functions independently. Moreover, only independent directors serve on our Audit Committee, Compensation Committee, and Nominating and Corporate Governance Committee. In addition, the Board nominated Mr. Colombani to serve as Lead Independent Director, who has the ability to call meetings of the Board and presides over executive sessions of the Board. For transparency and alignment, our Compensation Committee consults all independent directors in setting our CEO’s compensation, but the authority to approve our CEO’s compensation remains with the fully independent Compensation Committee. In addition, our CEO’s annual performance objectives are reported and evaluated by both the Compensation Committee and the Nominating and Corporate Governance Committee to ensure a comprehensive, inclusive, and diverse analysis and evaluation of our CEO’s annual performance. Finally, the Board believes that the Company’s Governance Guidelines, and the quality, </w:t>
      </w:r>
      <w:r>
        <w:rPr>
          <w:rFonts w:ascii="Arial" w:cs="Arial" w:eastAsia="Arial" w:hAnsi="Arial"/>
          <w:sz w:val="14"/>
          <w:szCs w:val="14"/>
          <w:color w:val="000000"/>
        </w:rPr>
        <w:t>stature, and substantive business</w:t>
      </w:r>
      <w:r>
        <w:rPr>
          <w:rFonts w:ascii="Arial" w:cs="Arial" w:eastAsia="Arial" w:hAnsi="Arial"/>
          <w:sz w:val="14"/>
          <w:szCs w:val="14"/>
          <w:color w:val="333740"/>
        </w:rPr>
        <w:t xml:space="preserve"> </w:t>
      </w:r>
      <w:r>
        <w:rPr>
          <w:rFonts w:ascii="Arial" w:cs="Arial" w:eastAsia="Arial" w:hAnsi="Arial"/>
          <w:sz w:val="14"/>
          <w:szCs w:val="14"/>
          <w:color w:val="000000"/>
        </w:rPr>
        <w:t>knowledge of the Board, as well as the Board’s culture of open communication and transparency with the CEO and senior management are conducive to Board effectiveness with a combined Chairman and CEO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-961390</wp:posOffset>
            </wp:positionV>
            <wp:extent cx="38100" cy="755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85" w:lineRule="exact"/>
        <w:rPr>
          <w:sz w:val="20"/>
          <w:szCs w:val="20"/>
          <w:color w:val="auto"/>
        </w:rPr>
      </w:pPr>
    </w:p>
    <w:p>
      <w:pPr>
        <w:ind w:left="564"/>
        <w:spacing w:after="0" w:line="258" w:lineRule="auto"/>
        <w:rPr>
          <w:sz w:val="20"/>
          <w:szCs w:val="20"/>
          <w:color w:val="auto"/>
        </w:rPr>
      </w:pPr>
      <w:r>
        <w:rPr>
          <w:rFonts w:ascii="Arial" w:cs="Arial" w:eastAsia="Arial" w:hAnsi="Arial"/>
          <w:sz w:val="14"/>
          <w:szCs w:val="14"/>
          <w:i w:val="1"/>
          <w:iCs w:val="1"/>
          <w:color w:val="333740"/>
        </w:rPr>
        <w:t xml:space="preserve">Unified Approach on Corporate Strategy Development and Execution – </w:t>
      </w:r>
      <w:r>
        <w:rPr>
          <w:rFonts w:ascii="Arial" w:cs="Arial" w:eastAsia="Arial" w:hAnsi="Arial"/>
          <w:sz w:val="14"/>
          <w:szCs w:val="14"/>
          <w:color w:val="333740"/>
        </w:rPr>
        <w:t>Mr. Pferdehirt is the individual with primary responsibility for managing the Company’s day-to-day</w:t>
      </w:r>
      <w:r>
        <w:rPr>
          <w:rFonts w:ascii="Arial" w:cs="Arial" w:eastAsia="Arial" w:hAnsi="Arial"/>
          <w:sz w:val="14"/>
          <w:szCs w:val="14"/>
          <w:i w:val="1"/>
          <w:iCs w:val="1"/>
          <w:color w:val="333740"/>
        </w:rPr>
        <w:t xml:space="preserve"> </w:t>
      </w:r>
      <w:r>
        <w:rPr>
          <w:rFonts w:ascii="Arial" w:cs="Arial" w:eastAsia="Arial" w:hAnsi="Arial"/>
          <w:sz w:val="14"/>
          <w:szCs w:val="14"/>
          <w:color w:val="333740"/>
        </w:rPr>
        <w:t>operations and is best positioned to chair regular Board meetings as the Board discusses key business and strategic issues and to focus the Board’s attention on strategies and opportunities of greatest importance to the Company and its shareholders. This has proven to be particularly important given the Company’s announced spin-off of Technip Energies. This leadership structure also allows the Board to benefit from Mr. Pferdehirt’s knowledge of the Company’s business, market opportunities, and risks, and facilitates communications and relations with other members of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-541020</wp:posOffset>
            </wp:positionV>
            <wp:extent cx="38100" cy="755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47" w:lineRule="exact"/>
        <w:rPr>
          <w:sz w:val="20"/>
          <w:szCs w:val="20"/>
          <w:color w:val="auto"/>
        </w:rPr>
      </w:pPr>
    </w:p>
    <w:p>
      <w:pPr>
        <w:ind w:left="564" w:right="140"/>
        <w:spacing w:after="0" w:line="286" w:lineRule="auto"/>
        <w:rPr>
          <w:sz w:val="20"/>
          <w:szCs w:val="20"/>
          <w:color w:val="auto"/>
        </w:rPr>
      </w:pPr>
      <w:r>
        <w:rPr>
          <w:rFonts w:ascii="Arial" w:cs="Arial" w:eastAsia="Arial" w:hAnsi="Arial"/>
          <w:sz w:val="14"/>
          <w:szCs w:val="14"/>
          <w:i w:val="1"/>
          <w:iCs w:val="1"/>
          <w:color w:val="333740"/>
        </w:rPr>
        <w:t xml:space="preserve">Streamline Accountability – </w:t>
      </w:r>
      <w:r>
        <w:rPr>
          <w:rFonts w:ascii="Arial" w:cs="Arial" w:eastAsia="Arial" w:hAnsi="Arial"/>
          <w:sz w:val="14"/>
          <w:szCs w:val="14"/>
          <w:color w:val="333740"/>
        </w:rPr>
        <w:t>Combining the roles of Chairman and CEO creates a clear line of authority that promotes decisive and effective leadership, both within and</w:t>
      </w:r>
      <w:r>
        <w:rPr>
          <w:rFonts w:ascii="Arial" w:cs="Arial" w:eastAsia="Arial" w:hAnsi="Arial"/>
          <w:sz w:val="14"/>
          <w:szCs w:val="14"/>
          <w:i w:val="1"/>
          <w:iCs w:val="1"/>
          <w:color w:val="333740"/>
        </w:rPr>
        <w:t xml:space="preserve"> </w:t>
      </w:r>
      <w:r>
        <w:rPr>
          <w:rFonts w:ascii="Arial" w:cs="Arial" w:eastAsia="Arial" w:hAnsi="Arial"/>
          <w:sz w:val="14"/>
          <w:szCs w:val="14"/>
          <w:color w:val="333740"/>
        </w:rPr>
        <w:t>outside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-234950</wp:posOffset>
            </wp:positionV>
            <wp:extent cx="38100" cy="755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57" w:lineRule="exact"/>
        <w:rPr>
          <w:sz w:val="20"/>
          <w:szCs w:val="20"/>
          <w:color w:val="auto"/>
        </w:rPr>
      </w:pPr>
    </w:p>
    <w:p>
      <w:pPr>
        <w:ind w:left="4" w:right="40"/>
        <w:spacing w:after="0" w:line="236" w:lineRule="auto"/>
        <w:rPr>
          <w:sz w:val="20"/>
          <w:szCs w:val="20"/>
          <w:color w:val="auto"/>
        </w:rPr>
      </w:pPr>
      <w:r>
        <w:rPr>
          <w:rFonts w:ascii="Arial" w:cs="Arial" w:eastAsia="Arial" w:hAnsi="Arial"/>
          <w:sz w:val="19"/>
          <w:szCs w:val="19"/>
          <w:color w:val="333740"/>
        </w:rPr>
        <w:t>As our Company evolves, the Board will regularly evaluate the Board leadership structure to ensure it continues to meet the needs of the Company, and to ensure that it provides strong, independent oversight for our shareholders.</w:t>
      </w:r>
    </w:p>
    <w:p>
      <w:pPr>
        <w:spacing w:after="0" w:line="1" w:lineRule="exact"/>
        <w:rPr>
          <w:sz w:val="20"/>
          <w:szCs w:val="20"/>
          <w:color w:val="auto"/>
        </w:rPr>
      </w:pPr>
    </w:p>
    <w:p>
      <w:pPr>
        <w:ind w:left="4" w:right="60"/>
        <w:spacing w:after="0" w:line="242" w:lineRule="auto"/>
        <w:rPr>
          <w:sz w:val="20"/>
          <w:szCs w:val="20"/>
          <w:color w:val="auto"/>
        </w:rPr>
      </w:pPr>
      <w:r>
        <w:rPr>
          <w:rFonts w:ascii="Arial" w:cs="Arial" w:eastAsia="Arial" w:hAnsi="Arial"/>
          <w:sz w:val="19"/>
          <w:szCs w:val="19"/>
          <w:color w:val="333740"/>
        </w:rPr>
        <w:t>In particular, as part of this evaluation, the Board will take under consideration the outcomes of the annual Board and committee self-evaluation process as well as feedback received from shareholders, in addition to other factors, including the current state of the Company’s strategy and operations, recent Company performance, market and industry factors, and peer company practices.</w:t>
      </w:r>
    </w:p>
    <w:p>
      <w:pPr>
        <w:spacing w:after="0" w:line="353" w:lineRule="exact"/>
        <w:rPr>
          <w:sz w:val="20"/>
          <w:szCs w:val="20"/>
          <w:color w:val="auto"/>
        </w:rPr>
      </w:pPr>
    </w:p>
    <w:p>
      <w:pPr>
        <w:ind w:left="564" w:hanging="564"/>
        <w:spacing w:after="0"/>
        <w:tabs>
          <w:tab w:leader="none" w:pos="564" w:val="left"/>
        </w:tabs>
        <w:numPr>
          <w:ilvl w:val="0"/>
          <w:numId w:val="48"/>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39" w:name="page40"/>
    <w:bookmarkEnd w:id="39"/>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71" w:lineRule="exact"/>
        <w:rPr>
          <w:sz w:val="20"/>
          <w:szCs w:val="20"/>
          <w:color w:val="auto"/>
        </w:rPr>
      </w:pPr>
    </w:p>
    <w:p>
      <w:pPr>
        <w:ind w:left="4"/>
        <w:spacing w:after="0"/>
        <w:rPr>
          <w:sz w:val="20"/>
          <w:szCs w:val="20"/>
          <w:color w:val="auto"/>
        </w:rPr>
      </w:pPr>
      <w:r>
        <w:rPr>
          <w:rFonts w:ascii="Arial" w:cs="Arial" w:eastAsia="Arial" w:hAnsi="Arial"/>
          <w:sz w:val="33"/>
          <w:szCs w:val="33"/>
          <w:color w:val="481F6E"/>
        </w:rPr>
        <w:t>Board Composition and Criteria for Board Membership</w:t>
      </w:r>
    </w:p>
    <w:p>
      <w:pPr>
        <w:spacing w:after="0" w:line="111" w:lineRule="exact"/>
        <w:rPr>
          <w:sz w:val="20"/>
          <w:szCs w:val="20"/>
          <w:color w:val="auto"/>
        </w:rPr>
      </w:pPr>
    </w:p>
    <w:p>
      <w:pPr>
        <w:ind w:left="4" w:right="180"/>
        <w:spacing w:after="0" w:line="238" w:lineRule="auto"/>
        <w:rPr>
          <w:sz w:val="20"/>
          <w:szCs w:val="20"/>
          <w:color w:val="auto"/>
        </w:rPr>
      </w:pPr>
      <w:r>
        <w:rPr>
          <w:rFonts w:ascii="Arial" w:cs="Arial" w:eastAsia="Arial" w:hAnsi="Arial"/>
          <w:sz w:val="19"/>
          <w:szCs w:val="19"/>
          <w:color w:val="333740"/>
        </w:rPr>
        <w:t>Our Board seeks directors whose complementary and diverse knowledge, experience, and skills provide a broad range of perspectives and leadership expertise in the energy and engineering industry, strategic planning and business development, business operations, sustainability and emerging technologies, finance and audit, corporate governance, and other areas important to the Company’s strategy and oversight. Our Board also assesses director age and tenure and Board continuity and strives to achieve a balance between the perspectives of new directors and those of longer-serving directors with industry and institutional insights.</w:t>
      </w:r>
    </w:p>
    <w:p>
      <w:pPr>
        <w:spacing w:after="0" w:line="70"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Criteria for Board Membership in Governance Guidelines</w:t>
      </w:r>
    </w:p>
    <w:p>
      <w:pPr>
        <w:spacing w:after="0" w:line="133" w:lineRule="exact"/>
        <w:rPr>
          <w:sz w:val="20"/>
          <w:szCs w:val="20"/>
          <w:color w:val="auto"/>
        </w:rPr>
      </w:pPr>
    </w:p>
    <w:p>
      <w:pPr>
        <w:ind w:left="4" w:right="480"/>
        <w:spacing w:after="0" w:line="242" w:lineRule="auto"/>
        <w:rPr>
          <w:sz w:val="20"/>
          <w:szCs w:val="20"/>
          <w:color w:val="auto"/>
        </w:rPr>
      </w:pPr>
      <w:r>
        <w:rPr>
          <w:rFonts w:ascii="Arial" w:cs="Arial" w:eastAsia="Arial" w:hAnsi="Arial"/>
          <w:sz w:val="19"/>
          <w:szCs w:val="19"/>
          <w:color w:val="333740"/>
        </w:rPr>
        <w:t>Our Governance Guidelines state that candidates for our Board, in order to be nominated by our Nominating and Corporate Governance Committee (or a subcommittee thereof), must be qualified and eligible to serve under applicable law, our articles of association (“</w:t>
      </w:r>
      <w:r>
        <w:rPr>
          <w:rFonts w:ascii="Arial" w:cs="Arial" w:eastAsia="Arial" w:hAnsi="Arial"/>
          <w:sz w:val="19"/>
          <w:szCs w:val="19"/>
          <w:b w:val="1"/>
          <w:bCs w:val="1"/>
          <w:color w:val="333740"/>
        </w:rPr>
        <w:t>Articles</w:t>
      </w:r>
      <w:r>
        <w:rPr>
          <w:rFonts w:ascii="Arial" w:cs="Arial" w:eastAsia="Arial" w:hAnsi="Arial"/>
          <w:sz w:val="19"/>
          <w:szCs w:val="19"/>
          <w:color w:val="333740"/>
        </w:rPr>
        <w:t>”), and the NYSE and Euronext rules, and should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62230</wp:posOffset>
            </wp:positionV>
            <wp:extent cx="38100" cy="755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79" w:lineRule="exact"/>
        <w:rPr>
          <w:sz w:val="20"/>
          <w:szCs w:val="20"/>
          <w:color w:val="auto"/>
        </w:rPr>
      </w:pPr>
    </w:p>
    <w:p>
      <w:pPr>
        <w:ind w:left="564"/>
        <w:spacing w:after="0"/>
        <w:rPr>
          <w:sz w:val="20"/>
          <w:szCs w:val="20"/>
          <w:color w:val="auto"/>
        </w:rPr>
      </w:pPr>
      <w:r>
        <w:rPr>
          <w:rFonts w:ascii="Arial" w:cs="Arial" w:eastAsia="Arial" w:hAnsi="Arial"/>
          <w:sz w:val="14"/>
          <w:szCs w:val="14"/>
          <w:color w:val="auto"/>
        </w:rPr>
        <w:t>A high level of personal and professional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86360</wp:posOffset>
            </wp:positionV>
            <wp:extent cx="38100" cy="755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18" w:lineRule="exact"/>
        <w:rPr>
          <w:sz w:val="20"/>
          <w:szCs w:val="20"/>
          <w:color w:val="auto"/>
        </w:rPr>
      </w:pPr>
    </w:p>
    <w:p>
      <w:pPr>
        <w:ind w:left="564"/>
        <w:spacing w:after="0"/>
        <w:rPr>
          <w:sz w:val="20"/>
          <w:szCs w:val="20"/>
          <w:color w:val="auto"/>
        </w:rPr>
      </w:pPr>
      <w:r>
        <w:rPr>
          <w:rFonts w:ascii="Arial" w:cs="Arial" w:eastAsia="Arial" w:hAnsi="Arial"/>
          <w:sz w:val="14"/>
          <w:szCs w:val="14"/>
          <w:color w:val="auto"/>
        </w:rPr>
        <w:t>Strong ethics and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78740</wp:posOffset>
            </wp:positionV>
            <wp:extent cx="38100" cy="755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06" w:lineRule="exact"/>
        <w:rPr>
          <w:sz w:val="20"/>
          <w:szCs w:val="20"/>
          <w:color w:val="auto"/>
        </w:rPr>
      </w:pPr>
    </w:p>
    <w:p>
      <w:pPr>
        <w:ind w:left="564"/>
        <w:spacing w:after="0"/>
        <w:rPr>
          <w:sz w:val="20"/>
          <w:szCs w:val="20"/>
          <w:color w:val="auto"/>
        </w:rPr>
      </w:pPr>
      <w:r>
        <w:rPr>
          <w:rFonts w:ascii="Arial" w:cs="Arial" w:eastAsia="Arial" w:hAnsi="Arial"/>
          <w:sz w:val="14"/>
          <w:szCs w:val="14"/>
          <w:color w:val="auto"/>
        </w:rPr>
        <w:t>The ability to make mature business judgments</w:t>
      </w:r>
    </w:p>
    <w:p>
      <w:pPr>
        <w:spacing w:after="0" w:line="130" w:lineRule="exact"/>
        <w:rPr>
          <w:sz w:val="20"/>
          <w:szCs w:val="20"/>
          <w:color w:val="auto"/>
        </w:rPr>
      </w:pPr>
    </w:p>
    <w:p>
      <w:pPr>
        <w:ind w:left="4" w:right="260"/>
        <w:spacing w:after="0" w:line="242" w:lineRule="auto"/>
        <w:rPr>
          <w:sz w:val="20"/>
          <w:szCs w:val="20"/>
          <w:color w:val="auto"/>
        </w:rPr>
      </w:pPr>
      <w:r>
        <w:rPr>
          <w:rFonts w:ascii="Arial" w:cs="Arial" w:eastAsia="Arial" w:hAnsi="Arial"/>
          <w:sz w:val="19"/>
          <w:szCs w:val="19"/>
          <w:color w:val="333740"/>
        </w:rPr>
        <w:t>In addition, the Governance Guidelines provide that the Nominating and Corporate Governance Committee, or relevant subcommittee, may consider additional factors when determining whether a candidate is qualified to serve on our Board, including the candidate’s:</w:t>
      </w:r>
    </w:p>
    <w:p>
      <w:pPr>
        <w:spacing w:after="0" w:line="83" w:lineRule="exact"/>
        <w:rPr>
          <w:sz w:val="20"/>
          <w:szCs w:val="20"/>
          <w:color w:val="auto"/>
        </w:rPr>
      </w:pPr>
    </w:p>
    <w:p>
      <w:pPr>
        <w:ind w:left="564" w:right="580"/>
        <w:spacing w:after="0" w:line="232" w:lineRule="auto"/>
        <w:rPr>
          <w:sz w:val="20"/>
          <w:szCs w:val="20"/>
          <w:color w:val="auto"/>
        </w:rPr>
      </w:pPr>
      <w:r>
        <w:rPr>
          <w:rFonts w:ascii="Arial" w:cs="Arial" w:eastAsia="Arial" w:hAnsi="Arial"/>
          <w:sz w:val="18"/>
          <w:szCs w:val="18"/>
          <w:color w:val="auto"/>
        </w:rPr>
        <w:t>Experience in corporate management, as a board member of another publicly held company, and in finance and accounting and/or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-251460</wp:posOffset>
            </wp:positionV>
            <wp:extent cx="38100" cy="755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100" cy="7556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66675</wp:posOffset>
            </wp:positionV>
            <wp:extent cx="38100" cy="755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87" w:lineRule="exact"/>
        <w:rPr>
          <w:sz w:val="20"/>
          <w:szCs w:val="20"/>
          <w:color w:val="auto"/>
        </w:rPr>
      </w:pPr>
    </w:p>
    <w:p>
      <w:pPr>
        <w:ind w:left="564"/>
        <w:spacing w:after="0"/>
        <w:rPr>
          <w:sz w:val="20"/>
          <w:szCs w:val="20"/>
          <w:color w:val="auto"/>
        </w:rPr>
      </w:pPr>
      <w:r>
        <w:rPr>
          <w:rFonts w:ascii="Arial" w:cs="Arial" w:eastAsia="Arial" w:hAnsi="Arial"/>
          <w:sz w:val="14"/>
          <w:szCs w:val="14"/>
          <w:color w:val="auto"/>
        </w:rPr>
        <w:t>Professional and academic experience relevant to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86360</wp:posOffset>
            </wp:positionV>
            <wp:extent cx="38100" cy="755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18" w:lineRule="exact"/>
        <w:rPr>
          <w:sz w:val="20"/>
          <w:szCs w:val="20"/>
          <w:color w:val="auto"/>
        </w:rPr>
      </w:pPr>
    </w:p>
    <w:p>
      <w:pPr>
        <w:ind w:left="564"/>
        <w:spacing w:after="0"/>
        <w:rPr>
          <w:sz w:val="20"/>
          <w:szCs w:val="20"/>
          <w:color w:val="auto"/>
        </w:rPr>
      </w:pPr>
      <w:r>
        <w:rPr>
          <w:rFonts w:ascii="Arial" w:cs="Arial" w:eastAsia="Arial" w:hAnsi="Arial"/>
          <w:sz w:val="14"/>
          <w:szCs w:val="14"/>
          <w:color w:val="auto"/>
        </w:rPr>
        <w:t>Leadership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86360</wp:posOffset>
            </wp:positionV>
            <wp:extent cx="38100" cy="755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18" w:lineRule="exact"/>
        <w:rPr>
          <w:sz w:val="20"/>
          <w:szCs w:val="20"/>
          <w:color w:val="auto"/>
        </w:rPr>
      </w:pPr>
    </w:p>
    <w:p>
      <w:pPr>
        <w:ind w:left="564"/>
        <w:spacing w:after="0"/>
        <w:rPr>
          <w:sz w:val="20"/>
          <w:szCs w:val="20"/>
          <w:color w:val="auto"/>
        </w:rPr>
      </w:pPr>
      <w:r>
        <w:rPr>
          <w:rFonts w:ascii="Arial" w:cs="Arial" w:eastAsia="Arial" w:hAnsi="Arial"/>
          <w:sz w:val="14"/>
          <w:szCs w:val="14"/>
          <w:color w:val="auto"/>
        </w:rPr>
        <w:t>Cultural perspective and diversity of thought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78740</wp:posOffset>
            </wp:positionV>
            <wp:extent cx="38100" cy="755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06" w:lineRule="exact"/>
        <w:rPr>
          <w:sz w:val="20"/>
          <w:szCs w:val="20"/>
          <w:color w:val="auto"/>
        </w:rPr>
      </w:pPr>
    </w:p>
    <w:p>
      <w:pPr>
        <w:ind w:left="564"/>
        <w:spacing w:after="0"/>
        <w:rPr>
          <w:sz w:val="20"/>
          <w:szCs w:val="20"/>
          <w:color w:val="auto"/>
        </w:rPr>
      </w:pPr>
      <w:r>
        <w:rPr>
          <w:rFonts w:ascii="Arial" w:cs="Arial" w:eastAsia="Arial" w:hAnsi="Arial"/>
          <w:sz w:val="14"/>
          <w:szCs w:val="14"/>
          <w:color w:val="auto"/>
        </w:rPr>
        <w:t>Ability to commit the time required for service on our Board</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Board Composition, Refreshment, and Succession Planning</w:t>
      </w:r>
    </w:p>
    <w:p>
      <w:pPr>
        <w:spacing w:after="0" w:line="86" w:lineRule="exact"/>
        <w:rPr>
          <w:sz w:val="20"/>
          <w:szCs w:val="20"/>
          <w:color w:val="auto"/>
        </w:rPr>
      </w:pPr>
    </w:p>
    <w:p>
      <w:pPr>
        <w:ind w:left="4"/>
        <w:spacing w:after="0" w:line="239" w:lineRule="auto"/>
        <w:rPr>
          <w:sz w:val="20"/>
          <w:szCs w:val="20"/>
          <w:color w:val="auto"/>
        </w:rPr>
      </w:pPr>
      <w:r>
        <w:rPr>
          <w:rFonts w:ascii="Arial" w:cs="Arial" w:eastAsia="Arial" w:hAnsi="Arial"/>
          <w:sz w:val="19"/>
          <w:szCs w:val="19"/>
          <w:color w:val="333740"/>
        </w:rPr>
        <w:t>The Nominating and Corporate Governance Committee regularly evaluates the composition of our Board and considers whether the Board has the right set of backgrounds, experience, skills, diversity, and qualifications to effectively oversee our Company’s strategy and our executives’ execution of that strategy. One of the key goals of our Board composition is to ensure we have the right skills and experience on our Board to execute our strategic goals successfully and efficiently. Our current directors possess a diversity of skills, experience, and expertise that are relevant to our business, such as experience in the following:</w:t>
      </w:r>
    </w:p>
    <w:p>
      <w:pPr>
        <w:spacing w:after="0" w:line="210" w:lineRule="exact"/>
        <w:rPr>
          <w:sz w:val="20"/>
          <w:szCs w:val="20"/>
          <w:color w:val="auto"/>
        </w:rPr>
      </w:pPr>
    </w:p>
    <w:p>
      <w:pPr>
        <w:ind w:left="564"/>
        <w:spacing w:after="0"/>
        <w:rPr>
          <w:sz w:val="20"/>
          <w:szCs w:val="20"/>
          <w:color w:val="auto"/>
        </w:rPr>
      </w:pPr>
      <w:r>
        <w:rPr>
          <w:rFonts w:ascii="Arial" w:cs="Arial" w:eastAsia="Arial" w:hAnsi="Arial"/>
          <w:sz w:val="14"/>
          <w:szCs w:val="14"/>
          <w:color w:val="auto"/>
        </w:rPr>
        <w:t>Executive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-87630</wp:posOffset>
            </wp:positionV>
            <wp:extent cx="38100" cy="755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18" w:lineRule="exact"/>
        <w:rPr>
          <w:sz w:val="20"/>
          <w:szCs w:val="20"/>
          <w:color w:val="auto"/>
        </w:rPr>
      </w:pPr>
    </w:p>
    <w:p>
      <w:pPr>
        <w:ind w:left="564"/>
        <w:spacing w:after="0"/>
        <w:rPr>
          <w:sz w:val="20"/>
          <w:szCs w:val="20"/>
          <w:color w:val="auto"/>
        </w:rPr>
      </w:pPr>
      <w:r>
        <w:rPr>
          <w:rFonts w:ascii="Arial" w:cs="Arial" w:eastAsia="Arial" w:hAnsi="Arial"/>
          <w:sz w:val="14"/>
          <w:szCs w:val="14"/>
          <w:color w:val="auto"/>
        </w:rPr>
        <w:t>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-87630</wp:posOffset>
            </wp:positionV>
            <wp:extent cx="38100" cy="755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06" w:lineRule="exact"/>
        <w:rPr>
          <w:sz w:val="20"/>
          <w:szCs w:val="20"/>
          <w:color w:val="auto"/>
        </w:rPr>
      </w:pPr>
    </w:p>
    <w:p>
      <w:pPr>
        <w:ind w:left="564"/>
        <w:spacing w:after="0"/>
        <w:rPr>
          <w:sz w:val="20"/>
          <w:szCs w:val="20"/>
          <w:color w:val="auto"/>
        </w:rPr>
      </w:pPr>
      <w:r>
        <w:rPr>
          <w:rFonts w:ascii="Arial" w:cs="Arial" w:eastAsia="Arial" w:hAnsi="Arial"/>
          <w:sz w:val="14"/>
          <w:szCs w:val="14"/>
          <w:color w:val="auto"/>
        </w:rPr>
        <w:t>Corporate governance and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-87630</wp:posOffset>
            </wp:positionV>
            <wp:extent cx="38100" cy="755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18" w:lineRule="exact"/>
        <w:rPr>
          <w:sz w:val="20"/>
          <w:szCs w:val="20"/>
          <w:color w:val="auto"/>
        </w:rPr>
      </w:pPr>
    </w:p>
    <w:p>
      <w:pPr>
        <w:ind w:left="564"/>
        <w:spacing w:after="0"/>
        <w:rPr>
          <w:sz w:val="20"/>
          <w:szCs w:val="20"/>
          <w:color w:val="auto"/>
        </w:rPr>
      </w:pPr>
      <w:r>
        <w:rPr>
          <w:rFonts w:ascii="Arial" w:cs="Arial" w:eastAsia="Arial" w:hAnsi="Arial"/>
          <w:sz w:val="14"/>
          <w:szCs w:val="14"/>
          <w:color w:val="auto"/>
        </w:rPr>
        <w:t>Strategy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-87630</wp:posOffset>
            </wp:positionV>
            <wp:extent cx="38100" cy="755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18" w:lineRule="exact"/>
        <w:rPr>
          <w:sz w:val="20"/>
          <w:szCs w:val="20"/>
          <w:color w:val="auto"/>
        </w:rPr>
      </w:pPr>
    </w:p>
    <w:p>
      <w:pPr>
        <w:ind w:left="564"/>
        <w:spacing w:after="0"/>
        <w:rPr>
          <w:sz w:val="20"/>
          <w:szCs w:val="20"/>
          <w:color w:val="auto"/>
        </w:rPr>
      </w:pPr>
      <w:r>
        <w:rPr>
          <w:rFonts w:ascii="Arial" w:cs="Arial" w:eastAsia="Arial" w:hAnsi="Arial"/>
          <w:sz w:val="14"/>
          <w:szCs w:val="14"/>
          <w:color w:val="auto"/>
        </w:rPr>
        <w:t>Cultural and gender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-87630</wp:posOffset>
            </wp:positionV>
            <wp:extent cx="38100" cy="755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06" w:lineRule="exact"/>
        <w:rPr>
          <w:sz w:val="20"/>
          <w:szCs w:val="20"/>
          <w:color w:val="auto"/>
        </w:rPr>
      </w:pPr>
    </w:p>
    <w:p>
      <w:pPr>
        <w:ind w:left="564"/>
        <w:spacing w:after="0"/>
        <w:rPr>
          <w:sz w:val="20"/>
          <w:szCs w:val="20"/>
          <w:color w:val="auto"/>
        </w:rPr>
      </w:pPr>
      <w:r>
        <w:rPr>
          <w:rFonts w:ascii="Arial" w:cs="Arial" w:eastAsia="Arial" w:hAnsi="Arial"/>
          <w:sz w:val="14"/>
          <w:szCs w:val="14"/>
          <w:color w:val="auto"/>
        </w:rPr>
        <w:t>Sustainability and emerging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-87630</wp:posOffset>
            </wp:positionV>
            <wp:extent cx="38100" cy="755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18" w:lineRule="exact"/>
        <w:rPr>
          <w:sz w:val="20"/>
          <w:szCs w:val="20"/>
          <w:color w:val="auto"/>
        </w:rPr>
      </w:pPr>
    </w:p>
    <w:p>
      <w:pPr>
        <w:ind w:left="564"/>
        <w:spacing w:after="0"/>
        <w:rPr>
          <w:sz w:val="20"/>
          <w:szCs w:val="20"/>
          <w:color w:val="auto"/>
        </w:rPr>
      </w:pPr>
      <w:r>
        <w:rPr>
          <w:rFonts w:ascii="Arial" w:cs="Arial" w:eastAsia="Arial" w:hAnsi="Arial"/>
          <w:sz w:val="14"/>
          <w:szCs w:val="14"/>
          <w:color w:val="auto"/>
        </w:rPr>
        <w:t>Outside public company board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-87630</wp:posOffset>
            </wp:positionV>
            <wp:extent cx="38100" cy="755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47" w:lineRule="exact"/>
        <w:rPr>
          <w:sz w:val="20"/>
          <w:szCs w:val="20"/>
          <w:color w:val="auto"/>
        </w:rPr>
      </w:pPr>
    </w:p>
    <w:p>
      <w:pPr>
        <w:ind w:left="564" w:hanging="564"/>
        <w:spacing w:after="0"/>
        <w:tabs>
          <w:tab w:leader="none" w:pos="564" w:val="left"/>
        </w:tabs>
        <w:numPr>
          <w:ilvl w:val="0"/>
          <w:numId w:val="49"/>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128" w:right="339" w:bottom="1440" w:gutter="0" w:footer="0" w:header="0"/>
        </w:sectPr>
      </w:pPr>
    </w:p>
    <w:bookmarkStart w:id="40" w:name="page41"/>
    <w:bookmarkEnd w:id="40"/>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51" w:lineRule="exact"/>
        <w:rPr>
          <w:sz w:val="20"/>
          <w:szCs w:val="20"/>
          <w:color w:val="auto"/>
        </w:rPr>
      </w:pPr>
    </w:p>
    <w:p>
      <w:pPr>
        <w:ind w:left="564"/>
        <w:spacing w:after="0"/>
        <w:rPr>
          <w:sz w:val="20"/>
          <w:szCs w:val="20"/>
          <w:color w:val="auto"/>
        </w:rPr>
      </w:pPr>
      <w:r>
        <w:rPr>
          <w:rFonts w:ascii="Arial" w:cs="Arial" w:eastAsia="Arial" w:hAnsi="Arial"/>
          <w:sz w:val="14"/>
          <w:szCs w:val="14"/>
          <w:color w:val="333740"/>
        </w:rPr>
        <w:t>Finance and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-87630</wp:posOffset>
            </wp:positionV>
            <wp:extent cx="38100" cy="755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100" cy="7556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48260</wp:posOffset>
            </wp:positionV>
            <wp:extent cx="38100" cy="755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58" w:lineRule="exact"/>
        <w:rPr>
          <w:sz w:val="20"/>
          <w:szCs w:val="20"/>
          <w:color w:val="auto"/>
        </w:rPr>
      </w:pPr>
    </w:p>
    <w:p>
      <w:pPr>
        <w:ind w:left="564"/>
        <w:spacing w:after="0"/>
        <w:rPr>
          <w:sz w:val="20"/>
          <w:szCs w:val="20"/>
          <w:color w:val="auto"/>
        </w:rPr>
      </w:pPr>
      <w:r>
        <w:rPr>
          <w:rFonts w:ascii="Arial" w:cs="Arial" w:eastAsia="Arial" w:hAnsi="Arial"/>
          <w:sz w:val="14"/>
          <w:szCs w:val="14"/>
          <w:color w:val="333740"/>
        </w:rPr>
        <w:t>Acquisition, divestment, and investment portfolio management</w:t>
      </w:r>
    </w:p>
    <w:p>
      <w:pPr>
        <w:spacing w:after="0" w:line="83" w:lineRule="exact"/>
        <w:rPr>
          <w:sz w:val="20"/>
          <w:szCs w:val="20"/>
          <w:color w:val="auto"/>
        </w:rPr>
      </w:pPr>
    </w:p>
    <w:p>
      <w:pPr>
        <w:ind w:left="4"/>
        <w:spacing w:after="0" w:line="239" w:lineRule="auto"/>
        <w:rPr>
          <w:sz w:val="20"/>
          <w:szCs w:val="20"/>
          <w:color w:val="auto"/>
        </w:rPr>
      </w:pPr>
      <w:r>
        <w:rPr>
          <w:rFonts w:ascii="Arial" w:cs="Arial" w:eastAsia="Arial" w:hAnsi="Arial"/>
          <w:sz w:val="19"/>
          <w:szCs w:val="19"/>
          <w:color w:val="333740"/>
        </w:rPr>
        <w:t>In 2019, two of our directors, Messrs. Thierry Pilenko and Richard Pattarozzi, retired at our 2019 Annual Meeting. Our Nominating and Corporate Governance Committee, with the assistance of Spencer Stuart, a nationally recognized director search firm, identified, screened, and assessed the capabilities of potential new director candidates. This rigor assisted the Company in identifying and retaining two new Board members in 2019, Messrs. Olivier Piou and John Yearwood, as part of our ongoing Board refreshment focus.</w:t>
      </w:r>
    </w:p>
    <w:p>
      <w:pPr>
        <w:spacing w:after="0" w:line="83" w:lineRule="exact"/>
        <w:rPr>
          <w:sz w:val="20"/>
          <w:szCs w:val="20"/>
          <w:color w:val="auto"/>
        </w:rPr>
      </w:pPr>
    </w:p>
    <w:p>
      <w:pPr>
        <w:ind w:left="4" w:right="200"/>
        <w:spacing w:after="0" w:line="242" w:lineRule="auto"/>
        <w:rPr>
          <w:sz w:val="20"/>
          <w:szCs w:val="20"/>
          <w:color w:val="auto"/>
        </w:rPr>
      </w:pPr>
      <w:r>
        <w:rPr>
          <w:rFonts w:ascii="Arial" w:cs="Arial" w:eastAsia="Arial" w:hAnsi="Arial"/>
          <w:sz w:val="19"/>
          <w:szCs w:val="19"/>
          <w:color w:val="333740"/>
        </w:rPr>
        <w:t>In addition to evaluating directors’ skills and experience that tie directly to our business strategy, the Nominating and Corporate Governance Committee also regularly considers any changes in the professional status, independence, outside commitments, and other public company directorships of our directors to assess the potential impact of these changes on the Board’s effectiveness.</w:t>
      </w:r>
    </w:p>
    <w:p>
      <w:pPr>
        <w:spacing w:after="0" w:line="20" w:lineRule="exact"/>
        <w:rPr>
          <w:sz w:val="20"/>
          <w:szCs w:val="20"/>
          <w:color w:val="auto"/>
        </w:rPr>
      </w:pPr>
    </w:p>
    <w:p>
      <w:pPr>
        <w:ind w:left="4" w:right="20"/>
        <w:spacing w:after="0" w:line="238" w:lineRule="auto"/>
        <w:rPr>
          <w:sz w:val="20"/>
          <w:szCs w:val="20"/>
          <w:color w:val="auto"/>
        </w:rPr>
      </w:pPr>
      <w:r>
        <w:rPr>
          <w:rFonts w:ascii="Arial" w:cs="Arial" w:eastAsia="Arial" w:hAnsi="Arial"/>
          <w:sz w:val="19"/>
          <w:szCs w:val="19"/>
          <w:color w:val="333740"/>
        </w:rPr>
        <w:t>As further described in our Governance Guidelines, a non-executive director whose birth date occurs prior to July 1st must retire at the annual general meeting of shareholders of the Company during the year of such director’s 72nd birthday, and a non-executive director whose birth date occurs on or after July 1st must retire at the annual general meeting of shareholders of the Company the year following such director’s 72nd birthday. Our Board may waive this policy on a case-by-case basis on the recommendation of the Nominating and Corporate Governance Committee if it deems a waiver to be in the best interests of the Company and its shareholders.</w:t>
      </w:r>
    </w:p>
    <w:p>
      <w:pPr>
        <w:spacing w:after="0" w:line="359" w:lineRule="exact"/>
        <w:rPr>
          <w:sz w:val="20"/>
          <w:szCs w:val="20"/>
          <w:color w:val="auto"/>
        </w:rPr>
      </w:pPr>
    </w:p>
    <w:p>
      <w:pPr>
        <w:ind w:left="564" w:hanging="564"/>
        <w:spacing w:after="0"/>
        <w:tabs>
          <w:tab w:leader="none" w:pos="564" w:val="left"/>
        </w:tabs>
        <w:numPr>
          <w:ilvl w:val="0"/>
          <w:numId w:val="50"/>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41" w:name="page42"/>
    <w:bookmarkEnd w:id="41"/>
    <w:p>
      <w:pPr>
        <w:ind w:left="20"/>
        <w:spacing w:after="0"/>
        <w:rPr>
          <w:sz w:val="20"/>
          <w:szCs w:val="20"/>
          <w:color w:val="auto"/>
        </w:rPr>
      </w:pPr>
      <w:r>
        <w:rPr>
          <w:rFonts w:ascii="Arial" w:cs="Arial" w:eastAsia="Arial" w:hAnsi="Arial"/>
          <w:sz w:val="13"/>
          <w:szCs w:val="13"/>
          <w:b w:val="1"/>
          <w:bCs w:val="1"/>
          <w:color w:val="481F6E"/>
        </w:rPr>
        <w:t>TechnipFMC Proxy Statement 2020</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color w:val="481F6E"/>
        </w:rPr>
        <w:t>Board and Committee Evaluations</w:t>
      </w:r>
    </w:p>
    <w:p>
      <w:pPr>
        <w:spacing w:after="0" w:line="86"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333740"/>
        </w:rPr>
        <w:t>The Board believes that a rigorous evaluation process is an essential component of strong corporate governance practices. The Nominating and Corporate Governance Committee reviews regularly the Board’s composition, including the key skills and experience represented on the Board, to ensure it meets the changing needs of the business, also taking into consideration the outcomes of the annual Board and committee self-evaluation process, feedback received from shareholders, and evolving market best practices with respect to governance.</w:t>
      </w:r>
    </w:p>
    <w:p>
      <w:pPr>
        <w:spacing w:after="0" w:line="83" w:lineRule="exact"/>
        <w:rPr>
          <w:sz w:val="20"/>
          <w:szCs w:val="20"/>
          <w:color w:val="auto"/>
        </w:rPr>
      </w:pPr>
    </w:p>
    <w:p>
      <w:pPr>
        <w:ind w:right="220"/>
        <w:spacing w:after="0" w:line="247" w:lineRule="auto"/>
        <w:rPr>
          <w:sz w:val="20"/>
          <w:szCs w:val="20"/>
          <w:color w:val="auto"/>
        </w:rPr>
      </w:pPr>
      <w:r>
        <w:rPr>
          <w:rFonts w:ascii="Arial" w:cs="Arial" w:eastAsia="Arial" w:hAnsi="Arial"/>
          <w:sz w:val="19"/>
          <w:szCs w:val="19"/>
          <w:color w:val="333740"/>
        </w:rPr>
        <w:t>The Nominating and Corporate Governance Committee’s annual evaluation process to evaluate Board effectiveness includes a full Board evaluation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5634990</wp:posOffset>
            </wp:positionH>
            <wp:positionV relativeFrom="paragraph">
              <wp:posOffset>52070</wp:posOffset>
            </wp:positionV>
            <wp:extent cx="7620" cy="1790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20" cy="1790700"/>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52070</wp:posOffset>
            </wp:positionV>
            <wp:extent cx="7620" cy="17907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20" cy="1790700"/>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52070</wp:posOffset>
            </wp:positionV>
            <wp:extent cx="7620" cy="1790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20" cy="179070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680" w:type="dxa"/>
            <w:vAlign w:val="bottom"/>
            <w:gridSpan w:val="2"/>
            <w:vMerge w:val="restart"/>
            <w:shd w:val="clear" w:color="auto" w:fill="481F6E"/>
          </w:tcPr>
          <w:p>
            <w:pPr>
              <w:ind w:left="100"/>
              <w:spacing w:after="0"/>
              <w:rPr>
                <w:sz w:val="20"/>
                <w:szCs w:val="20"/>
                <w:color w:val="auto"/>
              </w:rPr>
            </w:pPr>
            <w:r>
              <w:rPr>
                <w:rFonts w:ascii="Arial" w:cs="Arial" w:eastAsia="Arial" w:hAnsi="Arial"/>
                <w:sz w:val="14"/>
                <w:szCs w:val="14"/>
                <w:b w:val="1"/>
                <w:bCs w:val="1"/>
                <w:color w:val="FFFFFF"/>
              </w:rPr>
              <w:t>Process is Initiated</w:t>
            </w:r>
          </w:p>
        </w:tc>
        <w:tc>
          <w:tcPr>
            <w:tcW w:w="3780" w:type="dxa"/>
            <w:vAlign w:val="bottom"/>
            <w:vMerge w:val="restart"/>
            <w:shd w:val="clear" w:color="auto" w:fill="481F6E"/>
          </w:tcPr>
          <w:p>
            <w:pPr>
              <w:ind w:left="120"/>
              <w:spacing w:after="0"/>
              <w:rPr>
                <w:sz w:val="20"/>
                <w:szCs w:val="20"/>
                <w:color w:val="auto"/>
              </w:rPr>
            </w:pPr>
            <w:r>
              <w:rPr>
                <w:rFonts w:ascii="Arial" w:cs="Arial" w:eastAsia="Arial" w:hAnsi="Arial"/>
                <w:sz w:val="14"/>
                <w:szCs w:val="14"/>
                <w:b w:val="1"/>
                <w:bCs w:val="1"/>
                <w:color w:val="FFFFFF"/>
              </w:rPr>
              <w:t>Evaluation Distributed</w:t>
            </w:r>
          </w:p>
        </w:tc>
        <w:tc>
          <w:tcPr>
            <w:tcW w:w="2440" w:type="dxa"/>
            <w:vAlign w:val="bottom"/>
            <w:vMerge w:val="restart"/>
            <w:shd w:val="clear" w:color="auto" w:fill="481F6E"/>
          </w:tcPr>
          <w:p>
            <w:pPr>
              <w:ind w:left="120"/>
              <w:spacing w:after="0"/>
              <w:rPr>
                <w:sz w:val="20"/>
                <w:szCs w:val="20"/>
                <w:color w:val="auto"/>
              </w:rPr>
            </w:pPr>
            <w:r>
              <w:rPr>
                <w:rFonts w:ascii="Arial" w:cs="Arial" w:eastAsia="Arial" w:hAnsi="Arial"/>
                <w:sz w:val="14"/>
                <w:szCs w:val="14"/>
                <w:b w:val="1"/>
                <w:bCs w:val="1"/>
                <w:color w:val="FFFFFF"/>
              </w:rPr>
              <w:t>Analysis</w:t>
            </w:r>
          </w:p>
        </w:tc>
        <w:tc>
          <w:tcPr>
            <w:tcW w:w="2360" w:type="dxa"/>
            <w:vAlign w:val="bottom"/>
            <w:shd w:val="clear" w:color="auto" w:fill="481F6E"/>
          </w:tcPr>
          <w:p>
            <w:pPr>
              <w:ind w:left="80"/>
              <w:spacing w:after="0"/>
              <w:rPr>
                <w:sz w:val="20"/>
                <w:szCs w:val="20"/>
                <w:color w:val="auto"/>
              </w:rPr>
            </w:pPr>
            <w:r>
              <w:rPr>
                <w:rFonts w:ascii="Arial" w:cs="Arial" w:eastAsia="Arial" w:hAnsi="Arial"/>
                <w:sz w:val="14"/>
                <w:szCs w:val="14"/>
                <w:b w:val="1"/>
                <w:bCs w:val="1"/>
                <w:color w:val="FFFFFF"/>
              </w:rPr>
              <w:t>Presentation of</w:t>
            </w:r>
          </w:p>
        </w:tc>
        <w:tc>
          <w:tcPr>
            <w:tcW w:w="0" w:type="dxa"/>
            <w:vAlign w:val="bottom"/>
          </w:tcPr>
          <w:p>
            <w:pPr>
              <w:spacing w:after="0"/>
              <w:rPr>
                <w:sz w:val="1"/>
                <w:szCs w:val="1"/>
                <w:color w:val="auto"/>
              </w:rPr>
            </w:pPr>
          </w:p>
        </w:tc>
      </w:tr>
      <w:tr>
        <w:trPr>
          <w:trHeight w:val="94"/>
        </w:trPr>
        <w:tc>
          <w:tcPr>
            <w:tcW w:w="2680" w:type="dxa"/>
            <w:vAlign w:val="bottom"/>
            <w:gridSpan w:val="2"/>
            <w:vMerge w:val="continue"/>
            <w:shd w:val="clear" w:color="auto" w:fill="481F6E"/>
          </w:tcPr>
          <w:p>
            <w:pPr>
              <w:spacing w:after="0"/>
              <w:rPr>
                <w:sz w:val="8"/>
                <w:szCs w:val="8"/>
                <w:color w:val="auto"/>
              </w:rPr>
            </w:pPr>
          </w:p>
        </w:tc>
        <w:tc>
          <w:tcPr>
            <w:tcW w:w="3780" w:type="dxa"/>
            <w:vAlign w:val="bottom"/>
            <w:vMerge w:val="continue"/>
            <w:shd w:val="clear" w:color="auto" w:fill="481F6E"/>
          </w:tcPr>
          <w:p>
            <w:pPr>
              <w:spacing w:after="0"/>
              <w:rPr>
                <w:sz w:val="8"/>
                <w:szCs w:val="8"/>
                <w:color w:val="auto"/>
              </w:rPr>
            </w:pPr>
          </w:p>
        </w:tc>
        <w:tc>
          <w:tcPr>
            <w:tcW w:w="2440" w:type="dxa"/>
            <w:vAlign w:val="bottom"/>
            <w:vMerge w:val="continue"/>
            <w:shd w:val="clear" w:color="auto" w:fill="481F6E"/>
          </w:tcPr>
          <w:p>
            <w:pPr>
              <w:spacing w:after="0"/>
              <w:rPr>
                <w:sz w:val="8"/>
                <w:szCs w:val="8"/>
                <w:color w:val="auto"/>
              </w:rPr>
            </w:pPr>
          </w:p>
        </w:tc>
        <w:tc>
          <w:tcPr>
            <w:tcW w:w="2360" w:type="dxa"/>
            <w:vAlign w:val="bottom"/>
            <w:vMerge w:val="restart"/>
            <w:shd w:val="clear" w:color="auto" w:fill="481F6E"/>
          </w:tcPr>
          <w:p>
            <w:pPr>
              <w:ind w:left="80"/>
              <w:spacing w:after="0"/>
              <w:rPr>
                <w:sz w:val="20"/>
                <w:szCs w:val="20"/>
                <w:color w:val="auto"/>
              </w:rPr>
            </w:pPr>
            <w:r>
              <w:rPr>
                <w:rFonts w:ascii="Arial" w:cs="Arial" w:eastAsia="Arial" w:hAnsi="Arial"/>
                <w:sz w:val="14"/>
                <w:szCs w:val="14"/>
                <w:b w:val="1"/>
                <w:bCs w:val="1"/>
                <w:color w:val="FFFFFF"/>
              </w:rPr>
              <w:t>Results</w:t>
            </w:r>
          </w:p>
        </w:tc>
        <w:tc>
          <w:tcPr>
            <w:tcW w:w="0" w:type="dxa"/>
            <w:vAlign w:val="bottom"/>
          </w:tcPr>
          <w:p>
            <w:pPr>
              <w:spacing w:after="0"/>
              <w:rPr>
                <w:sz w:val="1"/>
                <w:szCs w:val="1"/>
                <w:color w:val="auto"/>
              </w:rPr>
            </w:pPr>
          </w:p>
        </w:tc>
      </w:tr>
      <w:tr>
        <w:trPr>
          <w:trHeight w:val="96"/>
        </w:trPr>
        <w:tc>
          <w:tcPr>
            <w:tcW w:w="340" w:type="dxa"/>
            <w:vAlign w:val="bottom"/>
            <w:shd w:val="clear" w:color="auto" w:fill="481F6E"/>
          </w:tcPr>
          <w:p>
            <w:pPr>
              <w:spacing w:after="0"/>
              <w:rPr>
                <w:sz w:val="8"/>
                <w:szCs w:val="8"/>
                <w:color w:val="auto"/>
              </w:rPr>
            </w:pPr>
          </w:p>
        </w:tc>
        <w:tc>
          <w:tcPr>
            <w:tcW w:w="2340" w:type="dxa"/>
            <w:vAlign w:val="bottom"/>
            <w:shd w:val="clear" w:color="auto" w:fill="481F6E"/>
          </w:tcPr>
          <w:p>
            <w:pPr>
              <w:spacing w:after="0"/>
              <w:rPr>
                <w:sz w:val="8"/>
                <w:szCs w:val="8"/>
                <w:color w:val="auto"/>
              </w:rPr>
            </w:pPr>
          </w:p>
        </w:tc>
        <w:tc>
          <w:tcPr>
            <w:tcW w:w="3780" w:type="dxa"/>
            <w:vAlign w:val="bottom"/>
            <w:shd w:val="clear" w:color="auto" w:fill="481F6E"/>
          </w:tcPr>
          <w:p>
            <w:pPr>
              <w:spacing w:after="0"/>
              <w:rPr>
                <w:sz w:val="8"/>
                <w:szCs w:val="8"/>
                <w:color w:val="auto"/>
              </w:rPr>
            </w:pPr>
          </w:p>
        </w:tc>
        <w:tc>
          <w:tcPr>
            <w:tcW w:w="2440" w:type="dxa"/>
            <w:vAlign w:val="bottom"/>
            <w:shd w:val="clear" w:color="auto" w:fill="481F6E"/>
          </w:tcPr>
          <w:p>
            <w:pPr>
              <w:spacing w:after="0"/>
              <w:rPr>
                <w:sz w:val="8"/>
                <w:szCs w:val="8"/>
                <w:color w:val="auto"/>
              </w:rPr>
            </w:pPr>
          </w:p>
        </w:tc>
        <w:tc>
          <w:tcPr>
            <w:tcW w:w="2360" w:type="dxa"/>
            <w:vAlign w:val="bottom"/>
            <w:vMerge w:val="continue"/>
            <w:shd w:val="clear" w:color="auto" w:fill="481F6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680" w:type="dxa"/>
            <w:vAlign w:val="bottom"/>
            <w:gridSpan w:val="2"/>
            <w:shd w:val="clear" w:color="auto" w:fill="481F6E"/>
          </w:tcPr>
          <w:p>
            <w:pPr>
              <w:spacing w:after="0"/>
              <w:rPr>
                <w:sz w:val="7"/>
                <w:szCs w:val="7"/>
                <w:color w:val="auto"/>
              </w:rPr>
            </w:pPr>
          </w:p>
        </w:tc>
        <w:tc>
          <w:tcPr>
            <w:tcW w:w="3780" w:type="dxa"/>
            <w:vAlign w:val="bottom"/>
            <w:shd w:val="clear" w:color="auto" w:fill="481F6E"/>
          </w:tcPr>
          <w:p>
            <w:pPr>
              <w:spacing w:after="0"/>
              <w:rPr>
                <w:sz w:val="7"/>
                <w:szCs w:val="7"/>
                <w:color w:val="auto"/>
              </w:rPr>
            </w:pPr>
          </w:p>
        </w:tc>
        <w:tc>
          <w:tcPr>
            <w:tcW w:w="2440" w:type="dxa"/>
            <w:vAlign w:val="bottom"/>
            <w:shd w:val="clear" w:color="auto" w:fill="481F6E"/>
          </w:tcPr>
          <w:p>
            <w:pPr>
              <w:spacing w:after="0"/>
              <w:rPr>
                <w:sz w:val="7"/>
                <w:szCs w:val="7"/>
                <w:color w:val="auto"/>
              </w:rPr>
            </w:pPr>
          </w:p>
        </w:tc>
        <w:tc>
          <w:tcPr>
            <w:tcW w:w="2360" w:type="dxa"/>
            <w:vAlign w:val="bottom"/>
            <w:shd w:val="clear" w:color="auto" w:fill="481F6E"/>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80" w:type="dxa"/>
            <w:vAlign w:val="bottom"/>
            <w:gridSpan w:val="2"/>
            <w:shd w:val="clear" w:color="auto" w:fill="D7D8D6"/>
          </w:tcPr>
          <w:p>
            <w:pPr>
              <w:ind w:left="100"/>
              <w:spacing w:after="0"/>
              <w:rPr>
                <w:sz w:val="20"/>
                <w:szCs w:val="20"/>
                <w:color w:val="auto"/>
              </w:rPr>
            </w:pPr>
            <w:r>
              <w:rPr>
                <w:rFonts w:ascii="Arial" w:cs="Arial" w:eastAsia="Arial" w:hAnsi="Arial"/>
                <w:sz w:val="13"/>
                <w:szCs w:val="13"/>
                <w:color w:val="333740"/>
              </w:rPr>
              <w:t>The Nominating and Corporate Governance</w:t>
            </w:r>
          </w:p>
        </w:tc>
        <w:tc>
          <w:tcPr>
            <w:tcW w:w="3780" w:type="dxa"/>
            <w:vAlign w:val="bottom"/>
            <w:shd w:val="clear" w:color="auto" w:fill="D7D8D6"/>
          </w:tcPr>
          <w:p>
            <w:pPr>
              <w:ind w:left="120"/>
              <w:spacing w:after="0"/>
              <w:rPr>
                <w:sz w:val="20"/>
                <w:szCs w:val="20"/>
                <w:color w:val="auto"/>
              </w:rPr>
            </w:pPr>
            <w:r>
              <w:rPr>
                <w:rFonts w:ascii="Arial" w:cs="Arial" w:eastAsia="Arial" w:hAnsi="Arial"/>
                <w:sz w:val="13"/>
                <w:szCs w:val="13"/>
                <w:color w:val="333740"/>
              </w:rPr>
              <w:t>Questionnaires are distributed through a third-party web-based</w:t>
            </w:r>
          </w:p>
        </w:tc>
        <w:tc>
          <w:tcPr>
            <w:tcW w:w="2440" w:type="dxa"/>
            <w:vAlign w:val="bottom"/>
            <w:shd w:val="clear" w:color="auto" w:fill="D7D8D6"/>
          </w:tcPr>
          <w:p>
            <w:pPr>
              <w:ind w:left="120"/>
              <w:spacing w:after="0"/>
              <w:rPr>
                <w:sz w:val="20"/>
                <w:szCs w:val="20"/>
                <w:color w:val="auto"/>
              </w:rPr>
            </w:pPr>
            <w:r>
              <w:rPr>
                <w:rFonts w:ascii="Arial" w:cs="Arial" w:eastAsia="Arial" w:hAnsi="Arial"/>
                <w:sz w:val="13"/>
                <w:szCs w:val="13"/>
                <w:color w:val="333740"/>
              </w:rPr>
              <w:t>Completed questionnaires are</w:t>
            </w:r>
          </w:p>
        </w:tc>
        <w:tc>
          <w:tcPr>
            <w:tcW w:w="2360" w:type="dxa"/>
            <w:vAlign w:val="bottom"/>
            <w:shd w:val="clear" w:color="auto" w:fill="D7D8D6"/>
          </w:tcPr>
          <w:p>
            <w:pPr>
              <w:ind w:left="80"/>
              <w:spacing w:after="0"/>
              <w:rPr>
                <w:sz w:val="20"/>
                <w:szCs w:val="20"/>
                <w:color w:val="auto"/>
              </w:rPr>
            </w:pPr>
            <w:r>
              <w:rPr>
                <w:rFonts w:ascii="Arial" w:cs="Arial" w:eastAsia="Arial" w:hAnsi="Arial"/>
                <w:sz w:val="13"/>
                <w:szCs w:val="13"/>
                <w:color w:val="333740"/>
              </w:rPr>
              <w:t>The Nominating and Corporate</w:t>
            </w:r>
          </w:p>
        </w:tc>
        <w:tc>
          <w:tcPr>
            <w:tcW w:w="0" w:type="dxa"/>
            <w:vAlign w:val="bottom"/>
          </w:tcPr>
          <w:p>
            <w:pPr>
              <w:spacing w:after="0"/>
              <w:rPr>
                <w:sz w:val="1"/>
                <w:szCs w:val="1"/>
                <w:color w:val="auto"/>
              </w:rPr>
            </w:pPr>
          </w:p>
        </w:tc>
      </w:tr>
      <w:tr>
        <w:trPr>
          <w:trHeight w:val="143"/>
        </w:trPr>
        <w:tc>
          <w:tcPr>
            <w:tcW w:w="2680" w:type="dxa"/>
            <w:vAlign w:val="bottom"/>
            <w:gridSpan w:val="2"/>
            <w:shd w:val="clear" w:color="auto" w:fill="D7D8D6"/>
          </w:tcPr>
          <w:p>
            <w:pPr>
              <w:ind w:left="100"/>
              <w:spacing w:after="0" w:line="144" w:lineRule="exact"/>
              <w:rPr>
                <w:sz w:val="20"/>
                <w:szCs w:val="20"/>
                <w:color w:val="auto"/>
              </w:rPr>
            </w:pPr>
            <w:r>
              <w:rPr>
                <w:rFonts w:ascii="Arial" w:cs="Arial" w:eastAsia="Arial" w:hAnsi="Arial"/>
                <w:sz w:val="13"/>
                <w:szCs w:val="13"/>
                <w:color w:val="333740"/>
              </w:rPr>
              <w:t>Committee reviews and approves the</w:t>
            </w:r>
          </w:p>
        </w:tc>
        <w:tc>
          <w:tcPr>
            <w:tcW w:w="3780" w:type="dxa"/>
            <w:vAlign w:val="bottom"/>
            <w:shd w:val="clear" w:color="auto" w:fill="D7D8D6"/>
          </w:tcPr>
          <w:p>
            <w:pPr>
              <w:ind w:left="120"/>
              <w:spacing w:after="0" w:line="144" w:lineRule="exact"/>
              <w:rPr>
                <w:sz w:val="20"/>
                <w:szCs w:val="20"/>
                <w:color w:val="auto"/>
              </w:rPr>
            </w:pPr>
            <w:r>
              <w:rPr>
                <w:rFonts w:ascii="Arial" w:cs="Arial" w:eastAsia="Arial" w:hAnsi="Arial"/>
                <w:sz w:val="13"/>
                <w:szCs w:val="13"/>
                <w:color w:val="333740"/>
              </w:rPr>
              <w:t>platform. The process encourages candid responses from our</w:t>
            </w:r>
          </w:p>
        </w:tc>
        <w:tc>
          <w:tcPr>
            <w:tcW w:w="2440" w:type="dxa"/>
            <w:vAlign w:val="bottom"/>
            <w:shd w:val="clear" w:color="auto" w:fill="D7D8D6"/>
          </w:tcPr>
          <w:p>
            <w:pPr>
              <w:ind w:left="120"/>
              <w:spacing w:after="0" w:line="144" w:lineRule="exact"/>
              <w:rPr>
                <w:sz w:val="20"/>
                <w:szCs w:val="20"/>
                <w:color w:val="auto"/>
              </w:rPr>
            </w:pPr>
            <w:r>
              <w:rPr>
                <w:rFonts w:ascii="Arial" w:cs="Arial" w:eastAsia="Arial" w:hAnsi="Arial"/>
                <w:sz w:val="13"/>
                <w:szCs w:val="13"/>
                <w:color w:val="333740"/>
              </w:rPr>
              <w:t>analyzed and summarized by Company</w:t>
            </w:r>
          </w:p>
        </w:tc>
        <w:tc>
          <w:tcPr>
            <w:tcW w:w="2360" w:type="dxa"/>
            <w:vAlign w:val="bottom"/>
            <w:shd w:val="clear" w:color="auto" w:fill="D7D8D6"/>
          </w:tcPr>
          <w:p>
            <w:pPr>
              <w:ind w:left="80"/>
              <w:spacing w:after="0" w:line="144" w:lineRule="exact"/>
              <w:rPr>
                <w:sz w:val="20"/>
                <w:szCs w:val="20"/>
                <w:color w:val="auto"/>
              </w:rPr>
            </w:pPr>
            <w:r>
              <w:rPr>
                <w:rFonts w:ascii="Arial" w:cs="Arial" w:eastAsia="Arial" w:hAnsi="Arial"/>
                <w:sz w:val="13"/>
                <w:szCs w:val="13"/>
                <w:color w:val="333740"/>
              </w:rPr>
              <w:t>Governance Committee Chair reviews</w:t>
            </w:r>
          </w:p>
        </w:tc>
        <w:tc>
          <w:tcPr>
            <w:tcW w:w="0" w:type="dxa"/>
            <w:vAlign w:val="bottom"/>
          </w:tcPr>
          <w:p>
            <w:pPr>
              <w:spacing w:after="0"/>
              <w:rPr>
                <w:sz w:val="1"/>
                <w:szCs w:val="1"/>
                <w:color w:val="auto"/>
              </w:rPr>
            </w:pPr>
          </w:p>
        </w:tc>
      </w:tr>
      <w:tr>
        <w:trPr>
          <w:trHeight w:val="143"/>
        </w:trPr>
        <w:tc>
          <w:tcPr>
            <w:tcW w:w="2680" w:type="dxa"/>
            <w:vAlign w:val="bottom"/>
            <w:gridSpan w:val="2"/>
            <w:shd w:val="clear" w:color="auto" w:fill="D7D8D6"/>
          </w:tcPr>
          <w:p>
            <w:pPr>
              <w:ind w:left="100"/>
              <w:spacing w:after="0" w:line="144" w:lineRule="exact"/>
              <w:rPr>
                <w:sz w:val="20"/>
                <w:szCs w:val="20"/>
                <w:color w:val="auto"/>
              </w:rPr>
            </w:pPr>
            <w:r>
              <w:rPr>
                <w:rFonts w:ascii="Arial" w:cs="Arial" w:eastAsia="Arial" w:hAnsi="Arial"/>
                <w:sz w:val="13"/>
                <w:szCs w:val="13"/>
                <w:color w:val="333740"/>
              </w:rPr>
              <w:t>process to evaluate the performance of the</w:t>
            </w:r>
          </w:p>
        </w:tc>
        <w:tc>
          <w:tcPr>
            <w:tcW w:w="3780" w:type="dxa"/>
            <w:vAlign w:val="bottom"/>
            <w:shd w:val="clear" w:color="auto" w:fill="D7D8D6"/>
          </w:tcPr>
          <w:p>
            <w:pPr>
              <w:ind w:left="120"/>
              <w:spacing w:after="0" w:line="144" w:lineRule="exact"/>
              <w:rPr>
                <w:sz w:val="20"/>
                <w:szCs w:val="20"/>
                <w:color w:val="auto"/>
              </w:rPr>
            </w:pPr>
            <w:r>
              <w:rPr>
                <w:rFonts w:ascii="Arial" w:cs="Arial" w:eastAsia="Arial" w:hAnsi="Arial"/>
                <w:sz w:val="13"/>
                <w:szCs w:val="13"/>
                <w:color w:val="333740"/>
              </w:rPr>
              <w:t>directors and promotes productive discussions.</w:t>
            </w:r>
          </w:p>
        </w:tc>
        <w:tc>
          <w:tcPr>
            <w:tcW w:w="2440" w:type="dxa"/>
            <w:vAlign w:val="bottom"/>
            <w:shd w:val="clear" w:color="auto" w:fill="D7D8D6"/>
          </w:tcPr>
          <w:p>
            <w:pPr>
              <w:ind w:left="120"/>
              <w:spacing w:after="0" w:line="144" w:lineRule="exact"/>
              <w:rPr>
                <w:sz w:val="20"/>
                <w:szCs w:val="20"/>
                <w:color w:val="auto"/>
              </w:rPr>
            </w:pPr>
            <w:r>
              <w:rPr>
                <w:rFonts w:ascii="Arial" w:cs="Arial" w:eastAsia="Arial" w:hAnsi="Arial"/>
                <w:sz w:val="13"/>
                <w:szCs w:val="13"/>
                <w:color w:val="333740"/>
              </w:rPr>
              <w:t>management and reported to the</w:t>
            </w:r>
          </w:p>
        </w:tc>
        <w:tc>
          <w:tcPr>
            <w:tcW w:w="2360" w:type="dxa"/>
            <w:vAlign w:val="bottom"/>
            <w:shd w:val="clear" w:color="auto" w:fill="D7D8D6"/>
          </w:tcPr>
          <w:p>
            <w:pPr>
              <w:ind w:left="80"/>
              <w:spacing w:after="0" w:line="144" w:lineRule="exact"/>
              <w:rPr>
                <w:sz w:val="20"/>
                <w:szCs w:val="20"/>
                <w:color w:val="auto"/>
              </w:rPr>
            </w:pPr>
            <w:r>
              <w:rPr>
                <w:rFonts w:ascii="Arial" w:cs="Arial" w:eastAsia="Arial" w:hAnsi="Arial"/>
                <w:sz w:val="13"/>
                <w:szCs w:val="13"/>
                <w:color w:val="333740"/>
              </w:rPr>
              <w:t>the results of the evaluations with the</w:t>
            </w:r>
          </w:p>
        </w:tc>
        <w:tc>
          <w:tcPr>
            <w:tcW w:w="0" w:type="dxa"/>
            <w:vAlign w:val="bottom"/>
          </w:tcPr>
          <w:p>
            <w:pPr>
              <w:spacing w:after="0"/>
              <w:rPr>
                <w:sz w:val="1"/>
                <w:szCs w:val="1"/>
                <w:color w:val="auto"/>
              </w:rPr>
            </w:pPr>
          </w:p>
        </w:tc>
      </w:tr>
      <w:tr>
        <w:trPr>
          <w:trHeight w:val="143"/>
        </w:trPr>
        <w:tc>
          <w:tcPr>
            <w:tcW w:w="2680" w:type="dxa"/>
            <w:vAlign w:val="bottom"/>
            <w:gridSpan w:val="2"/>
            <w:shd w:val="clear" w:color="auto" w:fill="D7D8D6"/>
          </w:tcPr>
          <w:p>
            <w:pPr>
              <w:ind w:left="100"/>
              <w:spacing w:after="0" w:line="144" w:lineRule="exact"/>
              <w:rPr>
                <w:sz w:val="20"/>
                <w:szCs w:val="20"/>
                <w:color w:val="auto"/>
              </w:rPr>
            </w:pPr>
            <w:r>
              <w:rPr>
                <w:rFonts w:ascii="Arial" w:cs="Arial" w:eastAsia="Arial" w:hAnsi="Arial"/>
                <w:sz w:val="13"/>
                <w:szCs w:val="13"/>
                <w:color w:val="333740"/>
              </w:rPr>
              <w:t>Board of Directors and its four committees.</w:t>
            </w:r>
          </w:p>
        </w:tc>
        <w:tc>
          <w:tcPr>
            <w:tcW w:w="3780" w:type="dxa"/>
            <w:vAlign w:val="bottom"/>
            <w:vMerge w:val="restart"/>
            <w:shd w:val="clear" w:color="auto" w:fill="D7D8D6"/>
          </w:tcPr>
          <w:p>
            <w:pPr>
              <w:ind w:left="120"/>
              <w:spacing w:after="0"/>
              <w:rPr>
                <w:sz w:val="20"/>
                <w:szCs w:val="20"/>
                <w:color w:val="auto"/>
              </w:rPr>
            </w:pPr>
            <w:r>
              <w:rPr>
                <w:rFonts w:ascii="Arial" w:cs="Arial" w:eastAsia="Arial" w:hAnsi="Arial"/>
                <w:sz w:val="13"/>
                <w:szCs w:val="13"/>
                <w:color w:val="333740"/>
              </w:rPr>
              <w:t>Questionnaires solicit feedback on issues, including:</w:t>
            </w:r>
          </w:p>
        </w:tc>
        <w:tc>
          <w:tcPr>
            <w:tcW w:w="2440" w:type="dxa"/>
            <w:vAlign w:val="bottom"/>
            <w:shd w:val="clear" w:color="auto" w:fill="D7D8D6"/>
          </w:tcPr>
          <w:p>
            <w:pPr>
              <w:ind w:left="120"/>
              <w:spacing w:after="0" w:line="144" w:lineRule="exact"/>
              <w:rPr>
                <w:sz w:val="20"/>
                <w:szCs w:val="20"/>
                <w:color w:val="auto"/>
              </w:rPr>
            </w:pPr>
            <w:r>
              <w:rPr>
                <w:rFonts w:ascii="Arial" w:cs="Arial" w:eastAsia="Arial" w:hAnsi="Arial"/>
                <w:sz w:val="13"/>
                <w:szCs w:val="13"/>
                <w:color w:val="333740"/>
              </w:rPr>
              <w:t>Nominating and</w:t>
            </w:r>
          </w:p>
        </w:tc>
        <w:tc>
          <w:tcPr>
            <w:tcW w:w="2360" w:type="dxa"/>
            <w:vAlign w:val="bottom"/>
            <w:shd w:val="clear" w:color="auto" w:fill="D7D8D6"/>
          </w:tcPr>
          <w:p>
            <w:pPr>
              <w:ind w:left="80"/>
              <w:spacing w:after="0" w:line="144" w:lineRule="exact"/>
              <w:rPr>
                <w:sz w:val="20"/>
                <w:szCs w:val="20"/>
                <w:color w:val="auto"/>
              </w:rPr>
            </w:pPr>
            <w:r>
              <w:rPr>
                <w:rFonts w:ascii="Arial" w:cs="Arial" w:eastAsia="Arial" w:hAnsi="Arial"/>
                <w:sz w:val="13"/>
                <w:szCs w:val="13"/>
                <w:color w:val="333740"/>
              </w:rPr>
              <w:t>full Board and each committee to</w:t>
            </w:r>
          </w:p>
        </w:tc>
        <w:tc>
          <w:tcPr>
            <w:tcW w:w="0" w:type="dxa"/>
            <w:vAlign w:val="bottom"/>
          </w:tcPr>
          <w:p>
            <w:pPr>
              <w:spacing w:after="0"/>
              <w:rPr>
                <w:sz w:val="1"/>
                <w:szCs w:val="1"/>
                <w:color w:val="auto"/>
              </w:rPr>
            </w:pPr>
          </w:p>
        </w:tc>
      </w:tr>
      <w:tr>
        <w:trPr>
          <w:trHeight w:val="105"/>
        </w:trPr>
        <w:tc>
          <w:tcPr>
            <w:tcW w:w="340" w:type="dxa"/>
            <w:vAlign w:val="bottom"/>
            <w:shd w:val="clear" w:color="auto" w:fill="D7D8D6"/>
          </w:tcPr>
          <w:p>
            <w:pPr>
              <w:spacing w:after="0"/>
              <w:rPr>
                <w:sz w:val="9"/>
                <w:szCs w:val="9"/>
                <w:color w:val="auto"/>
              </w:rPr>
            </w:pPr>
          </w:p>
        </w:tc>
        <w:tc>
          <w:tcPr>
            <w:tcW w:w="2340" w:type="dxa"/>
            <w:vAlign w:val="bottom"/>
            <w:shd w:val="clear" w:color="auto" w:fill="D7D8D6"/>
          </w:tcPr>
          <w:p>
            <w:pPr>
              <w:spacing w:after="0"/>
              <w:rPr>
                <w:sz w:val="9"/>
                <w:szCs w:val="9"/>
                <w:color w:val="auto"/>
              </w:rPr>
            </w:pPr>
          </w:p>
        </w:tc>
        <w:tc>
          <w:tcPr>
            <w:tcW w:w="3780" w:type="dxa"/>
            <w:vAlign w:val="bottom"/>
            <w:vMerge w:val="continue"/>
            <w:shd w:val="clear" w:color="auto" w:fill="D7D8D6"/>
          </w:tcPr>
          <w:p>
            <w:pPr>
              <w:spacing w:after="0"/>
              <w:rPr>
                <w:sz w:val="9"/>
                <w:szCs w:val="9"/>
                <w:color w:val="auto"/>
              </w:rPr>
            </w:pPr>
          </w:p>
        </w:tc>
        <w:tc>
          <w:tcPr>
            <w:tcW w:w="2440" w:type="dxa"/>
            <w:vAlign w:val="bottom"/>
            <w:vMerge w:val="restart"/>
            <w:shd w:val="clear" w:color="auto" w:fill="D7D8D6"/>
          </w:tcPr>
          <w:p>
            <w:pPr>
              <w:ind w:left="120"/>
              <w:spacing w:after="0" w:line="144" w:lineRule="exact"/>
              <w:rPr>
                <w:sz w:val="20"/>
                <w:szCs w:val="20"/>
                <w:color w:val="auto"/>
              </w:rPr>
            </w:pPr>
            <w:r>
              <w:rPr>
                <w:rFonts w:ascii="Arial" w:cs="Arial" w:eastAsia="Arial" w:hAnsi="Arial"/>
                <w:sz w:val="13"/>
                <w:szCs w:val="13"/>
                <w:color w:val="333740"/>
              </w:rPr>
              <w:t>Corporate Governance Committee</w:t>
            </w:r>
          </w:p>
        </w:tc>
        <w:tc>
          <w:tcPr>
            <w:tcW w:w="2360" w:type="dxa"/>
            <w:vAlign w:val="bottom"/>
            <w:vMerge w:val="restart"/>
            <w:shd w:val="clear" w:color="auto" w:fill="D7D8D6"/>
          </w:tcPr>
          <w:p>
            <w:pPr>
              <w:ind w:left="80"/>
              <w:spacing w:after="0" w:line="144" w:lineRule="exact"/>
              <w:rPr>
                <w:sz w:val="20"/>
                <w:szCs w:val="20"/>
                <w:color w:val="auto"/>
              </w:rPr>
            </w:pPr>
            <w:r>
              <w:rPr>
                <w:rFonts w:ascii="Arial" w:cs="Arial" w:eastAsia="Arial" w:hAnsi="Arial"/>
                <w:sz w:val="13"/>
                <w:szCs w:val="13"/>
                <w:color w:val="333740"/>
              </w:rPr>
              <w:t>determine areas of opportunity.</w:t>
            </w:r>
          </w:p>
        </w:tc>
        <w:tc>
          <w:tcPr>
            <w:tcW w:w="0" w:type="dxa"/>
            <w:vAlign w:val="bottom"/>
          </w:tcPr>
          <w:p>
            <w:pPr>
              <w:spacing w:after="0"/>
              <w:rPr>
                <w:sz w:val="1"/>
                <w:szCs w:val="1"/>
                <w:color w:val="auto"/>
              </w:rPr>
            </w:pPr>
          </w:p>
        </w:tc>
      </w:tr>
      <w:tr>
        <w:trPr>
          <w:trHeight w:val="38"/>
        </w:trPr>
        <w:tc>
          <w:tcPr>
            <w:tcW w:w="340" w:type="dxa"/>
            <w:vAlign w:val="bottom"/>
            <w:shd w:val="clear" w:color="auto" w:fill="D7D8D6"/>
          </w:tcPr>
          <w:p>
            <w:pPr>
              <w:spacing w:after="0"/>
              <w:rPr>
                <w:sz w:val="3"/>
                <w:szCs w:val="3"/>
                <w:color w:val="auto"/>
              </w:rPr>
            </w:pPr>
          </w:p>
        </w:tc>
        <w:tc>
          <w:tcPr>
            <w:tcW w:w="2340" w:type="dxa"/>
            <w:vAlign w:val="bottom"/>
            <w:shd w:val="clear" w:color="auto" w:fill="D7D8D6"/>
          </w:tcPr>
          <w:p>
            <w:pPr>
              <w:spacing w:after="0"/>
              <w:rPr>
                <w:sz w:val="3"/>
                <w:szCs w:val="3"/>
                <w:color w:val="auto"/>
              </w:rPr>
            </w:pPr>
          </w:p>
        </w:tc>
        <w:tc>
          <w:tcPr>
            <w:tcW w:w="3780" w:type="dxa"/>
            <w:vAlign w:val="bottom"/>
            <w:shd w:val="clear" w:color="auto" w:fill="D7D8D6"/>
          </w:tcPr>
          <w:p>
            <w:pPr>
              <w:spacing w:after="0"/>
              <w:rPr>
                <w:sz w:val="3"/>
                <w:szCs w:val="3"/>
                <w:color w:val="auto"/>
              </w:rPr>
            </w:pPr>
          </w:p>
        </w:tc>
        <w:tc>
          <w:tcPr>
            <w:tcW w:w="2440" w:type="dxa"/>
            <w:vAlign w:val="bottom"/>
            <w:vMerge w:val="continue"/>
            <w:shd w:val="clear" w:color="auto" w:fill="D7D8D6"/>
          </w:tcPr>
          <w:p>
            <w:pPr>
              <w:spacing w:after="0"/>
              <w:rPr>
                <w:sz w:val="3"/>
                <w:szCs w:val="3"/>
                <w:color w:val="auto"/>
              </w:rPr>
            </w:pPr>
          </w:p>
        </w:tc>
        <w:tc>
          <w:tcPr>
            <w:tcW w:w="2360" w:type="dxa"/>
            <w:vAlign w:val="bottom"/>
            <w:vMerge w:val="continue"/>
            <w:shd w:val="clear" w:color="auto" w:fill="D7D8D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340" w:type="dxa"/>
            <w:vAlign w:val="bottom"/>
            <w:shd w:val="clear" w:color="auto" w:fill="D7D8D6"/>
          </w:tcPr>
          <w:p>
            <w:pPr>
              <w:spacing w:after="0"/>
              <w:rPr>
                <w:sz w:val="14"/>
                <w:szCs w:val="14"/>
                <w:color w:val="auto"/>
              </w:rPr>
            </w:pPr>
          </w:p>
        </w:tc>
        <w:tc>
          <w:tcPr>
            <w:tcW w:w="2340" w:type="dxa"/>
            <w:vAlign w:val="bottom"/>
            <w:shd w:val="clear" w:color="auto" w:fill="D7D8D6"/>
          </w:tcPr>
          <w:p>
            <w:pPr>
              <w:spacing w:after="0"/>
              <w:rPr>
                <w:sz w:val="14"/>
                <w:szCs w:val="14"/>
                <w:color w:val="auto"/>
              </w:rPr>
            </w:pPr>
          </w:p>
        </w:tc>
        <w:tc>
          <w:tcPr>
            <w:tcW w:w="3780" w:type="dxa"/>
            <w:vAlign w:val="bottom"/>
            <w:shd w:val="clear" w:color="auto" w:fill="D7D8D6"/>
          </w:tcPr>
          <w:p>
            <w:pPr>
              <w:ind w:left="260"/>
              <w:spacing w:after="0"/>
              <w:rPr>
                <w:sz w:val="20"/>
                <w:szCs w:val="20"/>
                <w:color w:val="auto"/>
              </w:rPr>
            </w:pPr>
            <w:r>
              <w:rPr>
                <w:rFonts w:ascii="Arial" w:cs="Arial" w:eastAsia="Arial" w:hAnsi="Arial"/>
                <w:sz w:val="13"/>
                <w:szCs w:val="13"/>
                <w:color w:val="333740"/>
              </w:rPr>
              <w:t>Board/Committee operations</w:t>
            </w:r>
          </w:p>
        </w:tc>
        <w:tc>
          <w:tcPr>
            <w:tcW w:w="2440" w:type="dxa"/>
            <w:vAlign w:val="bottom"/>
            <w:shd w:val="clear" w:color="auto" w:fill="D7D8D6"/>
          </w:tcPr>
          <w:p>
            <w:pPr>
              <w:ind w:left="120"/>
              <w:spacing w:after="0"/>
              <w:rPr>
                <w:sz w:val="20"/>
                <w:szCs w:val="20"/>
                <w:color w:val="auto"/>
              </w:rPr>
            </w:pPr>
            <w:r>
              <w:rPr>
                <w:rFonts w:ascii="Arial" w:cs="Arial" w:eastAsia="Arial" w:hAnsi="Arial"/>
                <w:sz w:val="13"/>
                <w:szCs w:val="13"/>
                <w:color w:val="333740"/>
              </w:rPr>
              <w:t>Chair.</w:t>
            </w:r>
          </w:p>
        </w:tc>
        <w:tc>
          <w:tcPr>
            <w:tcW w:w="236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40" w:type="dxa"/>
            <w:vAlign w:val="bottom"/>
            <w:shd w:val="clear" w:color="auto" w:fill="D7D8D6"/>
          </w:tcPr>
          <w:p>
            <w:pPr>
              <w:spacing w:after="0"/>
              <w:rPr>
                <w:sz w:val="19"/>
                <w:szCs w:val="19"/>
                <w:color w:val="auto"/>
              </w:rPr>
            </w:pPr>
          </w:p>
        </w:tc>
        <w:tc>
          <w:tcPr>
            <w:tcW w:w="2340" w:type="dxa"/>
            <w:vAlign w:val="bottom"/>
            <w:shd w:val="clear" w:color="auto" w:fill="D7D8D6"/>
          </w:tcPr>
          <w:p>
            <w:pPr>
              <w:spacing w:after="0"/>
              <w:rPr>
                <w:sz w:val="19"/>
                <w:szCs w:val="19"/>
                <w:color w:val="auto"/>
              </w:rPr>
            </w:pPr>
          </w:p>
        </w:tc>
        <w:tc>
          <w:tcPr>
            <w:tcW w:w="3780" w:type="dxa"/>
            <w:vAlign w:val="bottom"/>
            <w:shd w:val="clear" w:color="auto" w:fill="D7D8D6"/>
          </w:tcPr>
          <w:p>
            <w:pPr>
              <w:ind w:left="260"/>
              <w:spacing w:after="0"/>
              <w:rPr>
                <w:sz w:val="20"/>
                <w:szCs w:val="20"/>
                <w:color w:val="auto"/>
              </w:rPr>
            </w:pPr>
            <w:r>
              <w:rPr>
                <w:rFonts w:ascii="Arial" w:cs="Arial" w:eastAsia="Arial" w:hAnsi="Arial"/>
                <w:sz w:val="13"/>
                <w:szCs w:val="13"/>
                <w:color w:val="333740"/>
              </w:rPr>
              <w:t>Succession planning</w:t>
            </w:r>
          </w:p>
        </w:tc>
        <w:tc>
          <w:tcPr>
            <w:tcW w:w="2440" w:type="dxa"/>
            <w:vAlign w:val="bottom"/>
            <w:shd w:val="clear" w:color="auto" w:fill="D7D8D6"/>
          </w:tcPr>
          <w:p>
            <w:pPr>
              <w:spacing w:after="0"/>
              <w:rPr>
                <w:sz w:val="19"/>
                <w:szCs w:val="19"/>
                <w:color w:val="auto"/>
              </w:rPr>
            </w:pPr>
          </w:p>
        </w:tc>
        <w:tc>
          <w:tcPr>
            <w:tcW w:w="2360" w:type="dxa"/>
            <w:vAlign w:val="bottom"/>
            <w:shd w:val="clear" w:color="auto" w:fill="D7D8D6"/>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shd w:val="clear" w:color="auto" w:fill="D7D8D6"/>
          </w:tcPr>
          <w:p>
            <w:pPr>
              <w:spacing w:after="0"/>
              <w:rPr>
                <w:sz w:val="18"/>
                <w:szCs w:val="18"/>
                <w:color w:val="auto"/>
              </w:rPr>
            </w:pPr>
          </w:p>
        </w:tc>
        <w:tc>
          <w:tcPr>
            <w:tcW w:w="2340" w:type="dxa"/>
            <w:vAlign w:val="bottom"/>
            <w:shd w:val="clear" w:color="auto" w:fill="D7D8D6"/>
          </w:tcPr>
          <w:p>
            <w:pPr>
              <w:spacing w:after="0"/>
              <w:rPr>
                <w:sz w:val="18"/>
                <w:szCs w:val="18"/>
                <w:color w:val="auto"/>
              </w:rPr>
            </w:pPr>
          </w:p>
        </w:tc>
        <w:tc>
          <w:tcPr>
            <w:tcW w:w="3780" w:type="dxa"/>
            <w:vAlign w:val="bottom"/>
            <w:shd w:val="clear" w:color="auto" w:fill="D7D8D6"/>
          </w:tcPr>
          <w:p>
            <w:pPr>
              <w:ind w:left="260"/>
              <w:spacing w:after="0"/>
              <w:rPr>
                <w:sz w:val="20"/>
                <w:szCs w:val="20"/>
                <w:color w:val="auto"/>
              </w:rPr>
            </w:pPr>
            <w:r>
              <w:rPr>
                <w:rFonts w:ascii="Arial" w:cs="Arial" w:eastAsia="Arial" w:hAnsi="Arial"/>
                <w:sz w:val="13"/>
                <w:szCs w:val="13"/>
                <w:color w:val="333740"/>
              </w:rPr>
              <w:t>Committee composition, processes and effectiveness</w:t>
            </w:r>
          </w:p>
        </w:tc>
        <w:tc>
          <w:tcPr>
            <w:tcW w:w="2440" w:type="dxa"/>
            <w:vAlign w:val="bottom"/>
            <w:shd w:val="clear" w:color="auto" w:fill="D7D8D6"/>
          </w:tcPr>
          <w:p>
            <w:pPr>
              <w:spacing w:after="0"/>
              <w:rPr>
                <w:sz w:val="18"/>
                <w:szCs w:val="18"/>
                <w:color w:val="auto"/>
              </w:rPr>
            </w:pPr>
          </w:p>
        </w:tc>
        <w:tc>
          <w:tcPr>
            <w:tcW w:w="2360" w:type="dxa"/>
            <w:vAlign w:val="bottom"/>
            <w:shd w:val="clear" w:color="auto" w:fill="D7D8D6"/>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40" w:type="dxa"/>
            <w:vAlign w:val="bottom"/>
            <w:shd w:val="clear" w:color="auto" w:fill="D7D8D6"/>
          </w:tcPr>
          <w:p>
            <w:pPr>
              <w:spacing w:after="0"/>
              <w:rPr>
                <w:sz w:val="20"/>
                <w:szCs w:val="20"/>
                <w:color w:val="auto"/>
              </w:rPr>
            </w:pPr>
          </w:p>
        </w:tc>
        <w:tc>
          <w:tcPr>
            <w:tcW w:w="2340" w:type="dxa"/>
            <w:vAlign w:val="bottom"/>
            <w:shd w:val="clear" w:color="auto" w:fill="D7D8D6"/>
          </w:tcPr>
          <w:p>
            <w:pPr>
              <w:spacing w:after="0"/>
              <w:rPr>
                <w:sz w:val="20"/>
                <w:szCs w:val="20"/>
                <w:color w:val="auto"/>
              </w:rPr>
            </w:pPr>
          </w:p>
        </w:tc>
        <w:tc>
          <w:tcPr>
            <w:tcW w:w="3780" w:type="dxa"/>
            <w:vAlign w:val="bottom"/>
            <w:shd w:val="clear" w:color="auto" w:fill="D7D8D6"/>
          </w:tcPr>
          <w:p>
            <w:pPr>
              <w:ind w:left="260"/>
              <w:spacing w:after="0"/>
              <w:rPr>
                <w:sz w:val="20"/>
                <w:szCs w:val="20"/>
                <w:color w:val="auto"/>
              </w:rPr>
            </w:pPr>
            <w:r>
              <w:rPr>
                <w:rFonts w:ascii="Arial" w:cs="Arial" w:eastAsia="Arial" w:hAnsi="Arial"/>
                <w:sz w:val="13"/>
                <w:szCs w:val="13"/>
                <w:color w:val="333740"/>
              </w:rPr>
              <w:t>Board dynamics</w:t>
            </w:r>
          </w:p>
        </w:tc>
        <w:tc>
          <w:tcPr>
            <w:tcW w:w="2440" w:type="dxa"/>
            <w:vAlign w:val="bottom"/>
            <w:shd w:val="clear" w:color="auto" w:fill="D7D8D6"/>
          </w:tcPr>
          <w:p>
            <w:pPr>
              <w:spacing w:after="0"/>
              <w:rPr>
                <w:sz w:val="20"/>
                <w:szCs w:val="20"/>
                <w:color w:val="auto"/>
              </w:rPr>
            </w:pPr>
          </w:p>
        </w:tc>
        <w:tc>
          <w:tcPr>
            <w:tcW w:w="2360" w:type="dxa"/>
            <w:vAlign w:val="bottom"/>
            <w:shd w:val="clear" w:color="auto" w:fill="D7D8D6"/>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0" w:type="dxa"/>
            <w:vAlign w:val="bottom"/>
            <w:shd w:val="clear" w:color="auto" w:fill="D7D8D6"/>
          </w:tcPr>
          <w:p>
            <w:pPr>
              <w:spacing w:after="0"/>
              <w:rPr>
                <w:sz w:val="18"/>
                <w:szCs w:val="18"/>
                <w:color w:val="auto"/>
              </w:rPr>
            </w:pPr>
          </w:p>
        </w:tc>
        <w:tc>
          <w:tcPr>
            <w:tcW w:w="2340" w:type="dxa"/>
            <w:vAlign w:val="bottom"/>
            <w:shd w:val="clear" w:color="auto" w:fill="D7D8D6"/>
          </w:tcPr>
          <w:p>
            <w:pPr>
              <w:spacing w:after="0"/>
              <w:rPr>
                <w:sz w:val="18"/>
                <w:szCs w:val="18"/>
                <w:color w:val="auto"/>
              </w:rPr>
            </w:pPr>
          </w:p>
        </w:tc>
        <w:tc>
          <w:tcPr>
            <w:tcW w:w="3780" w:type="dxa"/>
            <w:vAlign w:val="bottom"/>
            <w:shd w:val="clear" w:color="auto" w:fill="D7D8D6"/>
          </w:tcPr>
          <w:p>
            <w:pPr>
              <w:ind w:left="260"/>
              <w:spacing w:after="0"/>
              <w:rPr>
                <w:sz w:val="20"/>
                <w:szCs w:val="20"/>
                <w:color w:val="auto"/>
              </w:rPr>
            </w:pPr>
            <w:r>
              <w:rPr>
                <w:rFonts w:ascii="Arial" w:cs="Arial" w:eastAsia="Arial" w:hAnsi="Arial"/>
                <w:sz w:val="13"/>
                <w:szCs w:val="13"/>
                <w:color w:val="333740"/>
              </w:rPr>
              <w:t>Director preparation, participation, and contribution</w:t>
            </w:r>
          </w:p>
        </w:tc>
        <w:tc>
          <w:tcPr>
            <w:tcW w:w="2440" w:type="dxa"/>
            <w:vAlign w:val="bottom"/>
            <w:shd w:val="clear" w:color="auto" w:fill="D7D8D6"/>
          </w:tcPr>
          <w:p>
            <w:pPr>
              <w:spacing w:after="0"/>
              <w:rPr>
                <w:sz w:val="18"/>
                <w:szCs w:val="18"/>
                <w:color w:val="auto"/>
              </w:rPr>
            </w:pPr>
          </w:p>
        </w:tc>
        <w:tc>
          <w:tcPr>
            <w:tcW w:w="2360" w:type="dxa"/>
            <w:vAlign w:val="bottom"/>
            <w:shd w:val="clear" w:color="auto" w:fill="D7D8D6"/>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40" w:type="dxa"/>
            <w:vAlign w:val="bottom"/>
            <w:shd w:val="clear" w:color="auto" w:fill="D7D8D6"/>
          </w:tcPr>
          <w:p>
            <w:pPr>
              <w:spacing w:after="0"/>
              <w:rPr>
                <w:sz w:val="20"/>
                <w:szCs w:val="20"/>
                <w:color w:val="auto"/>
              </w:rPr>
            </w:pPr>
          </w:p>
        </w:tc>
        <w:tc>
          <w:tcPr>
            <w:tcW w:w="2340" w:type="dxa"/>
            <w:vAlign w:val="bottom"/>
            <w:shd w:val="clear" w:color="auto" w:fill="D7D8D6"/>
          </w:tcPr>
          <w:p>
            <w:pPr>
              <w:spacing w:after="0"/>
              <w:rPr>
                <w:sz w:val="20"/>
                <w:szCs w:val="20"/>
                <w:color w:val="auto"/>
              </w:rPr>
            </w:pPr>
          </w:p>
        </w:tc>
        <w:tc>
          <w:tcPr>
            <w:tcW w:w="3780" w:type="dxa"/>
            <w:vAlign w:val="bottom"/>
            <w:shd w:val="clear" w:color="auto" w:fill="D7D8D6"/>
          </w:tcPr>
          <w:p>
            <w:pPr>
              <w:ind w:left="260"/>
              <w:spacing w:after="0"/>
              <w:rPr>
                <w:sz w:val="20"/>
                <w:szCs w:val="20"/>
                <w:color w:val="auto"/>
              </w:rPr>
            </w:pPr>
            <w:r>
              <w:rPr>
                <w:rFonts w:ascii="Arial" w:cs="Arial" w:eastAsia="Arial" w:hAnsi="Arial"/>
                <w:sz w:val="13"/>
                <w:szCs w:val="13"/>
                <w:color w:val="333740"/>
              </w:rPr>
              <w:t>Management preparation and communications</w:t>
            </w:r>
          </w:p>
        </w:tc>
        <w:tc>
          <w:tcPr>
            <w:tcW w:w="2440" w:type="dxa"/>
            <w:vAlign w:val="bottom"/>
            <w:shd w:val="clear" w:color="auto" w:fill="D7D8D6"/>
          </w:tcPr>
          <w:p>
            <w:pPr>
              <w:spacing w:after="0"/>
              <w:rPr>
                <w:sz w:val="20"/>
                <w:szCs w:val="20"/>
                <w:color w:val="auto"/>
              </w:rPr>
            </w:pPr>
          </w:p>
        </w:tc>
        <w:tc>
          <w:tcPr>
            <w:tcW w:w="2360" w:type="dxa"/>
            <w:vAlign w:val="bottom"/>
            <w:shd w:val="clear" w:color="auto" w:fill="D7D8D6"/>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40" w:type="dxa"/>
            <w:vAlign w:val="bottom"/>
            <w:shd w:val="clear" w:color="auto" w:fill="D7D8D6"/>
          </w:tcPr>
          <w:p>
            <w:pPr>
              <w:spacing w:after="0"/>
              <w:rPr>
                <w:sz w:val="13"/>
                <w:szCs w:val="13"/>
                <w:color w:val="auto"/>
              </w:rPr>
            </w:pPr>
          </w:p>
        </w:tc>
        <w:tc>
          <w:tcPr>
            <w:tcW w:w="2340" w:type="dxa"/>
            <w:vAlign w:val="bottom"/>
            <w:shd w:val="clear" w:color="auto" w:fill="D7D8D6"/>
          </w:tcPr>
          <w:p>
            <w:pPr>
              <w:spacing w:after="0"/>
              <w:rPr>
                <w:sz w:val="13"/>
                <w:szCs w:val="13"/>
                <w:color w:val="auto"/>
              </w:rPr>
            </w:pPr>
          </w:p>
        </w:tc>
        <w:tc>
          <w:tcPr>
            <w:tcW w:w="3780" w:type="dxa"/>
            <w:vAlign w:val="bottom"/>
            <w:shd w:val="clear" w:color="auto" w:fill="D7D8D6"/>
          </w:tcPr>
          <w:p>
            <w:pPr>
              <w:spacing w:after="0"/>
              <w:rPr>
                <w:sz w:val="13"/>
                <w:szCs w:val="13"/>
                <w:color w:val="auto"/>
              </w:rPr>
            </w:pPr>
          </w:p>
        </w:tc>
        <w:tc>
          <w:tcPr>
            <w:tcW w:w="2440" w:type="dxa"/>
            <w:vAlign w:val="bottom"/>
            <w:shd w:val="clear" w:color="auto" w:fill="D7D8D6"/>
          </w:tcPr>
          <w:p>
            <w:pPr>
              <w:spacing w:after="0"/>
              <w:rPr>
                <w:sz w:val="13"/>
                <w:szCs w:val="13"/>
                <w:color w:val="auto"/>
              </w:rPr>
            </w:pPr>
          </w:p>
        </w:tc>
        <w:tc>
          <w:tcPr>
            <w:tcW w:w="2360" w:type="dxa"/>
            <w:vAlign w:val="bottom"/>
            <w:shd w:val="clear" w:color="auto" w:fill="D7D8D6"/>
          </w:tcPr>
          <w:p>
            <w:pPr>
              <w:spacing w:after="0"/>
              <w:rPr>
                <w:sz w:val="13"/>
                <w:szCs w:val="13"/>
                <w:color w:val="auto"/>
              </w:rPr>
            </w:pPr>
          </w:p>
        </w:tc>
        <w:tc>
          <w:tcPr>
            <w:tcW w:w="0" w:type="dxa"/>
            <w:vAlign w:val="bottom"/>
          </w:tcPr>
          <w:p>
            <w:pPr>
              <w:spacing w:after="0"/>
              <w:rPr>
                <w:sz w:val="1"/>
                <w:szCs w:val="1"/>
                <w:color w:val="auto"/>
              </w:rPr>
            </w:pPr>
          </w:p>
        </w:tc>
      </w:tr>
      <w:tr>
        <w:trPr>
          <w:trHeight w:val="516"/>
        </w:trPr>
        <w:tc>
          <w:tcPr>
            <w:tcW w:w="340" w:type="dxa"/>
            <w:vAlign w:val="bottom"/>
          </w:tcPr>
          <w:p>
            <w:pPr>
              <w:spacing w:after="0"/>
              <w:rPr>
                <w:sz w:val="20"/>
                <w:szCs w:val="20"/>
                <w:color w:val="auto"/>
              </w:rPr>
            </w:pPr>
            <w:r>
              <w:rPr>
                <w:rFonts w:ascii="Arial" w:cs="Arial" w:eastAsia="Arial" w:hAnsi="Arial"/>
                <w:sz w:val="13"/>
                <w:szCs w:val="13"/>
                <w:color w:val="auto"/>
              </w:rPr>
              <w:t>41</w:t>
            </w:r>
          </w:p>
        </w:tc>
        <w:tc>
          <w:tcPr>
            <w:tcW w:w="2340" w:type="dxa"/>
            <w:vAlign w:val="bottom"/>
          </w:tcPr>
          <w:p>
            <w:pPr>
              <w:ind w:left="220"/>
              <w:spacing w:after="0"/>
              <w:rPr>
                <w:sz w:val="20"/>
                <w:szCs w:val="20"/>
                <w:color w:val="auto"/>
              </w:rPr>
            </w:pPr>
            <w:r>
              <w:rPr>
                <w:rFonts w:ascii="Arial" w:cs="Arial" w:eastAsia="Arial" w:hAnsi="Arial"/>
                <w:sz w:val="13"/>
                <w:szCs w:val="13"/>
                <w:color w:val="231F20"/>
              </w:rPr>
              <w:t>TechnipFMC</w:t>
            </w:r>
          </w:p>
        </w:tc>
        <w:tc>
          <w:tcPr>
            <w:tcW w:w="3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1772920</wp:posOffset>
            </wp:positionH>
            <wp:positionV relativeFrom="paragraph">
              <wp:posOffset>-1282065</wp:posOffset>
            </wp:positionV>
            <wp:extent cx="45720" cy="755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1772920</wp:posOffset>
            </wp:positionH>
            <wp:positionV relativeFrom="paragraph">
              <wp:posOffset>-1137285</wp:posOffset>
            </wp:positionV>
            <wp:extent cx="45720" cy="755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1772920</wp:posOffset>
            </wp:positionH>
            <wp:positionV relativeFrom="paragraph">
              <wp:posOffset>-1000760</wp:posOffset>
            </wp:positionV>
            <wp:extent cx="45720" cy="755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1772920</wp:posOffset>
            </wp:positionH>
            <wp:positionV relativeFrom="paragraph">
              <wp:posOffset>-848995</wp:posOffset>
            </wp:positionV>
            <wp:extent cx="45720" cy="755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1772920</wp:posOffset>
            </wp:positionH>
            <wp:positionV relativeFrom="paragraph">
              <wp:posOffset>-712470</wp:posOffset>
            </wp:positionV>
            <wp:extent cx="45720" cy="755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1772920</wp:posOffset>
            </wp:positionH>
            <wp:positionV relativeFrom="paragraph">
              <wp:posOffset>-560705</wp:posOffset>
            </wp:positionV>
            <wp:extent cx="45720" cy="755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5720" cy="75565"/>
                    </a:xfrm>
                    <a:prstGeom prst="rect">
                      <a:avLst/>
                    </a:prstGeom>
                    <a:noFill/>
                  </pic:spPr>
                </pic:pic>
              </a:graphicData>
            </a:graphic>
          </wp:anchor>
        </w:drawing>
      </w:r>
    </w:p>
    <w:p>
      <w:pPr>
        <w:sectPr>
          <w:pgSz w:w="11900" w:h="16838" w:orient="portrait"/>
          <w:cols w:equalWidth="0" w:num="1">
            <w:col w:w="11260"/>
          </w:cols>
          <w:pgMar w:left="320" w:top="128" w:right="319" w:bottom="1440" w:gutter="0" w:footer="0" w:header="0"/>
        </w:sectPr>
      </w:pPr>
    </w:p>
    <w:bookmarkStart w:id="42" w:name="page43"/>
    <w:bookmarkEnd w:id="42"/>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Board Commitments</w:t>
      </w:r>
    </w:p>
    <w:p>
      <w:pPr>
        <w:spacing w:after="0" w:line="86" w:lineRule="exact"/>
        <w:rPr>
          <w:sz w:val="20"/>
          <w:szCs w:val="20"/>
          <w:color w:val="auto"/>
        </w:rPr>
      </w:pPr>
    </w:p>
    <w:p>
      <w:pPr>
        <w:ind w:left="4" w:right="180"/>
        <w:spacing w:after="0"/>
        <w:rPr>
          <w:sz w:val="20"/>
          <w:szCs w:val="20"/>
          <w:color w:val="auto"/>
        </w:rPr>
      </w:pPr>
      <w:r>
        <w:rPr>
          <w:rFonts w:ascii="Arial" w:cs="Arial" w:eastAsia="Arial" w:hAnsi="Arial"/>
          <w:sz w:val="19"/>
          <w:szCs w:val="19"/>
          <w:color w:val="333740"/>
        </w:rPr>
        <w:t>In conjunction with our Board and committee evaluations, our Nominating and Corporate Governance Committee is responsible for ensuring that our directors possess and demonstrate a willingness to devote the required time and attention to Board duties and to otherwise fulfill the responsibilities required of directors. During our 2019-2020 shareholder engagement, certain institutional investors and proxy advisory firms raised concerns about potential overboarding.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-4445</wp:posOffset>
            </wp:positionV>
            <wp:extent cx="5994400" cy="1919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94400" cy="191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
        <w:spacing w:after="0" w:line="239" w:lineRule="auto"/>
        <w:rPr>
          <w:sz w:val="20"/>
          <w:szCs w:val="20"/>
          <w:color w:val="auto"/>
        </w:rPr>
      </w:pPr>
      <w:r>
        <w:rPr>
          <w:rFonts w:ascii="Arial" w:cs="Arial" w:eastAsia="Arial" w:hAnsi="Arial"/>
          <w:sz w:val="19"/>
          <w:szCs w:val="19"/>
          <w:color w:val="333740"/>
        </w:rPr>
        <w:t>As noted above, a majority of our directors serve on just one or no other public company board of directors. Our Nominating and Corporate Governance Committee and our Board believe that each of our directors has demonstrated, and will continue to demonstrate, her or his expertise and ability to dedicate sufficient time to carry out Board duties effectively and diligently. Our directors’ outside board service or other commitments did not limit their ability to devote the required time and attention to their duties as directors of the Company as evidenced by the 100% attendance rate at our Board meetings for all but one director.</w:t>
      </w:r>
    </w:p>
    <w:p>
      <w:pPr>
        <w:spacing w:after="0" w:line="83" w:lineRule="exact"/>
        <w:rPr>
          <w:sz w:val="20"/>
          <w:szCs w:val="20"/>
          <w:color w:val="auto"/>
        </w:rPr>
      </w:pPr>
    </w:p>
    <w:p>
      <w:pPr>
        <w:ind w:left="4"/>
        <w:spacing w:after="0" w:line="238" w:lineRule="auto"/>
        <w:rPr>
          <w:sz w:val="20"/>
          <w:szCs w:val="20"/>
          <w:color w:val="auto"/>
        </w:rPr>
      </w:pPr>
      <w:r>
        <w:rPr>
          <w:rFonts w:ascii="Arial" w:cs="Arial" w:eastAsia="Arial" w:hAnsi="Arial"/>
          <w:sz w:val="19"/>
          <w:szCs w:val="19"/>
          <w:color w:val="333740"/>
        </w:rPr>
        <w:t>In assessing our directors’ ability to devote the required time to his or her Board duties, the Nominating and Corporate Governance Committee reviews the nature of the other companies on which they serve, including whether any board service is with a company that is either affiliated with their employer or affiliated with one of their other directorships. The committee also discusses with each director the time commitments and expectations of his or her other board duties to ensure that he or she can continue to serve the Company and its shareholders effectively. Noted below are examples of the relationships the Nominating and Corporate Governance Committee considered when confirming a director’s ability to serve on our Board.</w:t>
      </w:r>
    </w:p>
    <w:p>
      <w:pPr>
        <w:spacing w:after="0" w:line="40" w:lineRule="exact"/>
        <w:rPr>
          <w:sz w:val="20"/>
          <w:szCs w:val="20"/>
          <w:color w:val="auto"/>
        </w:rPr>
      </w:pPr>
    </w:p>
    <w:p>
      <w:pPr>
        <w:ind w:left="324" w:right="140"/>
        <w:spacing w:after="0" w:line="270" w:lineRule="auto"/>
        <w:rPr>
          <w:sz w:val="20"/>
          <w:szCs w:val="20"/>
          <w:color w:val="auto"/>
        </w:rPr>
      </w:pPr>
      <w:r>
        <w:rPr>
          <w:rFonts w:ascii="Arial" w:cs="Arial" w:eastAsia="Arial" w:hAnsi="Arial"/>
          <w:sz w:val="14"/>
          <w:szCs w:val="14"/>
          <w:color w:val="333740"/>
        </w:rPr>
        <w:t>Mr. Carvalho Filho’s duties as a director of Companhia Brasileira de Distribuicão (Grupo Pão de Açúcar) (“</w:t>
      </w:r>
      <w:r>
        <w:rPr>
          <w:rFonts w:ascii="Arial" w:cs="Arial" w:eastAsia="Arial" w:hAnsi="Arial"/>
          <w:sz w:val="14"/>
          <w:szCs w:val="14"/>
          <w:b w:val="1"/>
          <w:bCs w:val="1"/>
          <w:color w:val="333740"/>
        </w:rPr>
        <w:t>GPA</w:t>
      </w:r>
      <w:r>
        <w:rPr>
          <w:rFonts w:ascii="Arial" w:cs="Arial" w:eastAsia="Arial" w:hAnsi="Arial"/>
          <w:sz w:val="14"/>
          <w:szCs w:val="14"/>
          <w:color w:val="333740"/>
        </w:rPr>
        <w:t>”) include serving on the board of Cnova N.V., an affiliate of GPA. GPA has a 34% ownership interest in Cnova N.V. and three out of nine directors on Cnova N.V.’s board of directors are appointed by GPA. As such, Mr. Carvalho Filho’s role and time commitment at these two companies differs from serving on two traditional, unrelated publicly-traded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-334010</wp:posOffset>
            </wp:positionV>
            <wp:extent cx="38100" cy="755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100" cy="755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44450</wp:posOffset>
            </wp:positionV>
            <wp:extent cx="38100" cy="755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52" w:lineRule="exact"/>
        <w:rPr>
          <w:sz w:val="20"/>
          <w:szCs w:val="20"/>
          <w:color w:val="auto"/>
        </w:rPr>
      </w:pPr>
    </w:p>
    <w:p>
      <w:pPr>
        <w:ind w:left="324" w:right="120"/>
        <w:spacing w:after="0" w:line="257" w:lineRule="auto"/>
        <w:rPr>
          <w:sz w:val="20"/>
          <w:szCs w:val="20"/>
          <w:color w:val="auto"/>
        </w:rPr>
      </w:pPr>
      <w:r>
        <w:rPr>
          <w:rFonts w:ascii="Arial" w:cs="Arial" w:eastAsia="Arial" w:hAnsi="Arial"/>
          <w:sz w:val="14"/>
          <w:szCs w:val="14"/>
          <w:color w:val="333740"/>
        </w:rPr>
        <w:t>During 2019, Ms. Debon’s duties as Senior Vice President of Suez Group included serving as a director of Suez Group’s subsidiary, Lydec S.A., which is a closely-held corporation of Suez Group. Lydec S.A.’s financials are fully consolidated with those of Suez Group, and as such, Ms. Debon’s role at Lydec S.A. differed from a traditional, publicly-traded company since her directorship was related to her position and responsibilities as Senior Vice President of Suez Group.</w:t>
      </w:r>
    </w:p>
    <w:p>
      <w:pPr>
        <w:spacing w:after="0" w:line="346" w:lineRule="exact"/>
        <w:rPr>
          <w:sz w:val="20"/>
          <w:szCs w:val="20"/>
          <w:color w:val="auto"/>
        </w:rPr>
      </w:pPr>
    </w:p>
    <w:p>
      <w:pPr>
        <w:ind w:left="564" w:hanging="564"/>
        <w:spacing w:after="0"/>
        <w:tabs>
          <w:tab w:leader="none" w:pos="564" w:val="left"/>
        </w:tabs>
        <w:numPr>
          <w:ilvl w:val="0"/>
          <w:numId w:val="51"/>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43" w:name="page44"/>
    <w:bookmarkEnd w:id="43"/>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Shareholder Recommendations for Future Candidates</w:t>
      </w:r>
    </w:p>
    <w:p>
      <w:pPr>
        <w:spacing w:after="0" w:line="86" w:lineRule="exact"/>
        <w:rPr>
          <w:sz w:val="20"/>
          <w:szCs w:val="20"/>
          <w:color w:val="auto"/>
        </w:rPr>
      </w:pPr>
    </w:p>
    <w:p>
      <w:pPr>
        <w:ind w:left="4"/>
        <w:spacing w:after="0" w:line="238" w:lineRule="auto"/>
        <w:rPr>
          <w:sz w:val="20"/>
          <w:szCs w:val="20"/>
          <w:color w:val="auto"/>
        </w:rPr>
      </w:pPr>
      <w:r>
        <w:rPr>
          <w:rFonts w:ascii="Arial" w:cs="Arial" w:eastAsia="Arial" w:hAnsi="Arial"/>
          <w:sz w:val="19"/>
          <w:szCs w:val="19"/>
          <w:color w:val="333740"/>
        </w:rPr>
        <w:t xml:space="preserve">Shareholders may submit recommendations for future candidates for election to the Board for consideration by the Nominating and Corporate Governance Committee by writing to us at One St. Paul’s Churchyard, London EC4M 8AP, United Kingdom, Attention: Corporate Secretary. We may move our principal headquarters after our spin-off transaction is completed. If and when this happens, please visit our website at </w:t>
      </w:r>
      <w:r>
        <w:rPr>
          <w:rFonts w:ascii="Arial" w:cs="Arial" w:eastAsia="Arial" w:hAnsi="Arial"/>
          <w:sz w:val="19"/>
          <w:szCs w:val="19"/>
          <w:b w:val="1"/>
          <w:bCs w:val="1"/>
          <w:i w:val="1"/>
          <w:iCs w:val="1"/>
          <w:color w:val="481F6E"/>
        </w:rPr>
        <w:t>www.TechnipFMC.com</w:t>
      </w:r>
      <w:r>
        <w:rPr>
          <w:rFonts w:ascii="Arial" w:cs="Arial" w:eastAsia="Arial" w:hAnsi="Arial"/>
          <w:sz w:val="19"/>
          <w:szCs w:val="19"/>
          <w:color w:val="333740"/>
        </w:rPr>
        <w:t xml:space="preserve"> for our new address. All recommendations from shareholders will be reviewed by the Nominating and Corporate Governance Committee. The Nominating and Corporate Governance Committee evaluates nominees recommended by shareholders in the same manner in which it evaluates other nominees. Please see “</w:t>
      </w:r>
      <w:r>
        <w:rPr>
          <w:rFonts w:ascii="Arial" w:cs="Arial" w:eastAsia="Arial" w:hAnsi="Arial"/>
          <w:sz w:val="19"/>
          <w:szCs w:val="19"/>
          <w:i w:val="1"/>
          <w:iCs w:val="1"/>
          <w:color w:val="333740"/>
        </w:rPr>
        <w:t>Criteria for Board Membership in Governance Guidelines</w:t>
      </w:r>
      <w:r>
        <w:rPr>
          <w:rFonts w:ascii="Arial" w:cs="Arial" w:eastAsia="Arial" w:hAnsi="Arial"/>
          <w:sz w:val="19"/>
          <w:szCs w:val="19"/>
          <w:color w:val="333740"/>
        </w:rPr>
        <w:t>” above.</w:t>
      </w:r>
    </w:p>
    <w:p>
      <w:pPr>
        <w:spacing w:after="0" w:line="357" w:lineRule="exact"/>
        <w:rPr>
          <w:sz w:val="20"/>
          <w:szCs w:val="20"/>
          <w:color w:val="auto"/>
        </w:rPr>
      </w:pPr>
    </w:p>
    <w:p>
      <w:pPr>
        <w:ind w:left="564" w:hanging="564"/>
        <w:spacing w:after="0"/>
        <w:tabs>
          <w:tab w:leader="none" w:pos="564" w:val="left"/>
        </w:tabs>
        <w:numPr>
          <w:ilvl w:val="0"/>
          <w:numId w:val="52"/>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4"/>
          </w:cols>
          <w:pgMar w:left="316" w:top="128" w:right="379" w:bottom="1440" w:gutter="0" w:footer="0" w:header="0"/>
        </w:sectPr>
      </w:pPr>
    </w:p>
    <w:bookmarkStart w:id="44" w:name="page45"/>
    <w:bookmarkEnd w:id="44"/>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3"/>
          <w:szCs w:val="33"/>
          <w:color w:val="481F6E"/>
        </w:rPr>
        <w:t>Enterprise Risk Management</w:t>
      </w:r>
    </w:p>
    <w:p>
      <w:pPr>
        <w:spacing w:after="0" w:line="25" w:lineRule="exact"/>
        <w:rPr>
          <w:sz w:val="20"/>
          <w:szCs w:val="20"/>
          <w:color w:val="auto"/>
        </w:rPr>
      </w:pPr>
    </w:p>
    <w:p>
      <w:pPr>
        <w:ind w:left="4"/>
        <w:spacing w:after="0" w:line="237" w:lineRule="auto"/>
        <w:rPr>
          <w:sz w:val="20"/>
          <w:szCs w:val="20"/>
          <w:color w:val="auto"/>
        </w:rPr>
      </w:pPr>
      <w:r>
        <w:rPr>
          <w:rFonts w:ascii="Arial" w:cs="Arial" w:eastAsia="Arial" w:hAnsi="Arial"/>
          <w:sz w:val="19"/>
          <w:szCs w:val="19"/>
          <w:color w:val="333740"/>
        </w:rPr>
        <w:t>Executive management is responsible for the day-to-day management of the risks the Company faces, while our Board, as a whole and through its various committees, has responsibility for the oversight of risk management for the Company. The Company has an Enterprise Risk Management (“</w:t>
      </w:r>
      <w:r>
        <w:rPr>
          <w:rFonts w:ascii="Arial" w:cs="Arial" w:eastAsia="Arial" w:hAnsi="Arial"/>
          <w:sz w:val="19"/>
          <w:szCs w:val="19"/>
          <w:b w:val="1"/>
          <w:bCs w:val="1"/>
          <w:color w:val="333740"/>
        </w:rPr>
        <w:t>ERM</w:t>
      </w:r>
      <w:r>
        <w:rPr>
          <w:rFonts w:ascii="Arial" w:cs="Arial" w:eastAsia="Arial" w:hAnsi="Arial"/>
          <w:sz w:val="19"/>
          <w:szCs w:val="19"/>
          <w:color w:val="333740"/>
        </w:rPr>
        <w:t>”) process and framework to identify and evaluate varying levels of risk and their potential impact on the Company, as well as steps to further mitigate those risks. As part of the ERM framework, our senior management, led by our CEO, undertakes a process that identifies, categorizes, and analyzes the relative severity and likelihood of the various risks to which the Company is or may be subject. In addition, our Board and its committees receive periodic reports from senior management that identify and assess significant enterprise- related risks and address mitigation strategies and plans implemented or proposed for each key risk. In 2019, the Company retained external consultants to review our ERM program and benchmark our risk identification and mitigation processes against best practices within the industry.</w:t>
      </w:r>
    </w:p>
    <w:p>
      <w:pPr>
        <w:spacing w:after="0" w:line="90" w:lineRule="exact"/>
        <w:rPr>
          <w:sz w:val="20"/>
          <w:szCs w:val="20"/>
          <w:color w:val="auto"/>
        </w:rPr>
      </w:pPr>
    </w:p>
    <w:p>
      <w:pPr>
        <w:ind w:left="4" w:right="20"/>
        <w:spacing w:after="0" w:line="247" w:lineRule="auto"/>
        <w:rPr>
          <w:sz w:val="20"/>
          <w:szCs w:val="20"/>
          <w:color w:val="auto"/>
        </w:rPr>
      </w:pPr>
      <w:r>
        <w:rPr>
          <w:rFonts w:ascii="Arial" w:cs="Arial" w:eastAsia="Arial" w:hAnsi="Arial"/>
          <w:sz w:val="19"/>
          <w:szCs w:val="19"/>
          <w:color w:val="333740"/>
        </w:rPr>
        <w:t>In addition, while the Board has ultimate responsibility for overall risk management oversight, it has designated each of its four Board committees with oversight of certain risks within their own areas of responsibility, as indicated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148195" cy="17830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8195" cy="178308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p>
      <w:pPr>
        <w:spacing w:after="0" w:line="364" w:lineRule="exact"/>
        <w:rPr>
          <w:sz w:val="20"/>
          <w:szCs w:val="20"/>
          <w:color w:val="auto"/>
        </w:rPr>
      </w:pPr>
    </w:p>
    <w:p>
      <w:pPr>
        <w:ind w:left="124"/>
        <w:spacing w:after="0"/>
        <w:rPr>
          <w:sz w:val="20"/>
          <w:szCs w:val="20"/>
          <w:color w:val="auto"/>
        </w:rPr>
      </w:pPr>
      <w:r>
        <w:rPr>
          <w:rFonts w:ascii="Arial" w:cs="Arial" w:eastAsia="Arial" w:hAnsi="Arial"/>
          <w:sz w:val="14"/>
          <w:szCs w:val="14"/>
          <w:b w:val="1"/>
          <w:bCs w:val="1"/>
          <w:color w:val="FFFFFF"/>
        </w:rPr>
        <w:t>Audit</w:t>
      </w:r>
    </w:p>
    <w:p>
      <w:pPr>
        <w:spacing w:after="0" w:line="287" w:lineRule="exact"/>
        <w:rPr>
          <w:sz w:val="20"/>
          <w:szCs w:val="20"/>
          <w:color w:val="auto"/>
        </w:rPr>
      </w:pPr>
    </w:p>
    <w:p>
      <w:pPr>
        <w:ind w:left="264"/>
        <w:spacing w:after="0"/>
        <w:rPr>
          <w:sz w:val="20"/>
          <w:szCs w:val="20"/>
          <w:color w:val="auto"/>
        </w:rPr>
      </w:pPr>
      <w:r>
        <w:rPr>
          <w:rFonts w:ascii="Arial" w:cs="Arial" w:eastAsia="Arial" w:hAnsi="Arial"/>
          <w:sz w:val="14"/>
          <w:szCs w:val="14"/>
          <w:color w:val="333740"/>
        </w:rPr>
        <w:t>Financial reporting</w:t>
      </w:r>
    </w:p>
    <w:p>
      <w:pPr>
        <w:spacing w:after="0" w:line="78" w:lineRule="exact"/>
        <w:rPr>
          <w:sz w:val="20"/>
          <w:szCs w:val="20"/>
          <w:color w:val="auto"/>
        </w:rPr>
      </w:pPr>
    </w:p>
    <w:p>
      <w:pPr>
        <w:ind w:left="264"/>
        <w:spacing w:after="0"/>
        <w:rPr>
          <w:sz w:val="20"/>
          <w:szCs w:val="20"/>
          <w:color w:val="auto"/>
        </w:rPr>
      </w:pPr>
      <w:r>
        <w:rPr>
          <w:rFonts w:ascii="Arial" w:cs="Arial" w:eastAsia="Arial" w:hAnsi="Arial"/>
          <w:sz w:val="14"/>
          <w:szCs w:val="14"/>
          <w:color w:val="333740"/>
        </w:rPr>
        <w:t>Liquidity</w:t>
      </w:r>
    </w:p>
    <w:p>
      <w:pPr>
        <w:spacing w:after="0" w:line="66" w:lineRule="exact"/>
        <w:rPr>
          <w:sz w:val="20"/>
          <w:szCs w:val="20"/>
          <w:color w:val="auto"/>
        </w:rPr>
      </w:pPr>
    </w:p>
    <w:p>
      <w:pPr>
        <w:ind w:left="264"/>
        <w:spacing w:after="0"/>
        <w:rPr>
          <w:sz w:val="20"/>
          <w:szCs w:val="20"/>
          <w:color w:val="auto"/>
        </w:rPr>
      </w:pPr>
      <w:r>
        <w:rPr>
          <w:rFonts w:ascii="Arial" w:cs="Arial" w:eastAsia="Arial" w:hAnsi="Arial"/>
          <w:sz w:val="14"/>
          <w:szCs w:val="14"/>
          <w:color w:val="333740"/>
        </w:rPr>
        <w:t>Contract management</w:t>
      </w:r>
    </w:p>
    <w:p>
      <w:pPr>
        <w:spacing w:after="0" w:line="78" w:lineRule="exact"/>
        <w:rPr>
          <w:sz w:val="20"/>
          <w:szCs w:val="20"/>
          <w:color w:val="auto"/>
        </w:rPr>
      </w:pPr>
    </w:p>
    <w:p>
      <w:pPr>
        <w:ind w:left="264"/>
        <w:spacing w:after="0"/>
        <w:rPr>
          <w:sz w:val="20"/>
          <w:szCs w:val="20"/>
          <w:color w:val="auto"/>
        </w:rPr>
      </w:pPr>
      <w:r>
        <w:rPr>
          <w:rFonts w:ascii="Arial" w:cs="Arial" w:eastAsia="Arial" w:hAnsi="Arial"/>
          <w:sz w:val="14"/>
          <w:szCs w:val="14"/>
          <w:color w:val="333740"/>
        </w:rPr>
        <w:t>Cybersecurity</w:t>
      </w:r>
    </w:p>
    <w:p>
      <w:pPr>
        <w:spacing w:after="0" w:line="102" w:lineRule="exact"/>
        <w:rPr>
          <w:sz w:val="20"/>
          <w:szCs w:val="20"/>
          <w:color w:val="auto"/>
        </w:rPr>
      </w:pPr>
    </w:p>
    <w:p>
      <w:pPr>
        <w:ind w:left="264" w:hanging="142"/>
        <w:spacing w:after="0"/>
        <w:rPr>
          <w:sz w:val="20"/>
          <w:szCs w:val="20"/>
          <w:color w:val="auto"/>
        </w:rPr>
      </w:pPr>
      <w:r>
        <w:rPr>
          <w:sz w:val="1"/>
          <w:szCs w:val="1"/>
          <w:color w:val="auto"/>
        </w:rPr>
        <w:drawing>
          <wp:inline distT="0" distB="0" distL="0" distR="0">
            <wp:extent cx="45720" cy="7556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Legal and regulatory compliance related to financial statements and disclosures</w:t>
      </w:r>
    </w:p>
    <w:p>
      <w:pPr>
        <w:spacing w:after="0" w:line="55" w:lineRule="exact"/>
        <w:rPr>
          <w:sz w:val="20"/>
          <w:szCs w:val="20"/>
          <w:color w:val="auto"/>
        </w:rPr>
      </w:pPr>
    </w:p>
    <w:p>
      <w:pPr>
        <w:jc w:val="both"/>
        <w:ind w:left="264" w:right="440" w:hanging="142"/>
        <w:spacing w:after="0"/>
        <w:rPr>
          <w:sz w:val="20"/>
          <w:szCs w:val="20"/>
          <w:color w:val="auto"/>
        </w:rPr>
      </w:pPr>
      <w:r>
        <w:rPr>
          <w:sz w:val="1"/>
          <w:szCs w:val="1"/>
          <w:color w:val="auto"/>
        </w:rPr>
        <w:drawing>
          <wp:inline distT="0" distB="0" distL="0" distR="0">
            <wp:extent cx="45720" cy="7556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Information-related risks, such as cybersecurity, taxes, and foreign exchange</w:t>
      </w:r>
    </w:p>
    <w:p>
      <w:pPr>
        <w:spacing w:after="0" w:line="43" w:lineRule="exact"/>
        <w:rPr>
          <w:sz w:val="20"/>
          <w:szCs w:val="20"/>
          <w:color w:val="auto"/>
        </w:rPr>
      </w:pPr>
    </w:p>
    <w:p>
      <w:pPr>
        <w:ind w:left="264"/>
        <w:spacing w:after="0"/>
        <w:rPr>
          <w:sz w:val="20"/>
          <w:szCs w:val="20"/>
          <w:color w:val="auto"/>
        </w:rPr>
      </w:pPr>
      <w:r>
        <w:rPr>
          <w:rFonts w:ascii="Arial" w:cs="Arial" w:eastAsia="Arial" w:hAnsi="Arial"/>
          <w:sz w:val="14"/>
          <w:szCs w:val="14"/>
          <w:color w:val="333740"/>
        </w:rPr>
        <w:t>Insurance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Compensation</w:t>
      </w:r>
    </w:p>
    <w:p>
      <w:pPr>
        <w:spacing w:after="0" w:line="287" w:lineRule="exact"/>
        <w:rPr>
          <w:sz w:val="20"/>
          <w:szCs w:val="20"/>
          <w:color w:val="auto"/>
        </w:rPr>
      </w:pPr>
    </w:p>
    <w:p>
      <w:pPr>
        <w:jc w:val="both"/>
        <w:ind w:left="140" w:hanging="142"/>
        <w:spacing w:after="0"/>
        <w:rPr>
          <w:sz w:val="20"/>
          <w:szCs w:val="20"/>
          <w:color w:val="auto"/>
        </w:rPr>
      </w:pPr>
      <w:r>
        <w:rPr>
          <w:sz w:val="1"/>
          <w:szCs w:val="1"/>
          <w:color w:val="auto"/>
        </w:rPr>
        <w:drawing>
          <wp:inline distT="0" distB="0" distL="0" distR="0">
            <wp:extent cx="45720" cy="7556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Compensation policies and practices (including employee benefit plans and administration of equity plans)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right="740"/>
        <w:spacing w:after="0" w:line="292" w:lineRule="auto"/>
        <w:rPr>
          <w:sz w:val="20"/>
          <w:szCs w:val="20"/>
          <w:color w:val="auto"/>
        </w:rPr>
      </w:pPr>
      <w:r>
        <w:rPr>
          <w:rFonts w:ascii="Arial" w:cs="Arial" w:eastAsia="Arial" w:hAnsi="Arial"/>
          <w:sz w:val="14"/>
          <w:szCs w:val="14"/>
          <w:b w:val="1"/>
          <w:bCs w:val="1"/>
          <w:color w:val="FFFFFF"/>
        </w:rPr>
        <w:t>Nominating and Corporate Governance</w:t>
      </w:r>
    </w:p>
    <w:p>
      <w:pPr>
        <w:spacing w:after="0" w:line="116" w:lineRule="exact"/>
        <w:rPr>
          <w:sz w:val="20"/>
          <w:szCs w:val="20"/>
          <w:color w:val="auto"/>
        </w:rPr>
      </w:pPr>
    </w:p>
    <w:p>
      <w:pPr>
        <w:ind w:left="140" w:right="200" w:hanging="142"/>
        <w:spacing w:after="0"/>
        <w:rPr>
          <w:sz w:val="20"/>
          <w:szCs w:val="20"/>
          <w:color w:val="auto"/>
        </w:rPr>
      </w:pPr>
      <w:r>
        <w:rPr>
          <w:sz w:val="1"/>
          <w:szCs w:val="1"/>
          <w:color w:val="auto"/>
        </w:rPr>
        <w:drawing>
          <wp:inline distT="0" distB="0" distL="0" distR="0">
            <wp:extent cx="45720" cy="7556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Legal and regulatory corporate governance compliance</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Director succession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Crisis management preparedness</w:t>
      </w:r>
    </w:p>
    <w:p>
      <w:pPr>
        <w:spacing w:after="0" w:line="90" w:lineRule="exact"/>
        <w:rPr>
          <w:sz w:val="20"/>
          <w:szCs w:val="20"/>
          <w:color w:val="auto"/>
        </w:rPr>
      </w:pPr>
    </w:p>
    <w:p>
      <w:pPr>
        <w:ind w:left="140" w:right="460" w:hanging="142"/>
        <w:spacing w:after="0"/>
        <w:rPr>
          <w:sz w:val="20"/>
          <w:szCs w:val="20"/>
          <w:color w:val="auto"/>
        </w:rPr>
      </w:pPr>
      <w:r>
        <w:rPr>
          <w:sz w:val="1"/>
          <w:szCs w:val="1"/>
          <w:color w:val="auto"/>
        </w:rPr>
        <w:drawing>
          <wp:inline distT="0" distB="0" distL="0" distR="0">
            <wp:extent cx="45720" cy="7556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Emergency procedures for management succession</w:t>
      </w:r>
    </w:p>
    <w:p>
      <w:pPr>
        <w:spacing w:after="0" w:line="31" w:lineRule="exact"/>
        <w:rPr>
          <w:sz w:val="20"/>
          <w:szCs w:val="20"/>
          <w:color w:val="auto"/>
        </w:rPr>
      </w:pPr>
    </w:p>
    <w:p>
      <w:pPr>
        <w:ind w:left="140" w:right="20" w:hanging="142"/>
        <w:spacing w:after="0"/>
        <w:rPr>
          <w:sz w:val="20"/>
          <w:szCs w:val="20"/>
          <w:color w:val="auto"/>
        </w:rPr>
      </w:pPr>
      <w:r>
        <w:rPr>
          <w:sz w:val="1"/>
          <w:szCs w:val="1"/>
          <w:color w:val="auto"/>
        </w:rPr>
        <w:drawing>
          <wp:inline distT="0" distB="0" distL="0" distR="0">
            <wp:extent cx="45720" cy="7556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Environmental, sustainability, and governance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Strategy</w:t>
      </w:r>
    </w:p>
    <w:p>
      <w:pPr>
        <w:spacing w:after="0" w:line="287" w:lineRule="exact"/>
        <w:rPr>
          <w:sz w:val="20"/>
          <w:szCs w:val="20"/>
          <w:color w:val="auto"/>
        </w:rPr>
      </w:pPr>
    </w:p>
    <w:p>
      <w:pPr>
        <w:ind w:left="140" w:right="100" w:hanging="142"/>
        <w:spacing w:after="0"/>
        <w:rPr>
          <w:sz w:val="20"/>
          <w:szCs w:val="20"/>
          <w:color w:val="auto"/>
        </w:rPr>
      </w:pPr>
      <w:r>
        <w:rPr>
          <w:sz w:val="1"/>
          <w:szCs w:val="1"/>
          <w:color w:val="auto"/>
        </w:rPr>
        <w:drawing>
          <wp:inline distT="0" distB="0" distL="0" distR="0">
            <wp:extent cx="45720" cy="7556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Global strategy related to emerging or evolving competitive activity, governmental or legislative developments, and global economic conditions</w:t>
      </w:r>
    </w:p>
    <w:p>
      <w:pPr>
        <w:spacing w:after="0" w:line="1432" w:lineRule="exact"/>
        <w:rPr>
          <w:sz w:val="20"/>
          <w:szCs w:val="20"/>
          <w:color w:val="auto"/>
        </w:rPr>
      </w:pPr>
    </w:p>
    <w:p>
      <w:pPr>
        <w:sectPr>
          <w:pgSz w:w="11900" w:h="16838" w:orient="portrait"/>
          <w:cols w:equalWidth="0" w:num="4">
            <w:col w:w="2824" w:space="120"/>
            <w:col w:w="2540" w:space="260"/>
            <w:col w:w="2300" w:space="520"/>
            <w:col w:w="2660"/>
          </w:cols>
          <w:pgMar w:left="316" w:top="128" w:right="359" w:bottom="1440" w:gutter="0" w:footer="0" w:header="0"/>
          <w:type w:val="continuous"/>
        </w:sectPr>
      </w:pPr>
    </w:p>
    <w:p>
      <w:pPr>
        <w:spacing w:after="0" w:line="299" w:lineRule="exact"/>
        <w:rPr>
          <w:sz w:val="20"/>
          <w:szCs w:val="20"/>
          <w:color w:val="auto"/>
        </w:rPr>
      </w:pPr>
    </w:p>
    <w:p>
      <w:pPr>
        <w:ind w:left="564" w:hanging="564"/>
        <w:spacing w:after="0"/>
        <w:tabs>
          <w:tab w:leader="none" w:pos="564" w:val="left"/>
        </w:tabs>
        <w:numPr>
          <w:ilvl w:val="0"/>
          <w:numId w:val="53"/>
        </w:numPr>
        <w:rPr>
          <w:rFonts w:ascii="Arial" w:cs="Arial" w:eastAsia="Arial" w:hAnsi="Arial"/>
          <w:sz w:val="12"/>
          <w:szCs w:val="12"/>
          <w:color w:val="auto"/>
        </w:rPr>
      </w:pPr>
      <w:r>
        <w:rPr>
          <w:rFonts w:ascii="Arial" w:cs="Arial" w:eastAsia="Arial" w:hAnsi="Arial"/>
          <w:sz w:val="12"/>
          <w:szCs w:val="12"/>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4819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type w:val="continuous"/>
        </w:sectPr>
      </w:pPr>
    </w:p>
    <w:bookmarkStart w:id="45" w:name="page46"/>
    <w:bookmarkEnd w:id="45"/>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71" w:lineRule="exact"/>
        <w:rPr>
          <w:sz w:val="20"/>
          <w:szCs w:val="20"/>
          <w:color w:val="auto"/>
        </w:rPr>
      </w:pPr>
    </w:p>
    <w:p>
      <w:pPr>
        <w:ind w:left="4"/>
        <w:spacing w:after="0"/>
        <w:rPr>
          <w:sz w:val="20"/>
          <w:szCs w:val="20"/>
          <w:color w:val="auto"/>
        </w:rPr>
      </w:pPr>
      <w:r>
        <w:rPr>
          <w:rFonts w:ascii="Arial" w:cs="Arial" w:eastAsia="Arial" w:hAnsi="Arial"/>
          <w:sz w:val="33"/>
          <w:szCs w:val="33"/>
          <w:color w:val="481F6E"/>
        </w:rPr>
        <w:t>Committees of the Board of Directors</w:t>
      </w:r>
    </w:p>
    <w:p>
      <w:pPr>
        <w:spacing w:after="0" w:line="111" w:lineRule="exact"/>
        <w:rPr>
          <w:sz w:val="20"/>
          <w:szCs w:val="20"/>
          <w:color w:val="auto"/>
        </w:rPr>
      </w:pPr>
    </w:p>
    <w:p>
      <w:pPr>
        <w:ind w:left="4" w:right="640"/>
        <w:spacing w:after="0" w:line="236" w:lineRule="auto"/>
        <w:rPr>
          <w:sz w:val="20"/>
          <w:szCs w:val="20"/>
          <w:color w:val="auto"/>
        </w:rPr>
      </w:pPr>
      <w:r>
        <w:rPr>
          <w:rFonts w:ascii="Arial" w:cs="Arial" w:eastAsia="Arial" w:hAnsi="Arial"/>
          <w:sz w:val="19"/>
          <w:szCs w:val="19"/>
          <w:color w:val="333740"/>
        </w:rPr>
        <w:t>Our Board has an Audit Committee, a Compensation Committee, a Nominating and Corporate Governance Committee, and a Strategy Committee, each of which comprises at least four directors, selected by the Board upon the recommendation of the Nominating and Corporate Governance Committee. Each member of our Audit Committee, Compensation Committee, and Nominating and Corporate Governance Committee meets the heightened independence standards</w:t>
      </w:r>
    </w:p>
    <w:p>
      <w:pPr>
        <w:spacing w:after="0" w:line="1" w:lineRule="exact"/>
        <w:rPr>
          <w:sz w:val="20"/>
          <w:szCs w:val="20"/>
          <w:color w:val="auto"/>
        </w:rPr>
      </w:pPr>
    </w:p>
    <w:p>
      <w:pPr>
        <w:ind w:left="4" w:right="520"/>
        <w:spacing w:after="0" w:line="247" w:lineRule="auto"/>
        <w:rPr>
          <w:sz w:val="20"/>
          <w:szCs w:val="20"/>
          <w:color w:val="auto"/>
        </w:rPr>
      </w:pPr>
      <w:r>
        <w:rPr>
          <w:rFonts w:ascii="Arial" w:cs="Arial" w:eastAsia="Arial" w:hAnsi="Arial"/>
          <w:sz w:val="19"/>
          <w:szCs w:val="19"/>
          <w:color w:val="333740"/>
        </w:rPr>
        <w:t>as defined under the NYSE’s listing standards and SEC rules, as applicable. Additionally, each member of our Audit Committee qualifies as an “audit committee financial expert,” as defined by SEC rules.</w:t>
      </w:r>
    </w:p>
    <w:p>
      <w:pPr>
        <w:spacing w:after="0" w:line="76" w:lineRule="exact"/>
        <w:rPr>
          <w:sz w:val="20"/>
          <w:szCs w:val="20"/>
          <w:color w:val="auto"/>
        </w:rPr>
      </w:pPr>
    </w:p>
    <w:p>
      <w:pPr>
        <w:ind w:left="4" w:right="40"/>
        <w:spacing w:after="0" w:line="242" w:lineRule="auto"/>
        <w:rPr>
          <w:sz w:val="20"/>
          <w:szCs w:val="20"/>
          <w:color w:val="auto"/>
        </w:rPr>
      </w:pPr>
      <w:r>
        <w:rPr>
          <w:rFonts w:ascii="Arial" w:cs="Arial" w:eastAsia="Arial" w:hAnsi="Arial"/>
          <w:sz w:val="19"/>
          <w:szCs w:val="19"/>
          <w:color w:val="333740"/>
        </w:rPr>
        <w:t>Following our announced spin-off transaction, TechnipFMC and Technip Energies will each have an Environmental, Sustainability, and Governance Committee to better reflect our focus on these critical areas. For TechnipFMC, this committee will replace its current Nominating and Corporate Governance Committee.</w:t>
      </w:r>
    </w:p>
    <w:p>
      <w:pPr>
        <w:spacing w:after="0" w:line="80" w:lineRule="exact"/>
        <w:rPr>
          <w:sz w:val="20"/>
          <w:szCs w:val="20"/>
          <w:color w:val="auto"/>
        </w:rPr>
      </w:pPr>
    </w:p>
    <w:p>
      <w:pPr>
        <w:ind w:left="4" w:right="160"/>
        <w:spacing w:after="0" w:line="239" w:lineRule="auto"/>
        <w:rPr>
          <w:sz w:val="20"/>
          <w:szCs w:val="20"/>
          <w:color w:val="auto"/>
        </w:rPr>
      </w:pPr>
      <w:r>
        <w:rPr>
          <w:rFonts w:ascii="Arial" w:cs="Arial" w:eastAsia="Arial" w:hAnsi="Arial"/>
          <w:sz w:val="19"/>
          <w:szCs w:val="19"/>
          <w:color w:val="333740"/>
        </w:rPr>
        <w:t xml:space="preserve">The Board receives regular updates from its committees on individual categories of risk, including strategy, financial/ operations, cybersecurity, people, technology, investment, legal/compliance, political/legislative/regulatory, and corporate responsibility and sustainability. Each of these committees operates pursuant to a written charter setting out the functions and responsibilities of the committee, which is reviewed annually, and may be viewed on our website at </w:t>
      </w:r>
      <w:r>
        <w:rPr>
          <w:rFonts w:ascii="Arial" w:cs="Arial" w:eastAsia="Arial" w:hAnsi="Arial"/>
          <w:sz w:val="19"/>
          <w:szCs w:val="19"/>
          <w:b w:val="1"/>
          <w:bCs w:val="1"/>
          <w:i w:val="1"/>
          <w:iCs w:val="1"/>
          <w:color w:val="333740"/>
        </w:rPr>
        <w:t>www.TechnipFMC.com</w:t>
      </w:r>
      <w:r>
        <w:rPr>
          <w:rFonts w:ascii="Arial" w:cs="Arial" w:eastAsia="Arial" w:hAnsi="Arial"/>
          <w:sz w:val="19"/>
          <w:szCs w:val="19"/>
          <w:color w:val="333740"/>
        </w:rPr>
        <w:t xml:space="preserve"> under the heading “</w:t>
      </w:r>
      <w:r>
        <w:rPr>
          <w:rFonts w:ascii="Arial" w:cs="Arial" w:eastAsia="Arial" w:hAnsi="Arial"/>
          <w:sz w:val="19"/>
          <w:szCs w:val="19"/>
          <w:i w:val="1"/>
          <w:iCs w:val="1"/>
          <w:color w:val="333740"/>
        </w:rPr>
        <w:t>About us</w:t>
      </w:r>
      <w:r>
        <w:rPr>
          <w:rFonts w:ascii="Arial" w:cs="Arial" w:eastAsia="Arial" w:hAnsi="Arial"/>
          <w:sz w:val="19"/>
          <w:szCs w:val="19"/>
          <w:color w:val="333740"/>
        </w:rPr>
        <w:t xml:space="preserve"> </w:t>
      </w:r>
      <w:r>
        <w:rPr>
          <w:rFonts w:ascii="Arial" w:cs="Arial" w:eastAsia="Arial" w:hAnsi="Arial"/>
          <w:sz w:val="19"/>
          <w:szCs w:val="19"/>
          <w:i w:val="1"/>
          <w:iCs w:val="1"/>
          <w:color w:val="333740"/>
        </w:rPr>
        <w:t>&gt; Governance</w:t>
      </w:r>
      <w:r>
        <w:rPr>
          <w:rFonts w:ascii="Arial" w:cs="Arial" w:eastAsia="Arial" w:hAnsi="Arial"/>
          <w:sz w:val="19"/>
          <w:szCs w:val="19"/>
          <w:color w:val="333740"/>
        </w:rPr>
        <w:t>.”</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48195" cy="2273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8195" cy="227330"/>
                    </a:xfrm>
                    <a:prstGeom prst="rect">
                      <a:avLst/>
                    </a:prstGeom>
                    <a:noFill/>
                  </pic:spPr>
                </pic:pic>
              </a:graphicData>
            </a:graphic>
          </wp:anchor>
        </w:drawing>
      </w:r>
    </w:p>
    <w:p>
      <w:pPr>
        <w:spacing w:after="0" w:line="227" w:lineRule="exact"/>
        <w:rPr>
          <w:sz w:val="20"/>
          <w:szCs w:val="20"/>
          <w:color w:val="auto"/>
        </w:rPr>
      </w:pPr>
    </w:p>
    <w:p>
      <w:pPr>
        <w:ind w:left="124"/>
        <w:spacing w:after="0"/>
        <w:rPr>
          <w:sz w:val="20"/>
          <w:szCs w:val="20"/>
          <w:color w:val="auto"/>
        </w:rPr>
      </w:pPr>
      <w:r>
        <w:rPr>
          <w:rFonts w:ascii="Arial" w:cs="Arial" w:eastAsia="Arial" w:hAnsi="Arial"/>
          <w:sz w:val="14"/>
          <w:szCs w:val="14"/>
          <w:b w:val="1"/>
          <w:bCs w:val="1"/>
          <w:color w:val="FFFFFF"/>
        </w:rPr>
        <w:t>2019 Meetings: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1510030</wp:posOffset>
            </wp:positionH>
            <wp:positionV relativeFrom="paragraph">
              <wp:posOffset>74930</wp:posOffset>
            </wp:positionV>
            <wp:extent cx="7620" cy="2033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20" cy="2033905"/>
                    </a:xfrm>
                    <a:prstGeom prst="rect">
                      <a:avLst/>
                    </a:prstGeom>
                    <a:noFill/>
                  </pic:spPr>
                </pic:pic>
              </a:graphicData>
            </a:graphic>
          </wp:anchor>
        </w:drawing>
      </w:r>
    </w:p>
    <w:p>
      <w:pPr>
        <w:spacing w:after="0" w:line="98" w:lineRule="exact"/>
        <w:rPr>
          <w:sz w:val="20"/>
          <w:szCs w:val="20"/>
          <w:color w:val="auto"/>
        </w:rPr>
      </w:pPr>
    </w:p>
    <w:tbl>
      <w:tblPr>
        <w:tblLayout w:type="fixed"/>
        <w:tblInd w:w="4" w:type="dxa"/>
        <w:tblCellMar>
          <w:top w:w="0" w:type="dxa"/>
          <w:left w:w="0" w:type="dxa"/>
          <w:bottom w:w="0" w:type="dxa"/>
          <w:right w:w="0" w:type="dxa"/>
        </w:tblCellMar>
      </w:tblPr>
      <w:tr>
        <w:trPr>
          <w:trHeight w:val="269"/>
        </w:trPr>
        <w:tc>
          <w:tcPr>
            <w:tcW w:w="1940" w:type="dxa"/>
            <w:vAlign w:val="bottom"/>
            <w:shd w:val="clear" w:color="auto" w:fill="481F6E"/>
          </w:tcPr>
          <w:p>
            <w:pPr>
              <w:ind w:left="120"/>
              <w:spacing w:after="0"/>
              <w:rPr>
                <w:sz w:val="20"/>
                <w:szCs w:val="20"/>
                <w:color w:val="auto"/>
              </w:rPr>
            </w:pPr>
            <w:r>
              <w:rPr>
                <w:rFonts w:ascii="Arial" w:cs="Arial" w:eastAsia="Arial" w:hAnsi="Arial"/>
                <w:sz w:val="14"/>
                <w:szCs w:val="14"/>
                <w:b w:val="1"/>
                <w:bCs w:val="1"/>
                <w:color w:val="FFFFFF"/>
              </w:rPr>
              <w:t>Members</w:t>
            </w:r>
          </w:p>
        </w:tc>
        <w:tc>
          <w:tcPr>
            <w:tcW w:w="9320" w:type="dxa"/>
            <w:vAlign w:val="bottom"/>
            <w:shd w:val="clear" w:color="auto" w:fill="481F6E"/>
          </w:tcPr>
          <w:p>
            <w:pPr>
              <w:ind w:left="540"/>
              <w:spacing w:after="0"/>
              <w:rPr>
                <w:sz w:val="20"/>
                <w:szCs w:val="20"/>
                <w:color w:val="auto"/>
              </w:rPr>
            </w:pPr>
            <w:r>
              <w:rPr>
                <w:rFonts w:ascii="Arial" w:cs="Arial" w:eastAsia="Arial" w:hAnsi="Arial"/>
                <w:sz w:val="14"/>
                <w:szCs w:val="14"/>
                <w:b w:val="1"/>
                <w:bCs w:val="1"/>
                <w:color w:val="FFFFFF"/>
              </w:rPr>
              <w:t>Primary Responsibilities</w:t>
            </w:r>
          </w:p>
        </w:tc>
        <w:tc>
          <w:tcPr>
            <w:tcW w:w="0" w:type="dxa"/>
            <w:vAlign w:val="bottom"/>
          </w:tcPr>
          <w:p>
            <w:pPr>
              <w:spacing w:after="0"/>
              <w:rPr>
                <w:sz w:val="1"/>
                <w:szCs w:val="1"/>
                <w:color w:val="auto"/>
              </w:rPr>
            </w:pPr>
          </w:p>
        </w:tc>
      </w:tr>
      <w:tr>
        <w:trPr>
          <w:trHeight w:val="89"/>
        </w:trPr>
        <w:tc>
          <w:tcPr>
            <w:tcW w:w="1940" w:type="dxa"/>
            <w:vAlign w:val="bottom"/>
            <w:shd w:val="clear" w:color="auto" w:fill="481F6E"/>
          </w:tcPr>
          <w:p>
            <w:pPr>
              <w:spacing w:after="0"/>
              <w:rPr>
                <w:sz w:val="7"/>
                <w:szCs w:val="7"/>
                <w:color w:val="auto"/>
              </w:rPr>
            </w:pPr>
          </w:p>
        </w:tc>
        <w:tc>
          <w:tcPr>
            <w:tcW w:w="9320" w:type="dxa"/>
            <w:vAlign w:val="bottom"/>
            <w:shd w:val="clear" w:color="auto" w:fill="481F6E"/>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194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Marie-Ange Debon</w:t>
            </w:r>
          </w:p>
        </w:tc>
        <w:tc>
          <w:tcPr>
            <w:tcW w:w="9320" w:type="dxa"/>
            <w:vAlign w:val="bottom"/>
            <w:shd w:val="clear" w:color="auto" w:fill="D7D8D6"/>
          </w:tcPr>
          <w:p>
            <w:pPr>
              <w:ind w:left="700"/>
              <w:spacing w:after="0"/>
              <w:rPr>
                <w:sz w:val="20"/>
                <w:szCs w:val="20"/>
                <w:color w:val="auto"/>
              </w:rPr>
            </w:pPr>
            <w:r>
              <w:rPr>
                <w:rFonts w:ascii="Arial" w:cs="Arial" w:eastAsia="Arial" w:hAnsi="Arial"/>
                <w:sz w:val="14"/>
                <w:szCs w:val="14"/>
                <w:color w:val="333740"/>
              </w:rPr>
              <w:t>Oversight of the financial management and control of the Company, as well as oversight of the Company’s independent registered</w:t>
            </w:r>
          </w:p>
        </w:tc>
        <w:tc>
          <w:tcPr>
            <w:tcW w:w="0" w:type="dxa"/>
            <w:vAlign w:val="bottom"/>
          </w:tcPr>
          <w:p>
            <w:pPr>
              <w:spacing w:after="0"/>
              <w:rPr>
                <w:sz w:val="1"/>
                <w:szCs w:val="1"/>
                <w:color w:val="auto"/>
              </w:rPr>
            </w:pPr>
          </w:p>
        </w:tc>
      </w:tr>
      <w:tr>
        <w:trPr>
          <w:trHeight w:val="172"/>
        </w:trPr>
        <w:tc>
          <w:tcPr>
            <w:tcW w:w="194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(Chair)</w:t>
            </w:r>
          </w:p>
        </w:tc>
        <w:tc>
          <w:tcPr>
            <w:tcW w:w="9320" w:type="dxa"/>
            <w:vAlign w:val="bottom"/>
            <w:shd w:val="clear" w:color="auto" w:fill="D7D8D6"/>
          </w:tcPr>
          <w:p>
            <w:pPr>
              <w:ind w:left="680"/>
              <w:spacing w:after="0"/>
              <w:rPr>
                <w:sz w:val="20"/>
                <w:szCs w:val="20"/>
                <w:color w:val="auto"/>
              </w:rPr>
            </w:pPr>
            <w:r>
              <w:rPr>
                <w:rFonts w:ascii="Arial" w:cs="Arial" w:eastAsia="Arial" w:hAnsi="Arial"/>
                <w:sz w:val="14"/>
                <w:szCs w:val="14"/>
                <w:color w:val="333740"/>
              </w:rPr>
              <w:t>public accounting firm</w:t>
            </w:r>
          </w:p>
        </w:tc>
        <w:tc>
          <w:tcPr>
            <w:tcW w:w="0" w:type="dxa"/>
            <w:vAlign w:val="bottom"/>
          </w:tcPr>
          <w:p>
            <w:pPr>
              <w:spacing w:after="0"/>
              <w:rPr>
                <w:sz w:val="1"/>
                <w:szCs w:val="1"/>
                <w:color w:val="auto"/>
              </w:rPr>
            </w:pPr>
          </w:p>
        </w:tc>
      </w:tr>
      <w:tr>
        <w:trPr>
          <w:trHeight w:val="235"/>
        </w:trPr>
        <w:tc>
          <w:tcPr>
            <w:tcW w:w="194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Eleazar de Carvalho</w:t>
            </w:r>
          </w:p>
        </w:tc>
        <w:tc>
          <w:tcPr>
            <w:tcW w:w="9320" w:type="dxa"/>
            <w:vAlign w:val="bottom"/>
            <w:shd w:val="clear" w:color="auto" w:fill="D7D8D6"/>
          </w:tcPr>
          <w:p>
            <w:pPr>
              <w:ind w:left="700"/>
              <w:spacing w:after="0"/>
              <w:rPr>
                <w:sz w:val="20"/>
                <w:szCs w:val="20"/>
                <w:color w:val="auto"/>
              </w:rPr>
            </w:pPr>
            <w:r>
              <w:rPr>
                <w:rFonts w:ascii="Arial" w:cs="Arial" w:eastAsia="Arial" w:hAnsi="Arial"/>
                <w:sz w:val="14"/>
                <w:szCs w:val="14"/>
                <w:color w:val="333740"/>
              </w:rPr>
              <w:t>Monitoring the Company’s financial reporting process</w:t>
            </w:r>
          </w:p>
        </w:tc>
        <w:tc>
          <w:tcPr>
            <w:tcW w:w="0" w:type="dxa"/>
            <w:vAlign w:val="bottom"/>
          </w:tcPr>
          <w:p>
            <w:pPr>
              <w:spacing w:after="0"/>
              <w:rPr>
                <w:sz w:val="1"/>
                <w:szCs w:val="1"/>
                <w:color w:val="auto"/>
              </w:rPr>
            </w:pPr>
          </w:p>
        </w:tc>
      </w:tr>
      <w:tr>
        <w:trPr>
          <w:trHeight w:val="172"/>
        </w:trPr>
        <w:tc>
          <w:tcPr>
            <w:tcW w:w="194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Filho</w:t>
            </w:r>
          </w:p>
        </w:tc>
        <w:tc>
          <w:tcPr>
            <w:tcW w:w="9320" w:type="dxa"/>
            <w:vAlign w:val="bottom"/>
            <w:vMerge w:val="restart"/>
            <w:shd w:val="clear" w:color="auto" w:fill="D7D8D6"/>
          </w:tcPr>
          <w:p>
            <w:pPr>
              <w:ind w:left="700"/>
              <w:spacing w:after="0"/>
              <w:rPr>
                <w:sz w:val="20"/>
                <w:szCs w:val="20"/>
                <w:color w:val="auto"/>
              </w:rPr>
            </w:pPr>
            <w:r>
              <w:rPr>
                <w:rFonts w:ascii="Arial" w:cs="Arial" w:eastAsia="Arial" w:hAnsi="Arial"/>
                <w:sz w:val="14"/>
                <w:szCs w:val="14"/>
                <w:color w:val="333740"/>
              </w:rPr>
              <w:t>Reviewing the Company’s consolidated financial statements and internal controls with management and the independent auditor</w:t>
            </w:r>
          </w:p>
        </w:tc>
        <w:tc>
          <w:tcPr>
            <w:tcW w:w="0" w:type="dxa"/>
            <w:vAlign w:val="bottom"/>
          </w:tcPr>
          <w:p>
            <w:pPr>
              <w:spacing w:after="0"/>
              <w:rPr>
                <w:sz w:val="1"/>
                <w:szCs w:val="1"/>
                <w:color w:val="auto"/>
              </w:rPr>
            </w:pPr>
          </w:p>
        </w:tc>
      </w:tr>
      <w:tr>
        <w:trPr>
          <w:trHeight w:val="60"/>
        </w:trPr>
        <w:tc>
          <w:tcPr>
            <w:tcW w:w="1940" w:type="dxa"/>
            <w:vAlign w:val="bottom"/>
            <w:vMerge w:val="restart"/>
            <w:shd w:val="clear" w:color="auto" w:fill="D7D8D6"/>
          </w:tcPr>
          <w:p>
            <w:pPr>
              <w:ind w:left="120"/>
              <w:spacing w:after="0"/>
              <w:rPr>
                <w:sz w:val="20"/>
                <w:szCs w:val="20"/>
                <w:color w:val="auto"/>
              </w:rPr>
            </w:pPr>
            <w:r>
              <w:rPr>
                <w:rFonts w:ascii="Arial" w:cs="Arial" w:eastAsia="Arial" w:hAnsi="Arial"/>
                <w:sz w:val="14"/>
                <w:szCs w:val="14"/>
                <w:color w:val="333740"/>
              </w:rPr>
              <w:t>Arnaud Caudoux</w:t>
            </w:r>
          </w:p>
        </w:tc>
        <w:tc>
          <w:tcPr>
            <w:tcW w:w="9320" w:type="dxa"/>
            <w:vAlign w:val="bottom"/>
            <w:vMerge w:val="continue"/>
            <w:shd w:val="clear" w:color="auto" w:fill="D7D8D6"/>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940" w:type="dxa"/>
            <w:vAlign w:val="bottom"/>
            <w:vMerge w:val="continue"/>
            <w:shd w:val="clear" w:color="auto" w:fill="D7D8D6"/>
          </w:tcPr>
          <w:p>
            <w:pPr>
              <w:spacing w:after="0"/>
              <w:rPr>
                <w:sz w:val="14"/>
                <w:szCs w:val="14"/>
                <w:color w:val="auto"/>
              </w:rPr>
            </w:pPr>
          </w:p>
        </w:tc>
        <w:tc>
          <w:tcPr>
            <w:tcW w:w="9320" w:type="dxa"/>
            <w:vAlign w:val="bottom"/>
            <w:vMerge w:val="restart"/>
            <w:shd w:val="clear" w:color="auto" w:fill="D7D8D6"/>
          </w:tcPr>
          <w:p>
            <w:pPr>
              <w:ind w:left="700"/>
              <w:spacing w:after="0"/>
              <w:rPr>
                <w:sz w:val="20"/>
                <w:szCs w:val="20"/>
                <w:color w:val="auto"/>
              </w:rPr>
            </w:pPr>
            <w:r>
              <w:rPr>
                <w:rFonts w:ascii="Arial" w:cs="Arial" w:eastAsia="Arial" w:hAnsi="Arial"/>
                <w:sz w:val="14"/>
                <w:szCs w:val="14"/>
                <w:color w:val="333740"/>
              </w:rPr>
              <w:t>Monitoring the Company’s compliance with its internal accounting and control policies, as well as legal and regulatory requirements to</w:t>
            </w:r>
          </w:p>
        </w:tc>
        <w:tc>
          <w:tcPr>
            <w:tcW w:w="0" w:type="dxa"/>
            <w:vAlign w:val="bottom"/>
          </w:tcPr>
          <w:p>
            <w:pPr>
              <w:spacing w:after="0"/>
              <w:rPr>
                <w:sz w:val="1"/>
                <w:szCs w:val="1"/>
                <w:color w:val="auto"/>
              </w:rPr>
            </w:pPr>
          </w:p>
        </w:tc>
      </w:tr>
      <w:tr>
        <w:trPr>
          <w:trHeight w:val="55"/>
        </w:trPr>
        <w:tc>
          <w:tcPr>
            <w:tcW w:w="1940" w:type="dxa"/>
            <w:vAlign w:val="bottom"/>
            <w:vMerge w:val="restart"/>
            <w:shd w:val="clear" w:color="auto" w:fill="D7D8D6"/>
          </w:tcPr>
          <w:p>
            <w:pPr>
              <w:ind w:left="120"/>
              <w:spacing w:after="0"/>
              <w:rPr>
                <w:sz w:val="20"/>
                <w:szCs w:val="20"/>
                <w:color w:val="auto"/>
              </w:rPr>
            </w:pPr>
            <w:r>
              <w:rPr>
                <w:rFonts w:ascii="Arial" w:cs="Arial" w:eastAsia="Arial" w:hAnsi="Arial"/>
                <w:sz w:val="14"/>
                <w:szCs w:val="14"/>
                <w:color w:val="333740"/>
              </w:rPr>
              <w:t>Kay G. Priestly</w:t>
            </w:r>
          </w:p>
        </w:tc>
        <w:tc>
          <w:tcPr>
            <w:tcW w:w="9320" w:type="dxa"/>
            <w:vAlign w:val="bottom"/>
            <w:vMerge w:val="continue"/>
            <w:shd w:val="clear" w:color="auto" w:fill="D7D8D6"/>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940" w:type="dxa"/>
            <w:vAlign w:val="bottom"/>
            <w:vMerge w:val="continue"/>
            <w:shd w:val="clear" w:color="auto" w:fill="D7D8D6"/>
          </w:tcPr>
          <w:p>
            <w:pPr>
              <w:spacing w:after="0"/>
              <w:rPr>
                <w:sz w:val="14"/>
                <w:szCs w:val="14"/>
                <w:color w:val="auto"/>
              </w:rPr>
            </w:pPr>
          </w:p>
        </w:tc>
        <w:tc>
          <w:tcPr>
            <w:tcW w:w="9320" w:type="dxa"/>
            <w:vAlign w:val="bottom"/>
            <w:shd w:val="clear" w:color="auto" w:fill="D7D8D6"/>
          </w:tcPr>
          <w:p>
            <w:pPr>
              <w:ind w:left="680"/>
              <w:spacing w:after="0"/>
              <w:rPr>
                <w:sz w:val="20"/>
                <w:szCs w:val="20"/>
                <w:color w:val="auto"/>
              </w:rPr>
            </w:pPr>
            <w:r>
              <w:rPr>
                <w:rFonts w:ascii="Arial" w:cs="Arial" w:eastAsia="Arial" w:hAnsi="Arial"/>
                <w:sz w:val="14"/>
                <w:szCs w:val="14"/>
                <w:color w:val="333740"/>
              </w:rPr>
              <w:t>the extent such compliance relates to the consolidated financial statements and financial disclosures</w:t>
            </w:r>
          </w:p>
        </w:tc>
        <w:tc>
          <w:tcPr>
            <w:tcW w:w="0" w:type="dxa"/>
            <w:vAlign w:val="bottom"/>
          </w:tcPr>
          <w:p>
            <w:pPr>
              <w:spacing w:after="0"/>
              <w:rPr>
                <w:sz w:val="1"/>
                <w:szCs w:val="1"/>
                <w:color w:val="auto"/>
              </w:rPr>
            </w:pPr>
          </w:p>
        </w:tc>
      </w:tr>
      <w:tr>
        <w:trPr>
          <w:trHeight w:val="235"/>
        </w:trPr>
        <w:tc>
          <w:tcPr>
            <w:tcW w:w="194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Joseph Rinaldi</w:t>
            </w:r>
          </w:p>
        </w:tc>
        <w:tc>
          <w:tcPr>
            <w:tcW w:w="9320" w:type="dxa"/>
            <w:vAlign w:val="bottom"/>
            <w:shd w:val="clear" w:color="auto" w:fill="D7D8D6"/>
          </w:tcPr>
          <w:p>
            <w:pPr>
              <w:ind w:left="700"/>
              <w:spacing w:after="0"/>
              <w:rPr>
                <w:sz w:val="20"/>
                <w:szCs w:val="20"/>
                <w:color w:val="auto"/>
              </w:rPr>
            </w:pPr>
            <w:r>
              <w:rPr>
                <w:rFonts w:ascii="Arial" w:cs="Arial" w:eastAsia="Arial" w:hAnsi="Arial"/>
                <w:sz w:val="14"/>
                <w:szCs w:val="14"/>
                <w:color w:val="333740"/>
              </w:rPr>
              <w:t>Selecting, subject to shareholder approval, the Company’s independent auditor, and reviewing the qualifications, independence,</w:t>
            </w:r>
          </w:p>
        </w:tc>
        <w:tc>
          <w:tcPr>
            <w:tcW w:w="0" w:type="dxa"/>
            <w:vAlign w:val="bottom"/>
          </w:tcPr>
          <w:p>
            <w:pPr>
              <w:spacing w:after="0"/>
              <w:rPr>
                <w:sz w:val="1"/>
                <w:szCs w:val="1"/>
                <w:color w:val="auto"/>
              </w:rPr>
            </w:pPr>
          </w:p>
        </w:tc>
      </w:tr>
      <w:tr>
        <w:trPr>
          <w:trHeight w:val="172"/>
        </w:trPr>
        <w:tc>
          <w:tcPr>
            <w:tcW w:w="1940" w:type="dxa"/>
            <w:vAlign w:val="bottom"/>
            <w:shd w:val="clear" w:color="auto" w:fill="D7D8D6"/>
          </w:tcPr>
          <w:p>
            <w:pPr>
              <w:spacing w:after="0"/>
              <w:rPr>
                <w:sz w:val="14"/>
                <w:szCs w:val="14"/>
                <w:color w:val="auto"/>
              </w:rPr>
            </w:pPr>
          </w:p>
        </w:tc>
        <w:tc>
          <w:tcPr>
            <w:tcW w:w="9320" w:type="dxa"/>
            <w:vAlign w:val="bottom"/>
            <w:shd w:val="clear" w:color="auto" w:fill="D7D8D6"/>
          </w:tcPr>
          <w:p>
            <w:pPr>
              <w:ind w:left="680"/>
              <w:spacing w:after="0"/>
              <w:rPr>
                <w:sz w:val="20"/>
                <w:szCs w:val="20"/>
                <w:color w:val="auto"/>
              </w:rPr>
            </w:pPr>
            <w:r>
              <w:rPr>
                <w:rFonts w:ascii="Arial" w:cs="Arial" w:eastAsia="Arial" w:hAnsi="Arial"/>
                <w:sz w:val="14"/>
                <w:szCs w:val="14"/>
                <w:color w:val="333740"/>
              </w:rPr>
              <w:t>performance, and remuneration of such independent auditor</w:t>
            </w:r>
          </w:p>
        </w:tc>
        <w:tc>
          <w:tcPr>
            <w:tcW w:w="0" w:type="dxa"/>
            <w:vAlign w:val="bottom"/>
          </w:tcPr>
          <w:p>
            <w:pPr>
              <w:spacing w:after="0"/>
              <w:rPr>
                <w:sz w:val="1"/>
                <w:szCs w:val="1"/>
                <w:color w:val="auto"/>
              </w:rPr>
            </w:pPr>
          </w:p>
        </w:tc>
      </w:tr>
      <w:tr>
        <w:trPr>
          <w:trHeight w:val="227"/>
        </w:trPr>
        <w:tc>
          <w:tcPr>
            <w:tcW w:w="1940" w:type="dxa"/>
            <w:vAlign w:val="bottom"/>
            <w:shd w:val="clear" w:color="auto" w:fill="D7D8D6"/>
          </w:tcPr>
          <w:p>
            <w:pPr>
              <w:spacing w:after="0"/>
              <w:rPr>
                <w:sz w:val="19"/>
                <w:szCs w:val="19"/>
                <w:color w:val="auto"/>
              </w:rPr>
            </w:pPr>
          </w:p>
        </w:tc>
        <w:tc>
          <w:tcPr>
            <w:tcW w:w="9320" w:type="dxa"/>
            <w:vAlign w:val="bottom"/>
            <w:shd w:val="clear" w:color="auto" w:fill="D7D8D6"/>
          </w:tcPr>
          <w:p>
            <w:pPr>
              <w:ind w:left="700"/>
              <w:spacing w:after="0"/>
              <w:rPr>
                <w:sz w:val="20"/>
                <w:szCs w:val="20"/>
                <w:color w:val="auto"/>
              </w:rPr>
            </w:pPr>
            <w:r>
              <w:rPr>
                <w:rFonts w:ascii="Arial" w:cs="Arial" w:eastAsia="Arial" w:hAnsi="Arial"/>
                <w:sz w:val="14"/>
                <w:szCs w:val="14"/>
                <w:color w:val="333740"/>
              </w:rPr>
              <w:t>Reviewing the effectiveness and performance of the Company’s internal audit function</w:t>
            </w:r>
          </w:p>
        </w:tc>
        <w:tc>
          <w:tcPr>
            <w:tcW w:w="0" w:type="dxa"/>
            <w:vAlign w:val="bottom"/>
          </w:tcPr>
          <w:p>
            <w:pPr>
              <w:spacing w:after="0"/>
              <w:rPr>
                <w:sz w:val="1"/>
                <w:szCs w:val="1"/>
                <w:color w:val="auto"/>
              </w:rPr>
            </w:pPr>
          </w:p>
        </w:tc>
      </w:tr>
      <w:tr>
        <w:trPr>
          <w:trHeight w:val="223"/>
        </w:trPr>
        <w:tc>
          <w:tcPr>
            <w:tcW w:w="1940" w:type="dxa"/>
            <w:vAlign w:val="bottom"/>
            <w:shd w:val="clear" w:color="auto" w:fill="D7D8D6"/>
          </w:tcPr>
          <w:p>
            <w:pPr>
              <w:spacing w:after="0"/>
              <w:rPr>
                <w:sz w:val="19"/>
                <w:szCs w:val="19"/>
                <w:color w:val="auto"/>
              </w:rPr>
            </w:pPr>
          </w:p>
        </w:tc>
        <w:tc>
          <w:tcPr>
            <w:tcW w:w="9320" w:type="dxa"/>
            <w:vAlign w:val="bottom"/>
            <w:shd w:val="clear" w:color="auto" w:fill="D7D8D6"/>
          </w:tcPr>
          <w:p>
            <w:pPr>
              <w:ind w:left="700"/>
              <w:spacing w:after="0"/>
              <w:rPr>
                <w:sz w:val="20"/>
                <w:szCs w:val="20"/>
                <w:color w:val="auto"/>
              </w:rPr>
            </w:pPr>
            <w:r>
              <w:rPr>
                <w:rFonts w:ascii="Arial" w:cs="Arial" w:eastAsia="Arial" w:hAnsi="Arial"/>
                <w:sz w:val="14"/>
                <w:szCs w:val="14"/>
                <w:color w:val="333740"/>
              </w:rPr>
              <w:t>Considers risks relating to cybersecurity and receives regular reports on the Company’s cyber readiness, adversary assessment, risk</w:t>
            </w:r>
          </w:p>
        </w:tc>
        <w:tc>
          <w:tcPr>
            <w:tcW w:w="0" w:type="dxa"/>
            <w:vAlign w:val="bottom"/>
          </w:tcPr>
          <w:p>
            <w:pPr>
              <w:spacing w:after="0"/>
              <w:rPr>
                <w:sz w:val="1"/>
                <w:szCs w:val="1"/>
                <w:color w:val="auto"/>
              </w:rPr>
            </w:pPr>
          </w:p>
        </w:tc>
      </w:tr>
      <w:tr>
        <w:trPr>
          <w:trHeight w:val="172"/>
        </w:trPr>
        <w:tc>
          <w:tcPr>
            <w:tcW w:w="1940" w:type="dxa"/>
            <w:vAlign w:val="bottom"/>
            <w:shd w:val="clear" w:color="auto" w:fill="D7D8D6"/>
          </w:tcPr>
          <w:p>
            <w:pPr>
              <w:spacing w:after="0"/>
              <w:rPr>
                <w:sz w:val="14"/>
                <w:szCs w:val="14"/>
                <w:color w:val="auto"/>
              </w:rPr>
            </w:pPr>
          </w:p>
        </w:tc>
        <w:tc>
          <w:tcPr>
            <w:tcW w:w="9320" w:type="dxa"/>
            <w:vAlign w:val="bottom"/>
            <w:shd w:val="clear" w:color="auto" w:fill="D7D8D6"/>
          </w:tcPr>
          <w:p>
            <w:pPr>
              <w:ind w:left="680"/>
              <w:spacing w:after="0"/>
              <w:rPr>
                <w:sz w:val="20"/>
                <w:szCs w:val="20"/>
                <w:color w:val="auto"/>
              </w:rPr>
            </w:pPr>
            <w:r>
              <w:rPr>
                <w:rFonts w:ascii="Arial" w:cs="Arial" w:eastAsia="Arial" w:hAnsi="Arial"/>
                <w:sz w:val="14"/>
                <w:szCs w:val="14"/>
                <w:color w:val="333740"/>
              </w:rPr>
              <w:t>profile status, and any countermeasures being undertaken or considered by the Company</w:t>
            </w:r>
          </w:p>
        </w:tc>
        <w:tc>
          <w:tcPr>
            <w:tcW w:w="0" w:type="dxa"/>
            <w:vAlign w:val="bottom"/>
          </w:tcPr>
          <w:p>
            <w:pPr>
              <w:spacing w:after="0"/>
              <w:rPr>
                <w:sz w:val="1"/>
                <w:szCs w:val="1"/>
                <w:color w:val="auto"/>
              </w:rPr>
            </w:pPr>
          </w:p>
        </w:tc>
      </w:tr>
      <w:tr>
        <w:trPr>
          <w:trHeight w:val="235"/>
        </w:trPr>
        <w:tc>
          <w:tcPr>
            <w:tcW w:w="1940" w:type="dxa"/>
            <w:vAlign w:val="bottom"/>
            <w:shd w:val="clear" w:color="auto" w:fill="D7D8D6"/>
          </w:tcPr>
          <w:p>
            <w:pPr>
              <w:spacing w:after="0"/>
              <w:rPr>
                <w:sz w:val="20"/>
                <w:szCs w:val="20"/>
                <w:color w:val="auto"/>
              </w:rPr>
            </w:pPr>
          </w:p>
        </w:tc>
        <w:tc>
          <w:tcPr>
            <w:tcW w:w="9320" w:type="dxa"/>
            <w:vAlign w:val="bottom"/>
            <w:shd w:val="clear" w:color="auto" w:fill="D7D8D6"/>
          </w:tcPr>
          <w:p>
            <w:pPr>
              <w:ind w:left="700"/>
              <w:spacing w:after="0"/>
              <w:rPr>
                <w:sz w:val="20"/>
                <w:szCs w:val="20"/>
                <w:color w:val="auto"/>
              </w:rPr>
            </w:pPr>
            <w:r>
              <w:rPr>
                <w:rFonts w:ascii="Arial" w:cs="Arial" w:eastAsia="Arial" w:hAnsi="Arial"/>
                <w:sz w:val="14"/>
                <w:szCs w:val="14"/>
                <w:color w:val="333740"/>
              </w:rPr>
              <w:t>Reviewing the effectiveness of processes for reviewing and escalating financial-related allegations reported through the Company’s</w:t>
            </w:r>
          </w:p>
        </w:tc>
        <w:tc>
          <w:tcPr>
            <w:tcW w:w="0" w:type="dxa"/>
            <w:vAlign w:val="bottom"/>
          </w:tcPr>
          <w:p>
            <w:pPr>
              <w:spacing w:after="0"/>
              <w:rPr>
                <w:sz w:val="1"/>
                <w:szCs w:val="1"/>
                <w:color w:val="auto"/>
              </w:rPr>
            </w:pPr>
          </w:p>
        </w:tc>
      </w:tr>
      <w:tr>
        <w:trPr>
          <w:trHeight w:val="172"/>
        </w:trPr>
        <w:tc>
          <w:tcPr>
            <w:tcW w:w="1940" w:type="dxa"/>
            <w:vAlign w:val="bottom"/>
            <w:shd w:val="clear" w:color="auto" w:fill="D7D8D6"/>
          </w:tcPr>
          <w:p>
            <w:pPr>
              <w:spacing w:after="0"/>
              <w:rPr>
                <w:sz w:val="14"/>
                <w:szCs w:val="14"/>
                <w:color w:val="auto"/>
              </w:rPr>
            </w:pPr>
          </w:p>
        </w:tc>
        <w:tc>
          <w:tcPr>
            <w:tcW w:w="9320" w:type="dxa"/>
            <w:vAlign w:val="bottom"/>
            <w:shd w:val="clear" w:color="auto" w:fill="D7D8D6"/>
          </w:tcPr>
          <w:p>
            <w:pPr>
              <w:ind w:left="680"/>
              <w:spacing w:after="0"/>
              <w:rPr>
                <w:sz w:val="20"/>
                <w:szCs w:val="20"/>
                <w:color w:val="auto"/>
              </w:rPr>
            </w:pPr>
            <w:r>
              <w:rPr>
                <w:rFonts w:ascii="Arial" w:cs="Arial" w:eastAsia="Arial" w:hAnsi="Arial"/>
                <w:sz w:val="14"/>
                <w:szCs w:val="14"/>
                <w:color w:val="333740"/>
              </w:rPr>
              <w:t>allegation hotline</w:t>
            </w:r>
          </w:p>
        </w:tc>
        <w:tc>
          <w:tcPr>
            <w:tcW w:w="0" w:type="dxa"/>
            <w:vAlign w:val="bottom"/>
          </w:tcPr>
          <w:p>
            <w:pPr>
              <w:spacing w:after="0"/>
              <w:rPr>
                <w:sz w:val="1"/>
                <w:szCs w:val="1"/>
                <w:color w:val="auto"/>
              </w:rPr>
            </w:pPr>
          </w:p>
        </w:tc>
      </w:tr>
      <w:tr>
        <w:trPr>
          <w:trHeight w:val="113"/>
        </w:trPr>
        <w:tc>
          <w:tcPr>
            <w:tcW w:w="1940" w:type="dxa"/>
            <w:vAlign w:val="bottom"/>
            <w:shd w:val="clear" w:color="auto" w:fill="D7D8D6"/>
          </w:tcPr>
          <w:p>
            <w:pPr>
              <w:spacing w:after="0"/>
              <w:rPr>
                <w:sz w:val="9"/>
                <w:szCs w:val="9"/>
                <w:color w:val="auto"/>
              </w:rPr>
            </w:pPr>
          </w:p>
        </w:tc>
        <w:tc>
          <w:tcPr>
            <w:tcW w:w="9320" w:type="dxa"/>
            <w:vAlign w:val="bottom"/>
            <w:shd w:val="clear" w:color="auto" w:fill="D7D8D6"/>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-1737360</wp:posOffset>
            </wp:positionV>
            <wp:extent cx="45720" cy="755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-1478915</wp:posOffset>
            </wp:positionV>
            <wp:extent cx="45720" cy="755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-1334770</wp:posOffset>
            </wp:positionV>
            <wp:extent cx="45720" cy="755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-1190625</wp:posOffset>
            </wp:positionV>
            <wp:extent cx="45720" cy="755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-932815</wp:posOffset>
            </wp:positionV>
            <wp:extent cx="45720" cy="755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-681990</wp:posOffset>
            </wp:positionV>
            <wp:extent cx="45720" cy="755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-537845</wp:posOffset>
            </wp:positionV>
            <wp:extent cx="45720" cy="755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-280035</wp:posOffset>
            </wp:positionV>
            <wp:extent cx="45720" cy="755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720" cy="75565"/>
                    </a:xfrm>
                    <a:prstGeom prst="rect">
                      <a:avLst/>
                    </a:prstGeom>
                    <a:noFill/>
                  </pic:spPr>
                </pic:pic>
              </a:graphicData>
            </a:graphic>
          </wp:anchor>
        </w:drawing>
      </w:r>
    </w:p>
    <w:p>
      <w:pPr>
        <w:spacing w:after="0" w:line="343" w:lineRule="exact"/>
        <w:rPr>
          <w:sz w:val="20"/>
          <w:szCs w:val="20"/>
          <w:color w:val="auto"/>
        </w:rPr>
      </w:pPr>
    </w:p>
    <w:p>
      <w:pPr>
        <w:ind w:left="564" w:hanging="564"/>
        <w:spacing w:after="0"/>
        <w:tabs>
          <w:tab w:leader="none" w:pos="564" w:val="left"/>
        </w:tabs>
        <w:numPr>
          <w:ilvl w:val="0"/>
          <w:numId w:val="5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46" w:name="page47"/>
    <w:bookmarkEnd w:id="46"/>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48195" cy="2273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8195" cy="227330"/>
                    </a:xfrm>
                    <a:prstGeom prst="rect">
                      <a:avLst/>
                    </a:prstGeom>
                    <a:noFill/>
                  </pic:spPr>
                </pic:pic>
              </a:graphicData>
            </a:graphic>
          </wp:anchor>
        </w:drawing>
      </w:r>
    </w:p>
    <w:p>
      <w:pPr>
        <w:spacing w:after="0" w:line="222" w:lineRule="exact"/>
        <w:rPr>
          <w:sz w:val="20"/>
          <w:szCs w:val="20"/>
          <w:color w:val="auto"/>
        </w:rPr>
      </w:pPr>
    </w:p>
    <w:p>
      <w:pPr>
        <w:ind w:left="124"/>
        <w:spacing w:after="0"/>
        <w:rPr>
          <w:sz w:val="20"/>
          <w:szCs w:val="20"/>
          <w:color w:val="auto"/>
        </w:rPr>
      </w:pPr>
      <w:r>
        <w:rPr>
          <w:rFonts w:ascii="Arial" w:cs="Arial" w:eastAsia="Arial" w:hAnsi="Arial"/>
          <w:sz w:val="14"/>
          <w:szCs w:val="14"/>
          <w:b w:val="1"/>
          <w:bCs w:val="1"/>
          <w:color w:val="FFFFFF"/>
        </w:rPr>
        <w:t>2019 Meetings: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1510030</wp:posOffset>
            </wp:positionH>
            <wp:positionV relativeFrom="paragraph">
              <wp:posOffset>74930</wp:posOffset>
            </wp:positionV>
            <wp:extent cx="7620" cy="16541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20" cy="1654175"/>
                    </a:xfrm>
                    <a:prstGeom prst="rect">
                      <a:avLst/>
                    </a:prstGeom>
                    <a:noFill/>
                  </pic:spPr>
                </pic:pic>
              </a:graphicData>
            </a:graphic>
          </wp:anchor>
        </w:drawing>
      </w:r>
    </w:p>
    <w:p>
      <w:pPr>
        <w:spacing w:after="0" w:line="98" w:lineRule="exact"/>
        <w:rPr>
          <w:sz w:val="20"/>
          <w:szCs w:val="20"/>
          <w:color w:val="auto"/>
        </w:rPr>
      </w:pPr>
    </w:p>
    <w:tbl>
      <w:tblPr>
        <w:tblLayout w:type="fixed"/>
        <w:tblInd w:w="4" w:type="dxa"/>
        <w:tblCellMar>
          <w:top w:w="0" w:type="dxa"/>
          <w:left w:w="0" w:type="dxa"/>
          <w:bottom w:w="0" w:type="dxa"/>
          <w:right w:w="0" w:type="dxa"/>
        </w:tblCellMar>
      </w:tblPr>
      <w:tr>
        <w:trPr>
          <w:trHeight w:val="269"/>
        </w:trPr>
        <w:tc>
          <w:tcPr>
            <w:tcW w:w="1860" w:type="dxa"/>
            <w:vAlign w:val="bottom"/>
            <w:shd w:val="clear" w:color="auto" w:fill="481F6E"/>
          </w:tcPr>
          <w:p>
            <w:pPr>
              <w:ind w:left="120"/>
              <w:spacing w:after="0"/>
              <w:rPr>
                <w:sz w:val="20"/>
                <w:szCs w:val="20"/>
                <w:color w:val="auto"/>
              </w:rPr>
            </w:pPr>
            <w:r>
              <w:rPr>
                <w:rFonts w:ascii="Arial" w:cs="Arial" w:eastAsia="Arial" w:hAnsi="Arial"/>
                <w:sz w:val="14"/>
                <w:szCs w:val="14"/>
                <w:b w:val="1"/>
                <w:bCs w:val="1"/>
                <w:color w:val="FFFFFF"/>
              </w:rPr>
              <w:t>Members</w:t>
            </w:r>
          </w:p>
        </w:tc>
        <w:tc>
          <w:tcPr>
            <w:tcW w:w="9400" w:type="dxa"/>
            <w:vAlign w:val="bottom"/>
            <w:shd w:val="clear" w:color="auto" w:fill="481F6E"/>
          </w:tcPr>
          <w:p>
            <w:pPr>
              <w:ind w:left="620"/>
              <w:spacing w:after="0"/>
              <w:rPr>
                <w:sz w:val="20"/>
                <w:szCs w:val="20"/>
                <w:color w:val="auto"/>
              </w:rPr>
            </w:pPr>
            <w:r>
              <w:rPr>
                <w:rFonts w:ascii="Arial" w:cs="Arial" w:eastAsia="Arial" w:hAnsi="Arial"/>
                <w:sz w:val="14"/>
                <w:szCs w:val="14"/>
                <w:b w:val="1"/>
                <w:bCs w:val="1"/>
                <w:color w:val="FFFFFF"/>
              </w:rPr>
              <w:t>Primary Responsibilities</w:t>
            </w:r>
          </w:p>
        </w:tc>
        <w:tc>
          <w:tcPr>
            <w:tcW w:w="0" w:type="dxa"/>
            <w:vAlign w:val="bottom"/>
          </w:tcPr>
          <w:p>
            <w:pPr>
              <w:spacing w:after="0"/>
              <w:rPr>
                <w:sz w:val="1"/>
                <w:szCs w:val="1"/>
                <w:color w:val="auto"/>
              </w:rPr>
            </w:pPr>
          </w:p>
        </w:tc>
      </w:tr>
      <w:tr>
        <w:trPr>
          <w:trHeight w:val="89"/>
        </w:trPr>
        <w:tc>
          <w:tcPr>
            <w:tcW w:w="1860" w:type="dxa"/>
            <w:vAlign w:val="bottom"/>
            <w:shd w:val="clear" w:color="auto" w:fill="481F6E"/>
          </w:tcPr>
          <w:p>
            <w:pPr>
              <w:spacing w:after="0"/>
              <w:rPr>
                <w:sz w:val="7"/>
                <w:szCs w:val="7"/>
                <w:color w:val="auto"/>
              </w:rPr>
            </w:pPr>
          </w:p>
        </w:tc>
        <w:tc>
          <w:tcPr>
            <w:tcW w:w="9400" w:type="dxa"/>
            <w:vAlign w:val="bottom"/>
            <w:shd w:val="clear" w:color="auto" w:fill="481F6E"/>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186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James M. Ringler</w:t>
            </w:r>
          </w:p>
        </w:tc>
        <w:tc>
          <w:tcPr>
            <w:tcW w:w="9400" w:type="dxa"/>
            <w:vAlign w:val="bottom"/>
            <w:shd w:val="clear" w:color="auto" w:fill="D7D8D6"/>
          </w:tcPr>
          <w:p>
            <w:pPr>
              <w:ind w:left="780"/>
              <w:spacing w:after="0"/>
              <w:rPr>
                <w:sz w:val="20"/>
                <w:szCs w:val="20"/>
                <w:color w:val="auto"/>
              </w:rPr>
            </w:pPr>
            <w:r>
              <w:rPr>
                <w:rFonts w:ascii="Arial" w:cs="Arial" w:eastAsia="Arial" w:hAnsi="Arial"/>
                <w:sz w:val="14"/>
                <w:szCs w:val="14"/>
                <w:color w:val="333740"/>
              </w:rPr>
              <w:t>Reviewing, evaluating, and approving the agreements, plans, policies, and programs of the Company to compensate its independent</w:t>
            </w:r>
          </w:p>
        </w:tc>
        <w:tc>
          <w:tcPr>
            <w:tcW w:w="0" w:type="dxa"/>
            <w:vAlign w:val="bottom"/>
          </w:tcPr>
          <w:p>
            <w:pPr>
              <w:spacing w:after="0"/>
              <w:rPr>
                <w:sz w:val="1"/>
                <w:szCs w:val="1"/>
                <w:color w:val="auto"/>
              </w:rPr>
            </w:pPr>
          </w:p>
        </w:tc>
      </w:tr>
      <w:tr>
        <w:trPr>
          <w:trHeight w:val="172"/>
        </w:trPr>
        <w:tc>
          <w:tcPr>
            <w:tcW w:w="186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(Chair)</w:t>
            </w:r>
          </w:p>
        </w:tc>
        <w:tc>
          <w:tcPr>
            <w:tcW w:w="9400" w:type="dxa"/>
            <w:vAlign w:val="bottom"/>
            <w:shd w:val="clear" w:color="auto" w:fill="D7D8D6"/>
          </w:tcPr>
          <w:p>
            <w:pPr>
              <w:ind w:left="760"/>
              <w:spacing w:after="0"/>
              <w:rPr>
                <w:sz w:val="20"/>
                <w:szCs w:val="20"/>
                <w:color w:val="auto"/>
              </w:rPr>
            </w:pPr>
            <w:r>
              <w:rPr>
                <w:rFonts w:ascii="Arial" w:cs="Arial" w:eastAsia="Arial" w:hAnsi="Arial"/>
                <w:sz w:val="14"/>
                <w:szCs w:val="14"/>
                <w:color w:val="333740"/>
              </w:rPr>
              <w:t>directors, the Chairman and CEO, and other officers</w:t>
            </w:r>
          </w:p>
        </w:tc>
        <w:tc>
          <w:tcPr>
            <w:tcW w:w="0" w:type="dxa"/>
            <w:vAlign w:val="bottom"/>
          </w:tcPr>
          <w:p>
            <w:pPr>
              <w:spacing w:after="0"/>
              <w:rPr>
                <w:sz w:val="1"/>
                <w:szCs w:val="1"/>
                <w:color w:val="auto"/>
              </w:rPr>
            </w:pPr>
          </w:p>
        </w:tc>
      </w:tr>
      <w:tr>
        <w:trPr>
          <w:trHeight w:val="223"/>
        </w:trPr>
        <w:tc>
          <w:tcPr>
            <w:tcW w:w="186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Claire S. Farley</w:t>
            </w:r>
          </w:p>
        </w:tc>
        <w:tc>
          <w:tcPr>
            <w:tcW w:w="9400" w:type="dxa"/>
            <w:vAlign w:val="bottom"/>
            <w:shd w:val="clear" w:color="auto" w:fill="D7D8D6"/>
          </w:tcPr>
          <w:p>
            <w:pPr>
              <w:ind w:left="780"/>
              <w:spacing w:after="0"/>
              <w:rPr>
                <w:sz w:val="20"/>
                <w:szCs w:val="20"/>
                <w:color w:val="auto"/>
              </w:rPr>
            </w:pPr>
            <w:r>
              <w:rPr>
                <w:rFonts w:ascii="Arial" w:cs="Arial" w:eastAsia="Arial" w:hAnsi="Arial"/>
                <w:sz w:val="14"/>
                <w:szCs w:val="14"/>
                <w:color w:val="333740"/>
              </w:rPr>
              <w:t>Consistent with equity plans approved by the Company’s shareholders, reviewing, evaluating, and approving all equity awards by the</w:t>
            </w:r>
          </w:p>
        </w:tc>
        <w:tc>
          <w:tcPr>
            <w:tcW w:w="0" w:type="dxa"/>
            <w:vAlign w:val="bottom"/>
          </w:tcPr>
          <w:p>
            <w:pPr>
              <w:spacing w:after="0"/>
              <w:rPr>
                <w:sz w:val="1"/>
                <w:szCs w:val="1"/>
                <w:color w:val="auto"/>
              </w:rPr>
            </w:pPr>
          </w:p>
        </w:tc>
      </w:tr>
      <w:tr>
        <w:trPr>
          <w:trHeight w:val="167"/>
        </w:trPr>
        <w:tc>
          <w:tcPr>
            <w:tcW w:w="1860" w:type="dxa"/>
            <w:vAlign w:val="bottom"/>
            <w:vMerge w:val="restart"/>
            <w:shd w:val="clear" w:color="auto" w:fill="D7D8D6"/>
          </w:tcPr>
          <w:p>
            <w:pPr>
              <w:ind w:left="120"/>
              <w:spacing w:after="0"/>
              <w:rPr>
                <w:sz w:val="20"/>
                <w:szCs w:val="20"/>
                <w:color w:val="auto"/>
              </w:rPr>
            </w:pPr>
            <w:r>
              <w:rPr>
                <w:rFonts w:ascii="Arial" w:cs="Arial" w:eastAsia="Arial" w:hAnsi="Arial"/>
                <w:sz w:val="14"/>
                <w:szCs w:val="14"/>
                <w:color w:val="333740"/>
              </w:rPr>
              <w:t>John O’Leary</w:t>
            </w:r>
          </w:p>
        </w:tc>
        <w:tc>
          <w:tcPr>
            <w:tcW w:w="9400" w:type="dxa"/>
            <w:vAlign w:val="bottom"/>
            <w:shd w:val="clear" w:color="auto" w:fill="D7D8D6"/>
          </w:tcPr>
          <w:p>
            <w:pPr>
              <w:ind w:left="760"/>
              <w:spacing w:after="0"/>
              <w:rPr>
                <w:sz w:val="20"/>
                <w:szCs w:val="20"/>
                <w:color w:val="auto"/>
              </w:rPr>
            </w:pPr>
            <w:r>
              <w:rPr>
                <w:rFonts w:ascii="Arial" w:cs="Arial" w:eastAsia="Arial" w:hAnsi="Arial"/>
                <w:sz w:val="14"/>
                <w:szCs w:val="14"/>
                <w:color w:val="333740"/>
              </w:rPr>
              <w:t>Company to executive officers and approving the number of equity securities or equity derivatives that the CEO is authorized to allocate</w:t>
            </w:r>
          </w:p>
        </w:tc>
        <w:tc>
          <w:tcPr>
            <w:tcW w:w="0" w:type="dxa"/>
            <w:vAlign w:val="bottom"/>
          </w:tcPr>
          <w:p>
            <w:pPr>
              <w:spacing w:after="0"/>
              <w:rPr>
                <w:sz w:val="1"/>
                <w:szCs w:val="1"/>
                <w:color w:val="auto"/>
              </w:rPr>
            </w:pPr>
          </w:p>
        </w:tc>
      </w:tr>
      <w:tr>
        <w:trPr>
          <w:trHeight w:val="100"/>
        </w:trPr>
        <w:tc>
          <w:tcPr>
            <w:tcW w:w="1860" w:type="dxa"/>
            <w:vAlign w:val="bottom"/>
            <w:vMerge w:val="continue"/>
            <w:shd w:val="clear" w:color="auto" w:fill="D7D8D6"/>
          </w:tcPr>
          <w:p>
            <w:pPr>
              <w:spacing w:after="0"/>
              <w:rPr>
                <w:sz w:val="8"/>
                <w:szCs w:val="8"/>
                <w:color w:val="auto"/>
              </w:rPr>
            </w:pPr>
          </w:p>
        </w:tc>
        <w:tc>
          <w:tcPr>
            <w:tcW w:w="9400" w:type="dxa"/>
            <w:vAlign w:val="bottom"/>
            <w:vMerge w:val="restart"/>
            <w:shd w:val="clear" w:color="auto" w:fill="D7D8D6"/>
          </w:tcPr>
          <w:p>
            <w:pPr>
              <w:ind w:left="760"/>
              <w:spacing w:after="0"/>
              <w:rPr>
                <w:sz w:val="20"/>
                <w:szCs w:val="20"/>
                <w:color w:val="auto"/>
              </w:rPr>
            </w:pPr>
            <w:r>
              <w:rPr>
                <w:rFonts w:ascii="Arial" w:cs="Arial" w:eastAsia="Arial" w:hAnsi="Arial"/>
                <w:sz w:val="14"/>
                <w:szCs w:val="14"/>
                <w:color w:val="333740"/>
              </w:rPr>
              <w:t>to all other employees at his discretion</w:t>
            </w:r>
          </w:p>
        </w:tc>
        <w:tc>
          <w:tcPr>
            <w:tcW w:w="0" w:type="dxa"/>
            <w:vAlign w:val="bottom"/>
          </w:tcPr>
          <w:p>
            <w:pPr>
              <w:spacing w:after="0"/>
              <w:rPr>
                <w:sz w:val="1"/>
                <w:szCs w:val="1"/>
                <w:color w:val="auto"/>
              </w:rPr>
            </w:pPr>
          </w:p>
        </w:tc>
      </w:tr>
      <w:tr>
        <w:trPr>
          <w:trHeight w:val="72"/>
        </w:trPr>
        <w:tc>
          <w:tcPr>
            <w:tcW w:w="1860" w:type="dxa"/>
            <w:vAlign w:val="bottom"/>
            <w:vMerge w:val="restart"/>
            <w:shd w:val="clear" w:color="auto" w:fill="D7D8D6"/>
          </w:tcPr>
          <w:p>
            <w:pPr>
              <w:ind w:left="120"/>
              <w:spacing w:after="0"/>
              <w:rPr>
                <w:sz w:val="20"/>
                <w:szCs w:val="20"/>
                <w:color w:val="auto"/>
              </w:rPr>
            </w:pPr>
            <w:r>
              <w:rPr>
                <w:rFonts w:ascii="Arial" w:cs="Arial" w:eastAsia="Arial" w:hAnsi="Arial"/>
                <w:sz w:val="14"/>
                <w:szCs w:val="14"/>
                <w:color w:val="333740"/>
              </w:rPr>
              <w:t>Joseph Rinaldi</w:t>
            </w:r>
          </w:p>
        </w:tc>
        <w:tc>
          <w:tcPr>
            <w:tcW w:w="9400" w:type="dxa"/>
            <w:vAlign w:val="bottom"/>
            <w:vMerge w:val="continue"/>
            <w:shd w:val="clear" w:color="auto" w:fill="D7D8D6"/>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860" w:type="dxa"/>
            <w:vAlign w:val="bottom"/>
            <w:vMerge w:val="continue"/>
            <w:shd w:val="clear" w:color="auto" w:fill="D7D8D6"/>
          </w:tcPr>
          <w:p>
            <w:pPr>
              <w:spacing w:after="0"/>
              <w:rPr>
                <w:sz w:val="13"/>
                <w:szCs w:val="13"/>
                <w:color w:val="auto"/>
              </w:rPr>
            </w:pPr>
          </w:p>
        </w:tc>
        <w:tc>
          <w:tcPr>
            <w:tcW w:w="9400" w:type="dxa"/>
            <w:vAlign w:val="bottom"/>
            <w:vMerge w:val="restart"/>
            <w:shd w:val="clear" w:color="auto" w:fill="D7D8D6"/>
          </w:tcPr>
          <w:p>
            <w:pPr>
              <w:ind w:left="780"/>
              <w:spacing w:after="0"/>
              <w:rPr>
                <w:sz w:val="20"/>
                <w:szCs w:val="20"/>
                <w:color w:val="auto"/>
              </w:rPr>
            </w:pPr>
            <w:r>
              <w:rPr>
                <w:rFonts w:ascii="Arial" w:cs="Arial" w:eastAsia="Arial" w:hAnsi="Arial"/>
                <w:sz w:val="14"/>
                <w:szCs w:val="14"/>
                <w:color w:val="333740"/>
              </w:rPr>
              <w:t>Reviewing the compensation disclosures in the Company’s U.K. annual report and proxy statement for the Company’s annual general</w:t>
            </w:r>
          </w:p>
        </w:tc>
        <w:tc>
          <w:tcPr>
            <w:tcW w:w="0" w:type="dxa"/>
            <w:vAlign w:val="bottom"/>
          </w:tcPr>
          <w:p>
            <w:pPr>
              <w:spacing w:after="0"/>
              <w:rPr>
                <w:sz w:val="1"/>
                <w:szCs w:val="1"/>
                <w:color w:val="auto"/>
              </w:rPr>
            </w:pPr>
          </w:p>
        </w:tc>
      </w:tr>
      <w:tr>
        <w:trPr>
          <w:trHeight w:val="67"/>
        </w:trPr>
        <w:tc>
          <w:tcPr>
            <w:tcW w:w="1860" w:type="dxa"/>
            <w:vAlign w:val="bottom"/>
            <w:vMerge w:val="restart"/>
            <w:shd w:val="clear" w:color="auto" w:fill="D7D8D6"/>
          </w:tcPr>
          <w:p>
            <w:pPr>
              <w:ind w:left="120"/>
              <w:spacing w:after="0"/>
              <w:rPr>
                <w:sz w:val="20"/>
                <w:szCs w:val="20"/>
                <w:color w:val="auto"/>
              </w:rPr>
            </w:pPr>
            <w:r>
              <w:rPr>
                <w:rFonts w:ascii="Arial" w:cs="Arial" w:eastAsia="Arial" w:hAnsi="Arial"/>
                <w:sz w:val="14"/>
                <w:szCs w:val="14"/>
                <w:color w:val="333740"/>
              </w:rPr>
              <w:t>John Yearwood</w:t>
            </w:r>
          </w:p>
        </w:tc>
        <w:tc>
          <w:tcPr>
            <w:tcW w:w="9400" w:type="dxa"/>
            <w:vAlign w:val="bottom"/>
            <w:vMerge w:val="continue"/>
            <w:shd w:val="clear" w:color="auto" w:fill="D7D8D6"/>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1860" w:type="dxa"/>
            <w:vAlign w:val="bottom"/>
            <w:vMerge w:val="continue"/>
            <w:shd w:val="clear" w:color="auto" w:fill="D7D8D6"/>
          </w:tcPr>
          <w:p>
            <w:pPr>
              <w:spacing w:after="0"/>
              <w:rPr>
                <w:sz w:val="14"/>
                <w:szCs w:val="14"/>
                <w:color w:val="auto"/>
              </w:rPr>
            </w:pPr>
          </w:p>
        </w:tc>
        <w:tc>
          <w:tcPr>
            <w:tcW w:w="9400" w:type="dxa"/>
            <w:vAlign w:val="bottom"/>
            <w:shd w:val="clear" w:color="auto" w:fill="D7D8D6"/>
          </w:tcPr>
          <w:p>
            <w:pPr>
              <w:ind w:left="760"/>
              <w:spacing w:after="0"/>
              <w:rPr>
                <w:sz w:val="20"/>
                <w:szCs w:val="20"/>
                <w:color w:val="auto"/>
              </w:rPr>
            </w:pPr>
            <w:r>
              <w:rPr>
                <w:rFonts w:ascii="Arial" w:cs="Arial" w:eastAsia="Arial" w:hAnsi="Arial"/>
                <w:sz w:val="14"/>
                <w:szCs w:val="14"/>
                <w:color w:val="333740"/>
              </w:rPr>
              <w:t>meeting of shareholders</w:t>
            </w:r>
          </w:p>
        </w:tc>
        <w:tc>
          <w:tcPr>
            <w:tcW w:w="0" w:type="dxa"/>
            <w:vAlign w:val="bottom"/>
          </w:tcPr>
          <w:p>
            <w:pPr>
              <w:spacing w:after="0"/>
              <w:rPr>
                <w:sz w:val="1"/>
                <w:szCs w:val="1"/>
                <w:color w:val="auto"/>
              </w:rPr>
            </w:pPr>
          </w:p>
        </w:tc>
      </w:tr>
      <w:tr>
        <w:trPr>
          <w:trHeight w:val="239"/>
        </w:trPr>
        <w:tc>
          <w:tcPr>
            <w:tcW w:w="1860" w:type="dxa"/>
            <w:vAlign w:val="bottom"/>
            <w:shd w:val="clear" w:color="auto" w:fill="D7D8D6"/>
          </w:tcPr>
          <w:p>
            <w:pPr>
              <w:spacing w:after="0"/>
              <w:rPr>
                <w:sz w:val="20"/>
                <w:szCs w:val="20"/>
                <w:color w:val="auto"/>
              </w:rPr>
            </w:pPr>
          </w:p>
        </w:tc>
        <w:tc>
          <w:tcPr>
            <w:tcW w:w="9400" w:type="dxa"/>
            <w:vAlign w:val="bottom"/>
            <w:shd w:val="clear" w:color="auto" w:fill="D7D8D6"/>
          </w:tcPr>
          <w:p>
            <w:pPr>
              <w:ind w:left="780"/>
              <w:spacing w:after="0"/>
              <w:rPr>
                <w:sz w:val="20"/>
                <w:szCs w:val="20"/>
                <w:color w:val="auto"/>
              </w:rPr>
            </w:pPr>
            <w:r>
              <w:rPr>
                <w:rFonts w:ascii="Arial" w:cs="Arial" w:eastAsia="Arial" w:hAnsi="Arial"/>
                <w:sz w:val="14"/>
                <w:szCs w:val="14"/>
                <w:color w:val="333740"/>
              </w:rPr>
              <w:t>Producing the Compensation Committee Report to be included in the Company’s proxy statement</w:t>
            </w:r>
          </w:p>
        </w:tc>
        <w:tc>
          <w:tcPr>
            <w:tcW w:w="0" w:type="dxa"/>
            <w:vAlign w:val="bottom"/>
          </w:tcPr>
          <w:p>
            <w:pPr>
              <w:spacing w:after="0"/>
              <w:rPr>
                <w:sz w:val="1"/>
                <w:szCs w:val="1"/>
                <w:color w:val="auto"/>
              </w:rPr>
            </w:pPr>
          </w:p>
        </w:tc>
      </w:tr>
      <w:tr>
        <w:trPr>
          <w:trHeight w:val="227"/>
        </w:trPr>
        <w:tc>
          <w:tcPr>
            <w:tcW w:w="1860" w:type="dxa"/>
            <w:vAlign w:val="bottom"/>
            <w:shd w:val="clear" w:color="auto" w:fill="D7D8D6"/>
          </w:tcPr>
          <w:p>
            <w:pPr>
              <w:spacing w:after="0"/>
              <w:rPr>
                <w:sz w:val="19"/>
                <w:szCs w:val="19"/>
                <w:color w:val="auto"/>
              </w:rPr>
            </w:pPr>
          </w:p>
        </w:tc>
        <w:tc>
          <w:tcPr>
            <w:tcW w:w="9400" w:type="dxa"/>
            <w:vAlign w:val="bottom"/>
            <w:shd w:val="clear" w:color="auto" w:fill="D7D8D6"/>
          </w:tcPr>
          <w:p>
            <w:pPr>
              <w:ind w:left="780"/>
              <w:spacing w:after="0"/>
              <w:rPr>
                <w:sz w:val="20"/>
                <w:szCs w:val="20"/>
                <w:color w:val="auto"/>
              </w:rPr>
            </w:pPr>
            <w:r>
              <w:rPr>
                <w:rFonts w:ascii="Arial" w:cs="Arial" w:eastAsia="Arial" w:hAnsi="Arial"/>
                <w:sz w:val="14"/>
                <w:szCs w:val="14"/>
                <w:color w:val="333740"/>
              </w:rPr>
              <w:t>Reviewing, evaluating, and approving the directors’ remuneration policy and the directors’ remuneration report</w:t>
            </w:r>
          </w:p>
        </w:tc>
        <w:tc>
          <w:tcPr>
            <w:tcW w:w="0" w:type="dxa"/>
            <w:vAlign w:val="bottom"/>
          </w:tcPr>
          <w:p>
            <w:pPr>
              <w:spacing w:after="0"/>
              <w:rPr>
                <w:sz w:val="1"/>
                <w:szCs w:val="1"/>
                <w:color w:val="auto"/>
              </w:rPr>
            </w:pPr>
          </w:p>
        </w:tc>
      </w:tr>
      <w:tr>
        <w:trPr>
          <w:trHeight w:val="227"/>
        </w:trPr>
        <w:tc>
          <w:tcPr>
            <w:tcW w:w="1860" w:type="dxa"/>
            <w:vAlign w:val="bottom"/>
            <w:shd w:val="clear" w:color="auto" w:fill="D7D8D6"/>
          </w:tcPr>
          <w:p>
            <w:pPr>
              <w:spacing w:after="0"/>
              <w:rPr>
                <w:sz w:val="19"/>
                <w:szCs w:val="19"/>
                <w:color w:val="auto"/>
              </w:rPr>
            </w:pPr>
          </w:p>
        </w:tc>
        <w:tc>
          <w:tcPr>
            <w:tcW w:w="9400" w:type="dxa"/>
            <w:vAlign w:val="bottom"/>
            <w:shd w:val="clear" w:color="auto" w:fill="D7D8D6"/>
          </w:tcPr>
          <w:p>
            <w:pPr>
              <w:ind w:left="780"/>
              <w:spacing w:after="0"/>
              <w:rPr>
                <w:sz w:val="20"/>
                <w:szCs w:val="20"/>
                <w:color w:val="auto"/>
              </w:rPr>
            </w:pPr>
            <w:r>
              <w:rPr>
                <w:rFonts w:ascii="Arial" w:cs="Arial" w:eastAsia="Arial" w:hAnsi="Arial"/>
                <w:sz w:val="14"/>
                <w:szCs w:val="14"/>
                <w:color w:val="333740"/>
              </w:rPr>
              <w:t>Otherwise discharging the Board’s responsibilities related to compensation of the Company’s executive officers and directors</w:t>
            </w:r>
          </w:p>
        </w:tc>
        <w:tc>
          <w:tcPr>
            <w:tcW w:w="0" w:type="dxa"/>
            <w:vAlign w:val="bottom"/>
          </w:tcPr>
          <w:p>
            <w:pPr>
              <w:spacing w:after="0"/>
              <w:rPr>
                <w:sz w:val="1"/>
                <w:szCs w:val="1"/>
                <w:color w:val="auto"/>
              </w:rPr>
            </w:pPr>
          </w:p>
        </w:tc>
      </w:tr>
      <w:tr>
        <w:trPr>
          <w:trHeight w:val="161"/>
        </w:trPr>
        <w:tc>
          <w:tcPr>
            <w:tcW w:w="1860" w:type="dxa"/>
            <w:vAlign w:val="bottom"/>
            <w:shd w:val="clear" w:color="auto" w:fill="D7D8D6"/>
          </w:tcPr>
          <w:p>
            <w:pPr>
              <w:spacing w:after="0"/>
              <w:rPr>
                <w:sz w:val="14"/>
                <w:szCs w:val="14"/>
                <w:color w:val="auto"/>
              </w:rPr>
            </w:pPr>
          </w:p>
        </w:tc>
        <w:tc>
          <w:tcPr>
            <w:tcW w:w="940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-1357630</wp:posOffset>
            </wp:positionV>
            <wp:extent cx="45720" cy="755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-1107440</wp:posOffset>
            </wp:positionV>
            <wp:extent cx="45720" cy="755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-750570</wp:posOffset>
            </wp:positionV>
            <wp:extent cx="45720" cy="755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-492760</wp:posOffset>
            </wp:positionV>
            <wp:extent cx="45720" cy="755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-348615</wp:posOffset>
            </wp:positionV>
            <wp:extent cx="45720" cy="755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-204470</wp:posOffset>
            </wp:positionV>
            <wp:extent cx="45720" cy="755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5720" cy="75565"/>
                    </a:xfrm>
                    <a:prstGeom prst="rect">
                      <a:avLst/>
                    </a:prstGeom>
                    <a:noFill/>
                  </pic:spPr>
                </pic:pic>
              </a:graphicData>
            </a:graphic>
          </wp:anchor>
        </w:drawing>
      </w:r>
    </w:p>
    <w:p>
      <w:pPr>
        <w:spacing w:after="0" w:line="77"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48195" cy="2273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8195" cy="227330"/>
                    </a:xfrm>
                    <a:prstGeom prst="rect">
                      <a:avLst/>
                    </a:prstGeom>
                    <a:noFill/>
                  </pic:spPr>
                </pic:pic>
              </a:graphicData>
            </a:graphic>
          </wp:anchor>
        </w:drawing>
      </w:r>
    </w:p>
    <w:p>
      <w:pPr>
        <w:spacing w:after="0" w:line="222" w:lineRule="exact"/>
        <w:rPr>
          <w:sz w:val="20"/>
          <w:szCs w:val="20"/>
          <w:color w:val="auto"/>
        </w:rPr>
      </w:pPr>
    </w:p>
    <w:p>
      <w:pPr>
        <w:ind w:left="124"/>
        <w:spacing w:after="0"/>
        <w:rPr>
          <w:sz w:val="20"/>
          <w:szCs w:val="20"/>
          <w:color w:val="auto"/>
        </w:rPr>
      </w:pPr>
      <w:r>
        <w:rPr>
          <w:rFonts w:ascii="Arial" w:cs="Arial" w:eastAsia="Arial" w:hAnsi="Arial"/>
          <w:sz w:val="14"/>
          <w:szCs w:val="14"/>
          <w:b w:val="1"/>
          <w:bCs w:val="1"/>
          <w:color w:val="FFFFFF"/>
        </w:rPr>
        <w:t>2019 Meetings: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1510030</wp:posOffset>
            </wp:positionH>
            <wp:positionV relativeFrom="paragraph">
              <wp:posOffset>74930</wp:posOffset>
            </wp:positionV>
            <wp:extent cx="7620" cy="17830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20" cy="1783080"/>
                    </a:xfrm>
                    <a:prstGeom prst="rect">
                      <a:avLst/>
                    </a:prstGeom>
                    <a:noFill/>
                  </pic:spPr>
                </pic:pic>
              </a:graphicData>
            </a:graphic>
          </wp:anchor>
        </w:drawing>
      </w:r>
    </w:p>
    <w:p>
      <w:pPr>
        <w:spacing w:after="0" w:line="98" w:lineRule="exact"/>
        <w:rPr>
          <w:sz w:val="20"/>
          <w:szCs w:val="20"/>
          <w:color w:val="auto"/>
        </w:rPr>
      </w:pPr>
    </w:p>
    <w:tbl>
      <w:tblPr>
        <w:tblLayout w:type="fixed"/>
        <w:tblInd w:w="4" w:type="dxa"/>
        <w:tblCellMar>
          <w:top w:w="0" w:type="dxa"/>
          <w:left w:w="0" w:type="dxa"/>
          <w:bottom w:w="0" w:type="dxa"/>
          <w:right w:w="0" w:type="dxa"/>
        </w:tblCellMar>
      </w:tblPr>
      <w:tr>
        <w:trPr>
          <w:trHeight w:val="269"/>
        </w:trPr>
        <w:tc>
          <w:tcPr>
            <w:tcW w:w="2060" w:type="dxa"/>
            <w:vAlign w:val="bottom"/>
            <w:shd w:val="clear" w:color="auto" w:fill="481F6E"/>
          </w:tcPr>
          <w:p>
            <w:pPr>
              <w:ind w:left="120"/>
              <w:spacing w:after="0"/>
              <w:rPr>
                <w:sz w:val="20"/>
                <w:szCs w:val="20"/>
                <w:color w:val="auto"/>
              </w:rPr>
            </w:pPr>
            <w:r>
              <w:rPr>
                <w:rFonts w:ascii="Arial" w:cs="Arial" w:eastAsia="Arial" w:hAnsi="Arial"/>
                <w:sz w:val="14"/>
                <w:szCs w:val="14"/>
                <w:b w:val="1"/>
                <w:bCs w:val="1"/>
                <w:color w:val="FFFFFF"/>
              </w:rPr>
              <w:t>Members</w:t>
            </w:r>
          </w:p>
        </w:tc>
        <w:tc>
          <w:tcPr>
            <w:tcW w:w="9200" w:type="dxa"/>
            <w:vAlign w:val="bottom"/>
            <w:shd w:val="clear" w:color="auto" w:fill="481F6E"/>
          </w:tcPr>
          <w:p>
            <w:pPr>
              <w:ind w:left="420"/>
              <w:spacing w:after="0"/>
              <w:rPr>
                <w:sz w:val="20"/>
                <w:szCs w:val="20"/>
                <w:color w:val="auto"/>
              </w:rPr>
            </w:pPr>
            <w:r>
              <w:rPr>
                <w:rFonts w:ascii="Arial" w:cs="Arial" w:eastAsia="Arial" w:hAnsi="Arial"/>
                <w:sz w:val="14"/>
                <w:szCs w:val="14"/>
                <w:b w:val="1"/>
                <w:bCs w:val="1"/>
                <w:color w:val="FFFFFF"/>
              </w:rPr>
              <w:t>Primary Responsibilities</w:t>
            </w:r>
          </w:p>
        </w:tc>
        <w:tc>
          <w:tcPr>
            <w:tcW w:w="0" w:type="dxa"/>
            <w:vAlign w:val="bottom"/>
          </w:tcPr>
          <w:p>
            <w:pPr>
              <w:spacing w:after="0"/>
              <w:rPr>
                <w:sz w:val="1"/>
                <w:szCs w:val="1"/>
                <w:color w:val="auto"/>
              </w:rPr>
            </w:pPr>
          </w:p>
        </w:tc>
      </w:tr>
      <w:tr>
        <w:trPr>
          <w:trHeight w:val="89"/>
        </w:trPr>
        <w:tc>
          <w:tcPr>
            <w:tcW w:w="2060" w:type="dxa"/>
            <w:vAlign w:val="bottom"/>
            <w:shd w:val="clear" w:color="auto" w:fill="481F6E"/>
          </w:tcPr>
          <w:p>
            <w:pPr>
              <w:spacing w:after="0"/>
              <w:rPr>
                <w:sz w:val="7"/>
                <w:szCs w:val="7"/>
                <w:color w:val="auto"/>
              </w:rPr>
            </w:pPr>
          </w:p>
        </w:tc>
        <w:tc>
          <w:tcPr>
            <w:tcW w:w="9200" w:type="dxa"/>
            <w:vAlign w:val="bottom"/>
            <w:shd w:val="clear" w:color="auto" w:fill="481F6E"/>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06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Peter Mellbye (Chair)</w:t>
            </w:r>
          </w:p>
        </w:tc>
        <w:tc>
          <w:tcPr>
            <w:tcW w:w="9200" w:type="dxa"/>
            <w:vAlign w:val="bottom"/>
            <w:shd w:val="clear" w:color="auto" w:fill="D7D8D6"/>
          </w:tcPr>
          <w:p>
            <w:pPr>
              <w:ind w:left="580"/>
              <w:spacing w:after="0"/>
              <w:rPr>
                <w:sz w:val="20"/>
                <w:szCs w:val="20"/>
                <w:color w:val="auto"/>
              </w:rPr>
            </w:pPr>
            <w:r>
              <w:rPr>
                <w:rFonts w:ascii="Arial" w:cs="Arial" w:eastAsia="Arial" w:hAnsi="Arial"/>
                <w:sz w:val="14"/>
                <w:szCs w:val="14"/>
                <w:color w:val="333740"/>
              </w:rPr>
              <w:t>Advising and making recommendations to the Board regarding appropriate corporate governance practices and assisting the Board in</w:t>
            </w:r>
          </w:p>
        </w:tc>
        <w:tc>
          <w:tcPr>
            <w:tcW w:w="0" w:type="dxa"/>
            <w:vAlign w:val="bottom"/>
          </w:tcPr>
          <w:p>
            <w:pPr>
              <w:spacing w:after="0"/>
              <w:rPr>
                <w:sz w:val="1"/>
                <w:szCs w:val="1"/>
                <w:color w:val="auto"/>
              </w:rPr>
            </w:pPr>
          </w:p>
        </w:tc>
      </w:tr>
      <w:tr>
        <w:trPr>
          <w:trHeight w:val="227"/>
        </w:trPr>
        <w:tc>
          <w:tcPr>
            <w:tcW w:w="206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Pascal Colombani</w:t>
            </w:r>
          </w:p>
        </w:tc>
        <w:tc>
          <w:tcPr>
            <w:tcW w:w="9200" w:type="dxa"/>
            <w:vAlign w:val="bottom"/>
            <w:shd w:val="clear" w:color="auto" w:fill="D7D8D6"/>
          </w:tcPr>
          <w:p>
            <w:pPr>
              <w:ind w:left="560"/>
              <w:spacing w:after="0"/>
              <w:rPr>
                <w:sz w:val="20"/>
                <w:szCs w:val="20"/>
                <w:color w:val="auto"/>
              </w:rPr>
            </w:pPr>
            <w:r>
              <w:rPr>
                <w:rFonts w:ascii="Arial" w:cs="Arial" w:eastAsia="Arial" w:hAnsi="Arial"/>
                <w:sz w:val="14"/>
                <w:szCs w:val="14"/>
                <w:color w:val="333740"/>
              </w:rPr>
              <w:t>implementing those practices</w:t>
            </w:r>
          </w:p>
        </w:tc>
        <w:tc>
          <w:tcPr>
            <w:tcW w:w="0" w:type="dxa"/>
            <w:vAlign w:val="bottom"/>
          </w:tcPr>
          <w:p>
            <w:pPr>
              <w:spacing w:after="0"/>
              <w:rPr>
                <w:sz w:val="1"/>
                <w:szCs w:val="1"/>
                <w:color w:val="auto"/>
              </w:rPr>
            </w:pPr>
          </w:p>
        </w:tc>
      </w:tr>
      <w:tr>
        <w:trPr>
          <w:trHeight w:val="167"/>
        </w:trPr>
        <w:tc>
          <w:tcPr>
            <w:tcW w:w="2060" w:type="dxa"/>
            <w:vAlign w:val="bottom"/>
            <w:vMerge w:val="restart"/>
            <w:shd w:val="clear" w:color="auto" w:fill="D7D8D6"/>
          </w:tcPr>
          <w:p>
            <w:pPr>
              <w:ind w:left="120"/>
              <w:spacing w:after="0"/>
              <w:rPr>
                <w:sz w:val="20"/>
                <w:szCs w:val="20"/>
                <w:color w:val="auto"/>
              </w:rPr>
            </w:pPr>
            <w:r>
              <w:rPr>
                <w:rFonts w:ascii="Arial" w:cs="Arial" w:eastAsia="Arial" w:hAnsi="Arial"/>
                <w:sz w:val="14"/>
                <w:szCs w:val="14"/>
                <w:color w:val="333740"/>
              </w:rPr>
              <w:t>Didier Houssin</w:t>
            </w:r>
          </w:p>
        </w:tc>
        <w:tc>
          <w:tcPr>
            <w:tcW w:w="9200" w:type="dxa"/>
            <w:vAlign w:val="bottom"/>
            <w:shd w:val="clear" w:color="auto" w:fill="D7D8D6"/>
          </w:tcPr>
          <w:p>
            <w:pPr>
              <w:ind w:left="580"/>
              <w:spacing w:after="0"/>
              <w:rPr>
                <w:sz w:val="20"/>
                <w:szCs w:val="20"/>
                <w:color w:val="auto"/>
              </w:rPr>
            </w:pPr>
            <w:r>
              <w:rPr>
                <w:rFonts w:ascii="Arial" w:cs="Arial" w:eastAsia="Arial" w:hAnsi="Arial"/>
                <w:sz w:val="14"/>
                <w:szCs w:val="14"/>
                <w:color w:val="333740"/>
              </w:rPr>
              <w:t>Monitoring the development and implementation of the Company’s compliance program (including procedures for allegation reporting,</w:t>
            </w:r>
          </w:p>
        </w:tc>
        <w:tc>
          <w:tcPr>
            <w:tcW w:w="0" w:type="dxa"/>
            <w:vAlign w:val="bottom"/>
          </w:tcPr>
          <w:p>
            <w:pPr>
              <w:spacing w:after="0"/>
              <w:rPr>
                <w:sz w:val="1"/>
                <w:szCs w:val="1"/>
                <w:color w:val="auto"/>
              </w:rPr>
            </w:pPr>
          </w:p>
        </w:tc>
      </w:tr>
      <w:tr>
        <w:trPr>
          <w:trHeight w:val="92"/>
        </w:trPr>
        <w:tc>
          <w:tcPr>
            <w:tcW w:w="2060" w:type="dxa"/>
            <w:vAlign w:val="bottom"/>
            <w:vMerge w:val="continue"/>
            <w:shd w:val="clear" w:color="auto" w:fill="D7D8D6"/>
          </w:tcPr>
          <w:p>
            <w:pPr>
              <w:spacing w:after="0"/>
              <w:rPr>
                <w:sz w:val="8"/>
                <w:szCs w:val="8"/>
                <w:color w:val="auto"/>
              </w:rPr>
            </w:pPr>
          </w:p>
        </w:tc>
        <w:tc>
          <w:tcPr>
            <w:tcW w:w="9200" w:type="dxa"/>
            <w:vAlign w:val="bottom"/>
            <w:vMerge w:val="restart"/>
            <w:shd w:val="clear" w:color="auto" w:fill="D7D8D6"/>
          </w:tcPr>
          <w:p>
            <w:pPr>
              <w:ind w:left="560"/>
              <w:spacing w:after="0"/>
              <w:rPr>
                <w:sz w:val="20"/>
                <w:szCs w:val="20"/>
                <w:color w:val="auto"/>
              </w:rPr>
            </w:pPr>
            <w:r>
              <w:rPr>
                <w:rFonts w:ascii="Arial" w:cs="Arial" w:eastAsia="Arial" w:hAnsi="Arial"/>
                <w:sz w:val="14"/>
                <w:szCs w:val="14"/>
                <w:color w:val="333740"/>
              </w:rPr>
              <w:t>investigation, and remediation) to ensure that the Company operates in compliance with the principles of ethical conduct and good</w:t>
            </w:r>
          </w:p>
        </w:tc>
        <w:tc>
          <w:tcPr>
            <w:tcW w:w="0" w:type="dxa"/>
            <w:vAlign w:val="bottom"/>
          </w:tcPr>
          <w:p>
            <w:pPr>
              <w:spacing w:after="0"/>
              <w:rPr>
                <w:sz w:val="1"/>
                <w:szCs w:val="1"/>
                <w:color w:val="auto"/>
              </w:rPr>
            </w:pPr>
          </w:p>
        </w:tc>
      </w:tr>
      <w:tr>
        <w:trPr>
          <w:trHeight w:val="75"/>
        </w:trPr>
        <w:tc>
          <w:tcPr>
            <w:tcW w:w="2060" w:type="dxa"/>
            <w:vAlign w:val="bottom"/>
            <w:vMerge w:val="restart"/>
            <w:shd w:val="clear" w:color="auto" w:fill="D7D8D6"/>
          </w:tcPr>
          <w:p>
            <w:pPr>
              <w:ind w:left="120"/>
              <w:spacing w:after="0"/>
              <w:rPr>
                <w:sz w:val="20"/>
                <w:szCs w:val="20"/>
                <w:color w:val="auto"/>
              </w:rPr>
            </w:pPr>
            <w:r>
              <w:rPr>
                <w:rFonts w:ascii="Arial" w:cs="Arial" w:eastAsia="Arial" w:hAnsi="Arial"/>
                <w:sz w:val="14"/>
                <w:szCs w:val="14"/>
                <w:color w:val="333740"/>
              </w:rPr>
              <w:t>Olivier Piou</w:t>
            </w:r>
          </w:p>
        </w:tc>
        <w:tc>
          <w:tcPr>
            <w:tcW w:w="9200" w:type="dxa"/>
            <w:vAlign w:val="bottom"/>
            <w:vMerge w:val="continue"/>
            <w:shd w:val="clear" w:color="auto" w:fill="D7D8D6"/>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060" w:type="dxa"/>
            <w:vAlign w:val="bottom"/>
            <w:vMerge w:val="continue"/>
            <w:shd w:val="clear" w:color="auto" w:fill="D7D8D6"/>
          </w:tcPr>
          <w:p>
            <w:pPr>
              <w:spacing w:after="0"/>
              <w:rPr>
                <w:sz w:val="14"/>
                <w:szCs w:val="14"/>
                <w:color w:val="auto"/>
              </w:rPr>
            </w:pPr>
          </w:p>
        </w:tc>
        <w:tc>
          <w:tcPr>
            <w:tcW w:w="9200" w:type="dxa"/>
            <w:vAlign w:val="bottom"/>
            <w:shd w:val="clear" w:color="auto" w:fill="D7D8D6"/>
          </w:tcPr>
          <w:p>
            <w:pPr>
              <w:ind w:left="560"/>
              <w:spacing w:after="0"/>
              <w:rPr>
                <w:sz w:val="20"/>
                <w:szCs w:val="20"/>
                <w:color w:val="auto"/>
              </w:rPr>
            </w:pPr>
            <w:r>
              <w:rPr>
                <w:rFonts w:ascii="Arial" w:cs="Arial" w:eastAsia="Arial" w:hAnsi="Arial"/>
                <w:sz w:val="14"/>
                <w:szCs w:val="14"/>
                <w:color w:val="333740"/>
              </w:rPr>
              <w:t>governance</w:t>
            </w:r>
          </w:p>
        </w:tc>
        <w:tc>
          <w:tcPr>
            <w:tcW w:w="0" w:type="dxa"/>
            <w:vAlign w:val="bottom"/>
          </w:tcPr>
          <w:p>
            <w:pPr>
              <w:spacing w:after="0"/>
              <w:rPr>
                <w:sz w:val="1"/>
                <w:szCs w:val="1"/>
                <w:color w:val="auto"/>
              </w:rPr>
            </w:pPr>
          </w:p>
        </w:tc>
      </w:tr>
      <w:tr>
        <w:trPr>
          <w:trHeight w:val="255"/>
        </w:trPr>
        <w:tc>
          <w:tcPr>
            <w:tcW w:w="206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John Yearwood</w:t>
            </w:r>
          </w:p>
        </w:tc>
        <w:tc>
          <w:tcPr>
            <w:tcW w:w="9200" w:type="dxa"/>
            <w:vAlign w:val="bottom"/>
            <w:shd w:val="clear" w:color="auto" w:fill="D7D8D6"/>
          </w:tcPr>
          <w:p>
            <w:pPr>
              <w:ind w:left="580"/>
              <w:spacing w:after="0"/>
              <w:rPr>
                <w:sz w:val="20"/>
                <w:szCs w:val="20"/>
                <w:color w:val="auto"/>
              </w:rPr>
            </w:pPr>
            <w:r>
              <w:rPr>
                <w:rFonts w:ascii="Arial" w:cs="Arial" w:eastAsia="Arial" w:hAnsi="Arial"/>
                <w:sz w:val="14"/>
                <w:szCs w:val="14"/>
                <w:color w:val="333740"/>
              </w:rPr>
              <w:t>Reviewing the Company’s corporate responsibility and sustainability program and key performance indicators</w:t>
            </w:r>
          </w:p>
        </w:tc>
        <w:tc>
          <w:tcPr>
            <w:tcW w:w="0" w:type="dxa"/>
            <w:vAlign w:val="bottom"/>
          </w:tcPr>
          <w:p>
            <w:pPr>
              <w:spacing w:after="0"/>
              <w:rPr>
                <w:sz w:val="1"/>
                <w:szCs w:val="1"/>
                <w:color w:val="auto"/>
              </w:rPr>
            </w:pPr>
          </w:p>
        </w:tc>
      </w:tr>
      <w:tr>
        <w:trPr>
          <w:trHeight w:val="211"/>
        </w:trPr>
        <w:tc>
          <w:tcPr>
            <w:tcW w:w="2060" w:type="dxa"/>
            <w:vAlign w:val="bottom"/>
            <w:shd w:val="clear" w:color="auto" w:fill="D7D8D6"/>
          </w:tcPr>
          <w:p>
            <w:pPr>
              <w:spacing w:after="0"/>
              <w:rPr>
                <w:sz w:val="18"/>
                <w:szCs w:val="18"/>
                <w:color w:val="auto"/>
              </w:rPr>
            </w:pPr>
          </w:p>
        </w:tc>
        <w:tc>
          <w:tcPr>
            <w:tcW w:w="9200" w:type="dxa"/>
            <w:vAlign w:val="bottom"/>
            <w:shd w:val="clear" w:color="auto" w:fill="D7D8D6"/>
          </w:tcPr>
          <w:p>
            <w:pPr>
              <w:ind w:left="580"/>
              <w:spacing w:after="0"/>
              <w:rPr>
                <w:sz w:val="20"/>
                <w:szCs w:val="20"/>
                <w:color w:val="auto"/>
              </w:rPr>
            </w:pPr>
            <w:r>
              <w:rPr>
                <w:rFonts w:ascii="Arial" w:cs="Arial" w:eastAsia="Arial" w:hAnsi="Arial"/>
                <w:sz w:val="14"/>
                <w:szCs w:val="14"/>
                <w:color w:val="333740"/>
              </w:rPr>
              <w:t>Reviewing the Company’s succession plans for the Executive Chairman, CEO, and other executive officers</w:t>
            </w:r>
          </w:p>
        </w:tc>
        <w:tc>
          <w:tcPr>
            <w:tcW w:w="0" w:type="dxa"/>
            <w:vAlign w:val="bottom"/>
          </w:tcPr>
          <w:p>
            <w:pPr>
              <w:spacing w:after="0"/>
              <w:rPr>
                <w:sz w:val="1"/>
                <w:szCs w:val="1"/>
                <w:color w:val="auto"/>
              </w:rPr>
            </w:pPr>
          </w:p>
        </w:tc>
      </w:tr>
      <w:tr>
        <w:trPr>
          <w:trHeight w:val="185"/>
        </w:trPr>
        <w:tc>
          <w:tcPr>
            <w:tcW w:w="2060" w:type="dxa"/>
            <w:vAlign w:val="bottom"/>
            <w:shd w:val="clear" w:color="auto" w:fill="D7D8D6"/>
          </w:tcPr>
          <w:p>
            <w:pPr>
              <w:spacing w:after="0"/>
              <w:rPr>
                <w:sz w:val="16"/>
                <w:szCs w:val="16"/>
                <w:color w:val="auto"/>
              </w:rPr>
            </w:pPr>
          </w:p>
        </w:tc>
        <w:tc>
          <w:tcPr>
            <w:tcW w:w="9200" w:type="dxa"/>
            <w:vAlign w:val="bottom"/>
            <w:shd w:val="clear" w:color="auto" w:fill="D7D8D6"/>
          </w:tcPr>
          <w:p>
            <w:pPr>
              <w:ind w:left="580"/>
              <w:spacing w:after="0"/>
              <w:rPr>
                <w:sz w:val="20"/>
                <w:szCs w:val="20"/>
                <w:color w:val="auto"/>
              </w:rPr>
            </w:pPr>
            <w:r>
              <w:rPr>
                <w:rFonts w:ascii="Arial" w:cs="Arial" w:eastAsia="Arial" w:hAnsi="Arial"/>
                <w:sz w:val="14"/>
                <w:szCs w:val="14"/>
                <w:color w:val="333740"/>
              </w:rPr>
              <w:t>Identifying individuals qualified to become members of the Board and recommending director nominees for election at</w:t>
            </w:r>
          </w:p>
        </w:tc>
        <w:tc>
          <w:tcPr>
            <w:tcW w:w="0" w:type="dxa"/>
            <w:vAlign w:val="bottom"/>
          </w:tcPr>
          <w:p>
            <w:pPr>
              <w:spacing w:after="0"/>
              <w:rPr>
                <w:sz w:val="1"/>
                <w:szCs w:val="1"/>
                <w:color w:val="auto"/>
              </w:rPr>
            </w:pPr>
          </w:p>
        </w:tc>
      </w:tr>
      <w:tr>
        <w:trPr>
          <w:trHeight w:val="225"/>
        </w:trPr>
        <w:tc>
          <w:tcPr>
            <w:tcW w:w="2060" w:type="dxa"/>
            <w:vAlign w:val="bottom"/>
            <w:shd w:val="clear" w:color="auto" w:fill="D7D8D6"/>
          </w:tcPr>
          <w:p>
            <w:pPr>
              <w:spacing w:after="0"/>
              <w:rPr>
                <w:sz w:val="19"/>
                <w:szCs w:val="19"/>
                <w:color w:val="auto"/>
              </w:rPr>
            </w:pPr>
          </w:p>
        </w:tc>
        <w:tc>
          <w:tcPr>
            <w:tcW w:w="9200" w:type="dxa"/>
            <w:vAlign w:val="bottom"/>
            <w:shd w:val="clear" w:color="auto" w:fill="D7D8D6"/>
          </w:tcPr>
          <w:p>
            <w:pPr>
              <w:ind w:left="560"/>
              <w:spacing w:after="0"/>
              <w:rPr>
                <w:sz w:val="20"/>
                <w:szCs w:val="20"/>
                <w:color w:val="auto"/>
              </w:rPr>
            </w:pPr>
            <w:r>
              <w:rPr>
                <w:rFonts w:ascii="Arial" w:cs="Arial" w:eastAsia="Arial" w:hAnsi="Arial"/>
                <w:sz w:val="14"/>
                <w:szCs w:val="14"/>
                <w:color w:val="333740"/>
              </w:rPr>
              <w:t>the annual general meeting of shareholders or for appointment to fill vacancies on the Board</w:t>
            </w:r>
          </w:p>
        </w:tc>
        <w:tc>
          <w:tcPr>
            <w:tcW w:w="0" w:type="dxa"/>
            <w:vAlign w:val="bottom"/>
          </w:tcPr>
          <w:p>
            <w:pPr>
              <w:spacing w:after="0"/>
              <w:rPr>
                <w:sz w:val="1"/>
                <w:szCs w:val="1"/>
                <w:color w:val="auto"/>
              </w:rPr>
            </w:pPr>
          </w:p>
        </w:tc>
      </w:tr>
      <w:tr>
        <w:trPr>
          <w:trHeight w:val="239"/>
        </w:trPr>
        <w:tc>
          <w:tcPr>
            <w:tcW w:w="2060" w:type="dxa"/>
            <w:vAlign w:val="bottom"/>
            <w:shd w:val="clear" w:color="auto" w:fill="D7D8D6"/>
          </w:tcPr>
          <w:p>
            <w:pPr>
              <w:spacing w:after="0"/>
              <w:rPr>
                <w:sz w:val="20"/>
                <w:szCs w:val="20"/>
                <w:color w:val="auto"/>
              </w:rPr>
            </w:pPr>
          </w:p>
        </w:tc>
        <w:tc>
          <w:tcPr>
            <w:tcW w:w="9200" w:type="dxa"/>
            <w:vAlign w:val="bottom"/>
            <w:shd w:val="clear" w:color="auto" w:fill="D7D8D6"/>
          </w:tcPr>
          <w:p>
            <w:pPr>
              <w:ind w:left="580"/>
              <w:spacing w:after="0"/>
              <w:rPr>
                <w:sz w:val="20"/>
                <w:szCs w:val="20"/>
                <w:color w:val="auto"/>
              </w:rPr>
            </w:pPr>
            <w:r>
              <w:rPr>
                <w:rFonts w:ascii="Arial" w:cs="Arial" w:eastAsia="Arial" w:hAnsi="Arial"/>
                <w:sz w:val="14"/>
                <w:szCs w:val="14"/>
                <w:color w:val="333740"/>
              </w:rPr>
              <w:t>Recommending directors to serve on each committee of the Board and recommending the Lead Independent Director</w:t>
            </w:r>
          </w:p>
        </w:tc>
        <w:tc>
          <w:tcPr>
            <w:tcW w:w="0" w:type="dxa"/>
            <w:vAlign w:val="bottom"/>
          </w:tcPr>
          <w:p>
            <w:pPr>
              <w:spacing w:after="0"/>
              <w:rPr>
                <w:sz w:val="1"/>
                <w:szCs w:val="1"/>
                <w:color w:val="auto"/>
              </w:rPr>
            </w:pPr>
          </w:p>
        </w:tc>
      </w:tr>
      <w:tr>
        <w:trPr>
          <w:trHeight w:val="227"/>
        </w:trPr>
        <w:tc>
          <w:tcPr>
            <w:tcW w:w="2060" w:type="dxa"/>
            <w:vAlign w:val="bottom"/>
            <w:shd w:val="clear" w:color="auto" w:fill="D7D8D6"/>
          </w:tcPr>
          <w:p>
            <w:pPr>
              <w:spacing w:after="0"/>
              <w:rPr>
                <w:sz w:val="19"/>
                <w:szCs w:val="19"/>
                <w:color w:val="auto"/>
              </w:rPr>
            </w:pPr>
          </w:p>
        </w:tc>
        <w:tc>
          <w:tcPr>
            <w:tcW w:w="9200" w:type="dxa"/>
            <w:vAlign w:val="bottom"/>
            <w:shd w:val="clear" w:color="auto" w:fill="D7D8D6"/>
          </w:tcPr>
          <w:p>
            <w:pPr>
              <w:ind w:left="580"/>
              <w:spacing w:after="0"/>
              <w:rPr>
                <w:sz w:val="20"/>
                <w:szCs w:val="20"/>
                <w:color w:val="auto"/>
              </w:rPr>
            </w:pPr>
            <w:r>
              <w:rPr>
                <w:rFonts w:ascii="Arial" w:cs="Arial" w:eastAsia="Arial" w:hAnsi="Arial"/>
                <w:sz w:val="14"/>
                <w:szCs w:val="14"/>
                <w:color w:val="333740"/>
              </w:rPr>
              <w:t>Leading the Board in the annual performance evaluation of the Board and its committees</w:t>
            </w:r>
          </w:p>
        </w:tc>
        <w:tc>
          <w:tcPr>
            <w:tcW w:w="0" w:type="dxa"/>
            <w:vAlign w:val="bottom"/>
          </w:tcPr>
          <w:p>
            <w:pPr>
              <w:spacing w:after="0"/>
              <w:rPr>
                <w:sz w:val="1"/>
                <w:szCs w:val="1"/>
                <w:color w:val="auto"/>
              </w:rPr>
            </w:pPr>
          </w:p>
        </w:tc>
      </w:tr>
      <w:tr>
        <w:trPr>
          <w:trHeight w:val="109"/>
        </w:trPr>
        <w:tc>
          <w:tcPr>
            <w:tcW w:w="2060" w:type="dxa"/>
            <w:vAlign w:val="bottom"/>
            <w:shd w:val="clear" w:color="auto" w:fill="D7D8D6"/>
          </w:tcPr>
          <w:p>
            <w:pPr>
              <w:spacing w:after="0"/>
              <w:rPr>
                <w:sz w:val="9"/>
                <w:szCs w:val="9"/>
                <w:color w:val="auto"/>
              </w:rPr>
            </w:pPr>
          </w:p>
        </w:tc>
        <w:tc>
          <w:tcPr>
            <w:tcW w:w="9200" w:type="dxa"/>
            <w:vAlign w:val="bottom"/>
            <w:shd w:val="clear" w:color="auto" w:fill="D7D8D6"/>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-1486535</wp:posOffset>
            </wp:positionV>
            <wp:extent cx="45720" cy="755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-1236345</wp:posOffset>
            </wp:positionV>
            <wp:extent cx="45720" cy="755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-871855</wp:posOffset>
            </wp:positionV>
            <wp:extent cx="45720" cy="755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-727710</wp:posOffset>
            </wp:positionV>
            <wp:extent cx="45720" cy="755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-583565</wp:posOffset>
            </wp:positionV>
            <wp:extent cx="45720" cy="755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-325755</wp:posOffset>
            </wp:positionV>
            <wp:extent cx="45720" cy="755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-181610</wp:posOffset>
            </wp:positionV>
            <wp:extent cx="45720" cy="755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5720" cy="75565"/>
                    </a:xfrm>
                    <a:prstGeom prst="rect">
                      <a:avLst/>
                    </a:prstGeom>
                    <a:noFill/>
                  </pic:spPr>
                </pic:pic>
              </a:graphicData>
            </a:graphic>
          </wp:anchor>
        </w:drawing>
      </w:r>
    </w:p>
    <w:p>
      <w:pPr>
        <w:spacing w:after="0" w:line="343" w:lineRule="exact"/>
        <w:rPr>
          <w:sz w:val="20"/>
          <w:szCs w:val="20"/>
          <w:color w:val="auto"/>
        </w:rPr>
      </w:pPr>
    </w:p>
    <w:p>
      <w:pPr>
        <w:ind w:left="564" w:hanging="564"/>
        <w:spacing w:after="0"/>
        <w:tabs>
          <w:tab w:leader="none" w:pos="564" w:val="left"/>
        </w:tabs>
        <w:numPr>
          <w:ilvl w:val="0"/>
          <w:numId w:val="55"/>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47" w:name="page48"/>
    <w:bookmarkEnd w:id="47"/>
    <w:p>
      <w:pPr>
        <w:ind w:left="24"/>
        <w:spacing w:after="0"/>
        <w:rPr>
          <w:sz w:val="20"/>
          <w:szCs w:val="20"/>
          <w:color w:val="auto"/>
        </w:rPr>
      </w:pPr>
      <w:r>
        <w:rPr>
          <w:rFonts w:ascii="Arial" w:cs="Arial" w:eastAsia="Arial" w:hAnsi="Arial"/>
          <w:sz w:val="12"/>
          <w:szCs w:val="12"/>
          <w:b w:val="1"/>
          <w:bCs w:val="1"/>
          <w:color w:val="481F6E"/>
        </w:rPr>
        <w:t>TechnipFMC Proxy Statement 2020</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Strategy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48195" cy="2273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8195" cy="227330"/>
                    </a:xfrm>
                    <a:prstGeom prst="rect">
                      <a:avLst/>
                    </a:prstGeom>
                    <a:noFill/>
                  </pic:spPr>
                </pic:pic>
              </a:graphicData>
            </a:graphic>
          </wp:anchor>
        </w:drawing>
      </w:r>
    </w:p>
    <w:p>
      <w:pPr>
        <w:sectPr>
          <w:pgSz w:w="11900" w:h="16838" w:orient="portrait"/>
          <w:cols w:equalWidth="0" w:num="1">
            <w:col w:w="11144"/>
          </w:cols>
          <w:pgMar w:left="316" w:top="128" w:right="439" w:bottom="1440" w:gutter="0" w:footer="0" w:header="0"/>
        </w:sectPr>
      </w:pPr>
    </w:p>
    <w:p>
      <w:pPr>
        <w:spacing w:after="0" w:line="223" w:lineRule="exact"/>
        <w:rPr>
          <w:sz w:val="20"/>
          <w:szCs w:val="20"/>
          <w:color w:val="auto"/>
        </w:rPr>
      </w:pPr>
    </w:p>
    <w:p>
      <w:pPr>
        <w:ind w:left="124"/>
        <w:spacing w:after="0"/>
        <w:rPr>
          <w:sz w:val="20"/>
          <w:szCs w:val="20"/>
          <w:color w:val="auto"/>
        </w:rPr>
      </w:pPr>
      <w:r>
        <w:rPr>
          <w:rFonts w:ascii="Arial" w:cs="Arial" w:eastAsia="Arial" w:hAnsi="Arial"/>
          <w:sz w:val="14"/>
          <w:szCs w:val="14"/>
          <w:b w:val="1"/>
          <w:bCs w:val="1"/>
          <w:color w:val="FFFFFF"/>
        </w:rPr>
        <w:t>2019 Meetings: 5</w:t>
      </w:r>
    </w:p>
    <w:p>
      <w:pPr>
        <w:spacing w:after="0" w:line="198" w:lineRule="exact"/>
        <w:rPr>
          <w:sz w:val="20"/>
          <w:szCs w:val="20"/>
          <w:color w:val="auto"/>
        </w:rPr>
      </w:pPr>
    </w:p>
    <w:p>
      <w:pPr>
        <w:ind w:left="124"/>
        <w:spacing w:after="0"/>
        <w:rPr>
          <w:sz w:val="20"/>
          <w:szCs w:val="20"/>
          <w:color w:val="auto"/>
        </w:rPr>
      </w:pPr>
      <w:r>
        <w:rPr>
          <w:rFonts w:ascii="Arial" w:cs="Arial" w:eastAsia="Arial" w:hAnsi="Arial"/>
          <w:sz w:val="14"/>
          <w:szCs w:val="14"/>
          <w:b w:val="1"/>
          <w:bCs w:val="1"/>
          <w:color w:val="FFFFFF"/>
        </w:rPr>
        <w:t>Members</w:t>
      </w:r>
    </w:p>
    <w:p>
      <w:pPr>
        <w:spacing w:after="0" w:line="247" w:lineRule="exact"/>
        <w:rPr>
          <w:sz w:val="20"/>
          <w:szCs w:val="20"/>
          <w:color w:val="auto"/>
        </w:rPr>
      </w:pPr>
    </w:p>
    <w:p>
      <w:pPr>
        <w:ind w:left="124" w:right="60"/>
        <w:spacing w:after="0" w:line="283" w:lineRule="auto"/>
        <w:rPr>
          <w:sz w:val="20"/>
          <w:szCs w:val="20"/>
          <w:color w:val="auto"/>
        </w:rPr>
      </w:pPr>
      <w:r>
        <w:rPr>
          <w:rFonts w:ascii="Arial" w:cs="Arial" w:eastAsia="Arial" w:hAnsi="Arial"/>
          <w:sz w:val="14"/>
          <w:szCs w:val="14"/>
          <w:color w:val="333740"/>
        </w:rPr>
        <w:t>Douglas J. Pferdehirt (Chair)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14"/>
          <w:szCs w:val="14"/>
          <w:color w:val="333740"/>
        </w:rPr>
        <w:t>Pascal Colombani</w:t>
      </w:r>
    </w:p>
    <w:p>
      <w:pPr>
        <w:spacing w:after="0" w:line="114" w:lineRule="exact"/>
        <w:rPr>
          <w:sz w:val="20"/>
          <w:szCs w:val="20"/>
          <w:color w:val="auto"/>
        </w:rPr>
      </w:pPr>
    </w:p>
    <w:p>
      <w:pPr>
        <w:ind w:left="124"/>
        <w:spacing w:after="0"/>
        <w:rPr>
          <w:sz w:val="20"/>
          <w:szCs w:val="20"/>
          <w:color w:val="auto"/>
        </w:rPr>
      </w:pPr>
      <w:r>
        <w:rPr>
          <w:rFonts w:ascii="Arial" w:cs="Arial" w:eastAsia="Arial" w:hAnsi="Arial"/>
          <w:sz w:val="14"/>
          <w:szCs w:val="14"/>
          <w:color w:val="333740"/>
        </w:rPr>
        <w:t>Claire S. Farley</w:t>
      </w:r>
    </w:p>
    <w:p>
      <w:pPr>
        <w:spacing w:after="0" w:line="126" w:lineRule="exact"/>
        <w:rPr>
          <w:sz w:val="20"/>
          <w:szCs w:val="20"/>
          <w:color w:val="auto"/>
        </w:rPr>
      </w:pPr>
    </w:p>
    <w:p>
      <w:pPr>
        <w:ind w:left="124"/>
        <w:spacing w:after="0"/>
        <w:rPr>
          <w:sz w:val="20"/>
          <w:szCs w:val="20"/>
          <w:color w:val="auto"/>
        </w:rPr>
      </w:pPr>
      <w:r>
        <w:rPr>
          <w:rFonts w:ascii="Arial" w:cs="Arial" w:eastAsia="Arial" w:hAnsi="Arial"/>
          <w:sz w:val="14"/>
          <w:szCs w:val="14"/>
          <w:color w:val="333740"/>
        </w:rPr>
        <w:t>Didier Houssin</w:t>
      </w:r>
    </w:p>
    <w:p>
      <w:pPr>
        <w:spacing w:after="0" w:line="66" w:lineRule="exact"/>
        <w:rPr>
          <w:sz w:val="20"/>
          <w:szCs w:val="20"/>
          <w:color w:val="auto"/>
        </w:rPr>
      </w:pPr>
    </w:p>
    <w:p>
      <w:pPr>
        <w:ind w:left="124"/>
        <w:spacing w:after="0"/>
        <w:rPr>
          <w:sz w:val="20"/>
          <w:szCs w:val="20"/>
          <w:color w:val="auto"/>
        </w:rPr>
      </w:pPr>
      <w:r>
        <w:rPr>
          <w:rFonts w:ascii="Arial" w:cs="Arial" w:eastAsia="Arial" w:hAnsi="Arial"/>
          <w:sz w:val="14"/>
          <w:szCs w:val="14"/>
          <w:color w:val="333740"/>
        </w:rPr>
        <w:t>Peter Mellbye</w:t>
      </w:r>
    </w:p>
    <w:p>
      <w:pPr>
        <w:spacing w:after="0" w:line="66" w:lineRule="exact"/>
        <w:rPr>
          <w:sz w:val="20"/>
          <w:szCs w:val="20"/>
          <w:color w:val="auto"/>
        </w:rPr>
      </w:pPr>
    </w:p>
    <w:p>
      <w:pPr>
        <w:ind w:left="124"/>
        <w:spacing w:after="0"/>
        <w:rPr>
          <w:sz w:val="20"/>
          <w:szCs w:val="20"/>
          <w:color w:val="auto"/>
        </w:rPr>
      </w:pPr>
      <w:r>
        <w:rPr>
          <w:rFonts w:ascii="Arial" w:cs="Arial" w:eastAsia="Arial" w:hAnsi="Arial"/>
          <w:sz w:val="14"/>
          <w:szCs w:val="14"/>
          <w:color w:val="333740"/>
        </w:rPr>
        <w:t>Olivier Piou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-139700</wp:posOffset>
            </wp:positionV>
            <wp:extent cx="7148195" cy="13963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8195" cy="1396365"/>
                    </a:xfrm>
                    <a:prstGeom prst="rect">
                      <a:avLst/>
                    </a:prstGeom>
                    <a:noFill/>
                  </pic:spPr>
                </pic:pic>
              </a:graphicData>
            </a:graphic>
          </wp:anchor>
        </w:drawing>
      </w:r>
    </w:p>
    <w:p>
      <w:pPr>
        <w:spacing w:after="0" w:line="178" w:lineRule="exact"/>
        <w:rPr>
          <w:sz w:val="20"/>
          <w:szCs w:val="20"/>
          <w:color w:val="auto"/>
        </w:rPr>
      </w:pPr>
    </w:p>
    <w:p>
      <w:pPr>
        <w:ind w:left="140" w:right="340" w:hanging="142"/>
        <w:spacing w:after="0"/>
        <w:rPr>
          <w:sz w:val="20"/>
          <w:szCs w:val="20"/>
          <w:color w:val="auto"/>
        </w:rPr>
      </w:pPr>
      <w:r>
        <w:rPr>
          <w:sz w:val="1"/>
          <w:szCs w:val="1"/>
          <w:color w:val="auto"/>
        </w:rPr>
        <w:drawing>
          <wp:inline distT="0" distB="0" distL="0" distR="0">
            <wp:extent cx="45720" cy="7556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Reviewing the development and implementation of the Company’s long-term global strategy, risks, and opportunities relating to such strategy</w:t>
      </w:r>
    </w:p>
    <w:p>
      <w:pPr>
        <w:spacing w:after="0" w:line="39" w:lineRule="exact"/>
        <w:rPr>
          <w:sz w:val="20"/>
          <w:szCs w:val="20"/>
          <w:color w:val="auto"/>
        </w:rPr>
      </w:pPr>
    </w:p>
    <w:p>
      <w:pPr>
        <w:spacing w:after="0"/>
        <w:rPr>
          <w:sz w:val="20"/>
          <w:szCs w:val="20"/>
          <w:color w:val="auto"/>
        </w:rPr>
      </w:pPr>
      <w:r>
        <w:rPr>
          <w:sz w:val="1"/>
          <w:szCs w:val="1"/>
          <w:color w:val="auto"/>
        </w:rPr>
        <w:drawing>
          <wp:inline distT="0" distB="0" distL="0" distR="0">
            <wp:extent cx="45720" cy="7556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Reviewing strategic decisions regarding major asset acquisitions, divestitures, joint ventures, and strategic alliances by the Company</w:t>
      </w:r>
    </w:p>
    <w:p>
      <w:pPr>
        <w:spacing w:after="0" w:line="1214" w:lineRule="exact"/>
        <w:rPr>
          <w:sz w:val="20"/>
          <w:szCs w:val="20"/>
          <w:color w:val="auto"/>
        </w:rPr>
      </w:pPr>
    </w:p>
    <w:p>
      <w:pPr>
        <w:sectPr>
          <w:pgSz w:w="11900" w:h="16838" w:orient="portrait"/>
          <w:cols w:equalWidth="0" w:num="2">
            <w:col w:w="1524" w:space="640"/>
            <w:col w:w="8980"/>
          </w:cols>
          <w:pgMar w:left="316" w:top="128" w:right="439" w:bottom="1440" w:gutter="0" w:footer="0" w:header="0"/>
          <w:type w:val="continuous"/>
        </w:sectPr>
      </w:pPr>
    </w:p>
    <w:p>
      <w:pPr>
        <w:spacing w:after="0" w:line="184" w:lineRule="exact"/>
        <w:rPr>
          <w:sz w:val="20"/>
          <w:szCs w:val="20"/>
          <w:color w:val="auto"/>
        </w:rPr>
      </w:pPr>
    </w:p>
    <w:p>
      <w:pPr>
        <w:ind w:left="4"/>
        <w:spacing w:after="0"/>
        <w:rPr>
          <w:sz w:val="20"/>
          <w:szCs w:val="20"/>
          <w:color w:val="auto"/>
        </w:rPr>
      </w:pPr>
      <w:r>
        <w:rPr>
          <w:rFonts w:ascii="Arial" w:cs="Arial" w:eastAsia="Arial" w:hAnsi="Arial"/>
          <w:sz w:val="33"/>
          <w:szCs w:val="33"/>
          <w:color w:val="481F6E"/>
        </w:rPr>
        <w:t>Board Meetings and Attendance</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9"/>
          <w:szCs w:val="19"/>
          <w:color w:val="333740"/>
        </w:rPr>
        <w:t>Our Board met in person or by telephone conference seven times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168275</wp:posOffset>
            </wp:positionV>
            <wp:extent cx="1859280" cy="11379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59280" cy="113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 w:right="540"/>
        <w:spacing w:after="0" w:line="247" w:lineRule="auto"/>
        <w:rPr>
          <w:sz w:val="20"/>
          <w:szCs w:val="20"/>
          <w:color w:val="auto"/>
        </w:rPr>
      </w:pPr>
      <w:r>
        <w:rPr>
          <w:rFonts w:ascii="Arial" w:cs="Arial" w:eastAsia="Arial" w:hAnsi="Arial"/>
          <w:sz w:val="19"/>
          <w:szCs w:val="19"/>
          <w:color w:val="333740"/>
        </w:rPr>
        <w:t>All directors except one attended 100% of our Board meetings in 2019. Mr. Ringler missed one Board meeting due to a family member’s illness, resulting in an 86% attendance rate.</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9"/>
          <w:szCs w:val="19"/>
          <w:color w:val="333740"/>
        </w:rPr>
        <w:t>All directors except two attended 100% of their committee meetings. Mr. Ringler missed a Compensation Committee meeting for the same reasons noted above, resulting in an 80% attendance rate, and Mr. Piou missed one Nominating and Corporate Governance Committee meeting due to a previous commitment that was made known to our Board prior to his on-boarding in June 2019, resulting in a 67% attendance rate.</w:t>
      </w:r>
    </w:p>
    <w:p>
      <w:pPr>
        <w:spacing w:after="0" w:line="82" w:lineRule="exact"/>
        <w:rPr>
          <w:sz w:val="20"/>
          <w:szCs w:val="20"/>
          <w:color w:val="auto"/>
        </w:rPr>
      </w:pPr>
    </w:p>
    <w:p>
      <w:pPr>
        <w:ind w:left="4" w:right="200"/>
        <w:spacing w:after="0" w:line="247" w:lineRule="auto"/>
        <w:rPr>
          <w:sz w:val="20"/>
          <w:szCs w:val="20"/>
          <w:color w:val="auto"/>
        </w:rPr>
      </w:pPr>
      <w:r>
        <w:rPr>
          <w:rFonts w:ascii="Arial" w:cs="Arial" w:eastAsia="Arial" w:hAnsi="Arial"/>
          <w:sz w:val="19"/>
          <w:szCs w:val="19"/>
          <w:color w:val="333740"/>
        </w:rPr>
        <w:t>We encourage our directors to attend the annual general meeting of shareholders. Five of our directors attended our 2019 Annual Meeting.</w:t>
      </w:r>
    </w:p>
    <w:p>
      <w:pPr>
        <w:spacing w:after="0" w:line="349" w:lineRule="exact"/>
        <w:rPr>
          <w:sz w:val="20"/>
          <w:szCs w:val="20"/>
          <w:color w:val="auto"/>
        </w:rPr>
      </w:pPr>
    </w:p>
    <w:p>
      <w:pPr>
        <w:ind w:left="564" w:hanging="564"/>
        <w:spacing w:after="0"/>
        <w:tabs>
          <w:tab w:leader="none" w:pos="564" w:val="left"/>
        </w:tabs>
        <w:numPr>
          <w:ilvl w:val="0"/>
          <w:numId w:val="5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44"/>
          </w:cols>
          <w:pgMar w:left="316" w:top="128" w:right="439" w:bottom="1440" w:gutter="0" w:footer="0" w:header="0"/>
          <w:type w:val="continuous"/>
        </w:sectPr>
      </w:pPr>
    </w:p>
    <w:bookmarkStart w:id="48" w:name="page49"/>
    <w:bookmarkEnd w:id="48"/>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71" w:lineRule="exact"/>
        <w:rPr>
          <w:sz w:val="20"/>
          <w:szCs w:val="20"/>
          <w:color w:val="auto"/>
        </w:rPr>
      </w:pPr>
    </w:p>
    <w:p>
      <w:pPr>
        <w:ind w:left="4"/>
        <w:spacing w:after="0"/>
        <w:rPr>
          <w:sz w:val="20"/>
          <w:szCs w:val="20"/>
          <w:color w:val="auto"/>
        </w:rPr>
      </w:pPr>
      <w:r>
        <w:rPr>
          <w:rFonts w:ascii="Arial" w:cs="Arial" w:eastAsia="Arial" w:hAnsi="Arial"/>
          <w:sz w:val="33"/>
          <w:szCs w:val="33"/>
          <w:color w:val="481F6E"/>
        </w:rPr>
        <w:t>Director Independence</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Annual Review of Independence</w:t>
      </w:r>
    </w:p>
    <w:p>
      <w:pPr>
        <w:spacing w:after="0" w:line="103" w:lineRule="exact"/>
        <w:rPr>
          <w:sz w:val="20"/>
          <w:szCs w:val="20"/>
          <w:color w:val="auto"/>
        </w:rPr>
      </w:pPr>
    </w:p>
    <w:p>
      <w:pPr>
        <w:ind w:left="4" w:right="20"/>
        <w:spacing w:after="0" w:line="238" w:lineRule="auto"/>
        <w:rPr>
          <w:sz w:val="20"/>
          <w:szCs w:val="20"/>
          <w:color w:val="auto"/>
        </w:rPr>
      </w:pPr>
      <w:r>
        <w:rPr>
          <w:rFonts w:ascii="Arial" w:cs="Arial" w:eastAsia="Arial" w:hAnsi="Arial"/>
          <w:sz w:val="19"/>
          <w:szCs w:val="19"/>
          <w:color w:val="333740"/>
        </w:rPr>
        <w:t>The Nominating and Corporate Governance Committee conducts an annual review of the independence of Board members and reports its findings to the full Board, which then makes a determination as to the independence of each director, as defined under the standards adopted by the NYSE. These standards specify certain relationships that are prohibited in order for a director to be deemed independent. In addition to these objective standards, our Board makes a subjective determination of independence by evaluating all relevant facts and circumstances. In particular, when assessing the materiality of a director’s relationship with the Company, the Board considers the issue not merely from the standpoint of the director, but also from the standpoint of persons or organizations with whom the director has an affiliation.</w:t>
      </w:r>
    </w:p>
    <w:p>
      <w:pPr>
        <w:spacing w:after="0" w:line="85" w:lineRule="exact"/>
        <w:rPr>
          <w:sz w:val="20"/>
          <w:szCs w:val="20"/>
          <w:color w:val="auto"/>
        </w:rPr>
      </w:pPr>
    </w:p>
    <w:p>
      <w:pPr>
        <w:ind w:left="4" w:right="60"/>
        <w:spacing w:after="0" w:line="238" w:lineRule="auto"/>
        <w:rPr>
          <w:sz w:val="20"/>
          <w:szCs w:val="20"/>
          <w:color w:val="auto"/>
        </w:rPr>
      </w:pPr>
      <w:r>
        <w:rPr>
          <w:rFonts w:ascii="Arial" w:cs="Arial" w:eastAsia="Arial" w:hAnsi="Arial"/>
          <w:sz w:val="19"/>
          <w:szCs w:val="19"/>
          <w:color w:val="333740"/>
        </w:rPr>
        <w:t>The Board has not adopted a policy that deems a director to be non-independent after a certain tenure on the Board as we believe our retirement policy and natural turnover will achieve the appropriate balance between long-term directors with deep institutional knowledge and new directors who bring fresh perspectives and diversity to our Board. Our Board reviews director tenure in connection with its director independence determinations. If all of our director nominees are elected at the Annual Meeting, the average tenure of our independent directors will be three years as the Board believes prior service on our legacy companies differed in breadth and scope from current service on our Board.</w:t>
      </w:r>
    </w:p>
    <w:p>
      <w:pPr>
        <w:spacing w:after="0" w:line="50" w:lineRule="exact"/>
        <w:rPr>
          <w:sz w:val="20"/>
          <w:szCs w:val="20"/>
          <w:color w:val="auto"/>
        </w:rPr>
      </w:pPr>
    </w:p>
    <w:p>
      <w:pPr>
        <w:ind w:left="4" w:right="20"/>
        <w:spacing w:after="0" w:line="283" w:lineRule="auto"/>
        <w:rPr>
          <w:sz w:val="20"/>
          <w:szCs w:val="20"/>
          <w:color w:val="auto"/>
        </w:rPr>
      </w:pPr>
      <w:r>
        <w:rPr>
          <w:rFonts w:ascii="Arial" w:cs="Arial" w:eastAsia="Arial" w:hAnsi="Arial"/>
          <w:sz w:val="19"/>
          <w:szCs w:val="19"/>
          <w:color w:val="333740"/>
        </w:rPr>
        <w:t>The Board’s independence determinations included a review of all 2019 commercial transactions, relationships, and arrangements between us and our subsidiaries, aﬃliates, and executive oﬃcers with entities associated with our directors or members of their immediate family. Such transactions, relationships, and arrangements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38100" cy="755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79" w:lineRule="exact"/>
        <w:rPr>
          <w:sz w:val="20"/>
          <w:szCs w:val="20"/>
          <w:color w:val="auto"/>
        </w:rPr>
      </w:pPr>
    </w:p>
    <w:p>
      <w:pPr>
        <w:ind w:left="324" w:right="620"/>
        <w:spacing w:after="0" w:line="265" w:lineRule="auto"/>
        <w:rPr>
          <w:sz w:val="20"/>
          <w:szCs w:val="20"/>
          <w:color w:val="auto"/>
        </w:rPr>
      </w:pPr>
      <w:r>
        <w:rPr>
          <w:rFonts w:ascii="Arial" w:cs="Arial" w:eastAsia="Arial" w:hAnsi="Arial"/>
          <w:sz w:val="14"/>
          <w:szCs w:val="14"/>
          <w:color w:val="333740"/>
        </w:rPr>
        <w:t>The Board considered that Mses. Debon, Farley, and Priestly and Messrs. Houssin, Mellbye, O’Leary, and Ringler each served as directors or executive officers at companies that have had commercial business relationships with the Company in 2019, all of which were ordinary course commercial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38100" cy="755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1" w:lineRule="exact"/>
        <w:rPr>
          <w:sz w:val="20"/>
          <w:szCs w:val="20"/>
          <w:color w:val="auto"/>
        </w:rPr>
      </w:pPr>
    </w:p>
    <w:p>
      <w:pPr>
        <w:ind w:left="324"/>
        <w:spacing w:after="0" w:line="252" w:lineRule="auto"/>
        <w:rPr>
          <w:sz w:val="20"/>
          <w:szCs w:val="20"/>
          <w:color w:val="auto"/>
        </w:rPr>
      </w:pPr>
      <w:r>
        <w:rPr>
          <w:rFonts w:ascii="Arial" w:cs="Arial" w:eastAsia="Arial" w:hAnsi="Arial"/>
          <w:sz w:val="14"/>
          <w:szCs w:val="14"/>
          <w:color w:val="333740"/>
        </w:rPr>
        <w:t>Arnaud Caudoux – The Company’s prior commercial agreement with Bpifrance Participations, a subsidiary of Bpifrance, was erroneously described as a “consulting agreement” instead of a subscription agreement in our 2019 Proxy Statement. Bpifrance, which owns Bpifrance Participations, is a Company shareholder and Arnaud Caudoux is Deputy Chief Executive Officer and an executive director. Under the subscription agreement, Bpifrance Participations provided access and introductions to start-up companies registered with Bpifrance Participations’ Le Hub that matched our Company’s investment criteria. Mr. Caudoux had no involvement related to this subscription agreement, and he did not receive any direct compensation or direct financial benefit from this agreement. The agreement terminated on April 1, 2019, and has not been extended or renewed. In addition, due to Bpifrance’s policies, Mr. Caudoux has waived his annual cash and equity remuneration for his services as a director, and asserts that he is able to act in the best interests of all TechnipFMC shareholders.</w:t>
      </w:r>
    </w:p>
    <w:p>
      <w:pPr>
        <w:spacing w:after="0" w:line="30" w:lineRule="exact"/>
        <w:rPr>
          <w:sz w:val="20"/>
          <w:szCs w:val="20"/>
          <w:color w:val="auto"/>
        </w:rPr>
      </w:pPr>
    </w:p>
    <w:p>
      <w:pPr>
        <w:ind w:left="324" w:right="20"/>
        <w:spacing w:after="0" w:line="270" w:lineRule="auto"/>
        <w:rPr>
          <w:sz w:val="20"/>
          <w:szCs w:val="20"/>
          <w:color w:val="auto"/>
        </w:rPr>
      </w:pPr>
      <w:r>
        <w:rPr>
          <w:rFonts w:ascii="Arial" w:cs="Arial" w:eastAsia="Arial" w:hAnsi="Arial"/>
          <w:sz w:val="14"/>
          <w:szCs w:val="14"/>
          <w:color w:val="333740"/>
        </w:rPr>
        <w:t>Pascal Colombani – Mr. Colombani is a member of the Europe, Middle East, and Asia (“</w:t>
      </w:r>
      <w:r>
        <w:rPr>
          <w:rFonts w:ascii="Arial" w:cs="Arial" w:eastAsia="Arial" w:hAnsi="Arial"/>
          <w:sz w:val="14"/>
          <w:szCs w:val="14"/>
          <w:b w:val="1"/>
          <w:bCs w:val="1"/>
          <w:color w:val="333740"/>
        </w:rPr>
        <w:t>EMEA</w:t>
      </w:r>
      <w:r>
        <w:rPr>
          <w:rFonts w:ascii="Arial" w:cs="Arial" w:eastAsia="Arial" w:hAnsi="Arial"/>
          <w:sz w:val="14"/>
          <w:szCs w:val="14"/>
          <w:color w:val="333740"/>
        </w:rPr>
        <w:t>”) advisory board of JPMorgan Chase Bank, N.A., which is a lender under the Company’s revolving credit facility and may be party to other ordinary course banking transactions with the Company. Mr. Colombani’s role as a member of the EMEA advisory board of JPMorgan Chase Bank, N.A. did not involve any discussion or deliberations regarding the Company’s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-334010</wp:posOffset>
            </wp:positionV>
            <wp:extent cx="38100" cy="755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jc w:val="both"/>
        <w:ind w:left="324" w:right="140"/>
        <w:spacing w:after="0" w:line="270" w:lineRule="auto"/>
        <w:rPr>
          <w:sz w:val="20"/>
          <w:szCs w:val="20"/>
          <w:color w:val="auto"/>
        </w:rPr>
      </w:pPr>
      <w:r>
        <w:rPr>
          <w:rFonts w:ascii="Arial" w:cs="Arial" w:eastAsia="Arial" w:hAnsi="Arial"/>
          <w:sz w:val="14"/>
          <w:szCs w:val="14"/>
          <w:color w:val="333740"/>
        </w:rPr>
        <w:t>Claire S. Farley – In 2019, after a robust due diligence and evaluation process, the Company selected KKR &amp; Co. (“</w:t>
      </w:r>
      <w:r>
        <w:rPr>
          <w:rFonts w:ascii="Arial" w:cs="Arial" w:eastAsia="Arial" w:hAnsi="Arial"/>
          <w:sz w:val="14"/>
          <w:szCs w:val="14"/>
          <w:b w:val="1"/>
          <w:bCs w:val="1"/>
          <w:color w:val="333740"/>
        </w:rPr>
        <w:t>KKR</w:t>
      </w:r>
      <w:r>
        <w:rPr>
          <w:rFonts w:ascii="Arial" w:cs="Arial" w:eastAsia="Arial" w:hAnsi="Arial"/>
          <w:sz w:val="14"/>
          <w:szCs w:val="14"/>
          <w:color w:val="333740"/>
        </w:rPr>
        <w:t>”) to be its recommended provider for our Subsea clients seeking alternative financing arrangements. Ms. Farley is a Senior Advisor of KKR and was not involved in the preparation of KKR’s presentation to the Company, which was submitted by a separate group at KKR than the group managed by Ms. Farley. When providing these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-334010</wp:posOffset>
            </wp:positionV>
            <wp:extent cx="38100" cy="755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18" w:lineRule="exact"/>
        <w:rPr>
          <w:sz w:val="20"/>
          <w:szCs w:val="20"/>
          <w:color w:val="auto"/>
        </w:rPr>
      </w:pPr>
    </w:p>
    <w:p>
      <w:pPr>
        <w:ind w:left="564" w:hanging="564"/>
        <w:spacing w:after="0"/>
        <w:tabs>
          <w:tab w:leader="none" w:pos="564" w:val="left"/>
        </w:tabs>
        <w:numPr>
          <w:ilvl w:val="0"/>
          <w:numId w:val="57"/>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49" w:name="page50"/>
    <w:bookmarkEnd w:id="49"/>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07" w:lineRule="exact"/>
        <w:rPr>
          <w:sz w:val="20"/>
          <w:szCs w:val="20"/>
          <w:color w:val="auto"/>
        </w:rPr>
      </w:pPr>
    </w:p>
    <w:p>
      <w:pPr>
        <w:ind w:left="284" w:right="600"/>
        <w:spacing w:after="0" w:line="287" w:lineRule="auto"/>
        <w:rPr>
          <w:sz w:val="20"/>
          <w:szCs w:val="20"/>
          <w:color w:val="auto"/>
        </w:rPr>
      </w:pPr>
      <w:r>
        <w:rPr>
          <w:rFonts w:ascii="Arial" w:cs="Arial" w:eastAsia="Arial" w:hAnsi="Arial"/>
          <w:sz w:val="19"/>
          <w:szCs w:val="19"/>
          <w:color w:val="333740"/>
        </w:rPr>
        <w:t>arrangements, KKR would contract directly with the Company’s clients with no direct involvement of the Company, and Ms. Farley, in her role at KKR, has no involvement with any such contracts. Ms. Farley will not receive any direct compensation or direct financial benefit from the selection of KKR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38100" cy="755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ind w:left="324" w:right="260"/>
        <w:spacing w:after="0" w:line="254" w:lineRule="auto"/>
        <w:rPr>
          <w:sz w:val="20"/>
          <w:szCs w:val="20"/>
          <w:color w:val="auto"/>
        </w:rPr>
      </w:pPr>
      <w:r>
        <w:rPr>
          <w:rFonts w:ascii="Arial" w:cs="Arial" w:eastAsia="Arial" w:hAnsi="Arial"/>
          <w:sz w:val="14"/>
          <w:szCs w:val="14"/>
          <w:color w:val="333740"/>
        </w:rPr>
        <w:t>Didier Houssin – The Company is party to a technology development agreement with IFP Énergies Nouvelles (“IFPEN”), which is a shareholder, where Mr. Houssin is Chairman and Chief Executive Officer. The agreement was established in 2004 between Technip and IFPEN, which was prior to Mr. Houssin joining IFPEN as director in 2015. The agreement was amended in 2017, and Mr. Houssin recused himself from Board deliberations regarding the approval of the amendment. Mr. Houssin does not receive any direct compensation or direct financial benefit from this technology development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38100" cy="755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7" w:lineRule="exact"/>
        <w:rPr>
          <w:sz w:val="20"/>
          <w:szCs w:val="20"/>
          <w:color w:val="auto"/>
        </w:rPr>
      </w:pPr>
    </w:p>
    <w:p>
      <w:pPr>
        <w:ind w:left="324" w:right="20"/>
        <w:spacing w:after="0" w:line="265" w:lineRule="auto"/>
        <w:rPr>
          <w:sz w:val="20"/>
          <w:szCs w:val="20"/>
          <w:color w:val="auto"/>
        </w:rPr>
      </w:pPr>
      <w:r>
        <w:rPr>
          <w:rFonts w:ascii="Arial" w:cs="Arial" w:eastAsia="Arial" w:hAnsi="Arial"/>
          <w:sz w:val="14"/>
          <w:szCs w:val="14"/>
          <w:color w:val="333740"/>
        </w:rPr>
        <w:t>James M. Ringler – FMC Technologies and John Bean Technologies Corporation (“JBT”) are parties to a separation and distribution agreement and a tax sharing agreement that relate to the spin-off of FMC Technologies’ FoodTech and Airport Systems businesses (acquired by JBT) that occurred in July 2008.</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Independence Determination</w:t>
      </w:r>
    </w:p>
    <w:p>
      <w:pPr>
        <w:spacing w:after="0" w:line="86" w:lineRule="exact"/>
        <w:rPr>
          <w:sz w:val="20"/>
          <w:szCs w:val="20"/>
          <w:color w:val="auto"/>
        </w:rPr>
      </w:pPr>
    </w:p>
    <w:p>
      <w:pPr>
        <w:ind w:left="4" w:right="260"/>
        <w:spacing w:after="0" w:line="242" w:lineRule="auto"/>
        <w:rPr>
          <w:sz w:val="20"/>
          <w:szCs w:val="20"/>
          <w:color w:val="auto"/>
        </w:rPr>
      </w:pPr>
      <w:r>
        <w:rPr>
          <w:rFonts w:ascii="Arial" w:cs="Arial" w:eastAsia="Arial" w:hAnsi="Arial"/>
          <w:sz w:val="19"/>
          <w:szCs w:val="19"/>
          <w:color w:val="333740"/>
        </w:rPr>
        <w:t>In determining that none of the relationships noted above affected the independence of any of the interested directors, the Nominating and Corporate Governance Committee considered the nature of the transactions, the dollar amounts involved, and the respective director’s role, if any, in the transaction.</w:t>
      </w:r>
    </w:p>
    <w:p>
      <w:pPr>
        <w:spacing w:after="0" w:line="80" w:lineRule="exact"/>
        <w:rPr>
          <w:sz w:val="20"/>
          <w:szCs w:val="20"/>
          <w:color w:val="auto"/>
        </w:rPr>
      </w:pPr>
    </w:p>
    <w:p>
      <w:pPr>
        <w:ind w:left="4" w:right="40"/>
        <w:spacing w:after="0" w:line="236" w:lineRule="auto"/>
        <w:rPr>
          <w:sz w:val="20"/>
          <w:szCs w:val="20"/>
          <w:color w:val="auto"/>
        </w:rPr>
      </w:pPr>
      <w:r>
        <w:rPr>
          <w:rFonts w:ascii="Arial" w:cs="Arial" w:eastAsia="Arial" w:hAnsi="Arial"/>
          <w:sz w:val="19"/>
          <w:szCs w:val="19"/>
          <w:color w:val="333740"/>
        </w:rPr>
        <w:t>Based on the report and recommendation of the Nominating and Corporate Governance Committee, the Board has affirmatively determined that each of our non-executive directors is “independent” as defined under the NYSE listing standards. As such, following our Annual Meeting, 13 of our 14 directors will be non-executive, independent directors. In addition, the Board has affirmatively determined that all of the members of the Audit Committee and Compensation</w:t>
      </w:r>
    </w:p>
    <w:p>
      <w:pPr>
        <w:spacing w:after="0" w:line="1" w:lineRule="exact"/>
        <w:rPr>
          <w:sz w:val="20"/>
          <w:szCs w:val="20"/>
          <w:color w:val="auto"/>
        </w:rPr>
      </w:pPr>
    </w:p>
    <w:p>
      <w:pPr>
        <w:ind w:left="4" w:right="80"/>
        <w:spacing w:after="0" w:line="247" w:lineRule="auto"/>
        <w:rPr>
          <w:sz w:val="20"/>
          <w:szCs w:val="20"/>
          <w:color w:val="auto"/>
        </w:rPr>
      </w:pPr>
      <w:r>
        <w:rPr>
          <w:rFonts w:ascii="Arial" w:cs="Arial" w:eastAsia="Arial" w:hAnsi="Arial"/>
          <w:sz w:val="19"/>
          <w:szCs w:val="19"/>
          <w:color w:val="333740"/>
        </w:rPr>
        <w:t>Committee satisfy the enhanced independence criteria required for such members under regulations adopted by the SEC and NYSE listing standards.</w:t>
      </w:r>
    </w:p>
    <w:p>
      <w:pPr>
        <w:spacing w:after="0" w:line="137" w:lineRule="exact"/>
        <w:rPr>
          <w:sz w:val="20"/>
          <w:szCs w:val="20"/>
          <w:color w:val="auto"/>
        </w:rPr>
      </w:pPr>
    </w:p>
    <w:p>
      <w:pPr>
        <w:ind w:left="4" w:right="1840"/>
        <w:spacing w:after="0" w:line="241" w:lineRule="auto"/>
        <w:rPr>
          <w:sz w:val="20"/>
          <w:szCs w:val="20"/>
          <w:color w:val="auto"/>
        </w:rPr>
      </w:pPr>
      <w:r>
        <w:rPr>
          <w:rFonts w:ascii="Arial" w:cs="Arial" w:eastAsia="Arial" w:hAnsi="Arial"/>
          <w:sz w:val="33"/>
          <w:szCs w:val="33"/>
          <w:color w:val="481F6E"/>
        </w:rPr>
        <w:t>Compensation Committee Interlocks and Insider Participation in Compensation Decisions</w:t>
      </w:r>
    </w:p>
    <w:p>
      <w:pPr>
        <w:spacing w:after="0" w:line="1" w:lineRule="exact"/>
        <w:rPr>
          <w:sz w:val="20"/>
          <w:szCs w:val="20"/>
          <w:color w:val="auto"/>
        </w:rPr>
      </w:pPr>
    </w:p>
    <w:p>
      <w:pPr>
        <w:jc w:val="both"/>
        <w:ind w:left="4"/>
        <w:spacing w:after="0" w:line="239" w:lineRule="auto"/>
        <w:rPr>
          <w:sz w:val="20"/>
          <w:szCs w:val="20"/>
          <w:color w:val="auto"/>
        </w:rPr>
      </w:pPr>
      <w:r>
        <w:rPr>
          <w:rFonts w:ascii="Arial" w:cs="Arial" w:eastAsia="Arial" w:hAnsi="Arial"/>
          <w:sz w:val="19"/>
          <w:szCs w:val="19"/>
          <w:color w:val="333740"/>
        </w:rPr>
        <w:t>In 2019, the members of the Compensation Committee of the Board were Claire S. Farley, John O’Leary, Richard A. Pattarozzi (member through May 1, 2019), Joseph Rinaldi, James M. Ringler, and John Yearwood (member since June 1, 2019), none of whom has ever been an officer or employee of the Company or any of our subsidiaries or had any relationships requiring disclosure with us or any of our subsidiaries. None of our executive officers has ever served on the board of directors or the compensation committee of any other entity that has had any executive officer serving as a member of our Board or Compensation Committee.</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33"/>
          <w:szCs w:val="33"/>
          <w:color w:val="481F6E"/>
        </w:rPr>
        <w:t>Communications with Directors</w:t>
      </w:r>
    </w:p>
    <w:p>
      <w:pPr>
        <w:spacing w:after="0" w:line="123" w:lineRule="exact"/>
        <w:rPr>
          <w:sz w:val="20"/>
          <w:szCs w:val="20"/>
          <w:color w:val="auto"/>
        </w:rPr>
      </w:pPr>
    </w:p>
    <w:p>
      <w:pPr>
        <w:ind w:left="4"/>
        <w:spacing w:after="0" w:line="238" w:lineRule="auto"/>
        <w:rPr>
          <w:sz w:val="20"/>
          <w:szCs w:val="20"/>
          <w:color w:val="auto"/>
        </w:rPr>
      </w:pPr>
      <w:r>
        <w:rPr>
          <w:rFonts w:ascii="Arial" w:cs="Arial" w:eastAsia="Arial" w:hAnsi="Arial"/>
          <w:sz w:val="19"/>
          <w:szCs w:val="19"/>
          <w:color w:val="333740"/>
        </w:rPr>
        <w:t xml:space="preserve">To provide our shareholders and other interested parties with a direct and open line of communication to our Board, a process has been established for communications with any member of the Board, including our Lead Independent Director, the Chair of any of our committees, or with our non-employee directors as a group, by sending such written communication to c/o Lead Director, TechnipFMC plc, One St. Paul’s Churchyard, London EC4M 8AP, United Kingdom. We may move our principal headquarters after our spin-off transaction is completed. If and when this happens, please visit our website at </w:t>
      </w:r>
      <w:r>
        <w:rPr>
          <w:rFonts w:ascii="Arial" w:cs="Arial" w:eastAsia="Arial" w:hAnsi="Arial"/>
          <w:sz w:val="19"/>
          <w:szCs w:val="19"/>
          <w:b w:val="1"/>
          <w:bCs w:val="1"/>
          <w:i w:val="1"/>
          <w:iCs w:val="1"/>
          <w:color w:val="481F6E"/>
        </w:rPr>
        <w:t>www.TechnipFMC.com</w:t>
      </w:r>
      <w:r>
        <w:rPr>
          <w:rFonts w:ascii="Arial" w:cs="Arial" w:eastAsia="Arial" w:hAnsi="Arial"/>
          <w:sz w:val="19"/>
          <w:szCs w:val="19"/>
          <w:color w:val="333740"/>
        </w:rPr>
        <w:t xml:space="preserve"> for our new address. All communications will be received, processed, and then directed to the appropriate member(s) of our Board, other than, at the Board’s request, certain items unrelated to the Board’s duties, such as spam, junk mail, solicitations, employment inquires, and similar items.</w:t>
      </w:r>
    </w:p>
    <w:p>
      <w:pPr>
        <w:spacing w:after="0" w:line="356" w:lineRule="exact"/>
        <w:rPr>
          <w:sz w:val="20"/>
          <w:szCs w:val="20"/>
          <w:color w:val="auto"/>
        </w:rPr>
      </w:pPr>
    </w:p>
    <w:p>
      <w:pPr>
        <w:ind w:left="564" w:hanging="564"/>
        <w:spacing w:after="0"/>
        <w:tabs>
          <w:tab w:leader="none" w:pos="564" w:val="left"/>
        </w:tabs>
        <w:numPr>
          <w:ilvl w:val="0"/>
          <w:numId w:val="58"/>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50" w:name="page51"/>
    <w:bookmarkEnd w:id="50"/>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p>
    <w:p>
      <w:pPr>
        <w:ind w:left="4"/>
        <w:spacing w:after="0"/>
        <w:rPr>
          <w:sz w:val="20"/>
          <w:szCs w:val="20"/>
          <w:color w:val="auto"/>
        </w:rPr>
      </w:pPr>
      <w:r>
        <w:rPr>
          <w:rFonts w:ascii="Arial" w:cs="Arial" w:eastAsia="Arial" w:hAnsi="Arial"/>
          <w:sz w:val="57"/>
          <w:szCs w:val="57"/>
          <w:color w:val="481F6E"/>
        </w:rPr>
        <w:t>Director Compensation</w:t>
      </w:r>
    </w:p>
    <w:p>
      <w:pPr>
        <w:spacing w:after="0" w:line="400" w:lineRule="exact"/>
        <w:rPr>
          <w:sz w:val="20"/>
          <w:szCs w:val="20"/>
          <w:color w:val="auto"/>
        </w:rPr>
      </w:pPr>
    </w:p>
    <w:p>
      <w:pPr>
        <w:ind w:left="4" w:right="200"/>
        <w:spacing w:after="0" w:line="242" w:lineRule="auto"/>
        <w:rPr>
          <w:sz w:val="20"/>
          <w:szCs w:val="20"/>
          <w:color w:val="auto"/>
        </w:rPr>
      </w:pPr>
      <w:r>
        <w:rPr>
          <w:rFonts w:ascii="Arial" w:cs="Arial" w:eastAsia="Arial" w:hAnsi="Arial"/>
          <w:sz w:val="19"/>
          <w:szCs w:val="19"/>
          <w:color w:val="333740"/>
        </w:rPr>
        <w:t>This section describes the Company’s compensation programs that apply to our non-executive directors. The compensation of our Chairman and CEO, Douglas Pferdehirt, is included in the “</w:t>
      </w:r>
      <w:r>
        <w:rPr>
          <w:rFonts w:ascii="Arial" w:cs="Arial" w:eastAsia="Arial" w:hAnsi="Arial"/>
          <w:sz w:val="19"/>
          <w:szCs w:val="19"/>
          <w:i w:val="1"/>
          <w:iCs w:val="1"/>
          <w:color w:val="333740"/>
        </w:rPr>
        <w:t>Executive Compensation Discussion and Analysis</w:t>
      </w:r>
      <w:r>
        <w:rPr>
          <w:rFonts w:ascii="Arial" w:cs="Arial" w:eastAsia="Arial" w:hAnsi="Arial"/>
          <w:sz w:val="19"/>
          <w:szCs w:val="19"/>
          <w:color w:val="333740"/>
        </w:rPr>
        <w:t>” section below because he is an NEO under SEC rules.</w:t>
      </w:r>
    </w:p>
    <w:p>
      <w:pPr>
        <w:spacing w:after="0" w:line="201" w:lineRule="exact"/>
        <w:rPr>
          <w:sz w:val="20"/>
          <w:szCs w:val="20"/>
          <w:color w:val="auto"/>
        </w:rPr>
      </w:pPr>
    </w:p>
    <w:p>
      <w:pPr>
        <w:ind w:left="4"/>
        <w:spacing w:after="0"/>
        <w:rPr>
          <w:sz w:val="20"/>
          <w:szCs w:val="20"/>
          <w:color w:val="auto"/>
        </w:rPr>
      </w:pPr>
      <w:r>
        <w:rPr>
          <w:rFonts w:ascii="Arial" w:cs="Arial" w:eastAsia="Arial" w:hAnsi="Arial"/>
          <w:sz w:val="33"/>
          <w:szCs w:val="33"/>
          <w:color w:val="481F6E"/>
        </w:rPr>
        <w:t>Non-executive Director Compensation</w:t>
      </w:r>
    </w:p>
    <w:p>
      <w:pPr>
        <w:spacing w:after="0" w:line="37" w:lineRule="exact"/>
        <w:rPr>
          <w:sz w:val="20"/>
          <w:szCs w:val="20"/>
          <w:color w:val="auto"/>
        </w:rPr>
      </w:pPr>
    </w:p>
    <w:p>
      <w:pPr>
        <w:ind w:left="4" w:right="20"/>
        <w:spacing w:after="0"/>
        <w:rPr>
          <w:sz w:val="20"/>
          <w:szCs w:val="20"/>
          <w:color w:val="auto"/>
        </w:rPr>
      </w:pPr>
      <w:r>
        <w:rPr>
          <w:rFonts w:ascii="Arial" w:cs="Arial" w:eastAsia="Arial" w:hAnsi="Arial"/>
          <w:sz w:val="19"/>
          <w:szCs w:val="19"/>
          <w:color w:val="333740"/>
        </w:rPr>
        <w:t>Compensation for our non-executive directors was developed by the Compensation Committee with the assistance of its compensation consultant, Willis Towers Watson, and approved by the Board. The program, which comprises cash compensation and RSU awards, is designed to reflect the practices of both U.S. and European companies as determined by reference to the peer groups discussed in “</w:t>
      </w:r>
      <w:r>
        <w:rPr>
          <w:rFonts w:ascii="Arial" w:cs="Arial" w:eastAsia="Arial" w:hAnsi="Arial"/>
          <w:sz w:val="19"/>
          <w:szCs w:val="19"/>
          <w:i w:val="1"/>
          <w:iCs w:val="1"/>
          <w:color w:val="333740"/>
        </w:rPr>
        <w:t>Executive Compensation Discussion and Analysis</w:t>
      </w:r>
      <w:r>
        <w:rPr>
          <w:rFonts w:ascii="Arial" w:cs="Arial" w:eastAsia="Arial" w:hAnsi="Arial"/>
          <w:sz w:val="19"/>
          <w:szCs w:val="19"/>
          <w:color w:val="333740"/>
        </w:rPr>
        <w:t>.”</w:t>
      </w:r>
    </w:p>
    <w:p>
      <w:pPr>
        <w:spacing w:after="0" w:line="70" w:lineRule="exact"/>
        <w:rPr>
          <w:sz w:val="20"/>
          <w:szCs w:val="20"/>
          <w:color w:val="auto"/>
        </w:rPr>
      </w:pPr>
    </w:p>
    <w:p>
      <w:pPr>
        <w:ind w:left="4"/>
        <w:spacing w:after="0" w:line="238" w:lineRule="auto"/>
        <w:rPr>
          <w:sz w:val="20"/>
          <w:szCs w:val="20"/>
          <w:color w:val="auto"/>
        </w:rPr>
      </w:pPr>
      <w:r>
        <w:rPr>
          <w:rFonts w:ascii="Arial" w:cs="Arial" w:eastAsia="Arial" w:hAnsi="Arial"/>
          <w:sz w:val="19"/>
          <w:szCs w:val="19"/>
          <w:color w:val="333740"/>
        </w:rPr>
        <w:t>The directors’ compensation program is intended to provide a competitive package that enables the Company to attract and retain highly skilled individuals with relevant experience and the necessary time and ability to serve on the board of a company of our size, complexity, and geographical breadth. The program balances the practices within our market norms in our core geographies, and the varied expectations of our diverse shareholder base. Given the global talent pool that our directors represent, the program is also designed to provide sufficient flexibility in the form of compensation delivered to meet the needs of individuals who are located in different countries and the travel that is often required to attend meetings, while ensuring that a substantial portion of directors’ compensation is linked to the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148195" cy="2578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8195" cy="257810"/>
                    </a:xfrm>
                    <a:prstGeom prst="rect">
                      <a:avLst/>
                    </a:prstGeom>
                    <a:noFill/>
                  </pic:spPr>
                </pic:pic>
              </a:graphicData>
            </a:graphic>
          </wp:anchor>
        </w:drawing>
      </w:r>
    </w:p>
    <w:p>
      <w:pPr>
        <w:spacing w:after="0" w:line="59" w:lineRule="exact"/>
        <w:rPr>
          <w:sz w:val="20"/>
          <w:szCs w:val="20"/>
          <w:color w:val="auto"/>
        </w:rPr>
      </w:pPr>
    </w:p>
    <w:p>
      <w:pPr>
        <w:ind w:left="124"/>
        <w:spacing w:after="0"/>
        <w:rPr>
          <w:sz w:val="20"/>
          <w:szCs w:val="20"/>
          <w:color w:val="auto"/>
        </w:rPr>
      </w:pPr>
      <w:r>
        <w:rPr>
          <w:rFonts w:ascii="Arial" w:cs="Arial" w:eastAsia="Arial" w:hAnsi="Arial"/>
          <w:sz w:val="14"/>
          <w:szCs w:val="14"/>
          <w:b w:val="1"/>
          <w:bCs w:val="1"/>
          <w:color w:val="FFFFFF"/>
        </w:rPr>
        <w:t>Key Non-executive Director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48195" cy="14643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8195" cy="1464310"/>
                    </a:xfrm>
                    <a:prstGeom prst="rect">
                      <a:avLst/>
                    </a:prstGeom>
                    <a:noFill/>
                  </pic:spPr>
                </pic:pic>
              </a:graphicData>
            </a:graphic>
          </wp:anchor>
        </w:drawing>
      </w:r>
    </w:p>
    <w:p>
      <w:pPr>
        <w:spacing w:after="0" w:line="189" w:lineRule="exact"/>
        <w:rPr>
          <w:sz w:val="20"/>
          <w:szCs w:val="20"/>
          <w:color w:val="auto"/>
        </w:rPr>
      </w:pPr>
    </w:p>
    <w:p>
      <w:pPr>
        <w:ind w:left="284" w:hanging="165"/>
        <w:spacing w:after="0"/>
        <w:tabs>
          <w:tab w:leader="none" w:pos="284" w:val="left"/>
        </w:tabs>
        <w:numPr>
          <w:ilvl w:val="0"/>
          <w:numId w:val="59"/>
        </w:numPr>
        <w:rPr>
          <w:rFonts w:ascii="MS PGothic" w:cs="MS PGothic" w:eastAsia="MS PGothic" w:hAnsi="MS PGothic"/>
          <w:sz w:val="14"/>
          <w:szCs w:val="14"/>
          <w:b w:val="1"/>
          <w:bCs w:val="1"/>
          <w:color w:val="2E9E46"/>
          <w:highlight w:val="lightGray"/>
        </w:rPr>
      </w:pPr>
      <w:r>
        <w:rPr>
          <w:rFonts w:ascii="Arial" w:cs="Arial" w:eastAsia="Arial" w:hAnsi="Arial"/>
          <w:sz w:val="14"/>
          <w:szCs w:val="14"/>
          <w:color w:val="333740"/>
        </w:rPr>
        <w:t>TechnipFMC uses an independent consulting firm, Willis Towers Watson, to recommend changes in compensation for non-executive directors.</w:t>
      </w:r>
    </w:p>
    <w:p>
      <w:pPr>
        <w:spacing w:after="0" w:line="161" w:lineRule="exact"/>
        <w:rPr>
          <w:rFonts w:ascii="MS PGothic" w:cs="MS PGothic" w:eastAsia="MS PGothic" w:hAnsi="MS PGothic"/>
          <w:sz w:val="14"/>
          <w:szCs w:val="14"/>
          <w:b w:val="1"/>
          <w:bCs w:val="1"/>
          <w:color w:val="2E9E46"/>
          <w:highlight w:val="lightGray"/>
        </w:rPr>
      </w:pPr>
    </w:p>
    <w:p>
      <w:pPr>
        <w:ind w:left="284" w:hanging="165"/>
        <w:spacing w:after="0"/>
        <w:tabs>
          <w:tab w:leader="none" w:pos="284" w:val="left"/>
        </w:tabs>
        <w:numPr>
          <w:ilvl w:val="0"/>
          <w:numId w:val="59"/>
        </w:numPr>
        <w:rPr>
          <w:rFonts w:ascii="MS PGothic" w:cs="MS PGothic" w:eastAsia="MS PGothic" w:hAnsi="MS PGothic"/>
          <w:sz w:val="14"/>
          <w:szCs w:val="14"/>
          <w:b w:val="1"/>
          <w:bCs w:val="1"/>
          <w:color w:val="2E9E46"/>
          <w:highlight w:val="lightGray"/>
        </w:rPr>
      </w:pPr>
      <w:r>
        <w:rPr>
          <w:rFonts w:ascii="Arial" w:cs="Arial" w:eastAsia="Arial" w:hAnsi="Arial"/>
          <w:sz w:val="14"/>
          <w:szCs w:val="14"/>
          <w:color w:val="333740"/>
        </w:rPr>
        <w:t>Any changes to our director compensation program are reviewed and approved by our Compensation Committee, comprising independent directors.</w:t>
      </w:r>
    </w:p>
    <w:p>
      <w:pPr>
        <w:spacing w:after="0" w:line="198" w:lineRule="exact"/>
        <w:rPr>
          <w:rFonts w:ascii="MS PGothic" w:cs="MS PGothic" w:eastAsia="MS PGothic" w:hAnsi="MS PGothic"/>
          <w:sz w:val="14"/>
          <w:szCs w:val="14"/>
          <w:b w:val="1"/>
          <w:bCs w:val="1"/>
          <w:color w:val="2E9E46"/>
          <w:highlight w:val="lightGray"/>
        </w:rPr>
      </w:pPr>
    </w:p>
    <w:p>
      <w:pPr>
        <w:ind w:left="284" w:hanging="165"/>
        <w:spacing w:after="0"/>
        <w:tabs>
          <w:tab w:leader="none" w:pos="284" w:val="left"/>
        </w:tabs>
        <w:numPr>
          <w:ilvl w:val="0"/>
          <w:numId w:val="59"/>
        </w:numPr>
        <w:rPr>
          <w:rFonts w:ascii="MS PGothic" w:cs="MS PGothic" w:eastAsia="MS PGothic" w:hAnsi="MS PGothic"/>
          <w:sz w:val="14"/>
          <w:szCs w:val="14"/>
          <w:b w:val="1"/>
          <w:bCs w:val="1"/>
          <w:color w:val="2E9E46"/>
          <w:highlight w:val="lightGray"/>
        </w:rPr>
      </w:pPr>
      <w:r>
        <w:rPr>
          <w:rFonts w:ascii="Arial" w:cs="Arial" w:eastAsia="Arial" w:hAnsi="Arial"/>
          <w:sz w:val="14"/>
          <w:szCs w:val="14"/>
          <w:color w:val="333740"/>
        </w:rPr>
        <w:t>Any changes to our director compensation program recommended by our Compensation Committee must be ratified by a vote of our full Board.</w:t>
      </w:r>
    </w:p>
    <w:p>
      <w:pPr>
        <w:spacing w:after="0" w:line="124" w:lineRule="exact"/>
        <w:rPr>
          <w:rFonts w:ascii="MS PGothic" w:cs="MS PGothic" w:eastAsia="MS PGothic" w:hAnsi="MS PGothic"/>
          <w:sz w:val="14"/>
          <w:szCs w:val="14"/>
          <w:b w:val="1"/>
          <w:bCs w:val="1"/>
          <w:color w:val="2E9E46"/>
          <w:highlight w:val="lightGray"/>
        </w:rPr>
      </w:pPr>
    </w:p>
    <w:p>
      <w:pPr>
        <w:jc w:val="both"/>
        <w:ind w:left="264" w:hanging="145"/>
        <w:spacing w:after="0" w:line="316" w:lineRule="auto"/>
        <w:tabs>
          <w:tab w:leader="none" w:pos="311" w:val="left"/>
        </w:tabs>
        <w:numPr>
          <w:ilvl w:val="0"/>
          <w:numId w:val="59"/>
        </w:numPr>
        <w:rPr>
          <w:rFonts w:ascii="MS PGothic" w:cs="MS PGothic" w:eastAsia="MS PGothic" w:hAnsi="MS PGothic"/>
          <w:sz w:val="14"/>
          <w:szCs w:val="14"/>
          <w:b w:val="1"/>
          <w:bCs w:val="1"/>
          <w:color w:val="2E9E46"/>
          <w:highlight w:val="lightGray"/>
        </w:rPr>
      </w:pPr>
      <w:r>
        <w:rPr>
          <w:rFonts w:ascii="Arial" w:cs="Arial" w:eastAsia="Arial" w:hAnsi="Arial"/>
          <w:sz w:val="14"/>
          <w:szCs w:val="14"/>
          <w:color w:val="333740"/>
        </w:rPr>
        <w:t>Our Directors’ Remuneration Policy reflects sector and geographic (U.S. and European) peer groups to reflect the global nature of the Company, and both U.S. and European compensation practices given the global nature of the Company, our dual NYSE and Euronext Paris listings, and our U.K. incorporation.</w:t>
      </w:r>
    </w:p>
    <w:p>
      <w:pPr>
        <w:spacing w:after="0" w:line="233" w:lineRule="exact"/>
        <w:rPr>
          <w:rFonts w:ascii="MS PGothic" w:cs="MS PGothic" w:eastAsia="MS PGothic" w:hAnsi="MS PGothic"/>
          <w:sz w:val="14"/>
          <w:szCs w:val="14"/>
          <w:b w:val="1"/>
          <w:bCs w:val="1"/>
          <w:color w:val="2E9E46"/>
          <w:highlight w:val="lightGray"/>
        </w:rPr>
      </w:pPr>
    </w:p>
    <w:p>
      <w:pPr>
        <w:ind w:left="284" w:hanging="165"/>
        <w:spacing w:after="0"/>
        <w:tabs>
          <w:tab w:leader="none" w:pos="284" w:val="left"/>
        </w:tabs>
        <w:numPr>
          <w:ilvl w:val="0"/>
          <w:numId w:val="59"/>
        </w:numPr>
        <w:rPr>
          <w:rFonts w:ascii="MS PGothic" w:cs="MS PGothic" w:eastAsia="MS PGothic" w:hAnsi="MS PGothic"/>
          <w:sz w:val="14"/>
          <w:szCs w:val="14"/>
          <w:b w:val="1"/>
          <w:bCs w:val="1"/>
          <w:color w:val="2E9E46"/>
          <w:highlight w:val="lightGray"/>
        </w:rPr>
      </w:pPr>
      <w:r>
        <w:rPr>
          <w:rFonts w:ascii="Arial" w:cs="Arial" w:eastAsia="Arial" w:hAnsi="Arial"/>
          <w:sz w:val="14"/>
          <w:szCs w:val="14"/>
          <w:color w:val="333740"/>
        </w:rPr>
        <w:t>Our Directors’ Remuneration Policy provides for an annual cap on total remuneration (i.e., cash and equity awards) of $500,000.</w:t>
      </w:r>
    </w:p>
    <w:p>
      <w:pPr>
        <w:spacing w:after="0" w:line="198" w:lineRule="exact"/>
        <w:rPr>
          <w:rFonts w:ascii="MS PGothic" w:cs="MS PGothic" w:eastAsia="MS PGothic" w:hAnsi="MS PGothic"/>
          <w:sz w:val="14"/>
          <w:szCs w:val="14"/>
          <w:b w:val="1"/>
          <w:bCs w:val="1"/>
          <w:color w:val="2E9E46"/>
          <w:highlight w:val="lightGray"/>
        </w:rPr>
      </w:pPr>
    </w:p>
    <w:p>
      <w:pPr>
        <w:ind w:left="284" w:hanging="165"/>
        <w:spacing w:after="0"/>
        <w:tabs>
          <w:tab w:leader="none" w:pos="284" w:val="left"/>
        </w:tabs>
        <w:numPr>
          <w:ilvl w:val="0"/>
          <w:numId w:val="59"/>
        </w:numPr>
        <w:rPr>
          <w:rFonts w:ascii="MS PGothic" w:cs="MS PGothic" w:eastAsia="MS PGothic" w:hAnsi="MS PGothic"/>
          <w:sz w:val="14"/>
          <w:szCs w:val="14"/>
          <w:b w:val="1"/>
          <w:bCs w:val="1"/>
          <w:color w:val="2E9E46"/>
          <w:highlight w:val="lightGray"/>
        </w:rPr>
      </w:pPr>
      <w:r>
        <w:rPr>
          <w:rFonts w:ascii="Arial" w:cs="Arial" w:eastAsia="Arial" w:hAnsi="Arial"/>
          <w:sz w:val="14"/>
          <w:szCs w:val="14"/>
          <w:color w:val="333740"/>
        </w:rPr>
        <w:t>Each non-executive director is subject to a share ownership requirement of 5x the annual cash retainer.</w:t>
      </w:r>
    </w:p>
    <w:p>
      <w:pPr>
        <w:spacing w:after="0" w:line="200" w:lineRule="exact"/>
        <w:rPr>
          <w:sz w:val="20"/>
          <w:szCs w:val="20"/>
          <w:color w:val="auto"/>
        </w:rPr>
      </w:pPr>
    </w:p>
    <w:p>
      <w:pPr>
        <w:spacing w:after="0" w:line="275" w:lineRule="exact"/>
        <w:rPr>
          <w:sz w:val="20"/>
          <w:szCs w:val="20"/>
          <w:color w:val="auto"/>
        </w:rPr>
      </w:pPr>
    </w:p>
    <w:p>
      <w:pPr>
        <w:ind w:left="564" w:hanging="564"/>
        <w:spacing w:after="0"/>
        <w:tabs>
          <w:tab w:leader="none" w:pos="564" w:val="left"/>
        </w:tabs>
        <w:numPr>
          <w:ilvl w:val="0"/>
          <w:numId w:val="60"/>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128" w:right="339" w:bottom="1440" w:gutter="0" w:footer="0" w:header="0"/>
        </w:sectPr>
      </w:pPr>
    </w:p>
    <w:bookmarkStart w:id="51" w:name="page52"/>
    <w:bookmarkEnd w:id="51"/>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98"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Components of Non-executive Director Compensation</w:t>
      </w:r>
    </w:p>
    <w:p>
      <w:pPr>
        <w:spacing w:after="0" w:line="85" w:lineRule="exact"/>
        <w:rPr>
          <w:sz w:val="20"/>
          <w:szCs w:val="20"/>
          <w:color w:val="auto"/>
        </w:rPr>
      </w:pPr>
    </w:p>
    <w:p>
      <w:pPr>
        <w:ind w:left="4" w:right="280"/>
        <w:spacing w:after="0" w:line="317" w:lineRule="auto"/>
        <w:rPr>
          <w:sz w:val="20"/>
          <w:szCs w:val="20"/>
          <w:color w:val="auto"/>
        </w:rPr>
      </w:pPr>
      <w:r>
        <w:rPr>
          <w:rFonts w:ascii="Arial" w:cs="Arial" w:eastAsia="Arial" w:hAnsi="Arial"/>
          <w:sz w:val="19"/>
          <w:szCs w:val="19"/>
          <w:color w:val="333740"/>
        </w:rPr>
        <w:t>The following table describes the components of the Company’s non-executive director compensation program for 2019 pursuant to our Directors’ Remuneration Policy, which was approved at our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8195" cy="32778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8195" cy="3277870"/>
                    </a:xfrm>
                    <a:prstGeom prst="rect">
                      <a:avLst/>
                    </a:prstGeom>
                    <a:noFill/>
                  </pic:spPr>
                </pic:pic>
              </a:graphicData>
            </a:graphic>
          </wp:anchor>
        </w:drawing>
      </w:r>
    </w:p>
    <w:p>
      <w:pPr>
        <w:spacing w:after="0" w:line="12" w:lineRule="exact"/>
        <w:rPr>
          <w:sz w:val="20"/>
          <w:szCs w:val="20"/>
          <w:color w:val="auto"/>
        </w:rPr>
      </w:pPr>
    </w:p>
    <w:tbl>
      <w:tblPr>
        <w:tblLayout w:type="fixed"/>
        <w:tblInd w:w="4" w:type="dxa"/>
        <w:tblCellMar>
          <w:top w:w="0" w:type="dxa"/>
          <w:left w:w="0" w:type="dxa"/>
          <w:bottom w:w="0" w:type="dxa"/>
          <w:right w:w="0" w:type="dxa"/>
        </w:tblCellMar>
      </w:tblPr>
      <w:tr>
        <w:trPr>
          <w:trHeight w:val="297"/>
        </w:trPr>
        <w:tc>
          <w:tcPr>
            <w:tcW w:w="4060" w:type="dxa"/>
            <w:vAlign w:val="bottom"/>
            <w:shd w:val="clear" w:color="auto" w:fill="481F6E"/>
          </w:tcPr>
          <w:p>
            <w:pPr>
              <w:ind w:left="120"/>
              <w:spacing w:after="0"/>
              <w:rPr>
                <w:sz w:val="20"/>
                <w:szCs w:val="20"/>
                <w:color w:val="auto"/>
              </w:rPr>
            </w:pPr>
            <w:r>
              <w:rPr>
                <w:rFonts w:ascii="Arial" w:cs="Arial" w:eastAsia="Arial" w:hAnsi="Arial"/>
                <w:sz w:val="14"/>
                <w:szCs w:val="14"/>
                <w:b w:val="1"/>
                <w:bCs w:val="1"/>
                <w:color w:val="FFFFFF"/>
              </w:rPr>
              <w:t>Compensation Element</w:t>
            </w:r>
          </w:p>
        </w:tc>
        <w:tc>
          <w:tcPr>
            <w:tcW w:w="7200" w:type="dxa"/>
            <w:vAlign w:val="bottom"/>
            <w:shd w:val="clear" w:color="auto" w:fill="481F6E"/>
          </w:tcPr>
          <w:p>
            <w:pPr>
              <w:ind w:left="100"/>
              <w:spacing w:after="0"/>
              <w:rPr>
                <w:sz w:val="20"/>
                <w:szCs w:val="20"/>
                <w:color w:val="auto"/>
              </w:rPr>
            </w:pPr>
            <w:r>
              <w:rPr>
                <w:rFonts w:ascii="Arial" w:cs="Arial" w:eastAsia="Arial" w:hAnsi="Arial"/>
                <w:sz w:val="14"/>
                <w:szCs w:val="14"/>
                <w:b w:val="1"/>
                <w:bCs w:val="1"/>
                <w:color w:val="FFFFFF"/>
              </w:rPr>
              <w:t>Compensation</w:t>
            </w:r>
          </w:p>
        </w:tc>
      </w:tr>
      <w:tr>
        <w:trPr>
          <w:trHeight w:val="85"/>
        </w:trPr>
        <w:tc>
          <w:tcPr>
            <w:tcW w:w="4060" w:type="dxa"/>
            <w:vAlign w:val="bottom"/>
            <w:shd w:val="clear" w:color="auto" w:fill="481F6E"/>
          </w:tcPr>
          <w:p>
            <w:pPr>
              <w:spacing w:after="0"/>
              <w:rPr>
                <w:sz w:val="7"/>
                <w:szCs w:val="7"/>
                <w:color w:val="auto"/>
              </w:rPr>
            </w:pPr>
          </w:p>
        </w:tc>
        <w:tc>
          <w:tcPr>
            <w:tcW w:w="7200" w:type="dxa"/>
            <w:vAlign w:val="bottom"/>
            <w:shd w:val="clear" w:color="auto" w:fill="481F6E"/>
          </w:tcPr>
          <w:p>
            <w:pPr>
              <w:spacing w:after="0"/>
              <w:rPr>
                <w:sz w:val="7"/>
                <w:szCs w:val="7"/>
                <w:color w:val="auto"/>
              </w:rPr>
            </w:pPr>
          </w:p>
        </w:tc>
      </w:tr>
      <w:tr>
        <w:trPr>
          <w:trHeight w:val="297"/>
        </w:trPr>
        <w:tc>
          <w:tcPr>
            <w:tcW w:w="4060" w:type="dxa"/>
            <w:vAlign w:val="bottom"/>
            <w:shd w:val="clear" w:color="auto" w:fill="D7D8D6"/>
          </w:tcPr>
          <w:p>
            <w:pPr>
              <w:ind w:left="120"/>
              <w:spacing w:after="0"/>
              <w:rPr>
                <w:sz w:val="20"/>
                <w:szCs w:val="20"/>
                <w:color w:val="auto"/>
              </w:rPr>
            </w:pPr>
            <w:r>
              <w:rPr>
                <w:rFonts w:ascii="Arial" w:cs="Arial" w:eastAsia="Arial" w:hAnsi="Arial"/>
                <w:sz w:val="14"/>
                <w:szCs w:val="14"/>
                <w:b w:val="1"/>
                <w:bCs w:val="1"/>
                <w:color w:val="333740"/>
              </w:rPr>
              <w:t>Annual Cash Retainer</w:t>
            </w: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$100,000</w:t>
            </w:r>
          </w:p>
        </w:tc>
      </w:tr>
      <w:tr>
        <w:trPr>
          <w:trHeight w:val="390"/>
        </w:trPr>
        <w:tc>
          <w:tcPr>
            <w:tcW w:w="4060" w:type="dxa"/>
            <w:vAlign w:val="bottom"/>
            <w:shd w:val="clear" w:color="auto" w:fill="D7D8D6"/>
          </w:tcPr>
          <w:p>
            <w:pPr>
              <w:ind w:left="120"/>
              <w:spacing w:after="0"/>
              <w:rPr>
                <w:sz w:val="20"/>
                <w:szCs w:val="20"/>
                <w:color w:val="auto"/>
              </w:rPr>
            </w:pPr>
            <w:r>
              <w:rPr>
                <w:rFonts w:ascii="Arial" w:cs="Arial" w:eastAsia="Arial" w:hAnsi="Arial"/>
                <w:sz w:val="14"/>
                <w:szCs w:val="14"/>
                <w:b w:val="1"/>
                <w:bCs w:val="1"/>
                <w:color w:val="333740"/>
              </w:rPr>
              <w:t>Annual Equity Grant</w:t>
            </w: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$175,000 in RSUs, vesting after one year of service and settled upon leaving the Board</w:t>
            </w:r>
          </w:p>
        </w:tc>
      </w:tr>
      <w:tr>
        <w:trPr>
          <w:trHeight w:val="246"/>
        </w:trPr>
        <w:tc>
          <w:tcPr>
            <w:tcW w:w="4060" w:type="dxa"/>
            <w:vAlign w:val="bottom"/>
            <w:shd w:val="clear" w:color="auto" w:fill="D7D8D6"/>
          </w:tcPr>
          <w:p>
            <w:pPr>
              <w:spacing w:after="0"/>
              <w:rPr>
                <w:sz w:val="21"/>
                <w:szCs w:val="21"/>
                <w:color w:val="auto"/>
              </w:rPr>
            </w:pP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Starting with the 2020 award, non-executive directors will have the opportunity to elect the year in which they</w:t>
            </w:r>
          </w:p>
        </w:tc>
      </w:tr>
      <w:tr>
        <w:trPr>
          <w:trHeight w:val="142"/>
        </w:trPr>
        <w:tc>
          <w:tcPr>
            <w:tcW w:w="4060" w:type="dxa"/>
            <w:vAlign w:val="bottom"/>
            <w:shd w:val="clear" w:color="auto" w:fill="D7D8D6"/>
          </w:tcPr>
          <w:p>
            <w:pPr>
              <w:spacing w:after="0"/>
              <w:rPr>
                <w:sz w:val="12"/>
                <w:szCs w:val="12"/>
                <w:color w:val="auto"/>
              </w:rPr>
            </w:pPr>
          </w:p>
        </w:tc>
        <w:tc>
          <w:tcPr>
            <w:tcW w:w="7200" w:type="dxa"/>
            <w:vAlign w:val="bottom"/>
            <w:shd w:val="clear" w:color="auto" w:fill="D7D8D6"/>
          </w:tcPr>
          <w:p>
            <w:pPr>
              <w:ind w:left="100"/>
              <w:spacing w:after="0" w:line="142" w:lineRule="exact"/>
              <w:rPr>
                <w:sz w:val="20"/>
                <w:szCs w:val="20"/>
                <w:color w:val="auto"/>
              </w:rPr>
            </w:pPr>
            <w:r>
              <w:rPr>
                <w:rFonts w:ascii="Arial" w:cs="Arial" w:eastAsia="Arial" w:hAnsi="Arial"/>
                <w:sz w:val="14"/>
                <w:szCs w:val="14"/>
                <w:color w:val="333740"/>
              </w:rPr>
              <w:t>will take receipt of the equity grants from either (a) a period of 1 to 10 years from</w:t>
            </w:r>
          </w:p>
        </w:tc>
      </w:tr>
      <w:tr>
        <w:trPr>
          <w:trHeight w:val="167"/>
        </w:trPr>
        <w:tc>
          <w:tcPr>
            <w:tcW w:w="4060" w:type="dxa"/>
            <w:vAlign w:val="bottom"/>
            <w:shd w:val="clear" w:color="auto" w:fill="D7D8D6"/>
          </w:tcPr>
          <w:p>
            <w:pPr>
              <w:spacing w:after="0"/>
              <w:rPr>
                <w:sz w:val="14"/>
                <w:szCs w:val="14"/>
                <w:color w:val="auto"/>
              </w:rPr>
            </w:pP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the grant date or (b) upon their separation from Board service. The elections are made prior to</w:t>
            </w:r>
          </w:p>
        </w:tc>
      </w:tr>
      <w:tr>
        <w:trPr>
          <w:trHeight w:val="167"/>
        </w:trPr>
        <w:tc>
          <w:tcPr>
            <w:tcW w:w="4060" w:type="dxa"/>
            <w:vAlign w:val="bottom"/>
            <w:shd w:val="clear" w:color="auto" w:fill="D7D8D6"/>
          </w:tcPr>
          <w:p>
            <w:pPr>
              <w:spacing w:after="0"/>
              <w:rPr>
                <w:sz w:val="14"/>
                <w:szCs w:val="14"/>
                <w:color w:val="auto"/>
              </w:rPr>
            </w:pP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the beginning of the grant year and are irrevocable after December 31st of the year prior to</w:t>
            </w:r>
          </w:p>
        </w:tc>
      </w:tr>
      <w:tr>
        <w:trPr>
          <w:trHeight w:val="225"/>
        </w:trPr>
        <w:tc>
          <w:tcPr>
            <w:tcW w:w="4060" w:type="dxa"/>
            <w:vAlign w:val="bottom"/>
            <w:shd w:val="clear" w:color="auto" w:fill="D7D8D6"/>
          </w:tcPr>
          <w:p>
            <w:pPr>
              <w:spacing w:after="0"/>
              <w:rPr>
                <w:sz w:val="19"/>
                <w:szCs w:val="19"/>
                <w:color w:val="auto"/>
              </w:rPr>
            </w:pP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grant.</w:t>
            </w:r>
          </w:p>
        </w:tc>
      </w:tr>
      <w:tr>
        <w:trPr>
          <w:trHeight w:val="406"/>
        </w:trPr>
        <w:tc>
          <w:tcPr>
            <w:tcW w:w="4060" w:type="dxa"/>
            <w:vAlign w:val="bottom"/>
            <w:shd w:val="clear" w:color="auto" w:fill="D7D8D6"/>
          </w:tcPr>
          <w:p>
            <w:pPr>
              <w:ind w:left="120"/>
              <w:spacing w:after="0"/>
              <w:rPr>
                <w:sz w:val="20"/>
                <w:szCs w:val="20"/>
                <w:color w:val="auto"/>
              </w:rPr>
            </w:pPr>
            <w:r>
              <w:rPr>
                <w:rFonts w:ascii="Arial" w:cs="Arial" w:eastAsia="Arial" w:hAnsi="Arial"/>
                <w:sz w:val="14"/>
                <w:szCs w:val="14"/>
                <w:b w:val="1"/>
                <w:bCs w:val="1"/>
                <w:color w:val="333740"/>
              </w:rPr>
              <w:t>Annual Chair Fee</w:t>
            </w: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$20,000 for Audit Committee</w:t>
            </w:r>
          </w:p>
        </w:tc>
      </w:tr>
      <w:tr>
        <w:trPr>
          <w:trHeight w:val="263"/>
        </w:trPr>
        <w:tc>
          <w:tcPr>
            <w:tcW w:w="4060" w:type="dxa"/>
            <w:vAlign w:val="bottom"/>
            <w:shd w:val="clear" w:color="auto" w:fill="D7D8D6"/>
          </w:tcPr>
          <w:p>
            <w:pPr>
              <w:spacing w:after="0"/>
              <w:rPr>
                <w:sz w:val="22"/>
                <w:szCs w:val="22"/>
                <w:color w:val="auto"/>
              </w:rPr>
            </w:pP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$15,000 for Compensation Committee</w:t>
            </w:r>
          </w:p>
        </w:tc>
      </w:tr>
      <w:tr>
        <w:trPr>
          <w:trHeight w:val="263"/>
        </w:trPr>
        <w:tc>
          <w:tcPr>
            <w:tcW w:w="4060" w:type="dxa"/>
            <w:vAlign w:val="bottom"/>
            <w:shd w:val="clear" w:color="auto" w:fill="D7D8D6"/>
          </w:tcPr>
          <w:p>
            <w:pPr>
              <w:spacing w:after="0"/>
              <w:rPr>
                <w:sz w:val="22"/>
                <w:szCs w:val="22"/>
                <w:color w:val="auto"/>
              </w:rPr>
            </w:pP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$10,000 for Nominating and Corporate Governance Committee</w:t>
            </w:r>
          </w:p>
        </w:tc>
      </w:tr>
      <w:tr>
        <w:trPr>
          <w:trHeight w:val="263"/>
        </w:trPr>
        <w:tc>
          <w:tcPr>
            <w:tcW w:w="4060" w:type="dxa"/>
            <w:vAlign w:val="bottom"/>
            <w:shd w:val="clear" w:color="auto" w:fill="D7D8D6"/>
          </w:tcPr>
          <w:p>
            <w:pPr>
              <w:spacing w:after="0"/>
              <w:rPr>
                <w:sz w:val="22"/>
                <w:szCs w:val="22"/>
                <w:color w:val="auto"/>
              </w:rPr>
            </w:pP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$10,000 for Strategy Committee</w:t>
            </w:r>
          </w:p>
        </w:tc>
      </w:tr>
      <w:tr>
        <w:trPr>
          <w:trHeight w:val="311"/>
        </w:trPr>
        <w:tc>
          <w:tcPr>
            <w:tcW w:w="4060" w:type="dxa"/>
            <w:vAlign w:val="bottom"/>
            <w:shd w:val="clear" w:color="auto" w:fill="D7D8D6"/>
          </w:tcPr>
          <w:p>
            <w:pPr>
              <w:ind w:left="120"/>
              <w:spacing w:after="0"/>
              <w:rPr>
                <w:sz w:val="20"/>
                <w:szCs w:val="20"/>
                <w:color w:val="auto"/>
              </w:rPr>
            </w:pPr>
            <w:r>
              <w:rPr>
                <w:rFonts w:ascii="Arial" w:cs="Arial" w:eastAsia="Arial" w:hAnsi="Arial"/>
                <w:sz w:val="14"/>
                <w:szCs w:val="14"/>
                <w:b w:val="1"/>
                <w:bCs w:val="1"/>
                <w:color w:val="333740"/>
              </w:rPr>
              <w:t>Annual Lead Independent Director Fee</w:t>
            </w: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$50,000</w:t>
            </w:r>
          </w:p>
        </w:tc>
      </w:tr>
      <w:tr>
        <w:trPr>
          <w:trHeight w:val="406"/>
        </w:trPr>
        <w:tc>
          <w:tcPr>
            <w:tcW w:w="4060" w:type="dxa"/>
            <w:vAlign w:val="bottom"/>
            <w:shd w:val="clear" w:color="auto" w:fill="D7D8D6"/>
          </w:tcPr>
          <w:p>
            <w:pPr>
              <w:ind w:left="120"/>
              <w:spacing w:after="0"/>
              <w:rPr>
                <w:sz w:val="20"/>
                <w:szCs w:val="20"/>
                <w:color w:val="auto"/>
              </w:rPr>
            </w:pPr>
            <w:r>
              <w:rPr>
                <w:rFonts w:ascii="Arial" w:cs="Arial" w:eastAsia="Arial" w:hAnsi="Arial"/>
                <w:sz w:val="14"/>
                <w:szCs w:val="14"/>
                <w:b w:val="1"/>
                <w:bCs w:val="1"/>
                <w:color w:val="333740"/>
              </w:rPr>
              <w:t>Committee Meeting Fee</w:t>
            </w: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$2,500 per committee meeting</w:t>
            </w:r>
          </w:p>
        </w:tc>
      </w:tr>
      <w:tr>
        <w:trPr>
          <w:trHeight w:val="386"/>
        </w:trPr>
        <w:tc>
          <w:tcPr>
            <w:tcW w:w="4060" w:type="dxa"/>
            <w:vAlign w:val="bottom"/>
            <w:shd w:val="clear" w:color="auto" w:fill="D7D8D6"/>
          </w:tcPr>
          <w:p>
            <w:pPr>
              <w:ind w:left="120"/>
              <w:spacing w:after="0"/>
              <w:rPr>
                <w:sz w:val="20"/>
                <w:szCs w:val="20"/>
                <w:color w:val="auto"/>
              </w:rPr>
            </w:pPr>
            <w:r>
              <w:rPr>
                <w:rFonts w:ascii="Arial" w:cs="Arial" w:eastAsia="Arial" w:hAnsi="Arial"/>
                <w:sz w:val="14"/>
                <w:szCs w:val="14"/>
                <w:b w:val="1"/>
                <w:bCs w:val="1"/>
                <w:color w:val="333740"/>
              </w:rPr>
              <w:t>Other Benefits</w:t>
            </w: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Reimbursement of travel and other related expenses incurred in connection with attending Board and</w:t>
            </w:r>
          </w:p>
        </w:tc>
      </w:tr>
      <w:tr>
        <w:trPr>
          <w:trHeight w:val="172"/>
        </w:trPr>
        <w:tc>
          <w:tcPr>
            <w:tcW w:w="4060" w:type="dxa"/>
            <w:vAlign w:val="bottom"/>
            <w:shd w:val="clear" w:color="auto" w:fill="D7D8D6"/>
          </w:tcPr>
          <w:p>
            <w:pPr>
              <w:spacing w:after="0"/>
              <w:rPr>
                <w:sz w:val="14"/>
                <w:szCs w:val="14"/>
                <w:color w:val="auto"/>
              </w:rPr>
            </w:pP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committee meetings</w:t>
            </w:r>
          </w:p>
        </w:tc>
      </w:tr>
      <w:tr>
        <w:trPr>
          <w:trHeight w:val="251"/>
        </w:trPr>
        <w:tc>
          <w:tcPr>
            <w:tcW w:w="4060" w:type="dxa"/>
            <w:vAlign w:val="bottom"/>
            <w:shd w:val="clear" w:color="auto" w:fill="D7D8D6"/>
          </w:tcPr>
          <w:p>
            <w:pPr>
              <w:spacing w:after="0"/>
              <w:rPr>
                <w:sz w:val="21"/>
                <w:szCs w:val="21"/>
                <w:color w:val="auto"/>
              </w:rPr>
            </w:pP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Assistance for the annual individual U.K. tax return</w:t>
            </w:r>
          </w:p>
        </w:tc>
      </w:tr>
      <w:tr>
        <w:trPr>
          <w:trHeight w:val="315"/>
        </w:trPr>
        <w:tc>
          <w:tcPr>
            <w:tcW w:w="4060" w:type="dxa"/>
            <w:vAlign w:val="bottom"/>
            <w:shd w:val="clear" w:color="auto" w:fill="D7D8D6"/>
          </w:tcPr>
          <w:p>
            <w:pPr>
              <w:spacing w:after="0"/>
              <w:rPr>
                <w:sz w:val="24"/>
                <w:szCs w:val="24"/>
                <w:color w:val="auto"/>
              </w:rPr>
            </w:pPr>
          </w:p>
        </w:tc>
        <w:tc>
          <w:tcPr>
            <w:tcW w:w="720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Participation in our matching charitable contribution program on the same terms as employees</w:t>
            </w:r>
          </w:p>
        </w:tc>
      </w:tr>
      <w:tr>
        <w:trPr>
          <w:trHeight w:val="109"/>
        </w:trPr>
        <w:tc>
          <w:tcPr>
            <w:tcW w:w="4060" w:type="dxa"/>
            <w:vAlign w:val="bottom"/>
            <w:shd w:val="clear" w:color="auto" w:fill="D7D8D6"/>
          </w:tcPr>
          <w:p>
            <w:pPr>
              <w:spacing w:after="0"/>
              <w:rPr>
                <w:sz w:val="9"/>
                <w:szCs w:val="9"/>
                <w:color w:val="auto"/>
              </w:rPr>
            </w:pPr>
          </w:p>
        </w:tc>
        <w:tc>
          <w:tcPr>
            <w:tcW w:w="7200" w:type="dxa"/>
            <w:vAlign w:val="bottom"/>
            <w:shd w:val="clear" w:color="auto" w:fill="D7D8D6"/>
          </w:tcPr>
          <w:p>
            <w:pPr>
              <w:spacing w:after="0"/>
              <w:rPr>
                <w:sz w:val="9"/>
                <w:szCs w:val="9"/>
                <w:color w:val="auto"/>
              </w:rPr>
            </w:pPr>
          </w:p>
        </w:tc>
      </w:tr>
    </w:tbl>
    <w:p>
      <w:pPr>
        <w:spacing w:after="0" w:line="363" w:lineRule="exact"/>
        <w:rPr>
          <w:sz w:val="20"/>
          <w:szCs w:val="20"/>
          <w:color w:val="auto"/>
        </w:rPr>
      </w:pPr>
    </w:p>
    <w:p>
      <w:pPr>
        <w:ind w:left="564" w:hanging="564"/>
        <w:spacing w:after="0"/>
        <w:tabs>
          <w:tab w:leader="none" w:pos="564" w:val="left"/>
        </w:tabs>
        <w:numPr>
          <w:ilvl w:val="0"/>
          <w:numId w:val="61"/>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52" w:name="page53"/>
    <w:bookmarkEnd w:id="52"/>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Non-executive Director Compensation Table</w:t>
      </w:r>
    </w:p>
    <w:p>
      <w:pPr>
        <w:spacing w:after="0" w:line="49" w:lineRule="exact"/>
        <w:rPr>
          <w:sz w:val="20"/>
          <w:szCs w:val="20"/>
          <w:color w:val="auto"/>
        </w:rPr>
      </w:pPr>
    </w:p>
    <w:p>
      <w:pPr>
        <w:ind w:left="4" w:right="40"/>
        <w:spacing w:after="0" w:line="283" w:lineRule="auto"/>
        <w:rPr>
          <w:sz w:val="20"/>
          <w:szCs w:val="20"/>
          <w:color w:val="auto"/>
        </w:rPr>
      </w:pPr>
      <w:r>
        <w:rPr>
          <w:rFonts w:ascii="Arial" w:cs="Arial" w:eastAsia="Arial" w:hAnsi="Arial"/>
          <w:sz w:val="19"/>
          <w:szCs w:val="19"/>
          <w:color w:val="333740"/>
        </w:rPr>
        <w:t>The following table details the total compensation for our non-executive directors for the year ended December 31, 2019. Our former Executive Chairman, Mr. Pilenko, and current Chairman and CEO, Mr. Pferdehirt, are not included in the table below as they were employees during 2019 and did not receive any additional compensation for their 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6435090</wp:posOffset>
            </wp:positionH>
            <wp:positionV relativeFrom="paragraph">
              <wp:posOffset>196215</wp:posOffset>
            </wp:positionV>
            <wp:extent cx="7620" cy="273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20" cy="273050"/>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196215</wp:posOffset>
            </wp:positionV>
            <wp:extent cx="7620" cy="273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20" cy="273050"/>
                    </a:xfrm>
                    <a:prstGeom prst="rect">
                      <a:avLst/>
                    </a:prstGeom>
                    <a:noFill/>
                  </pic:spPr>
                </pic:pic>
              </a:graphicData>
            </a:graphic>
          </wp:anchor>
        </w:drawing>
        <w:drawing>
          <wp:anchor simplePos="0" relativeHeight="251657728" behindDoc="1" locked="0" layoutInCell="0" allowOverlap="1">
            <wp:simplePos x="0" y="0"/>
            <wp:positionH relativeFrom="column">
              <wp:posOffset>3642360</wp:posOffset>
            </wp:positionH>
            <wp:positionV relativeFrom="paragraph">
              <wp:posOffset>196215</wp:posOffset>
            </wp:positionV>
            <wp:extent cx="7620" cy="273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20" cy="273050"/>
                    </a:xfrm>
                    <a:prstGeom prst="rect">
                      <a:avLst/>
                    </a:prstGeom>
                    <a:noFill/>
                  </pic:spPr>
                </pic:pic>
              </a:graphicData>
            </a:graphic>
          </wp:anchor>
        </w:drawing>
        <w:drawing>
          <wp:anchor simplePos="0" relativeHeight="251657728" behindDoc="1" locked="0" layoutInCell="0" allowOverlap="1">
            <wp:simplePos x="0" y="0"/>
            <wp:positionH relativeFrom="column">
              <wp:posOffset>2352040</wp:posOffset>
            </wp:positionH>
            <wp:positionV relativeFrom="paragraph">
              <wp:posOffset>196215</wp:posOffset>
            </wp:positionV>
            <wp:extent cx="7620" cy="273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20" cy="273050"/>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196215</wp:posOffset>
            </wp:positionV>
            <wp:extent cx="7620" cy="273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20" cy="273050"/>
                    </a:xfrm>
                    <a:prstGeom prst="rect">
                      <a:avLst/>
                    </a:prstGeom>
                    <a:noFill/>
                  </pic:spPr>
                </pic:pic>
              </a:graphicData>
            </a:graphic>
          </wp:anchor>
        </w:drawing>
      </w:r>
    </w:p>
    <w:p>
      <w:pPr>
        <w:spacing w:after="0" w:line="289"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2200" w:type="dxa"/>
            <w:vAlign w:val="bottom"/>
            <w:shd w:val="clear" w:color="auto" w:fill="481F6E"/>
          </w:tcPr>
          <w:p>
            <w:pPr>
              <w:spacing w:after="0"/>
              <w:rPr>
                <w:sz w:val="20"/>
                <w:szCs w:val="20"/>
                <w:color w:val="auto"/>
              </w:rPr>
            </w:pPr>
            <w:r>
              <w:rPr>
                <w:rFonts w:ascii="Arial" w:cs="Arial" w:eastAsia="Arial" w:hAnsi="Arial"/>
                <w:sz w:val="14"/>
                <w:szCs w:val="14"/>
                <w:color w:val="FFFFFF"/>
              </w:rPr>
              <w:t>Name</w:t>
            </w:r>
          </w:p>
        </w:tc>
        <w:tc>
          <w:tcPr>
            <w:tcW w:w="1920" w:type="dxa"/>
            <w:vAlign w:val="bottom"/>
            <w:shd w:val="clear" w:color="auto" w:fill="481F6E"/>
          </w:tcPr>
          <w:p>
            <w:pPr>
              <w:jc w:val="right"/>
              <w:ind w:right="448"/>
              <w:spacing w:after="0"/>
              <w:rPr>
                <w:sz w:val="20"/>
                <w:szCs w:val="20"/>
                <w:color w:val="auto"/>
              </w:rPr>
            </w:pPr>
            <w:r>
              <w:rPr>
                <w:rFonts w:ascii="Arial" w:cs="Arial" w:eastAsia="Arial" w:hAnsi="Arial"/>
                <w:sz w:val="14"/>
                <w:szCs w:val="14"/>
                <w:b w:val="1"/>
                <w:bCs w:val="1"/>
                <w:color w:val="FFFFFF"/>
              </w:rPr>
              <w:t>Annual Cash</w:t>
            </w:r>
          </w:p>
        </w:tc>
        <w:tc>
          <w:tcPr>
            <w:tcW w:w="1740" w:type="dxa"/>
            <w:vAlign w:val="bottom"/>
            <w:shd w:val="clear" w:color="auto" w:fill="481F6E"/>
          </w:tcPr>
          <w:p>
            <w:pPr>
              <w:jc w:val="right"/>
              <w:ind w:right="168"/>
              <w:spacing w:after="0"/>
              <w:rPr>
                <w:sz w:val="20"/>
                <w:szCs w:val="20"/>
                <w:color w:val="auto"/>
              </w:rPr>
            </w:pPr>
            <w:r>
              <w:rPr>
                <w:rFonts w:ascii="Arial" w:cs="Arial" w:eastAsia="Arial" w:hAnsi="Arial"/>
                <w:sz w:val="14"/>
                <w:szCs w:val="14"/>
                <w:b w:val="1"/>
                <w:bCs w:val="1"/>
                <w:color w:val="FFFFFF"/>
              </w:rPr>
              <w:t>Additional Fees</w:t>
            </w:r>
          </w:p>
        </w:tc>
        <w:tc>
          <w:tcPr>
            <w:tcW w:w="2200" w:type="dxa"/>
            <w:vAlign w:val="bottom"/>
            <w:shd w:val="clear" w:color="auto" w:fill="481F6E"/>
          </w:tcPr>
          <w:p>
            <w:pPr>
              <w:jc w:val="right"/>
              <w:ind w:right="688"/>
              <w:spacing w:after="0"/>
              <w:rPr>
                <w:sz w:val="20"/>
                <w:szCs w:val="20"/>
                <w:color w:val="auto"/>
              </w:rPr>
            </w:pPr>
            <w:r>
              <w:rPr>
                <w:rFonts w:ascii="Arial" w:cs="Arial" w:eastAsia="Arial" w:hAnsi="Arial"/>
                <w:sz w:val="14"/>
                <w:szCs w:val="14"/>
                <w:b w:val="1"/>
                <w:bCs w:val="1"/>
                <w:color w:val="FFFFFF"/>
              </w:rPr>
              <w:t>Stock Awards ($)</w:t>
            </w:r>
            <w:r>
              <w:rPr>
                <w:rFonts w:ascii="Arial" w:cs="Arial" w:eastAsia="Arial" w:hAnsi="Arial"/>
                <w:sz w:val="6"/>
                <w:szCs w:val="6"/>
                <w:b w:val="1"/>
                <w:bCs w:val="1"/>
                <w:color w:val="FFFFFF"/>
              </w:rPr>
              <w:t>2</w:t>
            </w:r>
          </w:p>
        </w:tc>
        <w:tc>
          <w:tcPr>
            <w:tcW w:w="2300" w:type="dxa"/>
            <w:vAlign w:val="bottom"/>
            <w:shd w:val="clear" w:color="auto" w:fill="481F6E"/>
          </w:tcPr>
          <w:p>
            <w:pPr>
              <w:jc w:val="right"/>
              <w:ind w:right="268"/>
              <w:spacing w:after="0"/>
              <w:rPr>
                <w:sz w:val="20"/>
                <w:szCs w:val="20"/>
                <w:color w:val="auto"/>
              </w:rPr>
            </w:pPr>
            <w:r>
              <w:rPr>
                <w:rFonts w:ascii="Arial" w:cs="Arial" w:eastAsia="Arial" w:hAnsi="Arial"/>
                <w:sz w:val="14"/>
                <w:szCs w:val="14"/>
                <w:b w:val="1"/>
                <w:bCs w:val="1"/>
                <w:color w:val="FFFFFF"/>
              </w:rPr>
              <w:t>All Other</w:t>
            </w:r>
          </w:p>
        </w:tc>
        <w:tc>
          <w:tcPr>
            <w:tcW w:w="900" w:type="dxa"/>
            <w:vAlign w:val="bottom"/>
            <w:shd w:val="clear" w:color="auto" w:fill="481F6E"/>
          </w:tcPr>
          <w:p>
            <w:pPr>
              <w:jc w:val="right"/>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39"/>
        </w:trPr>
        <w:tc>
          <w:tcPr>
            <w:tcW w:w="2200" w:type="dxa"/>
            <w:vAlign w:val="bottom"/>
            <w:shd w:val="clear" w:color="auto" w:fill="481F6E"/>
          </w:tcPr>
          <w:p>
            <w:pPr>
              <w:spacing w:after="0"/>
              <w:rPr>
                <w:sz w:val="20"/>
                <w:szCs w:val="20"/>
                <w:color w:val="auto"/>
              </w:rPr>
            </w:pPr>
          </w:p>
        </w:tc>
        <w:tc>
          <w:tcPr>
            <w:tcW w:w="1920" w:type="dxa"/>
            <w:vAlign w:val="bottom"/>
            <w:shd w:val="clear" w:color="auto" w:fill="481F6E"/>
          </w:tcPr>
          <w:p>
            <w:pPr>
              <w:jc w:val="right"/>
              <w:ind w:right="448"/>
              <w:spacing w:after="0"/>
              <w:rPr>
                <w:sz w:val="20"/>
                <w:szCs w:val="20"/>
                <w:color w:val="auto"/>
              </w:rPr>
            </w:pPr>
            <w:r>
              <w:rPr>
                <w:rFonts w:ascii="Arial" w:cs="Arial" w:eastAsia="Arial" w:hAnsi="Arial"/>
                <w:sz w:val="14"/>
                <w:szCs w:val="14"/>
                <w:b w:val="1"/>
                <w:bCs w:val="1"/>
                <w:color w:val="FFFFFF"/>
              </w:rPr>
              <w:t>Retainer ($)</w:t>
            </w:r>
          </w:p>
        </w:tc>
        <w:tc>
          <w:tcPr>
            <w:tcW w:w="1740" w:type="dxa"/>
            <w:vAlign w:val="bottom"/>
            <w:shd w:val="clear" w:color="auto" w:fill="481F6E"/>
          </w:tcPr>
          <w:p>
            <w:pPr>
              <w:jc w:val="right"/>
              <w:ind w:right="1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6"/>
                <w:szCs w:val="6"/>
                <w:b w:val="1"/>
                <w:bCs w:val="1"/>
                <w:color w:val="FFFFFF"/>
              </w:rPr>
              <w:t>1</w:t>
            </w:r>
          </w:p>
        </w:tc>
        <w:tc>
          <w:tcPr>
            <w:tcW w:w="2200" w:type="dxa"/>
            <w:vAlign w:val="bottom"/>
            <w:shd w:val="clear" w:color="auto" w:fill="481F6E"/>
          </w:tcPr>
          <w:p>
            <w:pPr>
              <w:spacing w:after="0"/>
              <w:rPr>
                <w:sz w:val="20"/>
                <w:szCs w:val="20"/>
                <w:color w:val="auto"/>
              </w:rPr>
            </w:pPr>
          </w:p>
        </w:tc>
        <w:tc>
          <w:tcPr>
            <w:tcW w:w="2300" w:type="dxa"/>
            <w:vAlign w:val="bottom"/>
            <w:shd w:val="clear" w:color="auto" w:fill="481F6E"/>
          </w:tcPr>
          <w:p>
            <w:pPr>
              <w:jc w:val="right"/>
              <w:ind w:right="268"/>
              <w:spacing w:after="0"/>
              <w:rPr>
                <w:sz w:val="20"/>
                <w:szCs w:val="20"/>
                <w:color w:val="auto"/>
              </w:rPr>
            </w:pPr>
            <w:r>
              <w:rPr>
                <w:rFonts w:ascii="Arial" w:cs="Arial" w:eastAsia="Arial" w:hAnsi="Arial"/>
                <w:sz w:val="14"/>
                <w:szCs w:val="14"/>
                <w:b w:val="1"/>
                <w:bCs w:val="1"/>
                <w:color w:val="FFFFFF"/>
              </w:rPr>
              <w:t>Compensation ($)</w:t>
            </w:r>
          </w:p>
        </w:tc>
        <w:tc>
          <w:tcPr>
            <w:tcW w:w="900" w:type="dxa"/>
            <w:vAlign w:val="bottom"/>
            <w:shd w:val="clear" w:color="auto" w:fill="481F6E"/>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200" w:type="dxa"/>
            <w:vAlign w:val="bottom"/>
            <w:tcBorders>
              <w:bottom w:val="single" w:sz="8" w:color="D7D8D6"/>
            </w:tcBorders>
          </w:tcPr>
          <w:p>
            <w:pPr>
              <w:spacing w:after="0" w:line="263" w:lineRule="exact"/>
              <w:rPr>
                <w:sz w:val="20"/>
                <w:szCs w:val="20"/>
                <w:color w:val="auto"/>
              </w:rPr>
            </w:pPr>
            <w:r>
              <w:rPr>
                <w:rFonts w:ascii="Arial" w:cs="Arial" w:eastAsia="Arial" w:hAnsi="Arial"/>
                <w:sz w:val="14"/>
                <w:szCs w:val="14"/>
                <w:b w:val="1"/>
                <w:bCs w:val="1"/>
                <w:color w:val="333740"/>
              </w:rPr>
              <w:t>Arnaud Caudoux</w:t>
            </w:r>
            <w:r>
              <w:rPr>
                <w:rFonts w:ascii="Arial" w:cs="Arial" w:eastAsia="Arial" w:hAnsi="Arial"/>
                <w:sz w:val="23"/>
                <w:szCs w:val="23"/>
                <w:b w:val="1"/>
                <w:bCs w:val="1"/>
                <w:color w:val="333740"/>
                <w:vertAlign w:val="superscript"/>
              </w:rPr>
              <w:t>3</w:t>
            </w:r>
          </w:p>
        </w:tc>
        <w:tc>
          <w:tcPr>
            <w:tcW w:w="1920" w:type="dxa"/>
            <w:vAlign w:val="bottom"/>
            <w:tcBorders>
              <w:bottom w:val="single" w:sz="8" w:color="D7D8D6"/>
            </w:tcBorders>
          </w:tcPr>
          <w:p>
            <w:pPr>
              <w:jc w:val="right"/>
              <w:ind w:right="348"/>
              <w:spacing w:after="0"/>
              <w:rPr>
                <w:sz w:val="20"/>
                <w:szCs w:val="20"/>
                <w:color w:val="auto"/>
              </w:rPr>
            </w:pPr>
            <w:r>
              <w:rPr>
                <w:rFonts w:ascii="Arial" w:cs="Arial" w:eastAsia="Arial" w:hAnsi="Arial"/>
                <w:sz w:val="14"/>
                <w:szCs w:val="14"/>
                <w:color w:val="333740"/>
              </w:rPr>
              <w:t>0</w:t>
            </w:r>
          </w:p>
        </w:tc>
        <w:tc>
          <w:tcPr>
            <w:tcW w:w="1740" w:type="dxa"/>
            <w:vAlign w:val="bottom"/>
            <w:tcBorders>
              <w:bottom w:val="single" w:sz="8" w:color="D7D8D6"/>
            </w:tcBorders>
          </w:tcPr>
          <w:p>
            <w:pPr>
              <w:jc w:val="right"/>
              <w:ind w:right="168"/>
              <w:spacing w:after="0"/>
              <w:rPr>
                <w:sz w:val="20"/>
                <w:szCs w:val="20"/>
                <w:color w:val="auto"/>
              </w:rPr>
            </w:pPr>
            <w:r>
              <w:rPr>
                <w:rFonts w:ascii="Arial" w:cs="Arial" w:eastAsia="Arial" w:hAnsi="Arial"/>
                <w:sz w:val="14"/>
                <w:szCs w:val="14"/>
                <w:color w:val="333740"/>
              </w:rPr>
              <w:t>0</w:t>
            </w:r>
          </w:p>
        </w:tc>
        <w:tc>
          <w:tcPr>
            <w:tcW w:w="2200" w:type="dxa"/>
            <w:vAlign w:val="bottom"/>
            <w:tcBorders>
              <w:bottom w:val="single" w:sz="8" w:color="D7D8D6"/>
            </w:tcBorders>
          </w:tcPr>
          <w:p>
            <w:pPr>
              <w:jc w:val="right"/>
              <w:ind w:right="468"/>
              <w:spacing w:after="0"/>
              <w:rPr>
                <w:sz w:val="20"/>
                <w:szCs w:val="20"/>
                <w:color w:val="auto"/>
              </w:rPr>
            </w:pPr>
            <w:r>
              <w:rPr>
                <w:rFonts w:ascii="Arial" w:cs="Arial" w:eastAsia="Arial" w:hAnsi="Arial"/>
                <w:sz w:val="14"/>
                <w:szCs w:val="14"/>
                <w:color w:val="333740"/>
              </w:rPr>
              <w:t>0</w:t>
            </w:r>
          </w:p>
        </w:tc>
        <w:tc>
          <w:tcPr>
            <w:tcW w:w="2300" w:type="dxa"/>
            <w:vAlign w:val="bottom"/>
            <w:tcBorders>
              <w:bottom w:val="single" w:sz="8" w:color="D7D8D6"/>
            </w:tcBorders>
          </w:tcPr>
          <w:p>
            <w:pPr>
              <w:jc w:val="right"/>
              <w:ind w:right="388"/>
              <w:spacing w:after="0"/>
              <w:rPr>
                <w:sz w:val="20"/>
                <w:szCs w:val="20"/>
                <w:color w:val="auto"/>
              </w:rPr>
            </w:pPr>
            <w:r>
              <w:rPr>
                <w:rFonts w:ascii="Arial" w:cs="Arial" w:eastAsia="Arial" w:hAnsi="Arial"/>
                <w:sz w:val="14"/>
                <w:szCs w:val="14"/>
                <w:color w:val="333740"/>
              </w:rPr>
              <w:t>0</w:t>
            </w:r>
          </w:p>
        </w:tc>
        <w:tc>
          <w:tcPr>
            <w:tcW w:w="90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0</w:t>
            </w:r>
          </w:p>
        </w:tc>
        <w:tc>
          <w:tcPr>
            <w:tcW w:w="0" w:type="dxa"/>
            <w:vAlign w:val="bottom"/>
          </w:tcPr>
          <w:p>
            <w:pPr>
              <w:spacing w:after="0"/>
              <w:rPr>
                <w:sz w:val="1"/>
                <w:szCs w:val="1"/>
                <w:color w:val="auto"/>
              </w:rPr>
            </w:pPr>
          </w:p>
        </w:tc>
      </w:tr>
      <w:tr>
        <w:trPr>
          <w:trHeight w:val="191"/>
        </w:trPr>
        <w:tc>
          <w:tcPr>
            <w:tcW w:w="2200" w:type="dxa"/>
            <w:vAlign w:val="bottom"/>
          </w:tcPr>
          <w:p>
            <w:pPr>
              <w:spacing w:after="0"/>
              <w:rPr>
                <w:sz w:val="20"/>
                <w:szCs w:val="20"/>
                <w:color w:val="auto"/>
              </w:rPr>
            </w:pPr>
            <w:r>
              <w:rPr>
                <w:rFonts w:ascii="Arial" w:cs="Arial" w:eastAsia="Arial" w:hAnsi="Arial"/>
                <w:sz w:val="14"/>
                <w:szCs w:val="14"/>
                <w:b w:val="1"/>
                <w:bCs w:val="1"/>
                <w:color w:val="333740"/>
              </w:rPr>
              <w:t>Eleazar de</w:t>
            </w:r>
          </w:p>
        </w:tc>
        <w:tc>
          <w:tcPr>
            <w:tcW w:w="1920" w:type="dxa"/>
            <w:vAlign w:val="bottom"/>
          </w:tcPr>
          <w:p>
            <w:pPr>
              <w:jc w:val="right"/>
              <w:ind w:right="348"/>
              <w:spacing w:after="0"/>
              <w:rPr>
                <w:sz w:val="20"/>
                <w:szCs w:val="20"/>
                <w:color w:val="auto"/>
              </w:rPr>
            </w:pPr>
            <w:r>
              <w:rPr>
                <w:rFonts w:ascii="Arial" w:cs="Arial" w:eastAsia="Arial" w:hAnsi="Arial"/>
                <w:sz w:val="14"/>
                <w:szCs w:val="14"/>
                <w:color w:val="333740"/>
              </w:rPr>
              <w:t>100,000</w:t>
            </w:r>
          </w:p>
        </w:tc>
        <w:tc>
          <w:tcPr>
            <w:tcW w:w="1740" w:type="dxa"/>
            <w:vAlign w:val="bottom"/>
          </w:tcPr>
          <w:p>
            <w:pPr>
              <w:jc w:val="right"/>
              <w:ind w:right="168"/>
              <w:spacing w:after="0"/>
              <w:rPr>
                <w:sz w:val="20"/>
                <w:szCs w:val="20"/>
                <w:color w:val="auto"/>
              </w:rPr>
            </w:pPr>
            <w:r>
              <w:rPr>
                <w:rFonts w:ascii="Arial" w:cs="Arial" w:eastAsia="Arial" w:hAnsi="Arial"/>
                <w:sz w:val="14"/>
                <w:szCs w:val="14"/>
                <w:color w:val="333740"/>
              </w:rPr>
              <w:t>12,500</w:t>
            </w:r>
          </w:p>
        </w:tc>
        <w:tc>
          <w:tcPr>
            <w:tcW w:w="2200" w:type="dxa"/>
            <w:vAlign w:val="bottom"/>
          </w:tcPr>
          <w:p>
            <w:pPr>
              <w:jc w:val="right"/>
              <w:ind w:right="468"/>
              <w:spacing w:after="0"/>
              <w:rPr>
                <w:sz w:val="20"/>
                <w:szCs w:val="20"/>
                <w:color w:val="auto"/>
              </w:rPr>
            </w:pPr>
            <w:r>
              <w:rPr>
                <w:rFonts w:ascii="Arial" w:cs="Arial" w:eastAsia="Arial" w:hAnsi="Arial"/>
                <w:sz w:val="14"/>
                <w:szCs w:val="14"/>
                <w:color w:val="333740"/>
              </w:rPr>
              <w:t>174,994</w:t>
            </w:r>
          </w:p>
        </w:tc>
        <w:tc>
          <w:tcPr>
            <w:tcW w:w="2300" w:type="dxa"/>
            <w:vAlign w:val="bottom"/>
          </w:tcPr>
          <w:p>
            <w:pPr>
              <w:jc w:val="right"/>
              <w:ind w:right="388"/>
              <w:spacing w:after="0"/>
              <w:rPr>
                <w:sz w:val="20"/>
                <w:szCs w:val="20"/>
                <w:color w:val="auto"/>
              </w:rPr>
            </w:pPr>
            <w:r>
              <w:rPr>
                <w:rFonts w:ascii="Arial" w:cs="Arial" w:eastAsia="Arial" w:hAnsi="Arial"/>
                <w:sz w:val="14"/>
                <w:szCs w:val="14"/>
                <w:color w:val="333740"/>
              </w:rPr>
              <w:t>1,104</w:t>
            </w:r>
          </w:p>
        </w:tc>
        <w:tc>
          <w:tcPr>
            <w:tcW w:w="900" w:type="dxa"/>
            <w:vAlign w:val="bottom"/>
          </w:tcPr>
          <w:p>
            <w:pPr>
              <w:jc w:val="right"/>
              <w:spacing w:after="0"/>
              <w:rPr>
                <w:sz w:val="20"/>
                <w:szCs w:val="20"/>
                <w:color w:val="auto"/>
              </w:rPr>
            </w:pPr>
            <w:r>
              <w:rPr>
                <w:rFonts w:ascii="Arial" w:cs="Arial" w:eastAsia="Arial" w:hAnsi="Arial"/>
                <w:sz w:val="14"/>
                <w:szCs w:val="14"/>
                <w:color w:val="333740"/>
              </w:rPr>
              <w:t>288,598</w:t>
            </w:r>
          </w:p>
        </w:tc>
        <w:tc>
          <w:tcPr>
            <w:tcW w:w="0" w:type="dxa"/>
            <w:vAlign w:val="bottom"/>
          </w:tcPr>
          <w:p>
            <w:pPr>
              <w:spacing w:after="0"/>
              <w:rPr>
                <w:sz w:val="1"/>
                <w:szCs w:val="1"/>
                <w:color w:val="auto"/>
              </w:rPr>
            </w:pPr>
          </w:p>
        </w:tc>
      </w:tr>
      <w:tr>
        <w:trPr>
          <w:trHeight w:val="243"/>
        </w:trPr>
        <w:tc>
          <w:tcPr>
            <w:tcW w:w="2200" w:type="dxa"/>
            <w:vAlign w:val="bottom"/>
            <w:tcBorders>
              <w:bottom w:val="single" w:sz="8" w:color="D7D8D6"/>
            </w:tcBorders>
          </w:tcPr>
          <w:p>
            <w:pPr>
              <w:spacing w:after="0"/>
              <w:rPr>
                <w:sz w:val="20"/>
                <w:szCs w:val="20"/>
                <w:color w:val="auto"/>
              </w:rPr>
            </w:pPr>
            <w:r>
              <w:rPr>
                <w:rFonts w:ascii="Arial" w:cs="Arial" w:eastAsia="Arial" w:hAnsi="Arial"/>
                <w:sz w:val="14"/>
                <w:szCs w:val="14"/>
                <w:b w:val="1"/>
                <w:bCs w:val="1"/>
                <w:color w:val="333740"/>
              </w:rPr>
              <w:t>Carvalho Filho</w:t>
            </w:r>
          </w:p>
        </w:tc>
        <w:tc>
          <w:tcPr>
            <w:tcW w:w="1920" w:type="dxa"/>
            <w:vAlign w:val="bottom"/>
            <w:tcBorders>
              <w:bottom w:val="single" w:sz="8" w:color="D7D8D6"/>
            </w:tcBorders>
          </w:tcPr>
          <w:p>
            <w:pPr>
              <w:spacing w:after="0"/>
              <w:rPr>
                <w:sz w:val="21"/>
                <w:szCs w:val="21"/>
                <w:color w:val="auto"/>
              </w:rPr>
            </w:pPr>
          </w:p>
        </w:tc>
        <w:tc>
          <w:tcPr>
            <w:tcW w:w="1740" w:type="dxa"/>
            <w:vAlign w:val="bottom"/>
            <w:tcBorders>
              <w:bottom w:val="single" w:sz="8" w:color="D7D8D6"/>
            </w:tcBorders>
          </w:tcPr>
          <w:p>
            <w:pPr>
              <w:spacing w:after="0"/>
              <w:rPr>
                <w:sz w:val="21"/>
                <w:szCs w:val="21"/>
                <w:color w:val="auto"/>
              </w:rPr>
            </w:pPr>
          </w:p>
        </w:tc>
        <w:tc>
          <w:tcPr>
            <w:tcW w:w="2200" w:type="dxa"/>
            <w:vAlign w:val="bottom"/>
            <w:tcBorders>
              <w:bottom w:val="single" w:sz="8" w:color="D7D8D6"/>
            </w:tcBorders>
          </w:tcPr>
          <w:p>
            <w:pPr>
              <w:spacing w:after="0"/>
              <w:rPr>
                <w:sz w:val="21"/>
                <w:szCs w:val="21"/>
                <w:color w:val="auto"/>
              </w:rPr>
            </w:pPr>
          </w:p>
        </w:tc>
        <w:tc>
          <w:tcPr>
            <w:tcW w:w="2300" w:type="dxa"/>
            <w:vAlign w:val="bottom"/>
            <w:tcBorders>
              <w:bottom w:val="single" w:sz="8" w:color="D7D8D6"/>
            </w:tcBorders>
          </w:tcPr>
          <w:p>
            <w:pPr>
              <w:spacing w:after="0"/>
              <w:rPr>
                <w:sz w:val="21"/>
                <w:szCs w:val="21"/>
                <w:color w:val="auto"/>
              </w:rPr>
            </w:pPr>
          </w:p>
        </w:tc>
        <w:tc>
          <w:tcPr>
            <w:tcW w:w="900" w:type="dxa"/>
            <w:vAlign w:val="bottom"/>
            <w:tcBorders>
              <w:bottom w:val="single" w:sz="8" w:color="D7D8D6"/>
            </w:tcBorders>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2200" w:type="dxa"/>
            <w:vAlign w:val="bottom"/>
            <w:tcBorders>
              <w:bottom w:val="single" w:sz="8" w:color="D7D8D6"/>
            </w:tcBorders>
          </w:tcPr>
          <w:p>
            <w:pPr>
              <w:spacing w:after="0"/>
              <w:rPr>
                <w:sz w:val="20"/>
                <w:szCs w:val="20"/>
                <w:color w:val="auto"/>
              </w:rPr>
            </w:pPr>
            <w:r>
              <w:rPr>
                <w:rFonts w:ascii="Arial" w:cs="Arial" w:eastAsia="Arial" w:hAnsi="Arial"/>
                <w:sz w:val="14"/>
                <w:szCs w:val="14"/>
                <w:b w:val="1"/>
                <w:bCs w:val="1"/>
                <w:color w:val="333740"/>
              </w:rPr>
              <w:t>Pascal Colombani</w:t>
            </w:r>
          </w:p>
        </w:tc>
        <w:tc>
          <w:tcPr>
            <w:tcW w:w="1920" w:type="dxa"/>
            <w:vAlign w:val="bottom"/>
            <w:tcBorders>
              <w:bottom w:val="single" w:sz="8" w:color="D7D8D6"/>
            </w:tcBorders>
          </w:tcPr>
          <w:p>
            <w:pPr>
              <w:jc w:val="right"/>
              <w:ind w:right="348"/>
              <w:spacing w:after="0"/>
              <w:rPr>
                <w:sz w:val="20"/>
                <w:szCs w:val="20"/>
                <w:color w:val="auto"/>
              </w:rPr>
            </w:pPr>
            <w:r>
              <w:rPr>
                <w:rFonts w:ascii="Arial" w:cs="Arial" w:eastAsia="Arial" w:hAnsi="Arial"/>
                <w:sz w:val="14"/>
                <w:szCs w:val="14"/>
                <w:color w:val="333740"/>
              </w:rPr>
              <w:t>100,000</w:t>
            </w:r>
          </w:p>
        </w:tc>
        <w:tc>
          <w:tcPr>
            <w:tcW w:w="1740" w:type="dxa"/>
            <w:vAlign w:val="bottom"/>
            <w:tcBorders>
              <w:bottom w:val="single" w:sz="8" w:color="D7D8D6"/>
            </w:tcBorders>
          </w:tcPr>
          <w:p>
            <w:pPr>
              <w:jc w:val="right"/>
              <w:ind w:right="168"/>
              <w:spacing w:after="0"/>
              <w:rPr>
                <w:sz w:val="20"/>
                <w:szCs w:val="20"/>
                <w:color w:val="auto"/>
              </w:rPr>
            </w:pPr>
            <w:r>
              <w:rPr>
                <w:rFonts w:ascii="Arial" w:cs="Arial" w:eastAsia="Arial" w:hAnsi="Arial"/>
                <w:sz w:val="14"/>
                <w:szCs w:val="14"/>
                <w:color w:val="333740"/>
              </w:rPr>
              <w:t>50,000</w:t>
            </w:r>
          </w:p>
        </w:tc>
        <w:tc>
          <w:tcPr>
            <w:tcW w:w="2200" w:type="dxa"/>
            <w:vAlign w:val="bottom"/>
            <w:tcBorders>
              <w:bottom w:val="single" w:sz="8" w:color="D7D8D6"/>
            </w:tcBorders>
          </w:tcPr>
          <w:p>
            <w:pPr>
              <w:jc w:val="right"/>
              <w:ind w:right="468"/>
              <w:spacing w:after="0"/>
              <w:rPr>
                <w:sz w:val="20"/>
                <w:szCs w:val="20"/>
                <w:color w:val="auto"/>
              </w:rPr>
            </w:pPr>
            <w:r>
              <w:rPr>
                <w:rFonts w:ascii="Arial" w:cs="Arial" w:eastAsia="Arial" w:hAnsi="Arial"/>
                <w:sz w:val="14"/>
                <w:szCs w:val="14"/>
                <w:color w:val="333740"/>
              </w:rPr>
              <w:t>174,994</w:t>
            </w:r>
          </w:p>
        </w:tc>
        <w:tc>
          <w:tcPr>
            <w:tcW w:w="2300" w:type="dxa"/>
            <w:vAlign w:val="bottom"/>
            <w:tcBorders>
              <w:bottom w:val="single" w:sz="8" w:color="D7D8D6"/>
            </w:tcBorders>
          </w:tcPr>
          <w:p>
            <w:pPr>
              <w:jc w:val="right"/>
              <w:ind w:right="388"/>
              <w:spacing w:after="0"/>
              <w:rPr>
                <w:sz w:val="20"/>
                <w:szCs w:val="20"/>
                <w:color w:val="auto"/>
              </w:rPr>
            </w:pPr>
            <w:r>
              <w:rPr>
                <w:rFonts w:ascii="Arial" w:cs="Arial" w:eastAsia="Arial" w:hAnsi="Arial"/>
                <w:sz w:val="14"/>
                <w:szCs w:val="14"/>
                <w:color w:val="333740"/>
              </w:rPr>
              <w:t>1,104</w:t>
            </w:r>
          </w:p>
        </w:tc>
        <w:tc>
          <w:tcPr>
            <w:tcW w:w="90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326,098</w:t>
            </w:r>
          </w:p>
        </w:tc>
        <w:tc>
          <w:tcPr>
            <w:tcW w:w="0" w:type="dxa"/>
            <w:vAlign w:val="bottom"/>
          </w:tcPr>
          <w:p>
            <w:pPr>
              <w:spacing w:after="0"/>
              <w:rPr>
                <w:sz w:val="1"/>
                <w:szCs w:val="1"/>
                <w:color w:val="auto"/>
              </w:rPr>
            </w:pPr>
          </w:p>
        </w:tc>
      </w:tr>
      <w:tr>
        <w:trPr>
          <w:trHeight w:val="267"/>
        </w:trPr>
        <w:tc>
          <w:tcPr>
            <w:tcW w:w="2200" w:type="dxa"/>
            <w:vAlign w:val="bottom"/>
            <w:tcBorders>
              <w:bottom w:val="single" w:sz="8" w:color="D7D8D6"/>
            </w:tcBorders>
          </w:tcPr>
          <w:p>
            <w:pPr>
              <w:spacing w:after="0"/>
              <w:rPr>
                <w:sz w:val="20"/>
                <w:szCs w:val="20"/>
                <w:color w:val="auto"/>
              </w:rPr>
            </w:pPr>
            <w:r>
              <w:rPr>
                <w:rFonts w:ascii="Arial" w:cs="Arial" w:eastAsia="Arial" w:hAnsi="Arial"/>
                <w:sz w:val="14"/>
                <w:szCs w:val="14"/>
                <w:b w:val="1"/>
                <w:bCs w:val="1"/>
                <w:color w:val="333740"/>
              </w:rPr>
              <w:t>Marie-Ange Debon</w:t>
            </w:r>
          </w:p>
        </w:tc>
        <w:tc>
          <w:tcPr>
            <w:tcW w:w="1920" w:type="dxa"/>
            <w:vAlign w:val="bottom"/>
            <w:tcBorders>
              <w:bottom w:val="single" w:sz="8" w:color="D7D8D6"/>
            </w:tcBorders>
          </w:tcPr>
          <w:p>
            <w:pPr>
              <w:jc w:val="right"/>
              <w:ind w:right="348"/>
              <w:spacing w:after="0"/>
              <w:rPr>
                <w:sz w:val="20"/>
                <w:szCs w:val="20"/>
                <w:color w:val="auto"/>
              </w:rPr>
            </w:pPr>
            <w:r>
              <w:rPr>
                <w:rFonts w:ascii="Arial" w:cs="Arial" w:eastAsia="Arial" w:hAnsi="Arial"/>
                <w:sz w:val="14"/>
                <w:szCs w:val="14"/>
                <w:color w:val="333740"/>
              </w:rPr>
              <w:t>100,000</w:t>
            </w:r>
          </w:p>
        </w:tc>
        <w:tc>
          <w:tcPr>
            <w:tcW w:w="1740" w:type="dxa"/>
            <w:vAlign w:val="bottom"/>
            <w:tcBorders>
              <w:bottom w:val="single" w:sz="8" w:color="D7D8D6"/>
            </w:tcBorders>
          </w:tcPr>
          <w:p>
            <w:pPr>
              <w:jc w:val="right"/>
              <w:ind w:right="168"/>
              <w:spacing w:after="0"/>
              <w:rPr>
                <w:sz w:val="20"/>
                <w:szCs w:val="20"/>
                <w:color w:val="auto"/>
              </w:rPr>
            </w:pPr>
            <w:r>
              <w:rPr>
                <w:rFonts w:ascii="Arial" w:cs="Arial" w:eastAsia="Arial" w:hAnsi="Arial"/>
                <w:sz w:val="14"/>
                <w:szCs w:val="14"/>
                <w:color w:val="333740"/>
              </w:rPr>
              <w:t>32,500</w:t>
            </w:r>
          </w:p>
        </w:tc>
        <w:tc>
          <w:tcPr>
            <w:tcW w:w="2200" w:type="dxa"/>
            <w:vAlign w:val="bottom"/>
            <w:tcBorders>
              <w:bottom w:val="single" w:sz="8" w:color="D7D8D6"/>
            </w:tcBorders>
          </w:tcPr>
          <w:p>
            <w:pPr>
              <w:jc w:val="right"/>
              <w:ind w:right="468"/>
              <w:spacing w:after="0"/>
              <w:rPr>
                <w:sz w:val="20"/>
                <w:szCs w:val="20"/>
                <w:color w:val="auto"/>
              </w:rPr>
            </w:pPr>
            <w:r>
              <w:rPr>
                <w:rFonts w:ascii="Arial" w:cs="Arial" w:eastAsia="Arial" w:hAnsi="Arial"/>
                <w:sz w:val="14"/>
                <w:szCs w:val="14"/>
                <w:color w:val="333740"/>
              </w:rPr>
              <w:t>174,994</w:t>
            </w:r>
          </w:p>
        </w:tc>
        <w:tc>
          <w:tcPr>
            <w:tcW w:w="2300" w:type="dxa"/>
            <w:vAlign w:val="bottom"/>
            <w:tcBorders>
              <w:bottom w:val="single" w:sz="8" w:color="D7D8D6"/>
            </w:tcBorders>
          </w:tcPr>
          <w:p>
            <w:pPr>
              <w:jc w:val="right"/>
              <w:ind w:right="388"/>
              <w:spacing w:after="0"/>
              <w:rPr>
                <w:sz w:val="20"/>
                <w:szCs w:val="20"/>
                <w:color w:val="auto"/>
              </w:rPr>
            </w:pPr>
            <w:r>
              <w:rPr>
                <w:rFonts w:ascii="Arial" w:cs="Arial" w:eastAsia="Arial" w:hAnsi="Arial"/>
                <w:sz w:val="14"/>
                <w:szCs w:val="14"/>
                <w:color w:val="333740"/>
              </w:rPr>
              <w:t>1,104</w:t>
            </w:r>
          </w:p>
        </w:tc>
        <w:tc>
          <w:tcPr>
            <w:tcW w:w="90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308,598</w:t>
            </w:r>
          </w:p>
        </w:tc>
        <w:tc>
          <w:tcPr>
            <w:tcW w:w="0" w:type="dxa"/>
            <w:vAlign w:val="bottom"/>
          </w:tcPr>
          <w:p>
            <w:pPr>
              <w:spacing w:after="0"/>
              <w:rPr>
                <w:sz w:val="1"/>
                <w:szCs w:val="1"/>
                <w:color w:val="auto"/>
              </w:rPr>
            </w:pPr>
          </w:p>
        </w:tc>
      </w:tr>
      <w:tr>
        <w:trPr>
          <w:trHeight w:val="267"/>
        </w:trPr>
        <w:tc>
          <w:tcPr>
            <w:tcW w:w="2200" w:type="dxa"/>
            <w:vAlign w:val="bottom"/>
            <w:tcBorders>
              <w:bottom w:val="single" w:sz="8" w:color="D7D8D6"/>
            </w:tcBorders>
          </w:tcPr>
          <w:p>
            <w:pPr>
              <w:spacing w:after="0"/>
              <w:rPr>
                <w:sz w:val="20"/>
                <w:szCs w:val="20"/>
                <w:color w:val="auto"/>
              </w:rPr>
            </w:pPr>
            <w:r>
              <w:rPr>
                <w:rFonts w:ascii="Arial" w:cs="Arial" w:eastAsia="Arial" w:hAnsi="Arial"/>
                <w:sz w:val="14"/>
                <w:szCs w:val="14"/>
                <w:b w:val="1"/>
                <w:bCs w:val="1"/>
                <w:color w:val="333740"/>
              </w:rPr>
              <w:t>Claire S. Farley</w:t>
            </w:r>
          </w:p>
        </w:tc>
        <w:tc>
          <w:tcPr>
            <w:tcW w:w="1920" w:type="dxa"/>
            <w:vAlign w:val="bottom"/>
            <w:tcBorders>
              <w:bottom w:val="single" w:sz="8" w:color="D7D8D6"/>
            </w:tcBorders>
          </w:tcPr>
          <w:p>
            <w:pPr>
              <w:jc w:val="right"/>
              <w:ind w:right="348"/>
              <w:spacing w:after="0"/>
              <w:rPr>
                <w:sz w:val="20"/>
                <w:szCs w:val="20"/>
                <w:color w:val="auto"/>
              </w:rPr>
            </w:pPr>
            <w:r>
              <w:rPr>
                <w:rFonts w:ascii="Arial" w:cs="Arial" w:eastAsia="Arial" w:hAnsi="Arial"/>
                <w:sz w:val="14"/>
                <w:szCs w:val="14"/>
                <w:color w:val="333740"/>
              </w:rPr>
              <w:t>100,000</w:t>
            </w:r>
          </w:p>
        </w:tc>
        <w:tc>
          <w:tcPr>
            <w:tcW w:w="1740" w:type="dxa"/>
            <w:vAlign w:val="bottom"/>
            <w:tcBorders>
              <w:bottom w:val="single" w:sz="8" w:color="D7D8D6"/>
            </w:tcBorders>
          </w:tcPr>
          <w:p>
            <w:pPr>
              <w:jc w:val="right"/>
              <w:ind w:right="168"/>
              <w:spacing w:after="0"/>
              <w:rPr>
                <w:sz w:val="20"/>
                <w:szCs w:val="20"/>
                <w:color w:val="auto"/>
              </w:rPr>
            </w:pPr>
            <w:r>
              <w:rPr>
                <w:rFonts w:ascii="Arial" w:cs="Arial" w:eastAsia="Arial" w:hAnsi="Arial"/>
                <w:sz w:val="14"/>
                <w:szCs w:val="14"/>
                <w:color w:val="333740"/>
              </w:rPr>
              <w:t>22,500</w:t>
            </w:r>
          </w:p>
        </w:tc>
        <w:tc>
          <w:tcPr>
            <w:tcW w:w="2200" w:type="dxa"/>
            <w:vAlign w:val="bottom"/>
            <w:tcBorders>
              <w:bottom w:val="single" w:sz="8" w:color="D7D8D6"/>
            </w:tcBorders>
          </w:tcPr>
          <w:p>
            <w:pPr>
              <w:jc w:val="right"/>
              <w:ind w:right="468"/>
              <w:spacing w:after="0"/>
              <w:rPr>
                <w:sz w:val="20"/>
                <w:szCs w:val="20"/>
                <w:color w:val="auto"/>
              </w:rPr>
            </w:pPr>
            <w:r>
              <w:rPr>
                <w:rFonts w:ascii="Arial" w:cs="Arial" w:eastAsia="Arial" w:hAnsi="Arial"/>
                <w:sz w:val="14"/>
                <w:szCs w:val="14"/>
                <w:color w:val="333740"/>
              </w:rPr>
              <w:t>174,994</w:t>
            </w:r>
          </w:p>
        </w:tc>
        <w:tc>
          <w:tcPr>
            <w:tcW w:w="2300" w:type="dxa"/>
            <w:vAlign w:val="bottom"/>
            <w:tcBorders>
              <w:bottom w:val="single" w:sz="8" w:color="D7D8D6"/>
            </w:tcBorders>
          </w:tcPr>
          <w:p>
            <w:pPr>
              <w:jc w:val="right"/>
              <w:ind w:right="388"/>
              <w:spacing w:after="0"/>
              <w:rPr>
                <w:sz w:val="20"/>
                <w:szCs w:val="20"/>
                <w:color w:val="auto"/>
              </w:rPr>
            </w:pPr>
            <w:r>
              <w:rPr>
                <w:rFonts w:ascii="Arial" w:cs="Arial" w:eastAsia="Arial" w:hAnsi="Arial"/>
                <w:sz w:val="14"/>
                <w:szCs w:val="14"/>
                <w:color w:val="333740"/>
              </w:rPr>
              <w:t>1,104</w:t>
            </w:r>
          </w:p>
        </w:tc>
        <w:tc>
          <w:tcPr>
            <w:tcW w:w="90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298,598</w:t>
            </w:r>
          </w:p>
        </w:tc>
        <w:tc>
          <w:tcPr>
            <w:tcW w:w="0" w:type="dxa"/>
            <w:vAlign w:val="bottom"/>
          </w:tcPr>
          <w:p>
            <w:pPr>
              <w:spacing w:after="0"/>
              <w:rPr>
                <w:sz w:val="1"/>
                <w:szCs w:val="1"/>
                <w:color w:val="auto"/>
              </w:rPr>
            </w:pPr>
          </w:p>
        </w:tc>
      </w:tr>
      <w:tr>
        <w:trPr>
          <w:trHeight w:val="267"/>
        </w:trPr>
        <w:tc>
          <w:tcPr>
            <w:tcW w:w="2200" w:type="dxa"/>
            <w:vAlign w:val="bottom"/>
            <w:tcBorders>
              <w:bottom w:val="single" w:sz="8" w:color="D7D8D6"/>
            </w:tcBorders>
          </w:tcPr>
          <w:p>
            <w:pPr>
              <w:spacing w:after="0"/>
              <w:rPr>
                <w:sz w:val="20"/>
                <w:szCs w:val="20"/>
                <w:color w:val="auto"/>
              </w:rPr>
            </w:pPr>
            <w:r>
              <w:rPr>
                <w:rFonts w:ascii="Arial" w:cs="Arial" w:eastAsia="Arial" w:hAnsi="Arial"/>
                <w:sz w:val="14"/>
                <w:szCs w:val="14"/>
                <w:b w:val="1"/>
                <w:bCs w:val="1"/>
                <w:color w:val="333740"/>
              </w:rPr>
              <w:t>Didier Houssin</w:t>
            </w:r>
          </w:p>
        </w:tc>
        <w:tc>
          <w:tcPr>
            <w:tcW w:w="1920" w:type="dxa"/>
            <w:vAlign w:val="bottom"/>
            <w:tcBorders>
              <w:bottom w:val="single" w:sz="8" w:color="D7D8D6"/>
            </w:tcBorders>
          </w:tcPr>
          <w:p>
            <w:pPr>
              <w:jc w:val="right"/>
              <w:ind w:right="348"/>
              <w:spacing w:after="0"/>
              <w:rPr>
                <w:sz w:val="20"/>
                <w:szCs w:val="20"/>
                <w:color w:val="auto"/>
              </w:rPr>
            </w:pPr>
            <w:r>
              <w:rPr>
                <w:rFonts w:ascii="Arial" w:cs="Arial" w:eastAsia="Arial" w:hAnsi="Arial"/>
                <w:sz w:val="14"/>
                <w:szCs w:val="14"/>
                <w:color w:val="333740"/>
              </w:rPr>
              <w:t>100,000</w:t>
            </w:r>
          </w:p>
        </w:tc>
        <w:tc>
          <w:tcPr>
            <w:tcW w:w="1740" w:type="dxa"/>
            <w:vAlign w:val="bottom"/>
            <w:tcBorders>
              <w:bottom w:val="single" w:sz="8" w:color="D7D8D6"/>
            </w:tcBorders>
          </w:tcPr>
          <w:p>
            <w:pPr>
              <w:jc w:val="right"/>
              <w:ind w:right="168"/>
              <w:spacing w:after="0"/>
              <w:rPr>
                <w:sz w:val="20"/>
                <w:szCs w:val="20"/>
                <w:color w:val="auto"/>
              </w:rPr>
            </w:pPr>
            <w:r>
              <w:rPr>
                <w:rFonts w:ascii="Arial" w:cs="Arial" w:eastAsia="Arial" w:hAnsi="Arial"/>
                <w:sz w:val="14"/>
                <w:szCs w:val="14"/>
                <w:color w:val="333740"/>
              </w:rPr>
              <w:t>25,000</w:t>
            </w:r>
          </w:p>
        </w:tc>
        <w:tc>
          <w:tcPr>
            <w:tcW w:w="2200" w:type="dxa"/>
            <w:vAlign w:val="bottom"/>
            <w:tcBorders>
              <w:bottom w:val="single" w:sz="8" w:color="D7D8D6"/>
            </w:tcBorders>
          </w:tcPr>
          <w:p>
            <w:pPr>
              <w:jc w:val="right"/>
              <w:ind w:right="468"/>
              <w:spacing w:after="0"/>
              <w:rPr>
                <w:sz w:val="20"/>
                <w:szCs w:val="20"/>
                <w:color w:val="auto"/>
              </w:rPr>
            </w:pPr>
            <w:r>
              <w:rPr>
                <w:rFonts w:ascii="Arial" w:cs="Arial" w:eastAsia="Arial" w:hAnsi="Arial"/>
                <w:sz w:val="14"/>
                <w:szCs w:val="14"/>
                <w:color w:val="333740"/>
              </w:rPr>
              <w:t>174,994</w:t>
            </w:r>
          </w:p>
        </w:tc>
        <w:tc>
          <w:tcPr>
            <w:tcW w:w="2300" w:type="dxa"/>
            <w:vAlign w:val="bottom"/>
            <w:tcBorders>
              <w:bottom w:val="single" w:sz="8" w:color="D7D8D6"/>
            </w:tcBorders>
          </w:tcPr>
          <w:p>
            <w:pPr>
              <w:jc w:val="right"/>
              <w:ind w:right="388"/>
              <w:spacing w:after="0"/>
              <w:rPr>
                <w:sz w:val="20"/>
                <w:szCs w:val="20"/>
                <w:color w:val="auto"/>
              </w:rPr>
            </w:pPr>
            <w:r>
              <w:rPr>
                <w:rFonts w:ascii="Arial" w:cs="Arial" w:eastAsia="Arial" w:hAnsi="Arial"/>
                <w:sz w:val="14"/>
                <w:szCs w:val="14"/>
                <w:color w:val="333740"/>
              </w:rPr>
              <w:t>1,104</w:t>
            </w:r>
          </w:p>
        </w:tc>
        <w:tc>
          <w:tcPr>
            <w:tcW w:w="90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301,098</w:t>
            </w:r>
          </w:p>
        </w:tc>
        <w:tc>
          <w:tcPr>
            <w:tcW w:w="0" w:type="dxa"/>
            <w:vAlign w:val="bottom"/>
          </w:tcPr>
          <w:p>
            <w:pPr>
              <w:spacing w:after="0"/>
              <w:rPr>
                <w:sz w:val="1"/>
                <w:szCs w:val="1"/>
                <w:color w:val="auto"/>
              </w:rPr>
            </w:pPr>
          </w:p>
        </w:tc>
      </w:tr>
      <w:tr>
        <w:trPr>
          <w:trHeight w:val="267"/>
        </w:trPr>
        <w:tc>
          <w:tcPr>
            <w:tcW w:w="2200" w:type="dxa"/>
            <w:vAlign w:val="bottom"/>
            <w:tcBorders>
              <w:bottom w:val="single" w:sz="8" w:color="D7D8D6"/>
            </w:tcBorders>
          </w:tcPr>
          <w:p>
            <w:pPr>
              <w:spacing w:after="0"/>
              <w:rPr>
                <w:sz w:val="20"/>
                <w:szCs w:val="20"/>
                <w:color w:val="auto"/>
              </w:rPr>
            </w:pPr>
            <w:r>
              <w:rPr>
                <w:rFonts w:ascii="Arial" w:cs="Arial" w:eastAsia="Arial" w:hAnsi="Arial"/>
                <w:sz w:val="14"/>
                <w:szCs w:val="14"/>
                <w:b w:val="1"/>
                <w:bCs w:val="1"/>
                <w:color w:val="333740"/>
              </w:rPr>
              <w:t>Peter Mellbye</w:t>
            </w:r>
          </w:p>
        </w:tc>
        <w:tc>
          <w:tcPr>
            <w:tcW w:w="1920" w:type="dxa"/>
            <w:vAlign w:val="bottom"/>
            <w:tcBorders>
              <w:bottom w:val="single" w:sz="8" w:color="D7D8D6"/>
            </w:tcBorders>
          </w:tcPr>
          <w:p>
            <w:pPr>
              <w:jc w:val="right"/>
              <w:ind w:right="348"/>
              <w:spacing w:after="0"/>
              <w:rPr>
                <w:sz w:val="20"/>
                <w:szCs w:val="20"/>
                <w:color w:val="auto"/>
              </w:rPr>
            </w:pPr>
            <w:r>
              <w:rPr>
                <w:rFonts w:ascii="Arial" w:cs="Arial" w:eastAsia="Arial" w:hAnsi="Arial"/>
                <w:sz w:val="14"/>
                <w:szCs w:val="14"/>
                <w:color w:val="333740"/>
              </w:rPr>
              <w:t>100,000</w:t>
            </w:r>
          </w:p>
        </w:tc>
        <w:tc>
          <w:tcPr>
            <w:tcW w:w="1740" w:type="dxa"/>
            <w:vAlign w:val="bottom"/>
            <w:tcBorders>
              <w:bottom w:val="single" w:sz="8" w:color="D7D8D6"/>
            </w:tcBorders>
          </w:tcPr>
          <w:p>
            <w:pPr>
              <w:jc w:val="right"/>
              <w:ind w:right="168"/>
              <w:spacing w:after="0"/>
              <w:rPr>
                <w:sz w:val="20"/>
                <w:szCs w:val="20"/>
                <w:color w:val="auto"/>
              </w:rPr>
            </w:pPr>
            <w:r>
              <w:rPr>
                <w:rFonts w:ascii="Arial" w:cs="Arial" w:eastAsia="Arial" w:hAnsi="Arial"/>
                <w:sz w:val="14"/>
                <w:szCs w:val="14"/>
                <w:color w:val="333740"/>
              </w:rPr>
              <w:t>35,000</w:t>
            </w:r>
          </w:p>
        </w:tc>
        <w:tc>
          <w:tcPr>
            <w:tcW w:w="2200" w:type="dxa"/>
            <w:vAlign w:val="bottom"/>
            <w:tcBorders>
              <w:bottom w:val="single" w:sz="8" w:color="D7D8D6"/>
            </w:tcBorders>
          </w:tcPr>
          <w:p>
            <w:pPr>
              <w:jc w:val="right"/>
              <w:ind w:right="468"/>
              <w:spacing w:after="0"/>
              <w:rPr>
                <w:sz w:val="20"/>
                <w:szCs w:val="20"/>
                <w:color w:val="auto"/>
              </w:rPr>
            </w:pPr>
            <w:r>
              <w:rPr>
                <w:rFonts w:ascii="Arial" w:cs="Arial" w:eastAsia="Arial" w:hAnsi="Arial"/>
                <w:sz w:val="14"/>
                <w:szCs w:val="14"/>
                <w:color w:val="333740"/>
              </w:rPr>
              <w:t>174,994</w:t>
            </w:r>
          </w:p>
        </w:tc>
        <w:tc>
          <w:tcPr>
            <w:tcW w:w="2300" w:type="dxa"/>
            <w:vAlign w:val="bottom"/>
            <w:tcBorders>
              <w:bottom w:val="single" w:sz="8" w:color="D7D8D6"/>
            </w:tcBorders>
          </w:tcPr>
          <w:p>
            <w:pPr>
              <w:jc w:val="right"/>
              <w:ind w:right="388"/>
              <w:spacing w:after="0"/>
              <w:rPr>
                <w:sz w:val="20"/>
                <w:szCs w:val="20"/>
                <w:color w:val="auto"/>
              </w:rPr>
            </w:pPr>
            <w:r>
              <w:rPr>
                <w:rFonts w:ascii="Arial" w:cs="Arial" w:eastAsia="Arial" w:hAnsi="Arial"/>
                <w:sz w:val="14"/>
                <w:szCs w:val="14"/>
                <w:color w:val="333740"/>
              </w:rPr>
              <w:t>1,104</w:t>
            </w:r>
          </w:p>
        </w:tc>
        <w:tc>
          <w:tcPr>
            <w:tcW w:w="90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311,098</w:t>
            </w:r>
          </w:p>
        </w:tc>
        <w:tc>
          <w:tcPr>
            <w:tcW w:w="0" w:type="dxa"/>
            <w:vAlign w:val="bottom"/>
          </w:tcPr>
          <w:p>
            <w:pPr>
              <w:spacing w:after="0"/>
              <w:rPr>
                <w:sz w:val="1"/>
                <w:szCs w:val="1"/>
                <w:color w:val="auto"/>
              </w:rPr>
            </w:pPr>
          </w:p>
        </w:tc>
      </w:tr>
      <w:tr>
        <w:trPr>
          <w:trHeight w:val="267"/>
        </w:trPr>
        <w:tc>
          <w:tcPr>
            <w:tcW w:w="2200" w:type="dxa"/>
            <w:vAlign w:val="bottom"/>
            <w:tcBorders>
              <w:bottom w:val="single" w:sz="8" w:color="D7D8D6"/>
            </w:tcBorders>
          </w:tcPr>
          <w:p>
            <w:pPr>
              <w:spacing w:after="0"/>
              <w:rPr>
                <w:sz w:val="20"/>
                <w:szCs w:val="20"/>
                <w:color w:val="auto"/>
              </w:rPr>
            </w:pPr>
            <w:r>
              <w:rPr>
                <w:rFonts w:ascii="Arial" w:cs="Arial" w:eastAsia="Arial" w:hAnsi="Arial"/>
                <w:sz w:val="14"/>
                <w:szCs w:val="14"/>
                <w:b w:val="1"/>
                <w:bCs w:val="1"/>
                <w:color w:val="333740"/>
              </w:rPr>
              <w:t>John O’Leary</w:t>
            </w:r>
          </w:p>
        </w:tc>
        <w:tc>
          <w:tcPr>
            <w:tcW w:w="1920" w:type="dxa"/>
            <w:vAlign w:val="bottom"/>
            <w:tcBorders>
              <w:bottom w:val="single" w:sz="8" w:color="D7D8D6"/>
            </w:tcBorders>
          </w:tcPr>
          <w:p>
            <w:pPr>
              <w:jc w:val="right"/>
              <w:ind w:right="348"/>
              <w:spacing w:after="0"/>
              <w:rPr>
                <w:sz w:val="20"/>
                <w:szCs w:val="20"/>
                <w:color w:val="auto"/>
              </w:rPr>
            </w:pPr>
            <w:r>
              <w:rPr>
                <w:rFonts w:ascii="Arial" w:cs="Arial" w:eastAsia="Arial" w:hAnsi="Arial"/>
                <w:sz w:val="14"/>
                <w:szCs w:val="14"/>
                <w:color w:val="333740"/>
              </w:rPr>
              <w:t>100,000</w:t>
            </w:r>
          </w:p>
        </w:tc>
        <w:tc>
          <w:tcPr>
            <w:tcW w:w="1740" w:type="dxa"/>
            <w:vAlign w:val="bottom"/>
            <w:tcBorders>
              <w:bottom w:val="single" w:sz="8" w:color="D7D8D6"/>
            </w:tcBorders>
          </w:tcPr>
          <w:p>
            <w:pPr>
              <w:jc w:val="right"/>
              <w:ind w:right="168"/>
              <w:spacing w:after="0"/>
              <w:rPr>
                <w:sz w:val="20"/>
                <w:szCs w:val="20"/>
                <w:color w:val="auto"/>
              </w:rPr>
            </w:pPr>
            <w:r>
              <w:rPr>
                <w:rFonts w:ascii="Arial" w:cs="Arial" w:eastAsia="Arial" w:hAnsi="Arial"/>
                <w:sz w:val="14"/>
                <w:szCs w:val="14"/>
                <w:color w:val="333740"/>
              </w:rPr>
              <w:t>12,500</w:t>
            </w:r>
          </w:p>
        </w:tc>
        <w:tc>
          <w:tcPr>
            <w:tcW w:w="2200" w:type="dxa"/>
            <w:vAlign w:val="bottom"/>
            <w:tcBorders>
              <w:bottom w:val="single" w:sz="8" w:color="D7D8D6"/>
            </w:tcBorders>
          </w:tcPr>
          <w:p>
            <w:pPr>
              <w:jc w:val="right"/>
              <w:ind w:right="468"/>
              <w:spacing w:after="0"/>
              <w:rPr>
                <w:sz w:val="20"/>
                <w:szCs w:val="20"/>
                <w:color w:val="auto"/>
              </w:rPr>
            </w:pPr>
            <w:r>
              <w:rPr>
                <w:rFonts w:ascii="Arial" w:cs="Arial" w:eastAsia="Arial" w:hAnsi="Arial"/>
                <w:sz w:val="14"/>
                <w:szCs w:val="14"/>
                <w:color w:val="333740"/>
              </w:rPr>
              <w:t>174,994</w:t>
            </w:r>
          </w:p>
        </w:tc>
        <w:tc>
          <w:tcPr>
            <w:tcW w:w="2300" w:type="dxa"/>
            <w:vAlign w:val="bottom"/>
            <w:tcBorders>
              <w:bottom w:val="single" w:sz="8" w:color="D7D8D6"/>
            </w:tcBorders>
          </w:tcPr>
          <w:p>
            <w:pPr>
              <w:jc w:val="right"/>
              <w:ind w:right="388"/>
              <w:spacing w:after="0"/>
              <w:rPr>
                <w:sz w:val="20"/>
                <w:szCs w:val="20"/>
                <w:color w:val="auto"/>
              </w:rPr>
            </w:pPr>
            <w:r>
              <w:rPr>
                <w:rFonts w:ascii="Arial" w:cs="Arial" w:eastAsia="Arial" w:hAnsi="Arial"/>
                <w:sz w:val="14"/>
                <w:szCs w:val="14"/>
                <w:color w:val="333740"/>
              </w:rPr>
              <w:t>1,104</w:t>
            </w:r>
          </w:p>
        </w:tc>
        <w:tc>
          <w:tcPr>
            <w:tcW w:w="90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288,598</w:t>
            </w:r>
          </w:p>
        </w:tc>
        <w:tc>
          <w:tcPr>
            <w:tcW w:w="0" w:type="dxa"/>
            <w:vAlign w:val="bottom"/>
          </w:tcPr>
          <w:p>
            <w:pPr>
              <w:spacing w:after="0"/>
              <w:rPr>
                <w:sz w:val="1"/>
                <w:szCs w:val="1"/>
                <w:color w:val="auto"/>
              </w:rPr>
            </w:pPr>
          </w:p>
        </w:tc>
      </w:tr>
      <w:tr>
        <w:trPr>
          <w:trHeight w:val="191"/>
        </w:trPr>
        <w:tc>
          <w:tcPr>
            <w:tcW w:w="2200" w:type="dxa"/>
            <w:vAlign w:val="bottom"/>
          </w:tcPr>
          <w:p>
            <w:pPr>
              <w:spacing w:after="0" w:line="191" w:lineRule="exact"/>
              <w:rPr>
                <w:sz w:val="20"/>
                <w:szCs w:val="20"/>
                <w:color w:val="auto"/>
              </w:rPr>
            </w:pPr>
            <w:r>
              <w:rPr>
                <w:rFonts w:ascii="Arial" w:cs="Arial" w:eastAsia="Arial" w:hAnsi="Arial"/>
                <w:sz w:val="14"/>
                <w:szCs w:val="14"/>
                <w:b w:val="1"/>
                <w:bCs w:val="1"/>
                <w:color w:val="333740"/>
              </w:rPr>
              <w:t>Richard A. Pattarozzi</w:t>
            </w:r>
            <w:r>
              <w:rPr>
                <w:rFonts w:ascii="Arial" w:cs="Arial" w:eastAsia="Arial" w:hAnsi="Arial"/>
                <w:sz w:val="22"/>
                <w:szCs w:val="22"/>
                <w:b w:val="1"/>
                <w:bCs w:val="1"/>
                <w:color w:val="333740"/>
                <w:vertAlign w:val="superscript"/>
              </w:rPr>
              <w:t>4</w:t>
            </w:r>
          </w:p>
        </w:tc>
        <w:tc>
          <w:tcPr>
            <w:tcW w:w="1920" w:type="dxa"/>
            <w:vAlign w:val="bottom"/>
            <w:vMerge w:val="restart"/>
          </w:tcPr>
          <w:p>
            <w:pPr>
              <w:jc w:val="right"/>
              <w:ind w:right="348"/>
              <w:spacing w:after="0"/>
              <w:rPr>
                <w:sz w:val="20"/>
                <w:szCs w:val="20"/>
                <w:color w:val="auto"/>
              </w:rPr>
            </w:pPr>
            <w:r>
              <w:rPr>
                <w:rFonts w:ascii="Arial" w:cs="Arial" w:eastAsia="Arial" w:hAnsi="Arial"/>
                <w:sz w:val="14"/>
                <w:szCs w:val="14"/>
                <w:color w:val="333740"/>
              </w:rPr>
              <w:t>50,000</w:t>
            </w:r>
          </w:p>
        </w:tc>
        <w:tc>
          <w:tcPr>
            <w:tcW w:w="1740" w:type="dxa"/>
            <w:vAlign w:val="bottom"/>
            <w:vMerge w:val="restart"/>
          </w:tcPr>
          <w:p>
            <w:pPr>
              <w:jc w:val="right"/>
              <w:ind w:right="168"/>
              <w:spacing w:after="0"/>
              <w:rPr>
                <w:sz w:val="20"/>
                <w:szCs w:val="20"/>
                <w:color w:val="auto"/>
              </w:rPr>
            </w:pPr>
            <w:r>
              <w:rPr>
                <w:rFonts w:ascii="Arial" w:cs="Arial" w:eastAsia="Arial" w:hAnsi="Arial"/>
                <w:sz w:val="14"/>
                <w:szCs w:val="14"/>
                <w:color w:val="333740"/>
              </w:rPr>
              <w:t>35,000</w:t>
            </w:r>
          </w:p>
        </w:tc>
        <w:tc>
          <w:tcPr>
            <w:tcW w:w="2200" w:type="dxa"/>
            <w:vAlign w:val="bottom"/>
            <w:vMerge w:val="restart"/>
          </w:tcPr>
          <w:p>
            <w:pPr>
              <w:jc w:val="right"/>
              <w:ind w:right="468"/>
              <w:spacing w:after="0"/>
              <w:rPr>
                <w:sz w:val="20"/>
                <w:szCs w:val="20"/>
                <w:color w:val="auto"/>
              </w:rPr>
            </w:pPr>
            <w:r>
              <w:rPr>
                <w:rFonts w:ascii="Arial" w:cs="Arial" w:eastAsia="Arial" w:hAnsi="Arial"/>
                <w:sz w:val="14"/>
                <w:szCs w:val="14"/>
                <w:color w:val="333740"/>
              </w:rPr>
              <w:t>174,994</w:t>
            </w:r>
          </w:p>
        </w:tc>
        <w:tc>
          <w:tcPr>
            <w:tcW w:w="2300" w:type="dxa"/>
            <w:vAlign w:val="bottom"/>
            <w:vMerge w:val="restart"/>
          </w:tcPr>
          <w:p>
            <w:pPr>
              <w:jc w:val="right"/>
              <w:ind w:right="388"/>
              <w:spacing w:after="0"/>
              <w:rPr>
                <w:sz w:val="20"/>
                <w:szCs w:val="20"/>
                <w:color w:val="auto"/>
              </w:rPr>
            </w:pPr>
            <w:r>
              <w:rPr>
                <w:rFonts w:ascii="Arial" w:cs="Arial" w:eastAsia="Arial" w:hAnsi="Arial"/>
                <w:sz w:val="14"/>
                <w:szCs w:val="14"/>
                <w:color w:val="333740"/>
              </w:rPr>
              <w:t>1,448</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333740"/>
              </w:rPr>
              <w:t>261,442</w:t>
            </w:r>
          </w:p>
        </w:tc>
        <w:tc>
          <w:tcPr>
            <w:tcW w:w="0" w:type="dxa"/>
            <w:vAlign w:val="bottom"/>
          </w:tcPr>
          <w:p>
            <w:pPr>
              <w:spacing w:after="0"/>
              <w:rPr>
                <w:sz w:val="1"/>
                <w:szCs w:val="1"/>
                <w:color w:val="auto"/>
              </w:rPr>
            </w:pPr>
          </w:p>
        </w:tc>
      </w:tr>
      <w:tr>
        <w:trPr>
          <w:trHeight w:val="40"/>
        </w:trPr>
        <w:tc>
          <w:tcPr>
            <w:tcW w:w="2200" w:type="dxa"/>
            <w:vAlign w:val="bottom"/>
            <w:tcBorders>
              <w:bottom w:val="single" w:sz="8" w:color="D7D8D6"/>
            </w:tcBorders>
          </w:tcPr>
          <w:p>
            <w:pPr>
              <w:spacing w:after="0"/>
              <w:rPr>
                <w:sz w:val="3"/>
                <w:szCs w:val="3"/>
                <w:color w:val="auto"/>
              </w:rPr>
            </w:pPr>
          </w:p>
        </w:tc>
        <w:tc>
          <w:tcPr>
            <w:tcW w:w="1920" w:type="dxa"/>
            <w:vAlign w:val="bottom"/>
            <w:tcBorders>
              <w:bottom w:val="single" w:sz="8" w:color="D7D8D6"/>
            </w:tcBorders>
            <w:vMerge w:val="continue"/>
          </w:tcPr>
          <w:p>
            <w:pPr>
              <w:spacing w:after="0"/>
              <w:rPr>
                <w:sz w:val="3"/>
                <w:szCs w:val="3"/>
                <w:color w:val="auto"/>
              </w:rPr>
            </w:pPr>
          </w:p>
        </w:tc>
        <w:tc>
          <w:tcPr>
            <w:tcW w:w="1740" w:type="dxa"/>
            <w:vAlign w:val="bottom"/>
            <w:tcBorders>
              <w:bottom w:val="single" w:sz="8" w:color="D7D8D6"/>
            </w:tcBorders>
            <w:vMerge w:val="continue"/>
          </w:tcPr>
          <w:p>
            <w:pPr>
              <w:spacing w:after="0"/>
              <w:rPr>
                <w:sz w:val="3"/>
                <w:szCs w:val="3"/>
                <w:color w:val="auto"/>
              </w:rPr>
            </w:pPr>
          </w:p>
        </w:tc>
        <w:tc>
          <w:tcPr>
            <w:tcW w:w="2200" w:type="dxa"/>
            <w:vAlign w:val="bottom"/>
            <w:tcBorders>
              <w:bottom w:val="single" w:sz="8" w:color="D7D8D6"/>
            </w:tcBorders>
            <w:vMerge w:val="continue"/>
          </w:tcPr>
          <w:p>
            <w:pPr>
              <w:spacing w:after="0"/>
              <w:rPr>
                <w:sz w:val="3"/>
                <w:szCs w:val="3"/>
                <w:color w:val="auto"/>
              </w:rPr>
            </w:pPr>
          </w:p>
        </w:tc>
        <w:tc>
          <w:tcPr>
            <w:tcW w:w="2300" w:type="dxa"/>
            <w:vAlign w:val="bottom"/>
            <w:tcBorders>
              <w:bottom w:val="single" w:sz="8" w:color="D7D8D6"/>
            </w:tcBorders>
            <w:vMerge w:val="continue"/>
          </w:tcPr>
          <w:p>
            <w:pPr>
              <w:spacing w:after="0"/>
              <w:rPr>
                <w:sz w:val="3"/>
                <w:szCs w:val="3"/>
                <w:color w:val="auto"/>
              </w:rPr>
            </w:pPr>
          </w:p>
        </w:tc>
        <w:tc>
          <w:tcPr>
            <w:tcW w:w="900" w:type="dxa"/>
            <w:vAlign w:val="bottom"/>
            <w:tcBorders>
              <w:bottom w:val="single" w:sz="8" w:color="D7D8D6"/>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200" w:type="dxa"/>
            <w:vAlign w:val="bottom"/>
            <w:tcBorders>
              <w:bottom w:val="single" w:sz="8" w:color="D7D8D6"/>
            </w:tcBorders>
          </w:tcPr>
          <w:p>
            <w:pPr>
              <w:spacing w:after="0" w:line="263" w:lineRule="exact"/>
              <w:rPr>
                <w:sz w:val="20"/>
                <w:szCs w:val="20"/>
                <w:color w:val="auto"/>
              </w:rPr>
            </w:pPr>
            <w:r>
              <w:rPr>
                <w:rFonts w:ascii="Arial" w:cs="Arial" w:eastAsia="Arial" w:hAnsi="Arial"/>
                <w:sz w:val="14"/>
                <w:szCs w:val="14"/>
                <w:b w:val="1"/>
                <w:bCs w:val="1"/>
                <w:color w:val="333740"/>
              </w:rPr>
              <w:t>Olivier Piou</w:t>
            </w:r>
            <w:r>
              <w:rPr>
                <w:rFonts w:ascii="Arial" w:cs="Arial" w:eastAsia="Arial" w:hAnsi="Arial"/>
                <w:sz w:val="23"/>
                <w:szCs w:val="23"/>
                <w:b w:val="1"/>
                <w:bCs w:val="1"/>
                <w:color w:val="333740"/>
                <w:vertAlign w:val="superscript"/>
              </w:rPr>
              <w:t>5</w:t>
            </w:r>
          </w:p>
        </w:tc>
        <w:tc>
          <w:tcPr>
            <w:tcW w:w="1920" w:type="dxa"/>
            <w:vAlign w:val="bottom"/>
            <w:tcBorders>
              <w:bottom w:val="single" w:sz="8" w:color="D7D8D6"/>
            </w:tcBorders>
          </w:tcPr>
          <w:p>
            <w:pPr>
              <w:jc w:val="right"/>
              <w:ind w:right="348"/>
              <w:spacing w:after="0"/>
              <w:rPr>
                <w:sz w:val="20"/>
                <w:szCs w:val="20"/>
                <w:color w:val="auto"/>
              </w:rPr>
            </w:pPr>
            <w:r>
              <w:rPr>
                <w:rFonts w:ascii="Arial" w:cs="Arial" w:eastAsia="Arial" w:hAnsi="Arial"/>
                <w:sz w:val="14"/>
                <w:szCs w:val="14"/>
                <w:color w:val="333740"/>
              </w:rPr>
              <w:t>58,333</w:t>
            </w:r>
          </w:p>
        </w:tc>
        <w:tc>
          <w:tcPr>
            <w:tcW w:w="1740" w:type="dxa"/>
            <w:vAlign w:val="bottom"/>
            <w:tcBorders>
              <w:bottom w:val="single" w:sz="8" w:color="D7D8D6"/>
            </w:tcBorders>
          </w:tcPr>
          <w:p>
            <w:pPr>
              <w:jc w:val="right"/>
              <w:ind w:right="168"/>
              <w:spacing w:after="0"/>
              <w:rPr>
                <w:sz w:val="20"/>
                <w:szCs w:val="20"/>
                <w:color w:val="auto"/>
              </w:rPr>
            </w:pPr>
            <w:r>
              <w:rPr>
                <w:rFonts w:ascii="Arial" w:cs="Arial" w:eastAsia="Arial" w:hAnsi="Arial"/>
                <w:sz w:val="14"/>
                <w:szCs w:val="14"/>
                <w:color w:val="333740"/>
              </w:rPr>
              <w:t>12,500</w:t>
            </w:r>
          </w:p>
        </w:tc>
        <w:tc>
          <w:tcPr>
            <w:tcW w:w="2200" w:type="dxa"/>
            <w:vAlign w:val="bottom"/>
            <w:tcBorders>
              <w:bottom w:val="single" w:sz="8" w:color="D7D8D6"/>
            </w:tcBorders>
          </w:tcPr>
          <w:p>
            <w:pPr>
              <w:jc w:val="right"/>
              <w:ind w:right="468"/>
              <w:spacing w:after="0"/>
              <w:rPr>
                <w:sz w:val="20"/>
                <w:szCs w:val="20"/>
                <w:color w:val="auto"/>
              </w:rPr>
            </w:pPr>
            <w:r>
              <w:rPr>
                <w:rFonts w:ascii="Arial" w:cs="Arial" w:eastAsia="Arial" w:hAnsi="Arial"/>
                <w:sz w:val="14"/>
                <w:szCs w:val="14"/>
                <w:color w:val="333740"/>
              </w:rPr>
              <w:t>0</w:t>
            </w:r>
          </w:p>
        </w:tc>
        <w:tc>
          <w:tcPr>
            <w:tcW w:w="2300" w:type="dxa"/>
            <w:vAlign w:val="bottom"/>
            <w:tcBorders>
              <w:bottom w:val="single" w:sz="8" w:color="D7D8D6"/>
            </w:tcBorders>
          </w:tcPr>
          <w:p>
            <w:pPr>
              <w:jc w:val="right"/>
              <w:ind w:right="388"/>
              <w:spacing w:after="0"/>
              <w:rPr>
                <w:sz w:val="20"/>
                <w:szCs w:val="20"/>
                <w:color w:val="auto"/>
              </w:rPr>
            </w:pPr>
            <w:r>
              <w:rPr>
                <w:rFonts w:ascii="Arial" w:cs="Arial" w:eastAsia="Arial" w:hAnsi="Arial"/>
                <w:sz w:val="14"/>
                <w:szCs w:val="14"/>
                <w:color w:val="333740"/>
              </w:rPr>
              <w:t>0</w:t>
            </w:r>
          </w:p>
        </w:tc>
        <w:tc>
          <w:tcPr>
            <w:tcW w:w="90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70,833</w:t>
            </w:r>
          </w:p>
        </w:tc>
        <w:tc>
          <w:tcPr>
            <w:tcW w:w="0" w:type="dxa"/>
            <w:vAlign w:val="bottom"/>
          </w:tcPr>
          <w:p>
            <w:pPr>
              <w:spacing w:after="0"/>
              <w:rPr>
                <w:sz w:val="1"/>
                <w:szCs w:val="1"/>
                <w:color w:val="auto"/>
              </w:rPr>
            </w:pPr>
          </w:p>
        </w:tc>
      </w:tr>
      <w:tr>
        <w:trPr>
          <w:trHeight w:val="267"/>
        </w:trPr>
        <w:tc>
          <w:tcPr>
            <w:tcW w:w="2200" w:type="dxa"/>
            <w:vAlign w:val="bottom"/>
            <w:tcBorders>
              <w:bottom w:val="single" w:sz="8" w:color="D7D8D6"/>
            </w:tcBorders>
          </w:tcPr>
          <w:p>
            <w:pPr>
              <w:spacing w:after="0"/>
              <w:rPr>
                <w:sz w:val="20"/>
                <w:szCs w:val="20"/>
                <w:color w:val="auto"/>
              </w:rPr>
            </w:pPr>
            <w:r>
              <w:rPr>
                <w:rFonts w:ascii="Arial" w:cs="Arial" w:eastAsia="Arial" w:hAnsi="Arial"/>
                <w:sz w:val="14"/>
                <w:szCs w:val="14"/>
                <w:b w:val="1"/>
                <w:bCs w:val="1"/>
                <w:color w:val="333740"/>
              </w:rPr>
              <w:t>Kay G. Priestly</w:t>
            </w:r>
          </w:p>
        </w:tc>
        <w:tc>
          <w:tcPr>
            <w:tcW w:w="1920" w:type="dxa"/>
            <w:vAlign w:val="bottom"/>
            <w:tcBorders>
              <w:bottom w:val="single" w:sz="8" w:color="D7D8D6"/>
            </w:tcBorders>
          </w:tcPr>
          <w:p>
            <w:pPr>
              <w:jc w:val="right"/>
              <w:ind w:right="348"/>
              <w:spacing w:after="0"/>
              <w:rPr>
                <w:sz w:val="20"/>
                <w:szCs w:val="20"/>
                <w:color w:val="auto"/>
              </w:rPr>
            </w:pPr>
            <w:r>
              <w:rPr>
                <w:rFonts w:ascii="Arial" w:cs="Arial" w:eastAsia="Arial" w:hAnsi="Arial"/>
                <w:sz w:val="14"/>
                <w:szCs w:val="14"/>
                <w:color w:val="333740"/>
              </w:rPr>
              <w:t>100,000</w:t>
            </w:r>
          </w:p>
        </w:tc>
        <w:tc>
          <w:tcPr>
            <w:tcW w:w="1740" w:type="dxa"/>
            <w:vAlign w:val="bottom"/>
            <w:tcBorders>
              <w:bottom w:val="single" w:sz="8" w:color="D7D8D6"/>
            </w:tcBorders>
          </w:tcPr>
          <w:p>
            <w:pPr>
              <w:jc w:val="right"/>
              <w:ind w:right="168"/>
              <w:spacing w:after="0"/>
              <w:rPr>
                <w:sz w:val="20"/>
                <w:szCs w:val="20"/>
                <w:color w:val="auto"/>
              </w:rPr>
            </w:pPr>
            <w:r>
              <w:rPr>
                <w:rFonts w:ascii="Arial" w:cs="Arial" w:eastAsia="Arial" w:hAnsi="Arial"/>
                <w:sz w:val="14"/>
                <w:szCs w:val="14"/>
                <w:color w:val="333740"/>
              </w:rPr>
              <w:t>12,500</w:t>
            </w:r>
          </w:p>
        </w:tc>
        <w:tc>
          <w:tcPr>
            <w:tcW w:w="2200" w:type="dxa"/>
            <w:vAlign w:val="bottom"/>
            <w:tcBorders>
              <w:bottom w:val="single" w:sz="8" w:color="D7D8D6"/>
            </w:tcBorders>
          </w:tcPr>
          <w:p>
            <w:pPr>
              <w:jc w:val="right"/>
              <w:ind w:right="468"/>
              <w:spacing w:after="0"/>
              <w:rPr>
                <w:sz w:val="20"/>
                <w:szCs w:val="20"/>
                <w:color w:val="auto"/>
              </w:rPr>
            </w:pPr>
            <w:r>
              <w:rPr>
                <w:rFonts w:ascii="Arial" w:cs="Arial" w:eastAsia="Arial" w:hAnsi="Arial"/>
                <w:sz w:val="14"/>
                <w:szCs w:val="14"/>
                <w:color w:val="333740"/>
              </w:rPr>
              <w:t>174,994</w:t>
            </w:r>
          </w:p>
        </w:tc>
        <w:tc>
          <w:tcPr>
            <w:tcW w:w="2300" w:type="dxa"/>
            <w:vAlign w:val="bottom"/>
            <w:tcBorders>
              <w:bottom w:val="single" w:sz="8" w:color="D7D8D6"/>
            </w:tcBorders>
          </w:tcPr>
          <w:p>
            <w:pPr>
              <w:jc w:val="right"/>
              <w:ind w:right="388"/>
              <w:spacing w:after="0"/>
              <w:rPr>
                <w:sz w:val="20"/>
                <w:szCs w:val="20"/>
                <w:color w:val="auto"/>
              </w:rPr>
            </w:pPr>
            <w:r>
              <w:rPr>
                <w:rFonts w:ascii="Arial" w:cs="Arial" w:eastAsia="Arial" w:hAnsi="Arial"/>
                <w:sz w:val="14"/>
                <w:szCs w:val="14"/>
                <w:color w:val="333740"/>
              </w:rPr>
              <w:t>1,104</w:t>
            </w:r>
          </w:p>
        </w:tc>
        <w:tc>
          <w:tcPr>
            <w:tcW w:w="90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288,598</w:t>
            </w:r>
          </w:p>
        </w:tc>
        <w:tc>
          <w:tcPr>
            <w:tcW w:w="0" w:type="dxa"/>
            <w:vAlign w:val="bottom"/>
          </w:tcPr>
          <w:p>
            <w:pPr>
              <w:spacing w:after="0"/>
              <w:rPr>
                <w:sz w:val="1"/>
                <w:szCs w:val="1"/>
                <w:color w:val="auto"/>
              </w:rPr>
            </w:pPr>
          </w:p>
        </w:tc>
      </w:tr>
      <w:tr>
        <w:trPr>
          <w:trHeight w:val="267"/>
        </w:trPr>
        <w:tc>
          <w:tcPr>
            <w:tcW w:w="2200" w:type="dxa"/>
            <w:vAlign w:val="bottom"/>
            <w:tcBorders>
              <w:bottom w:val="single" w:sz="8" w:color="D7D8D6"/>
            </w:tcBorders>
          </w:tcPr>
          <w:p>
            <w:pPr>
              <w:spacing w:after="0"/>
              <w:rPr>
                <w:sz w:val="20"/>
                <w:szCs w:val="20"/>
                <w:color w:val="auto"/>
              </w:rPr>
            </w:pPr>
            <w:r>
              <w:rPr>
                <w:rFonts w:ascii="Arial" w:cs="Arial" w:eastAsia="Arial" w:hAnsi="Arial"/>
                <w:sz w:val="14"/>
                <w:szCs w:val="14"/>
                <w:b w:val="1"/>
                <w:bCs w:val="1"/>
                <w:color w:val="333740"/>
              </w:rPr>
              <w:t>Joseph Rinaldi</w:t>
            </w:r>
          </w:p>
        </w:tc>
        <w:tc>
          <w:tcPr>
            <w:tcW w:w="1920" w:type="dxa"/>
            <w:vAlign w:val="bottom"/>
            <w:tcBorders>
              <w:bottom w:val="single" w:sz="8" w:color="D7D8D6"/>
            </w:tcBorders>
          </w:tcPr>
          <w:p>
            <w:pPr>
              <w:jc w:val="right"/>
              <w:ind w:right="348"/>
              <w:spacing w:after="0"/>
              <w:rPr>
                <w:sz w:val="20"/>
                <w:szCs w:val="20"/>
                <w:color w:val="auto"/>
              </w:rPr>
            </w:pPr>
            <w:r>
              <w:rPr>
                <w:rFonts w:ascii="Arial" w:cs="Arial" w:eastAsia="Arial" w:hAnsi="Arial"/>
                <w:sz w:val="14"/>
                <w:szCs w:val="14"/>
                <w:color w:val="333740"/>
              </w:rPr>
              <w:t>100,000</w:t>
            </w:r>
          </w:p>
        </w:tc>
        <w:tc>
          <w:tcPr>
            <w:tcW w:w="1740" w:type="dxa"/>
            <w:vAlign w:val="bottom"/>
            <w:tcBorders>
              <w:bottom w:val="single" w:sz="8" w:color="D7D8D6"/>
            </w:tcBorders>
          </w:tcPr>
          <w:p>
            <w:pPr>
              <w:jc w:val="right"/>
              <w:ind w:right="168"/>
              <w:spacing w:after="0"/>
              <w:rPr>
                <w:sz w:val="20"/>
                <w:szCs w:val="20"/>
                <w:color w:val="auto"/>
              </w:rPr>
            </w:pPr>
            <w:r>
              <w:rPr>
                <w:rFonts w:ascii="Arial" w:cs="Arial" w:eastAsia="Arial" w:hAnsi="Arial"/>
                <w:sz w:val="14"/>
                <w:szCs w:val="14"/>
                <w:color w:val="333740"/>
              </w:rPr>
              <w:t>25,000</w:t>
            </w:r>
          </w:p>
        </w:tc>
        <w:tc>
          <w:tcPr>
            <w:tcW w:w="2200" w:type="dxa"/>
            <w:vAlign w:val="bottom"/>
            <w:tcBorders>
              <w:bottom w:val="single" w:sz="8" w:color="D7D8D6"/>
            </w:tcBorders>
          </w:tcPr>
          <w:p>
            <w:pPr>
              <w:jc w:val="right"/>
              <w:ind w:right="468"/>
              <w:spacing w:after="0"/>
              <w:rPr>
                <w:sz w:val="20"/>
                <w:szCs w:val="20"/>
                <w:color w:val="auto"/>
              </w:rPr>
            </w:pPr>
            <w:r>
              <w:rPr>
                <w:rFonts w:ascii="Arial" w:cs="Arial" w:eastAsia="Arial" w:hAnsi="Arial"/>
                <w:sz w:val="14"/>
                <w:szCs w:val="14"/>
                <w:color w:val="333740"/>
              </w:rPr>
              <w:t>174,994</w:t>
            </w:r>
          </w:p>
        </w:tc>
        <w:tc>
          <w:tcPr>
            <w:tcW w:w="2300" w:type="dxa"/>
            <w:vAlign w:val="bottom"/>
            <w:tcBorders>
              <w:bottom w:val="single" w:sz="8" w:color="D7D8D6"/>
            </w:tcBorders>
          </w:tcPr>
          <w:p>
            <w:pPr>
              <w:jc w:val="right"/>
              <w:ind w:right="388"/>
              <w:spacing w:after="0"/>
              <w:rPr>
                <w:sz w:val="20"/>
                <w:szCs w:val="20"/>
                <w:color w:val="auto"/>
              </w:rPr>
            </w:pPr>
            <w:r>
              <w:rPr>
                <w:rFonts w:ascii="Arial" w:cs="Arial" w:eastAsia="Arial" w:hAnsi="Arial"/>
                <w:sz w:val="14"/>
                <w:szCs w:val="14"/>
                <w:color w:val="333740"/>
              </w:rPr>
              <w:t>2,668</w:t>
            </w:r>
          </w:p>
        </w:tc>
        <w:tc>
          <w:tcPr>
            <w:tcW w:w="90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302,662</w:t>
            </w:r>
          </w:p>
        </w:tc>
        <w:tc>
          <w:tcPr>
            <w:tcW w:w="0" w:type="dxa"/>
            <w:vAlign w:val="bottom"/>
          </w:tcPr>
          <w:p>
            <w:pPr>
              <w:spacing w:after="0"/>
              <w:rPr>
                <w:sz w:val="1"/>
                <w:szCs w:val="1"/>
                <w:color w:val="auto"/>
              </w:rPr>
            </w:pPr>
          </w:p>
        </w:tc>
      </w:tr>
      <w:tr>
        <w:trPr>
          <w:trHeight w:val="267"/>
        </w:trPr>
        <w:tc>
          <w:tcPr>
            <w:tcW w:w="2200" w:type="dxa"/>
            <w:vAlign w:val="bottom"/>
            <w:tcBorders>
              <w:bottom w:val="single" w:sz="8" w:color="D7D8D6"/>
            </w:tcBorders>
          </w:tcPr>
          <w:p>
            <w:pPr>
              <w:spacing w:after="0"/>
              <w:rPr>
                <w:sz w:val="20"/>
                <w:szCs w:val="20"/>
                <w:color w:val="auto"/>
              </w:rPr>
            </w:pPr>
            <w:r>
              <w:rPr>
                <w:rFonts w:ascii="Arial" w:cs="Arial" w:eastAsia="Arial" w:hAnsi="Arial"/>
                <w:sz w:val="14"/>
                <w:szCs w:val="14"/>
                <w:b w:val="1"/>
                <w:bCs w:val="1"/>
                <w:color w:val="333740"/>
              </w:rPr>
              <w:t>James M. Ringler</w:t>
            </w:r>
          </w:p>
        </w:tc>
        <w:tc>
          <w:tcPr>
            <w:tcW w:w="1920" w:type="dxa"/>
            <w:vAlign w:val="bottom"/>
            <w:tcBorders>
              <w:bottom w:val="single" w:sz="8" w:color="D7D8D6"/>
            </w:tcBorders>
          </w:tcPr>
          <w:p>
            <w:pPr>
              <w:jc w:val="right"/>
              <w:ind w:right="348"/>
              <w:spacing w:after="0"/>
              <w:rPr>
                <w:sz w:val="20"/>
                <w:szCs w:val="20"/>
                <w:color w:val="auto"/>
              </w:rPr>
            </w:pPr>
            <w:r>
              <w:rPr>
                <w:rFonts w:ascii="Arial" w:cs="Arial" w:eastAsia="Arial" w:hAnsi="Arial"/>
                <w:sz w:val="14"/>
                <w:szCs w:val="14"/>
                <w:color w:val="333740"/>
              </w:rPr>
              <w:t>100,000</w:t>
            </w:r>
          </w:p>
        </w:tc>
        <w:tc>
          <w:tcPr>
            <w:tcW w:w="1740" w:type="dxa"/>
            <w:vAlign w:val="bottom"/>
            <w:tcBorders>
              <w:bottom w:val="single" w:sz="8" w:color="D7D8D6"/>
            </w:tcBorders>
          </w:tcPr>
          <w:p>
            <w:pPr>
              <w:jc w:val="right"/>
              <w:ind w:right="168"/>
              <w:spacing w:after="0"/>
              <w:rPr>
                <w:sz w:val="20"/>
                <w:szCs w:val="20"/>
                <w:color w:val="auto"/>
              </w:rPr>
            </w:pPr>
            <w:r>
              <w:rPr>
                <w:rFonts w:ascii="Arial" w:cs="Arial" w:eastAsia="Arial" w:hAnsi="Arial"/>
                <w:sz w:val="14"/>
                <w:szCs w:val="14"/>
                <w:color w:val="333740"/>
              </w:rPr>
              <w:t>25,000</w:t>
            </w:r>
          </w:p>
        </w:tc>
        <w:tc>
          <w:tcPr>
            <w:tcW w:w="2200" w:type="dxa"/>
            <w:vAlign w:val="bottom"/>
            <w:tcBorders>
              <w:bottom w:val="single" w:sz="8" w:color="D7D8D6"/>
            </w:tcBorders>
          </w:tcPr>
          <w:p>
            <w:pPr>
              <w:jc w:val="right"/>
              <w:ind w:right="468"/>
              <w:spacing w:after="0"/>
              <w:rPr>
                <w:sz w:val="20"/>
                <w:szCs w:val="20"/>
                <w:color w:val="auto"/>
              </w:rPr>
            </w:pPr>
            <w:r>
              <w:rPr>
                <w:rFonts w:ascii="Arial" w:cs="Arial" w:eastAsia="Arial" w:hAnsi="Arial"/>
                <w:sz w:val="14"/>
                <w:szCs w:val="14"/>
                <w:color w:val="333740"/>
              </w:rPr>
              <w:t>174,994</w:t>
            </w:r>
          </w:p>
        </w:tc>
        <w:tc>
          <w:tcPr>
            <w:tcW w:w="2300" w:type="dxa"/>
            <w:vAlign w:val="bottom"/>
            <w:tcBorders>
              <w:bottom w:val="single" w:sz="8" w:color="D7D8D6"/>
            </w:tcBorders>
          </w:tcPr>
          <w:p>
            <w:pPr>
              <w:jc w:val="right"/>
              <w:ind w:right="388"/>
              <w:spacing w:after="0"/>
              <w:rPr>
                <w:sz w:val="20"/>
                <w:szCs w:val="20"/>
                <w:color w:val="auto"/>
              </w:rPr>
            </w:pPr>
            <w:r>
              <w:rPr>
                <w:rFonts w:ascii="Arial" w:cs="Arial" w:eastAsia="Arial" w:hAnsi="Arial"/>
                <w:sz w:val="14"/>
                <w:szCs w:val="14"/>
                <w:color w:val="333740"/>
              </w:rPr>
              <w:t>2,159</w:t>
            </w:r>
          </w:p>
        </w:tc>
        <w:tc>
          <w:tcPr>
            <w:tcW w:w="90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302,153</w:t>
            </w:r>
          </w:p>
        </w:tc>
        <w:tc>
          <w:tcPr>
            <w:tcW w:w="0" w:type="dxa"/>
            <w:vAlign w:val="bottom"/>
          </w:tcPr>
          <w:p>
            <w:pPr>
              <w:spacing w:after="0"/>
              <w:rPr>
                <w:sz w:val="1"/>
                <w:szCs w:val="1"/>
                <w:color w:val="auto"/>
              </w:rPr>
            </w:pPr>
          </w:p>
        </w:tc>
      </w:tr>
      <w:tr>
        <w:trPr>
          <w:trHeight w:val="243"/>
        </w:trPr>
        <w:tc>
          <w:tcPr>
            <w:tcW w:w="2200" w:type="dxa"/>
            <w:vAlign w:val="bottom"/>
            <w:tcBorders>
              <w:bottom w:val="single" w:sz="8" w:color="D7D8D6"/>
            </w:tcBorders>
          </w:tcPr>
          <w:p>
            <w:pPr>
              <w:spacing w:after="0" w:line="239" w:lineRule="exact"/>
              <w:rPr>
                <w:sz w:val="20"/>
                <w:szCs w:val="20"/>
                <w:color w:val="auto"/>
              </w:rPr>
            </w:pPr>
            <w:r>
              <w:rPr>
                <w:rFonts w:ascii="Arial" w:cs="Arial" w:eastAsia="Arial" w:hAnsi="Arial"/>
                <w:sz w:val="14"/>
                <w:szCs w:val="14"/>
                <w:b w:val="1"/>
                <w:bCs w:val="1"/>
                <w:color w:val="333740"/>
              </w:rPr>
              <w:t>John Yearwood</w:t>
            </w:r>
            <w:r>
              <w:rPr>
                <w:rFonts w:ascii="Arial" w:cs="Arial" w:eastAsia="Arial" w:hAnsi="Arial"/>
                <w:sz w:val="23"/>
                <w:szCs w:val="23"/>
                <w:b w:val="1"/>
                <w:bCs w:val="1"/>
                <w:color w:val="333740"/>
                <w:vertAlign w:val="superscript"/>
              </w:rPr>
              <w:t>5</w:t>
            </w:r>
          </w:p>
        </w:tc>
        <w:tc>
          <w:tcPr>
            <w:tcW w:w="1920" w:type="dxa"/>
            <w:vAlign w:val="bottom"/>
            <w:tcBorders>
              <w:bottom w:val="single" w:sz="8" w:color="D7D8D6"/>
            </w:tcBorders>
          </w:tcPr>
          <w:p>
            <w:pPr>
              <w:jc w:val="right"/>
              <w:ind w:right="348"/>
              <w:spacing w:after="0"/>
              <w:rPr>
                <w:sz w:val="20"/>
                <w:szCs w:val="20"/>
                <w:color w:val="auto"/>
              </w:rPr>
            </w:pPr>
            <w:r>
              <w:rPr>
                <w:rFonts w:ascii="Arial" w:cs="Arial" w:eastAsia="Arial" w:hAnsi="Arial"/>
                <w:sz w:val="14"/>
                <w:szCs w:val="14"/>
                <w:color w:val="333740"/>
              </w:rPr>
              <w:t>58,333</w:t>
            </w:r>
          </w:p>
        </w:tc>
        <w:tc>
          <w:tcPr>
            <w:tcW w:w="1740" w:type="dxa"/>
            <w:vAlign w:val="bottom"/>
            <w:tcBorders>
              <w:bottom w:val="single" w:sz="8" w:color="D7D8D6"/>
            </w:tcBorders>
          </w:tcPr>
          <w:p>
            <w:pPr>
              <w:jc w:val="right"/>
              <w:ind w:right="168"/>
              <w:spacing w:after="0"/>
              <w:rPr>
                <w:sz w:val="20"/>
                <w:szCs w:val="20"/>
                <w:color w:val="auto"/>
              </w:rPr>
            </w:pPr>
            <w:r>
              <w:rPr>
                <w:rFonts w:ascii="Arial" w:cs="Arial" w:eastAsia="Arial" w:hAnsi="Arial"/>
                <w:sz w:val="14"/>
                <w:szCs w:val="14"/>
                <w:color w:val="333740"/>
              </w:rPr>
              <w:t>15,000</w:t>
            </w:r>
          </w:p>
        </w:tc>
        <w:tc>
          <w:tcPr>
            <w:tcW w:w="2200" w:type="dxa"/>
            <w:vAlign w:val="bottom"/>
            <w:tcBorders>
              <w:bottom w:val="single" w:sz="8" w:color="D7D8D6"/>
            </w:tcBorders>
          </w:tcPr>
          <w:p>
            <w:pPr>
              <w:jc w:val="right"/>
              <w:ind w:right="468"/>
              <w:spacing w:after="0"/>
              <w:rPr>
                <w:sz w:val="20"/>
                <w:szCs w:val="20"/>
                <w:color w:val="auto"/>
              </w:rPr>
            </w:pPr>
            <w:r>
              <w:rPr>
                <w:rFonts w:ascii="Arial" w:cs="Arial" w:eastAsia="Arial" w:hAnsi="Arial"/>
                <w:sz w:val="14"/>
                <w:szCs w:val="14"/>
                <w:color w:val="333740"/>
              </w:rPr>
              <w:t>0</w:t>
            </w:r>
          </w:p>
        </w:tc>
        <w:tc>
          <w:tcPr>
            <w:tcW w:w="2300" w:type="dxa"/>
            <w:vAlign w:val="bottom"/>
            <w:tcBorders>
              <w:bottom w:val="single" w:sz="8" w:color="D7D8D6"/>
            </w:tcBorders>
          </w:tcPr>
          <w:p>
            <w:pPr>
              <w:jc w:val="right"/>
              <w:ind w:right="388"/>
              <w:spacing w:after="0"/>
              <w:rPr>
                <w:sz w:val="20"/>
                <w:szCs w:val="20"/>
                <w:color w:val="auto"/>
              </w:rPr>
            </w:pPr>
            <w:r>
              <w:rPr>
                <w:rFonts w:ascii="Arial" w:cs="Arial" w:eastAsia="Arial" w:hAnsi="Arial"/>
                <w:sz w:val="14"/>
                <w:szCs w:val="14"/>
                <w:color w:val="333740"/>
              </w:rPr>
              <w:t>0</w:t>
            </w:r>
          </w:p>
        </w:tc>
        <w:tc>
          <w:tcPr>
            <w:tcW w:w="90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73,333</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4" w:hanging="184"/>
        <w:spacing w:after="0"/>
        <w:tabs>
          <w:tab w:leader="none" w:pos="184" w:val="left"/>
        </w:tabs>
        <w:numPr>
          <w:ilvl w:val="0"/>
          <w:numId w:val="62"/>
        </w:numPr>
        <w:rPr>
          <w:rFonts w:ascii="Arial" w:cs="Arial" w:eastAsia="Arial" w:hAnsi="Arial"/>
          <w:sz w:val="11"/>
          <w:szCs w:val="11"/>
          <w:color w:val="333740"/>
        </w:rPr>
      </w:pPr>
      <w:r>
        <w:rPr>
          <w:rFonts w:ascii="Arial" w:cs="Arial" w:eastAsia="Arial" w:hAnsi="Arial"/>
          <w:sz w:val="11"/>
          <w:szCs w:val="11"/>
          <w:color w:val="333740"/>
        </w:rPr>
        <w:t>Includes the amount of the fees paid for attendance at committee meetings, and additional fees paid to the Chair of each Board committee and to the Lead Independent Director.</w:t>
      </w:r>
    </w:p>
    <w:p>
      <w:pPr>
        <w:ind w:left="184" w:right="40" w:hanging="184"/>
        <w:spacing w:after="0" w:line="226" w:lineRule="auto"/>
        <w:tabs>
          <w:tab w:leader="none" w:pos="184" w:val="left"/>
        </w:tabs>
        <w:numPr>
          <w:ilvl w:val="0"/>
          <w:numId w:val="62"/>
        </w:numPr>
        <w:rPr>
          <w:rFonts w:ascii="Arial" w:cs="Arial" w:eastAsia="Arial" w:hAnsi="Arial"/>
          <w:sz w:val="11"/>
          <w:szCs w:val="11"/>
          <w:color w:val="333740"/>
        </w:rPr>
      </w:pPr>
      <w:r>
        <w:rPr>
          <w:rFonts w:ascii="Arial" w:cs="Arial" w:eastAsia="Arial" w:hAnsi="Arial"/>
          <w:sz w:val="11"/>
          <w:szCs w:val="11"/>
          <w:color w:val="333740"/>
        </w:rPr>
        <w:t>RSU grants were made on March 8, 2019, valued at $20.98 per share, the closing price on the NYSE of the Company’s Ordinary Shares on that date. The aggregate value for all of the Company’s non-executive directors was $1,924,936 as of the grant date and was computed in accordance with the SEC proxy disclosure rules and Financial Accounting Standards Board (“</w:t>
      </w:r>
      <w:r>
        <w:rPr>
          <w:rFonts w:ascii="Arial" w:cs="Arial" w:eastAsia="Arial" w:hAnsi="Arial"/>
          <w:sz w:val="11"/>
          <w:szCs w:val="11"/>
          <w:b w:val="1"/>
          <w:bCs w:val="1"/>
          <w:color w:val="333740"/>
        </w:rPr>
        <w:t>FASB</w:t>
      </w:r>
      <w:r>
        <w:rPr>
          <w:rFonts w:ascii="Arial" w:cs="Arial" w:eastAsia="Arial" w:hAnsi="Arial"/>
          <w:sz w:val="11"/>
          <w:szCs w:val="11"/>
          <w:color w:val="333740"/>
        </w:rPr>
        <w:t>”) Accounting Standards Codification (“</w:t>
      </w:r>
      <w:r>
        <w:rPr>
          <w:rFonts w:ascii="Arial" w:cs="Arial" w:eastAsia="Arial" w:hAnsi="Arial"/>
          <w:sz w:val="11"/>
          <w:szCs w:val="11"/>
          <w:b w:val="1"/>
          <w:bCs w:val="1"/>
          <w:color w:val="333740"/>
        </w:rPr>
        <w:t>ASC</w:t>
      </w:r>
      <w:r>
        <w:rPr>
          <w:rFonts w:ascii="Arial" w:cs="Arial" w:eastAsia="Arial" w:hAnsi="Arial"/>
          <w:sz w:val="11"/>
          <w:szCs w:val="11"/>
          <w:color w:val="333740"/>
        </w:rPr>
        <w:t>”) Topic 718. The annual RSU grant vests after one year of service but is settled in Ordinary Shares only when the director leaves the Board. The RSUs are forfeited if a director ceases service on the Board prior to the vesting date of the RSUs,</w:t>
      </w:r>
    </w:p>
    <w:p>
      <w:pPr>
        <w:spacing w:after="0" w:line="1" w:lineRule="exact"/>
        <w:rPr>
          <w:sz w:val="20"/>
          <w:szCs w:val="20"/>
          <w:color w:val="auto"/>
        </w:rPr>
      </w:pPr>
    </w:p>
    <w:p>
      <w:pPr>
        <w:jc w:val="both"/>
        <w:ind w:left="184" w:right="60"/>
        <w:spacing w:after="0" w:line="226" w:lineRule="auto"/>
        <w:rPr>
          <w:sz w:val="20"/>
          <w:szCs w:val="20"/>
          <w:color w:val="auto"/>
        </w:rPr>
      </w:pPr>
      <w:r>
        <w:rPr>
          <w:rFonts w:ascii="Arial" w:cs="Arial" w:eastAsia="Arial" w:hAnsi="Arial"/>
          <w:sz w:val="11"/>
          <w:szCs w:val="11"/>
          <w:color w:val="333740"/>
        </w:rPr>
        <w:t>except in the event of death or disability. Unvested RSUs will be settled and are payable in Ordinary Shares upon the death or disability of a director or in the event of a change-in-control of the Company. Except for Messrs. Piou and Yearwood, who joined the Board in June 2019, the aggregate outstanding RSUs held by each of the Company’s non-executive directors on December 31, 2019 was 19,196 RSUs (10,855 of which are vested but not yet settled in Ordinary Shares). Dividend equivalents will accumulate on the RSUs to the extent the Company pays dividends on its Ordinary Shares and are payable only if and when the RSUs are settled in Ordinary Shares.</w:t>
      </w:r>
    </w:p>
    <w:p>
      <w:pPr>
        <w:ind w:left="184" w:hanging="184"/>
        <w:spacing w:after="0" w:line="228" w:lineRule="auto"/>
        <w:tabs>
          <w:tab w:leader="none" w:pos="184" w:val="left"/>
        </w:tabs>
        <w:numPr>
          <w:ilvl w:val="0"/>
          <w:numId w:val="63"/>
        </w:numPr>
        <w:rPr>
          <w:rFonts w:ascii="Arial" w:cs="Arial" w:eastAsia="Arial" w:hAnsi="Arial"/>
          <w:sz w:val="11"/>
          <w:szCs w:val="11"/>
          <w:color w:val="333740"/>
        </w:rPr>
      </w:pPr>
      <w:r>
        <w:rPr>
          <w:rFonts w:ascii="Arial" w:cs="Arial" w:eastAsia="Arial" w:hAnsi="Arial"/>
          <w:sz w:val="11"/>
          <w:szCs w:val="11"/>
          <w:color w:val="333740"/>
        </w:rPr>
        <w:t>Mr. Caudoux waived his cash and equity remuneration because of the policies of his employer, Bpifrance.</w:t>
      </w:r>
    </w:p>
    <w:p>
      <w:pPr>
        <w:ind w:left="184" w:hanging="184"/>
        <w:spacing w:after="0" w:line="226" w:lineRule="auto"/>
        <w:tabs>
          <w:tab w:leader="none" w:pos="184" w:val="left"/>
        </w:tabs>
        <w:numPr>
          <w:ilvl w:val="0"/>
          <w:numId w:val="63"/>
        </w:numPr>
        <w:rPr>
          <w:rFonts w:ascii="Arial" w:cs="Arial" w:eastAsia="Arial" w:hAnsi="Arial"/>
          <w:sz w:val="11"/>
          <w:szCs w:val="11"/>
          <w:color w:val="333740"/>
        </w:rPr>
      </w:pPr>
      <w:r>
        <w:rPr>
          <w:rFonts w:ascii="Arial" w:cs="Arial" w:eastAsia="Arial" w:hAnsi="Arial"/>
          <w:sz w:val="11"/>
          <w:szCs w:val="11"/>
          <w:color w:val="333740"/>
        </w:rPr>
        <w:t>Mr. Pattarozzi was not nominated for reelection at the 2019 Annual Meeting, so his service on the Board of Directors terminated immediately following the 2019 Annual Meeting.</w:t>
      </w:r>
    </w:p>
    <w:p>
      <w:pPr>
        <w:ind w:left="184" w:hanging="184"/>
        <w:spacing w:after="0"/>
        <w:tabs>
          <w:tab w:leader="none" w:pos="184" w:val="left"/>
        </w:tabs>
        <w:numPr>
          <w:ilvl w:val="0"/>
          <w:numId w:val="63"/>
        </w:numPr>
        <w:rPr>
          <w:rFonts w:ascii="Arial" w:cs="Arial" w:eastAsia="Arial" w:hAnsi="Arial"/>
          <w:sz w:val="11"/>
          <w:szCs w:val="11"/>
          <w:color w:val="333740"/>
        </w:rPr>
      </w:pPr>
      <w:r>
        <w:rPr>
          <w:rFonts w:ascii="Arial" w:cs="Arial" w:eastAsia="Arial" w:hAnsi="Arial"/>
          <w:sz w:val="11"/>
          <w:szCs w:val="11"/>
          <w:color w:val="333740"/>
        </w:rPr>
        <w:t>Mr. Piou and Mr. Yearwood joined the Board of Directors of the Company on June 1, 2019. They will each receive a pro-rated grant of RSUs for their service in 2019 on the annual grant date in 2020.</w:t>
      </w:r>
    </w:p>
    <w:p>
      <w:pPr>
        <w:spacing w:after="0" w:line="361" w:lineRule="exact"/>
        <w:rPr>
          <w:sz w:val="20"/>
          <w:szCs w:val="20"/>
          <w:color w:val="auto"/>
        </w:rPr>
      </w:pPr>
    </w:p>
    <w:p>
      <w:pPr>
        <w:ind w:left="564" w:hanging="564"/>
        <w:spacing w:after="0"/>
        <w:tabs>
          <w:tab w:leader="none" w:pos="564" w:val="left"/>
        </w:tabs>
        <w:numPr>
          <w:ilvl w:val="0"/>
          <w:numId w:val="6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53" w:name="page54"/>
    <w:bookmarkEnd w:id="53"/>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Other Benefits</w:t>
      </w:r>
    </w:p>
    <w:p>
      <w:pPr>
        <w:spacing w:after="0" w:line="86" w:lineRule="exact"/>
        <w:rPr>
          <w:sz w:val="20"/>
          <w:szCs w:val="20"/>
          <w:color w:val="auto"/>
        </w:rPr>
      </w:pPr>
    </w:p>
    <w:p>
      <w:pPr>
        <w:ind w:left="4" w:right="480"/>
        <w:spacing w:after="0" w:line="247" w:lineRule="auto"/>
        <w:rPr>
          <w:sz w:val="20"/>
          <w:szCs w:val="20"/>
          <w:color w:val="auto"/>
        </w:rPr>
      </w:pPr>
      <w:r>
        <w:rPr>
          <w:rFonts w:ascii="Arial" w:cs="Arial" w:eastAsia="Arial" w:hAnsi="Arial"/>
          <w:sz w:val="19"/>
          <w:szCs w:val="19"/>
          <w:color w:val="333740"/>
        </w:rPr>
        <w:t>Each non-executive director receives reimbursement for travel and other related expenses incurred in connection with attending Board and committee meetings.</w:t>
      </w:r>
    </w:p>
    <w:p>
      <w:pPr>
        <w:spacing w:after="0" w:line="76" w:lineRule="exact"/>
        <w:rPr>
          <w:sz w:val="20"/>
          <w:szCs w:val="20"/>
          <w:color w:val="auto"/>
        </w:rPr>
      </w:pPr>
    </w:p>
    <w:p>
      <w:pPr>
        <w:ind w:left="4" w:right="40"/>
        <w:spacing w:after="0" w:line="238" w:lineRule="auto"/>
        <w:rPr>
          <w:sz w:val="20"/>
          <w:szCs w:val="20"/>
          <w:color w:val="auto"/>
        </w:rPr>
      </w:pPr>
      <w:r>
        <w:rPr>
          <w:rFonts w:ascii="Arial" w:cs="Arial" w:eastAsia="Arial" w:hAnsi="Arial"/>
          <w:sz w:val="19"/>
          <w:szCs w:val="19"/>
          <w:color w:val="333740"/>
        </w:rPr>
        <w:t>In addition, to reflect the Company’s corporate responsibility and sustainability strategy of supporting communities, directors are eligible to participate in our matching charitable contribution program on the same terms as employees. Pursuant to this program, the Company matches 100% of the charitable contributions of its employees and directors up to an aggregate of $10,000 in any year, although the Company exercises discretion to approve matching contributions in excess of that amount from time to time. Directors who are not Company employees do not participate in any employee benefit plans other than the Company’s matching program for charitable contributions. The Company has not made any charitable contribution to an organization in which a director serves as an employee or an immediate family member of the director serves as an executive officer.</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Share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7148195" cy="10394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8195" cy="1039495"/>
                    </a:xfrm>
                    <a:prstGeom prst="rect">
                      <a:avLst/>
                    </a:prstGeom>
                    <a:noFill/>
                  </pic:spPr>
                </pic:pic>
              </a:graphicData>
            </a:graphic>
          </wp:anchor>
        </w:drawing>
      </w:r>
    </w:p>
    <w:p>
      <w:pPr>
        <w:spacing w:after="0" w:line="311" w:lineRule="exact"/>
        <w:rPr>
          <w:sz w:val="20"/>
          <w:szCs w:val="20"/>
          <w:color w:val="auto"/>
        </w:rPr>
      </w:pPr>
    </w:p>
    <w:p>
      <w:pPr>
        <w:ind w:left="124" w:right="400"/>
        <w:spacing w:after="0" w:line="344" w:lineRule="auto"/>
        <w:rPr>
          <w:sz w:val="20"/>
          <w:szCs w:val="20"/>
          <w:color w:val="auto"/>
        </w:rPr>
      </w:pPr>
      <w:r>
        <w:rPr>
          <w:rFonts w:ascii="Arial" w:cs="Arial" w:eastAsia="Arial" w:hAnsi="Arial"/>
          <w:sz w:val="14"/>
          <w:szCs w:val="14"/>
          <w:color w:val="333740"/>
        </w:rPr>
        <w:t>To further align the interests of non-executive directors with the interests of the Company’s shareholders, each non- executive director is subject to a share ownership requirement.</w:t>
      </w:r>
    </w:p>
    <w:p>
      <w:pPr>
        <w:spacing w:after="0" w:line="40" w:lineRule="exact"/>
        <w:rPr>
          <w:sz w:val="20"/>
          <w:szCs w:val="20"/>
          <w:color w:val="auto"/>
        </w:rPr>
      </w:pPr>
    </w:p>
    <w:tbl>
      <w:tblPr>
        <w:tblLayout w:type="fixed"/>
        <w:tblInd w:w="124" w:type="dxa"/>
        <w:tblCellMar>
          <w:top w:w="0" w:type="dxa"/>
          <w:left w:w="0" w:type="dxa"/>
          <w:bottom w:w="0" w:type="dxa"/>
          <w:right w:w="0" w:type="dxa"/>
        </w:tblCellMar>
      </w:tblPr>
      <w:tr>
        <w:trPr>
          <w:trHeight w:val="293"/>
        </w:trPr>
        <w:tc>
          <w:tcPr>
            <w:tcW w:w="3990" w:type="dxa"/>
            <w:vAlign w:val="bottom"/>
            <w:shd w:val="clear" w:color="auto" w:fill="D7D8D6"/>
          </w:tcPr>
          <w:p>
            <w:pPr>
              <w:ind w:left="40"/>
              <w:spacing w:after="0"/>
              <w:rPr>
                <w:sz w:val="20"/>
                <w:szCs w:val="20"/>
                <w:color w:val="auto"/>
              </w:rPr>
            </w:pPr>
            <w:r>
              <w:rPr>
                <w:rFonts w:ascii="Arial" w:cs="Arial" w:eastAsia="Arial" w:hAnsi="Arial"/>
                <w:sz w:val="14"/>
                <w:szCs w:val="14"/>
                <w:b w:val="1"/>
                <w:bCs w:val="1"/>
                <w:color w:val="333740"/>
              </w:rPr>
              <w:t>Ownership Requirement</w:t>
            </w:r>
          </w:p>
        </w:tc>
        <w:tc>
          <w:tcPr>
            <w:tcW w:w="7150" w:type="dxa"/>
            <w:vAlign w:val="bottom"/>
            <w:shd w:val="clear" w:color="auto" w:fill="D7D8D6"/>
          </w:tcPr>
          <w:p>
            <w:pPr>
              <w:ind w:left="50"/>
              <w:spacing w:after="0"/>
              <w:rPr>
                <w:sz w:val="20"/>
                <w:szCs w:val="20"/>
                <w:color w:val="auto"/>
              </w:rPr>
            </w:pPr>
            <w:r>
              <w:rPr>
                <w:rFonts w:ascii="Arial" w:cs="Arial" w:eastAsia="Arial" w:hAnsi="Arial"/>
                <w:sz w:val="14"/>
                <w:szCs w:val="14"/>
                <w:color w:val="333740"/>
              </w:rPr>
              <w:t>Directors: 5x the annual cash retainer</w:t>
            </w:r>
          </w:p>
        </w:tc>
      </w:tr>
      <w:tr>
        <w:trPr>
          <w:trHeight w:val="358"/>
        </w:trPr>
        <w:tc>
          <w:tcPr>
            <w:tcW w:w="399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Covered Share Interests</w:t>
            </w:r>
          </w:p>
        </w:tc>
        <w:tc>
          <w:tcPr>
            <w:tcW w:w="7150" w:type="dxa"/>
            <w:vAlign w:val="bottom"/>
            <w:shd w:val="clear" w:color="auto" w:fill="D7D8D6"/>
          </w:tcPr>
          <w:p>
            <w:pPr>
              <w:ind w:left="50"/>
              <w:spacing w:after="0"/>
              <w:rPr>
                <w:sz w:val="20"/>
                <w:szCs w:val="20"/>
                <w:color w:val="auto"/>
              </w:rPr>
            </w:pPr>
            <w:r>
              <w:rPr>
                <w:rFonts w:ascii="Arial" w:cs="Arial" w:eastAsia="Arial" w:hAnsi="Arial"/>
                <w:sz w:val="14"/>
                <w:szCs w:val="14"/>
                <w:color w:val="333740"/>
              </w:rPr>
              <w:t>Ordinary Shares and RSUs that the Director owns and/or has a beneficial interest in</w:t>
            </w:r>
          </w:p>
        </w:tc>
      </w:tr>
      <w:tr>
        <w:trPr>
          <w:trHeight w:val="358"/>
        </w:trPr>
        <w:tc>
          <w:tcPr>
            <w:tcW w:w="399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Time for Achievement</w:t>
            </w:r>
          </w:p>
        </w:tc>
        <w:tc>
          <w:tcPr>
            <w:tcW w:w="7150" w:type="dxa"/>
            <w:vAlign w:val="bottom"/>
            <w:shd w:val="clear" w:color="auto" w:fill="D7D8D6"/>
          </w:tcPr>
          <w:p>
            <w:pPr>
              <w:ind w:left="50"/>
              <w:spacing w:after="0"/>
              <w:rPr>
                <w:sz w:val="20"/>
                <w:szCs w:val="20"/>
                <w:color w:val="auto"/>
              </w:rPr>
            </w:pPr>
            <w:r>
              <w:rPr>
                <w:rFonts w:ascii="Arial" w:cs="Arial" w:eastAsia="Arial" w:hAnsi="Arial"/>
                <w:sz w:val="14"/>
                <w:szCs w:val="14"/>
                <w:color w:val="333740"/>
              </w:rPr>
              <w:t>Five years from initial appointment</w:t>
            </w:r>
          </w:p>
        </w:tc>
      </w:tr>
      <w:tr>
        <w:trPr>
          <w:trHeight w:val="54"/>
        </w:trPr>
        <w:tc>
          <w:tcPr>
            <w:tcW w:w="3990" w:type="dxa"/>
            <w:vAlign w:val="bottom"/>
            <w:shd w:val="clear" w:color="auto" w:fill="D7D8D6"/>
          </w:tcPr>
          <w:p>
            <w:pPr>
              <w:spacing w:after="0"/>
              <w:rPr>
                <w:sz w:val="4"/>
                <w:szCs w:val="4"/>
                <w:color w:val="auto"/>
              </w:rPr>
            </w:pPr>
          </w:p>
        </w:tc>
        <w:tc>
          <w:tcPr>
            <w:tcW w:w="7150" w:type="dxa"/>
            <w:vAlign w:val="bottom"/>
            <w:shd w:val="clear" w:color="auto" w:fill="D7D8D6"/>
          </w:tcPr>
          <w:p>
            <w:pPr>
              <w:spacing w:after="0"/>
              <w:rPr>
                <w:sz w:val="4"/>
                <w:szCs w:val="4"/>
                <w:color w:val="auto"/>
              </w:rPr>
            </w:pPr>
          </w:p>
        </w:tc>
      </w:tr>
    </w:tbl>
    <w:p>
      <w:pPr>
        <w:spacing w:after="0" w:line="18" w:lineRule="exact"/>
        <w:rPr>
          <w:sz w:val="20"/>
          <w:szCs w:val="20"/>
          <w:color w:val="auto"/>
        </w:rPr>
      </w:pPr>
    </w:p>
    <w:p>
      <w:pPr>
        <w:ind w:left="4" w:right="380"/>
        <w:spacing w:after="0" w:line="293" w:lineRule="auto"/>
        <w:rPr>
          <w:sz w:val="20"/>
          <w:szCs w:val="20"/>
          <w:color w:val="auto"/>
        </w:rPr>
      </w:pPr>
      <w:r>
        <w:rPr>
          <w:rFonts w:ascii="Arial" w:cs="Arial" w:eastAsia="Arial" w:hAnsi="Arial"/>
          <w:sz w:val="19"/>
          <w:szCs w:val="19"/>
          <w:color w:val="333740"/>
        </w:rPr>
        <w:t>All directors met our ownership guidelines in 2019, with the exception of John Yearwood, who joined the Board in June 2019. Given Mr. Caudoux waived his annual cash and equity remuneration because of the policies of his employer, Bpifrance, he is not subject to any share ownership requirements.</w:t>
      </w:r>
    </w:p>
    <w:p>
      <w:pPr>
        <w:spacing w:after="0" w:line="286" w:lineRule="exact"/>
        <w:rPr>
          <w:sz w:val="20"/>
          <w:szCs w:val="20"/>
          <w:color w:val="auto"/>
        </w:rPr>
      </w:pPr>
    </w:p>
    <w:p>
      <w:pPr>
        <w:ind w:left="564" w:hanging="564"/>
        <w:spacing w:after="0"/>
        <w:tabs>
          <w:tab w:leader="none" w:pos="564" w:val="left"/>
        </w:tabs>
        <w:numPr>
          <w:ilvl w:val="0"/>
          <w:numId w:val="65"/>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54" w:name="page55"/>
    <w:bookmarkEnd w:id="54"/>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p>
    <w:p>
      <w:pPr>
        <w:ind w:left="4" w:right="840"/>
        <w:spacing w:after="0" w:line="317" w:lineRule="auto"/>
        <w:rPr>
          <w:sz w:val="20"/>
          <w:szCs w:val="20"/>
          <w:color w:val="auto"/>
        </w:rPr>
      </w:pPr>
      <w:r>
        <w:rPr>
          <w:rFonts w:ascii="Arial" w:cs="Arial" w:eastAsia="Arial" w:hAnsi="Arial"/>
          <w:sz w:val="57"/>
          <w:szCs w:val="57"/>
          <w:color w:val="481F6E"/>
        </w:rPr>
        <w:t>Executive Compensation Discussion and Analysis</w:t>
      </w:r>
    </w:p>
    <w:p>
      <w:pPr>
        <w:spacing w:after="0" w:line="3" w:lineRule="exact"/>
        <w:rPr>
          <w:sz w:val="20"/>
          <w:szCs w:val="20"/>
          <w:color w:val="auto"/>
        </w:rPr>
      </w:pPr>
    </w:p>
    <w:p>
      <w:pPr>
        <w:ind w:left="4"/>
        <w:spacing w:after="0"/>
        <w:rPr>
          <w:sz w:val="20"/>
          <w:szCs w:val="20"/>
          <w:color w:val="auto"/>
        </w:rPr>
      </w:pPr>
      <w:r>
        <w:rPr>
          <w:rFonts w:ascii="Arial" w:cs="Arial" w:eastAsia="Arial" w:hAnsi="Arial"/>
          <w:sz w:val="21"/>
          <w:szCs w:val="21"/>
          <w:color w:val="481F6E"/>
        </w:rPr>
        <w:t>2019 Compensation Program Updates</w:t>
      </w:r>
    </w:p>
    <w:p>
      <w:pPr>
        <w:spacing w:after="0" w:line="60" w:lineRule="exact"/>
        <w:rPr>
          <w:sz w:val="20"/>
          <w:szCs w:val="20"/>
          <w:color w:val="auto"/>
        </w:rPr>
      </w:pPr>
    </w:p>
    <w:p>
      <w:pPr>
        <w:ind w:left="4"/>
        <w:spacing w:after="0"/>
        <w:rPr>
          <w:sz w:val="20"/>
          <w:szCs w:val="20"/>
          <w:color w:val="auto"/>
        </w:rPr>
      </w:pPr>
      <w:r>
        <w:rPr>
          <w:rFonts w:ascii="Arial" w:cs="Arial" w:eastAsia="Arial" w:hAnsi="Arial"/>
          <w:sz w:val="19"/>
          <w:szCs w:val="19"/>
          <w:color w:val="333740"/>
        </w:rPr>
        <w:t>Our Compensation Committee takes shareholder input seriously, carefully reflecting on the results of shareholder advisory votes and feedback received during shareholder engagement. At our 2019 Annual Meeting, 70% of votes cast approved our 2018 executive compensation program as disclosed in our 2019 Proxy Statement. While this represented majority support, the Compensation Committee wanted to better understand the reasons some shareholders voted against our 2018 executive compensation.</w:t>
      </w:r>
    </w:p>
    <w:p>
      <w:pPr>
        <w:spacing w:after="0" w:line="82" w:lineRule="exact"/>
        <w:rPr>
          <w:sz w:val="20"/>
          <w:szCs w:val="20"/>
          <w:color w:val="auto"/>
        </w:rPr>
      </w:pPr>
    </w:p>
    <w:p>
      <w:pPr>
        <w:ind w:left="4" w:right="160"/>
        <w:spacing w:after="0" w:line="242" w:lineRule="auto"/>
        <w:rPr>
          <w:sz w:val="20"/>
          <w:szCs w:val="20"/>
          <w:color w:val="auto"/>
        </w:rPr>
      </w:pPr>
      <w:r>
        <w:rPr>
          <w:rFonts w:ascii="Arial" w:cs="Arial" w:eastAsia="Arial" w:hAnsi="Arial"/>
          <w:sz w:val="19"/>
          <w:szCs w:val="19"/>
          <w:color w:val="333740"/>
        </w:rPr>
        <w:t>Through our shareholder engagement efforts, our Board and executive leadership team solicited feedback specifically on our 2018 executive compensation program and considered shareholders’ input within the context of our pay-for- performance philosophy, business, and strategies.</w:t>
      </w:r>
    </w:p>
    <w:p>
      <w:pPr>
        <w:spacing w:after="0" w:line="80" w:lineRule="exact"/>
        <w:rPr>
          <w:sz w:val="20"/>
          <w:szCs w:val="20"/>
          <w:color w:val="auto"/>
        </w:rPr>
      </w:pPr>
    </w:p>
    <w:p>
      <w:pPr>
        <w:jc w:val="center"/>
        <w:ind w:right="1016"/>
        <w:spacing w:after="0"/>
        <w:rPr>
          <w:sz w:val="20"/>
          <w:szCs w:val="20"/>
          <w:color w:val="auto"/>
        </w:rPr>
      </w:pPr>
      <w:r>
        <w:rPr>
          <w:rFonts w:ascii="Arial" w:cs="Arial" w:eastAsia="Arial" w:hAnsi="Arial"/>
          <w:sz w:val="19"/>
          <w:szCs w:val="19"/>
          <w:color w:val="333740"/>
        </w:rPr>
        <w:t>As a result, in 2019, our Compensation Committee made the following changes to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38100" cy="755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80" w:lineRule="exact"/>
        <w:rPr>
          <w:sz w:val="20"/>
          <w:szCs w:val="20"/>
          <w:color w:val="auto"/>
        </w:rPr>
      </w:pPr>
    </w:p>
    <w:p>
      <w:pPr>
        <w:ind w:left="324"/>
        <w:spacing w:after="0"/>
        <w:rPr>
          <w:sz w:val="20"/>
          <w:szCs w:val="20"/>
          <w:color w:val="auto"/>
        </w:rPr>
      </w:pPr>
      <w:r>
        <w:rPr>
          <w:rFonts w:ascii="Arial" w:cs="Arial" w:eastAsia="Arial" w:hAnsi="Arial"/>
          <w:sz w:val="14"/>
          <w:szCs w:val="14"/>
          <w:color w:val="333740"/>
        </w:rPr>
        <w:t>Eliminated the role of Executive Chairman following completion of post-Merger integration and reduced to a single, CEO-level compensation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63500</wp:posOffset>
            </wp:positionV>
            <wp:extent cx="38100" cy="755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82" w:lineRule="exact"/>
        <w:rPr>
          <w:sz w:val="20"/>
          <w:szCs w:val="20"/>
          <w:color w:val="auto"/>
        </w:rPr>
      </w:pPr>
    </w:p>
    <w:p>
      <w:pPr>
        <w:ind w:left="324" w:right="240"/>
        <w:spacing w:after="0" w:line="265" w:lineRule="auto"/>
        <w:rPr>
          <w:sz w:val="20"/>
          <w:szCs w:val="20"/>
          <w:color w:val="auto"/>
        </w:rPr>
      </w:pPr>
      <w:r>
        <w:rPr>
          <w:rFonts w:ascii="Arial" w:cs="Arial" w:eastAsia="Arial" w:hAnsi="Arial"/>
          <w:sz w:val="14"/>
          <w:szCs w:val="14"/>
          <w:color w:val="333740"/>
        </w:rPr>
        <w:t>Discontinued the use of stock options so that performance-based equity will represent 70% of all annual equity awards beginning in 2020, and annual equity awards will comprise only PSUs (70%) and RSUs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38735</wp:posOffset>
            </wp:positionV>
            <wp:extent cx="38100" cy="755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43" w:lineRule="exact"/>
        <w:rPr>
          <w:sz w:val="20"/>
          <w:szCs w:val="20"/>
          <w:color w:val="auto"/>
        </w:rPr>
      </w:pPr>
    </w:p>
    <w:p>
      <w:pPr>
        <w:ind w:left="324"/>
        <w:spacing w:after="0"/>
        <w:rPr>
          <w:sz w:val="20"/>
          <w:szCs w:val="20"/>
          <w:color w:val="auto"/>
        </w:rPr>
      </w:pPr>
      <w:r>
        <w:rPr>
          <w:rFonts w:ascii="Arial" w:cs="Arial" w:eastAsia="Arial" w:hAnsi="Arial"/>
          <w:sz w:val="14"/>
          <w:szCs w:val="14"/>
          <w:color w:val="333740"/>
        </w:rPr>
        <w:t>Retained the metric, EBITDA as a Percentage of Revenue, under our annual incentive plan to reinforce the link between annual incentive metrics and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63500</wp:posOffset>
            </wp:positionV>
            <wp:extent cx="38100" cy="755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82" w:lineRule="exact"/>
        <w:rPr>
          <w:sz w:val="20"/>
          <w:szCs w:val="20"/>
          <w:color w:val="auto"/>
        </w:rPr>
      </w:pPr>
    </w:p>
    <w:p>
      <w:pPr>
        <w:jc w:val="both"/>
        <w:ind w:left="324" w:right="180"/>
        <w:spacing w:after="0" w:line="254" w:lineRule="auto"/>
        <w:rPr>
          <w:sz w:val="20"/>
          <w:szCs w:val="20"/>
          <w:color w:val="auto"/>
        </w:rPr>
      </w:pPr>
      <w:r>
        <w:rPr>
          <w:rFonts w:ascii="Arial" w:cs="Arial" w:eastAsia="Arial" w:hAnsi="Arial"/>
          <w:sz w:val="14"/>
          <w:szCs w:val="14"/>
          <w:color w:val="333740"/>
        </w:rPr>
        <w:t>Continued the use of ROIC in our long-term equity incentive plan, in addition to relative TSR. ROIC is an absolute financial metric that measures management’s ability to efficiently allocate capital, and performance for ROIC is measured against an internal target. The relative TSR metric is based on share price performance relative to an external peer group. Due to the cyclical nature of the oil and gas industry, shareholders have supported inclusion of both internal and external metrics in long-term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52070</wp:posOffset>
            </wp:positionV>
            <wp:extent cx="38100" cy="755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63" w:lineRule="exact"/>
        <w:rPr>
          <w:sz w:val="20"/>
          <w:szCs w:val="20"/>
          <w:color w:val="auto"/>
        </w:rPr>
      </w:pPr>
    </w:p>
    <w:p>
      <w:pPr>
        <w:ind w:left="324"/>
        <w:spacing w:after="0"/>
        <w:rPr>
          <w:sz w:val="20"/>
          <w:szCs w:val="20"/>
          <w:color w:val="auto"/>
        </w:rPr>
      </w:pPr>
      <w:r>
        <w:rPr>
          <w:rFonts w:ascii="Arial" w:cs="Arial" w:eastAsia="Arial" w:hAnsi="Arial"/>
          <w:sz w:val="14"/>
          <w:szCs w:val="14"/>
          <w:color w:val="333740"/>
        </w:rPr>
        <w:t>Based a portion of our CEO’s annual cash incentive bonus on certain sustainability measures to further reinforce the Company’s commitment to our Foundational Beliefs.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63500</wp:posOffset>
            </wp:positionV>
            <wp:extent cx="38100" cy="755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82" w:lineRule="exact"/>
        <w:rPr>
          <w:sz w:val="20"/>
          <w:szCs w:val="20"/>
          <w:color w:val="auto"/>
        </w:rPr>
      </w:pPr>
    </w:p>
    <w:p>
      <w:pPr>
        <w:ind w:left="324"/>
        <w:spacing w:after="0"/>
        <w:rPr>
          <w:sz w:val="20"/>
          <w:szCs w:val="20"/>
          <w:color w:val="auto"/>
        </w:rPr>
      </w:pPr>
      <w:r>
        <w:rPr>
          <w:rFonts w:ascii="Arial" w:cs="Arial" w:eastAsia="Arial" w:hAnsi="Arial"/>
          <w:sz w:val="14"/>
          <w:szCs w:val="14"/>
          <w:color w:val="333740"/>
        </w:rPr>
        <w:t>Updated our compensation and performance peer groups to reflect changes in our business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55880</wp:posOffset>
            </wp:positionV>
            <wp:extent cx="38100" cy="755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70" w:lineRule="exact"/>
        <w:rPr>
          <w:sz w:val="20"/>
          <w:szCs w:val="20"/>
          <w:color w:val="auto"/>
        </w:rPr>
      </w:pPr>
    </w:p>
    <w:p>
      <w:pPr>
        <w:ind w:left="324" w:right="540"/>
        <w:spacing w:after="0" w:line="265" w:lineRule="auto"/>
        <w:rPr>
          <w:sz w:val="20"/>
          <w:szCs w:val="20"/>
          <w:color w:val="auto"/>
        </w:rPr>
      </w:pPr>
      <w:r>
        <w:rPr>
          <w:rFonts w:ascii="Arial" w:cs="Arial" w:eastAsia="Arial" w:hAnsi="Arial"/>
          <w:sz w:val="14"/>
          <w:szCs w:val="14"/>
          <w:color w:val="333740"/>
        </w:rPr>
        <w:t>Simplified disclosures in our Compensation Discussion and Analysis to provide additional details and calculations, including enhanced descriptions of the individual performance component of our annual cash incentive bonus plan, as well as our target-setting process and our peer group selection rationale.</w:t>
      </w:r>
    </w:p>
    <w:p>
      <w:pPr>
        <w:spacing w:after="0" w:line="340" w:lineRule="exact"/>
        <w:rPr>
          <w:sz w:val="20"/>
          <w:szCs w:val="20"/>
          <w:color w:val="auto"/>
        </w:rPr>
      </w:pPr>
    </w:p>
    <w:p>
      <w:pPr>
        <w:ind w:left="564" w:hanging="564"/>
        <w:spacing w:after="0"/>
        <w:tabs>
          <w:tab w:leader="none" w:pos="564" w:val="left"/>
        </w:tabs>
        <w:numPr>
          <w:ilvl w:val="0"/>
          <w:numId w:val="6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84"/>
          </w:cols>
          <w:pgMar w:left="316" w:top="128" w:right="399" w:bottom="1440" w:gutter="0" w:footer="0" w:header="0"/>
        </w:sectPr>
      </w:pPr>
    </w:p>
    <w:bookmarkStart w:id="55" w:name="page56"/>
    <w:bookmarkEnd w:id="55"/>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71" w:lineRule="exact"/>
        <w:rPr>
          <w:sz w:val="20"/>
          <w:szCs w:val="20"/>
          <w:color w:val="auto"/>
        </w:rPr>
      </w:pPr>
    </w:p>
    <w:p>
      <w:pPr>
        <w:ind w:left="4"/>
        <w:spacing w:after="0"/>
        <w:rPr>
          <w:sz w:val="20"/>
          <w:szCs w:val="20"/>
          <w:color w:val="auto"/>
        </w:rPr>
      </w:pPr>
      <w:r>
        <w:rPr>
          <w:rFonts w:ascii="Arial" w:cs="Arial" w:eastAsia="Arial" w:hAnsi="Arial"/>
          <w:sz w:val="33"/>
          <w:szCs w:val="33"/>
          <w:color w:val="481F6E"/>
        </w:rPr>
        <w:t>Named Executive Oﬃcers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48195" cy="2654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8195" cy="265430"/>
                    </a:xfrm>
                    <a:prstGeom prst="rect">
                      <a:avLst/>
                    </a:prstGeom>
                    <a:noFill/>
                  </pic:spPr>
                </pic:pic>
              </a:graphicData>
            </a:graphic>
          </wp:anchor>
        </w:drawing>
      </w:r>
    </w:p>
    <w:p>
      <w:pPr>
        <w:spacing w:after="0" w:line="180" w:lineRule="exact"/>
        <w:rPr>
          <w:sz w:val="20"/>
          <w:szCs w:val="20"/>
          <w:color w:val="auto"/>
        </w:rPr>
      </w:pPr>
    </w:p>
    <w:p>
      <w:pPr>
        <w:ind w:left="124"/>
        <w:spacing w:after="0"/>
        <w:rPr>
          <w:sz w:val="20"/>
          <w:szCs w:val="20"/>
          <w:color w:val="auto"/>
        </w:rPr>
      </w:pPr>
      <w:r>
        <w:rPr>
          <w:rFonts w:ascii="Arial" w:cs="Arial" w:eastAsia="Arial" w:hAnsi="Arial"/>
          <w:sz w:val="14"/>
          <w:szCs w:val="14"/>
          <w:b w:val="1"/>
          <w:bCs w:val="1"/>
          <w:color w:val="FFFFFF"/>
        </w:rPr>
        <w:t>Named Executive Oﬃcers and Position(s) Held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5736590</wp:posOffset>
            </wp:positionH>
            <wp:positionV relativeFrom="paragraph">
              <wp:posOffset>109855</wp:posOffset>
            </wp:positionV>
            <wp:extent cx="7620" cy="24663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20" cy="246634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109855</wp:posOffset>
            </wp:positionV>
            <wp:extent cx="7620" cy="24663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20" cy="246634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109855</wp:posOffset>
            </wp:positionV>
            <wp:extent cx="7620" cy="24663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20" cy="2466340"/>
                    </a:xfrm>
                    <a:prstGeom prst="rect">
                      <a:avLst/>
                    </a:prstGeom>
                    <a:noFill/>
                  </pic:spPr>
                </pic:pic>
              </a:graphicData>
            </a:graphic>
          </wp:anchor>
        </w:drawing>
        <w:drawing>
          <wp:anchor simplePos="0" relativeHeight="251657728" behindDoc="1" locked="0" layoutInCell="0" allowOverlap="1">
            <wp:simplePos x="0" y="0"/>
            <wp:positionH relativeFrom="column">
              <wp:posOffset>1434465</wp:posOffset>
            </wp:positionH>
            <wp:positionV relativeFrom="paragraph">
              <wp:posOffset>109855</wp:posOffset>
            </wp:positionV>
            <wp:extent cx="7620" cy="24663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20" cy="2466340"/>
                    </a:xfrm>
                    <a:prstGeom prst="rect">
                      <a:avLst/>
                    </a:prstGeom>
                    <a:noFill/>
                  </pic:spPr>
                </pic:pic>
              </a:graphicData>
            </a:graphic>
          </wp:anchor>
        </w:drawing>
      </w:r>
    </w:p>
    <w:p>
      <w:pPr>
        <w:spacing w:after="0" w:line="153" w:lineRule="exact"/>
        <w:rPr>
          <w:sz w:val="20"/>
          <w:szCs w:val="20"/>
          <w:color w:val="auto"/>
        </w:rPr>
      </w:pPr>
    </w:p>
    <w:tbl>
      <w:tblPr>
        <w:tblLayout w:type="fixed"/>
        <w:tblInd w:w="4" w:type="dxa"/>
        <w:tblCellMar>
          <w:top w:w="0" w:type="dxa"/>
          <w:left w:w="0" w:type="dxa"/>
          <w:bottom w:w="0" w:type="dxa"/>
          <w:right w:w="0" w:type="dxa"/>
        </w:tblCellMar>
      </w:tblPr>
      <w:tr>
        <w:trPr>
          <w:trHeight w:val="1727"/>
        </w:trPr>
        <w:tc>
          <w:tcPr>
            <w:tcW w:w="120" w:type="dxa"/>
            <w:vAlign w:val="bottom"/>
            <w:shd w:val="clear" w:color="auto" w:fill="D7D8D6"/>
          </w:tcPr>
          <w:p>
            <w:pPr>
              <w:spacing w:after="0"/>
              <w:rPr>
                <w:sz w:val="24"/>
                <w:szCs w:val="24"/>
                <w:color w:val="auto"/>
              </w:rPr>
            </w:pPr>
          </w:p>
        </w:tc>
        <w:tc>
          <w:tcPr>
            <w:tcW w:w="2140" w:type="dxa"/>
            <w:vAlign w:val="bottom"/>
            <w:shd w:val="clear" w:color="auto" w:fill="D7D8D6"/>
          </w:tcPr>
          <w:p>
            <w:pPr>
              <w:spacing w:after="0"/>
              <w:rPr>
                <w:sz w:val="20"/>
                <w:szCs w:val="20"/>
                <w:color w:val="auto"/>
              </w:rPr>
            </w:pPr>
            <w:r>
              <w:rPr>
                <w:rFonts w:ascii="Arial" w:cs="Arial" w:eastAsia="Arial" w:hAnsi="Arial"/>
                <w:sz w:val="14"/>
                <w:szCs w:val="14"/>
                <w:b w:val="1"/>
                <w:bCs w:val="1"/>
                <w:color w:val="333740"/>
              </w:rPr>
              <w:t>Douglas J. Pferdehirt</w:t>
            </w:r>
          </w:p>
        </w:tc>
        <w:tc>
          <w:tcPr>
            <w:tcW w:w="2320" w:type="dxa"/>
            <w:vAlign w:val="bottom"/>
            <w:shd w:val="clear" w:color="auto" w:fill="D7D8D6"/>
          </w:tcPr>
          <w:p>
            <w:pPr>
              <w:spacing w:after="0"/>
              <w:rPr>
                <w:sz w:val="24"/>
                <w:szCs w:val="24"/>
                <w:color w:val="auto"/>
              </w:rPr>
            </w:pPr>
          </w:p>
        </w:tc>
        <w:tc>
          <w:tcPr>
            <w:tcW w:w="2220" w:type="dxa"/>
            <w:vAlign w:val="bottom"/>
            <w:shd w:val="clear" w:color="auto" w:fill="D7D8D6"/>
          </w:tcPr>
          <w:p>
            <w:pPr>
              <w:ind w:left="60"/>
              <w:spacing w:after="0"/>
              <w:rPr>
                <w:sz w:val="20"/>
                <w:szCs w:val="20"/>
                <w:color w:val="auto"/>
              </w:rPr>
            </w:pPr>
            <w:r>
              <w:rPr>
                <w:rFonts w:ascii="Arial" w:cs="Arial" w:eastAsia="Arial" w:hAnsi="Arial"/>
                <w:sz w:val="14"/>
                <w:szCs w:val="14"/>
                <w:b w:val="1"/>
                <w:bCs w:val="1"/>
                <w:color w:val="333740"/>
              </w:rPr>
              <w:t>Dianne B. Ralston</w:t>
            </w:r>
          </w:p>
        </w:tc>
        <w:tc>
          <w:tcPr>
            <w:tcW w:w="2220" w:type="dxa"/>
            <w:vAlign w:val="bottom"/>
            <w:shd w:val="clear" w:color="auto" w:fill="D7D8D6"/>
          </w:tcPr>
          <w:p>
            <w:pPr>
              <w:ind w:left="100"/>
              <w:spacing w:after="0"/>
              <w:rPr>
                <w:sz w:val="20"/>
                <w:szCs w:val="20"/>
                <w:color w:val="auto"/>
              </w:rPr>
            </w:pPr>
            <w:r>
              <w:rPr>
                <w:rFonts w:ascii="Arial" w:cs="Arial" w:eastAsia="Arial" w:hAnsi="Arial"/>
                <w:sz w:val="14"/>
                <w:szCs w:val="14"/>
                <w:b w:val="1"/>
                <w:bCs w:val="1"/>
                <w:color w:val="333740"/>
              </w:rPr>
              <w:t>Justin Rounce</w:t>
            </w:r>
          </w:p>
        </w:tc>
        <w:tc>
          <w:tcPr>
            <w:tcW w:w="2240" w:type="dxa"/>
            <w:vAlign w:val="bottom"/>
            <w:shd w:val="clear" w:color="auto" w:fill="D7D8D6"/>
          </w:tcPr>
          <w:p>
            <w:pPr>
              <w:ind w:left="120"/>
              <w:spacing w:after="0"/>
              <w:rPr>
                <w:sz w:val="20"/>
                <w:szCs w:val="20"/>
                <w:color w:val="auto"/>
              </w:rPr>
            </w:pPr>
            <w:r>
              <w:rPr>
                <w:rFonts w:ascii="Arial" w:cs="Arial" w:eastAsia="Arial" w:hAnsi="Arial"/>
                <w:sz w:val="14"/>
                <w:szCs w:val="14"/>
                <w:b w:val="1"/>
                <w:bCs w:val="1"/>
                <w:color w:val="333740"/>
              </w:rPr>
              <w:t>Nello Uccelletti</w:t>
            </w:r>
          </w:p>
        </w:tc>
        <w:tc>
          <w:tcPr>
            <w:tcW w:w="0" w:type="dxa"/>
            <w:vAlign w:val="bottom"/>
          </w:tcPr>
          <w:p>
            <w:pPr>
              <w:spacing w:after="0"/>
              <w:rPr>
                <w:sz w:val="1"/>
                <w:szCs w:val="1"/>
                <w:color w:val="auto"/>
              </w:rPr>
            </w:pPr>
          </w:p>
        </w:tc>
      </w:tr>
      <w:tr>
        <w:trPr>
          <w:trHeight w:val="257"/>
        </w:trPr>
        <w:tc>
          <w:tcPr>
            <w:tcW w:w="120" w:type="dxa"/>
            <w:vAlign w:val="bottom"/>
            <w:shd w:val="clear" w:color="auto" w:fill="D7D8D6"/>
          </w:tcPr>
          <w:p>
            <w:pPr>
              <w:spacing w:after="0"/>
              <w:rPr>
                <w:sz w:val="22"/>
                <w:szCs w:val="22"/>
                <w:color w:val="auto"/>
              </w:rPr>
            </w:pPr>
          </w:p>
        </w:tc>
        <w:tc>
          <w:tcPr>
            <w:tcW w:w="2140" w:type="dxa"/>
            <w:vAlign w:val="bottom"/>
            <w:shd w:val="clear" w:color="auto" w:fill="D7D8D6"/>
          </w:tcPr>
          <w:p>
            <w:pPr>
              <w:spacing w:after="0"/>
              <w:rPr>
                <w:sz w:val="22"/>
                <w:szCs w:val="22"/>
                <w:color w:val="auto"/>
              </w:rPr>
            </w:pPr>
          </w:p>
        </w:tc>
        <w:tc>
          <w:tcPr>
            <w:tcW w:w="2320" w:type="dxa"/>
            <w:vAlign w:val="bottom"/>
            <w:shd w:val="clear" w:color="auto" w:fill="D7D8D6"/>
          </w:tcPr>
          <w:p>
            <w:pPr>
              <w:ind w:left="120"/>
              <w:spacing w:after="0"/>
              <w:rPr>
                <w:sz w:val="20"/>
                <w:szCs w:val="20"/>
                <w:color w:val="auto"/>
              </w:rPr>
            </w:pPr>
            <w:r>
              <w:rPr>
                <w:rFonts w:ascii="Arial" w:cs="Arial" w:eastAsia="Arial" w:hAnsi="Arial"/>
                <w:sz w:val="14"/>
                <w:szCs w:val="14"/>
                <w:b w:val="1"/>
                <w:bCs w:val="1"/>
                <w:color w:val="333740"/>
              </w:rPr>
              <w:t>Maryann T. Mannen</w:t>
            </w:r>
          </w:p>
        </w:tc>
        <w:tc>
          <w:tcPr>
            <w:tcW w:w="2220" w:type="dxa"/>
            <w:vAlign w:val="bottom"/>
            <w:shd w:val="clear" w:color="auto" w:fill="D7D8D6"/>
          </w:tcPr>
          <w:p>
            <w:pPr>
              <w:spacing w:after="0"/>
              <w:rPr>
                <w:sz w:val="22"/>
                <w:szCs w:val="22"/>
                <w:color w:val="auto"/>
              </w:rPr>
            </w:pPr>
          </w:p>
        </w:tc>
        <w:tc>
          <w:tcPr>
            <w:tcW w:w="2220" w:type="dxa"/>
            <w:vAlign w:val="bottom"/>
            <w:shd w:val="clear" w:color="auto" w:fill="D7D8D6"/>
          </w:tcPr>
          <w:p>
            <w:pPr>
              <w:spacing w:after="0"/>
              <w:rPr>
                <w:sz w:val="22"/>
                <w:szCs w:val="22"/>
                <w:color w:val="auto"/>
              </w:rPr>
            </w:pPr>
          </w:p>
        </w:tc>
        <w:tc>
          <w:tcPr>
            <w:tcW w:w="2240" w:type="dxa"/>
            <w:vAlign w:val="bottom"/>
            <w:shd w:val="clear" w:color="auto" w:fill="D7D8D6"/>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20" w:type="dxa"/>
            <w:vAlign w:val="bottom"/>
            <w:shd w:val="clear" w:color="auto" w:fill="D7D8D6"/>
          </w:tcPr>
          <w:p>
            <w:pPr>
              <w:spacing w:after="0"/>
              <w:rPr>
                <w:sz w:val="19"/>
                <w:szCs w:val="19"/>
                <w:color w:val="auto"/>
              </w:rPr>
            </w:pPr>
          </w:p>
        </w:tc>
        <w:tc>
          <w:tcPr>
            <w:tcW w:w="2140" w:type="dxa"/>
            <w:vAlign w:val="bottom"/>
            <w:shd w:val="clear" w:color="auto" w:fill="D7D8D6"/>
          </w:tcPr>
          <w:p>
            <w:pPr>
              <w:spacing w:after="0"/>
              <w:rPr>
                <w:sz w:val="20"/>
                <w:szCs w:val="20"/>
                <w:color w:val="auto"/>
              </w:rPr>
            </w:pPr>
            <w:r>
              <w:rPr>
                <w:rFonts w:ascii="Arial" w:cs="Arial" w:eastAsia="Arial" w:hAnsi="Arial"/>
                <w:sz w:val="14"/>
                <w:szCs w:val="14"/>
                <w:color w:val="333740"/>
              </w:rPr>
              <w:t>Chief Executive</w:t>
            </w:r>
          </w:p>
        </w:tc>
        <w:tc>
          <w:tcPr>
            <w:tcW w:w="232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Executive Vice</w:t>
            </w:r>
          </w:p>
        </w:tc>
        <w:tc>
          <w:tcPr>
            <w:tcW w:w="2220" w:type="dxa"/>
            <w:vAlign w:val="bottom"/>
            <w:shd w:val="clear" w:color="auto" w:fill="D7D8D6"/>
          </w:tcPr>
          <w:p>
            <w:pPr>
              <w:ind w:left="60"/>
              <w:spacing w:after="0"/>
              <w:rPr>
                <w:sz w:val="20"/>
                <w:szCs w:val="20"/>
                <w:color w:val="auto"/>
              </w:rPr>
            </w:pPr>
            <w:r>
              <w:rPr>
                <w:rFonts w:ascii="Arial" w:cs="Arial" w:eastAsia="Arial" w:hAnsi="Arial"/>
                <w:sz w:val="14"/>
                <w:szCs w:val="14"/>
                <w:color w:val="333740"/>
              </w:rPr>
              <w:t>Executive Vice</w:t>
            </w:r>
          </w:p>
        </w:tc>
        <w:tc>
          <w:tcPr>
            <w:tcW w:w="222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Executive Vice</w:t>
            </w:r>
          </w:p>
        </w:tc>
        <w:tc>
          <w:tcPr>
            <w:tcW w:w="224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President and</w:t>
            </w:r>
          </w:p>
        </w:tc>
        <w:tc>
          <w:tcPr>
            <w:tcW w:w="0" w:type="dxa"/>
            <w:vAlign w:val="bottom"/>
          </w:tcPr>
          <w:p>
            <w:pPr>
              <w:spacing w:after="0"/>
              <w:rPr>
                <w:sz w:val="1"/>
                <w:szCs w:val="1"/>
                <w:color w:val="auto"/>
              </w:rPr>
            </w:pPr>
          </w:p>
        </w:tc>
      </w:tr>
      <w:tr>
        <w:trPr>
          <w:trHeight w:val="185"/>
        </w:trPr>
        <w:tc>
          <w:tcPr>
            <w:tcW w:w="120" w:type="dxa"/>
            <w:vAlign w:val="bottom"/>
            <w:shd w:val="clear" w:color="auto" w:fill="D7D8D6"/>
          </w:tcPr>
          <w:p>
            <w:pPr>
              <w:spacing w:after="0"/>
              <w:rPr>
                <w:sz w:val="16"/>
                <w:szCs w:val="16"/>
                <w:color w:val="auto"/>
              </w:rPr>
            </w:pPr>
          </w:p>
        </w:tc>
        <w:tc>
          <w:tcPr>
            <w:tcW w:w="2140" w:type="dxa"/>
            <w:vAlign w:val="bottom"/>
            <w:shd w:val="clear" w:color="auto" w:fill="D7D8D6"/>
          </w:tcPr>
          <w:p>
            <w:pPr>
              <w:spacing w:after="0"/>
              <w:rPr>
                <w:sz w:val="20"/>
                <w:szCs w:val="20"/>
                <w:color w:val="auto"/>
              </w:rPr>
            </w:pPr>
            <w:r>
              <w:rPr>
                <w:rFonts w:ascii="Arial" w:cs="Arial" w:eastAsia="Arial" w:hAnsi="Arial"/>
                <w:sz w:val="14"/>
                <w:szCs w:val="14"/>
                <w:color w:val="333740"/>
              </w:rPr>
              <w:t>Officer and</w:t>
            </w:r>
          </w:p>
        </w:tc>
        <w:tc>
          <w:tcPr>
            <w:tcW w:w="232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President and Chief</w:t>
            </w:r>
          </w:p>
        </w:tc>
        <w:tc>
          <w:tcPr>
            <w:tcW w:w="2220" w:type="dxa"/>
            <w:vAlign w:val="bottom"/>
            <w:shd w:val="clear" w:color="auto" w:fill="D7D8D6"/>
          </w:tcPr>
          <w:p>
            <w:pPr>
              <w:ind w:left="60"/>
              <w:spacing w:after="0"/>
              <w:rPr>
                <w:sz w:val="20"/>
                <w:szCs w:val="20"/>
                <w:color w:val="auto"/>
              </w:rPr>
            </w:pPr>
            <w:r>
              <w:rPr>
                <w:rFonts w:ascii="Arial" w:cs="Arial" w:eastAsia="Arial" w:hAnsi="Arial"/>
                <w:sz w:val="14"/>
                <w:szCs w:val="14"/>
                <w:color w:val="333740"/>
              </w:rPr>
              <w:t>President, Chief</w:t>
            </w:r>
          </w:p>
        </w:tc>
        <w:tc>
          <w:tcPr>
            <w:tcW w:w="222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President and Chief</w:t>
            </w:r>
          </w:p>
        </w:tc>
        <w:tc>
          <w:tcPr>
            <w:tcW w:w="224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Advisor to the CEO</w:t>
            </w:r>
          </w:p>
        </w:tc>
        <w:tc>
          <w:tcPr>
            <w:tcW w:w="0" w:type="dxa"/>
            <w:vAlign w:val="bottom"/>
          </w:tcPr>
          <w:p>
            <w:pPr>
              <w:spacing w:after="0"/>
              <w:rPr>
                <w:sz w:val="1"/>
                <w:szCs w:val="1"/>
                <w:color w:val="auto"/>
              </w:rPr>
            </w:pPr>
          </w:p>
        </w:tc>
      </w:tr>
      <w:tr>
        <w:trPr>
          <w:trHeight w:val="191"/>
        </w:trPr>
        <w:tc>
          <w:tcPr>
            <w:tcW w:w="120" w:type="dxa"/>
            <w:vAlign w:val="bottom"/>
            <w:shd w:val="clear" w:color="auto" w:fill="D7D8D6"/>
          </w:tcPr>
          <w:p>
            <w:pPr>
              <w:spacing w:after="0"/>
              <w:rPr>
                <w:sz w:val="16"/>
                <w:szCs w:val="16"/>
                <w:color w:val="auto"/>
              </w:rPr>
            </w:pPr>
          </w:p>
        </w:tc>
        <w:tc>
          <w:tcPr>
            <w:tcW w:w="2140" w:type="dxa"/>
            <w:vAlign w:val="bottom"/>
            <w:shd w:val="clear" w:color="auto" w:fill="D7D8D6"/>
          </w:tcPr>
          <w:p>
            <w:pPr>
              <w:spacing w:after="0"/>
              <w:rPr>
                <w:sz w:val="20"/>
                <w:szCs w:val="20"/>
                <w:color w:val="auto"/>
              </w:rPr>
            </w:pPr>
            <w:r>
              <w:rPr>
                <w:rFonts w:ascii="Arial" w:cs="Arial" w:eastAsia="Arial" w:hAnsi="Arial"/>
                <w:sz w:val="14"/>
                <w:szCs w:val="14"/>
                <w:color w:val="333740"/>
              </w:rPr>
              <w:t>Chairman, from</w:t>
            </w:r>
          </w:p>
        </w:tc>
        <w:tc>
          <w:tcPr>
            <w:tcW w:w="232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Financial Officer</w:t>
            </w:r>
          </w:p>
        </w:tc>
        <w:tc>
          <w:tcPr>
            <w:tcW w:w="2220" w:type="dxa"/>
            <w:vAlign w:val="bottom"/>
            <w:shd w:val="clear" w:color="auto" w:fill="D7D8D6"/>
          </w:tcPr>
          <w:p>
            <w:pPr>
              <w:ind w:left="60"/>
              <w:spacing w:after="0"/>
              <w:rPr>
                <w:sz w:val="20"/>
                <w:szCs w:val="20"/>
                <w:color w:val="auto"/>
              </w:rPr>
            </w:pPr>
            <w:r>
              <w:rPr>
                <w:rFonts w:ascii="Arial" w:cs="Arial" w:eastAsia="Arial" w:hAnsi="Arial"/>
                <w:sz w:val="14"/>
                <w:szCs w:val="14"/>
                <w:color w:val="333740"/>
              </w:rPr>
              <w:t>Legal Officer, and</w:t>
            </w:r>
          </w:p>
        </w:tc>
        <w:tc>
          <w:tcPr>
            <w:tcW w:w="222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Technology Officer</w:t>
            </w:r>
          </w:p>
        </w:tc>
        <w:tc>
          <w:tcPr>
            <w:tcW w:w="224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from November 1</w:t>
            </w:r>
          </w:p>
        </w:tc>
        <w:tc>
          <w:tcPr>
            <w:tcW w:w="0" w:type="dxa"/>
            <w:vAlign w:val="bottom"/>
          </w:tcPr>
          <w:p>
            <w:pPr>
              <w:spacing w:after="0"/>
              <w:rPr>
                <w:sz w:val="1"/>
                <w:szCs w:val="1"/>
                <w:color w:val="auto"/>
              </w:rPr>
            </w:pPr>
          </w:p>
        </w:tc>
      </w:tr>
      <w:tr>
        <w:trPr>
          <w:trHeight w:val="191"/>
        </w:trPr>
        <w:tc>
          <w:tcPr>
            <w:tcW w:w="120" w:type="dxa"/>
            <w:vAlign w:val="bottom"/>
            <w:shd w:val="clear" w:color="auto" w:fill="D7D8D6"/>
          </w:tcPr>
          <w:p>
            <w:pPr>
              <w:spacing w:after="0"/>
              <w:rPr>
                <w:sz w:val="16"/>
                <w:szCs w:val="16"/>
                <w:color w:val="auto"/>
              </w:rPr>
            </w:pPr>
          </w:p>
        </w:tc>
        <w:tc>
          <w:tcPr>
            <w:tcW w:w="2140" w:type="dxa"/>
            <w:vAlign w:val="bottom"/>
            <w:shd w:val="clear" w:color="auto" w:fill="D7D8D6"/>
          </w:tcPr>
          <w:p>
            <w:pPr>
              <w:spacing w:after="0"/>
              <w:rPr>
                <w:sz w:val="20"/>
                <w:szCs w:val="20"/>
                <w:color w:val="auto"/>
              </w:rPr>
            </w:pPr>
            <w:r>
              <w:rPr>
                <w:rFonts w:ascii="Arial" w:cs="Arial" w:eastAsia="Arial" w:hAnsi="Arial"/>
                <w:sz w:val="14"/>
                <w:szCs w:val="14"/>
                <w:color w:val="333740"/>
              </w:rPr>
              <w:t>May 1, 2019</w:t>
            </w:r>
          </w:p>
        </w:tc>
        <w:tc>
          <w:tcPr>
            <w:tcW w:w="2320" w:type="dxa"/>
            <w:vAlign w:val="bottom"/>
            <w:shd w:val="clear" w:color="auto" w:fill="D7D8D6"/>
          </w:tcPr>
          <w:p>
            <w:pPr>
              <w:spacing w:after="0"/>
              <w:rPr>
                <w:sz w:val="16"/>
                <w:szCs w:val="16"/>
                <w:color w:val="auto"/>
              </w:rPr>
            </w:pPr>
          </w:p>
        </w:tc>
        <w:tc>
          <w:tcPr>
            <w:tcW w:w="2220" w:type="dxa"/>
            <w:vAlign w:val="bottom"/>
            <w:shd w:val="clear" w:color="auto" w:fill="D7D8D6"/>
          </w:tcPr>
          <w:p>
            <w:pPr>
              <w:ind w:left="60"/>
              <w:spacing w:after="0"/>
              <w:rPr>
                <w:sz w:val="20"/>
                <w:szCs w:val="20"/>
                <w:color w:val="auto"/>
              </w:rPr>
            </w:pPr>
            <w:r>
              <w:rPr>
                <w:rFonts w:ascii="Arial" w:cs="Arial" w:eastAsia="Arial" w:hAnsi="Arial"/>
                <w:sz w:val="14"/>
                <w:szCs w:val="14"/>
                <w:color w:val="333740"/>
              </w:rPr>
              <w:t>Secretary</w:t>
            </w:r>
          </w:p>
        </w:tc>
        <w:tc>
          <w:tcPr>
            <w:tcW w:w="2220" w:type="dxa"/>
            <w:vAlign w:val="bottom"/>
            <w:shd w:val="clear" w:color="auto" w:fill="D7D8D6"/>
          </w:tcPr>
          <w:p>
            <w:pPr>
              <w:spacing w:after="0"/>
              <w:rPr>
                <w:sz w:val="16"/>
                <w:szCs w:val="16"/>
                <w:color w:val="auto"/>
              </w:rPr>
            </w:pPr>
          </w:p>
        </w:tc>
        <w:tc>
          <w:tcPr>
            <w:tcW w:w="224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through December</w:t>
            </w:r>
          </w:p>
        </w:tc>
        <w:tc>
          <w:tcPr>
            <w:tcW w:w="0" w:type="dxa"/>
            <w:vAlign w:val="bottom"/>
          </w:tcPr>
          <w:p>
            <w:pPr>
              <w:spacing w:after="0"/>
              <w:rPr>
                <w:sz w:val="1"/>
                <w:szCs w:val="1"/>
                <w:color w:val="auto"/>
              </w:rPr>
            </w:pPr>
          </w:p>
        </w:tc>
      </w:tr>
      <w:tr>
        <w:trPr>
          <w:trHeight w:val="179"/>
        </w:trPr>
        <w:tc>
          <w:tcPr>
            <w:tcW w:w="120" w:type="dxa"/>
            <w:vAlign w:val="bottom"/>
            <w:shd w:val="clear" w:color="auto" w:fill="D7D8D6"/>
          </w:tcPr>
          <w:p>
            <w:pPr>
              <w:spacing w:after="0"/>
              <w:rPr>
                <w:sz w:val="15"/>
                <w:szCs w:val="15"/>
                <w:color w:val="auto"/>
              </w:rPr>
            </w:pPr>
          </w:p>
        </w:tc>
        <w:tc>
          <w:tcPr>
            <w:tcW w:w="2140" w:type="dxa"/>
            <w:vAlign w:val="bottom"/>
            <w:vMerge w:val="restart"/>
            <w:shd w:val="clear" w:color="auto" w:fill="D7D8D6"/>
          </w:tcPr>
          <w:p>
            <w:pPr>
              <w:spacing w:after="0"/>
              <w:rPr>
                <w:sz w:val="20"/>
                <w:szCs w:val="20"/>
                <w:color w:val="auto"/>
              </w:rPr>
            </w:pPr>
            <w:r>
              <w:rPr>
                <w:rFonts w:ascii="Arial" w:cs="Arial" w:eastAsia="Arial" w:hAnsi="Arial"/>
                <w:sz w:val="14"/>
                <w:szCs w:val="14"/>
                <w:color w:val="333740"/>
              </w:rPr>
              <w:t>Chief Executive</w:t>
            </w:r>
          </w:p>
        </w:tc>
        <w:tc>
          <w:tcPr>
            <w:tcW w:w="2320" w:type="dxa"/>
            <w:vAlign w:val="bottom"/>
            <w:shd w:val="clear" w:color="auto" w:fill="D7D8D6"/>
          </w:tcPr>
          <w:p>
            <w:pPr>
              <w:spacing w:after="0"/>
              <w:rPr>
                <w:sz w:val="15"/>
                <w:szCs w:val="15"/>
                <w:color w:val="auto"/>
              </w:rPr>
            </w:pPr>
          </w:p>
        </w:tc>
        <w:tc>
          <w:tcPr>
            <w:tcW w:w="2220" w:type="dxa"/>
            <w:vAlign w:val="bottom"/>
            <w:shd w:val="clear" w:color="auto" w:fill="D7D8D6"/>
          </w:tcPr>
          <w:p>
            <w:pPr>
              <w:spacing w:after="0"/>
              <w:rPr>
                <w:sz w:val="15"/>
                <w:szCs w:val="15"/>
                <w:color w:val="auto"/>
              </w:rPr>
            </w:pPr>
          </w:p>
        </w:tc>
        <w:tc>
          <w:tcPr>
            <w:tcW w:w="2220" w:type="dxa"/>
            <w:vAlign w:val="bottom"/>
            <w:shd w:val="clear" w:color="auto" w:fill="D7D8D6"/>
          </w:tcPr>
          <w:p>
            <w:pPr>
              <w:spacing w:after="0"/>
              <w:rPr>
                <w:sz w:val="15"/>
                <w:szCs w:val="15"/>
                <w:color w:val="auto"/>
              </w:rPr>
            </w:pPr>
          </w:p>
        </w:tc>
        <w:tc>
          <w:tcPr>
            <w:tcW w:w="224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31, 2019</w:t>
            </w:r>
          </w:p>
        </w:tc>
        <w:tc>
          <w:tcPr>
            <w:tcW w:w="0" w:type="dxa"/>
            <w:vAlign w:val="bottom"/>
          </w:tcPr>
          <w:p>
            <w:pPr>
              <w:spacing w:after="0"/>
              <w:rPr>
                <w:sz w:val="1"/>
                <w:szCs w:val="1"/>
                <w:color w:val="auto"/>
              </w:rPr>
            </w:pPr>
          </w:p>
        </w:tc>
      </w:tr>
      <w:tr>
        <w:trPr>
          <w:trHeight w:val="54"/>
        </w:trPr>
        <w:tc>
          <w:tcPr>
            <w:tcW w:w="120" w:type="dxa"/>
            <w:vAlign w:val="bottom"/>
            <w:shd w:val="clear" w:color="auto" w:fill="D7D8D6"/>
          </w:tcPr>
          <w:p>
            <w:pPr>
              <w:spacing w:after="0"/>
              <w:rPr>
                <w:sz w:val="4"/>
                <w:szCs w:val="4"/>
                <w:color w:val="auto"/>
              </w:rPr>
            </w:pPr>
          </w:p>
        </w:tc>
        <w:tc>
          <w:tcPr>
            <w:tcW w:w="2140" w:type="dxa"/>
            <w:vAlign w:val="bottom"/>
            <w:vMerge w:val="continue"/>
            <w:shd w:val="clear" w:color="auto" w:fill="D7D8D6"/>
          </w:tcPr>
          <w:p>
            <w:pPr>
              <w:spacing w:after="0"/>
              <w:rPr>
                <w:sz w:val="4"/>
                <w:szCs w:val="4"/>
                <w:color w:val="auto"/>
              </w:rPr>
            </w:pPr>
          </w:p>
        </w:tc>
        <w:tc>
          <w:tcPr>
            <w:tcW w:w="2320" w:type="dxa"/>
            <w:vAlign w:val="bottom"/>
            <w:shd w:val="clear" w:color="auto" w:fill="D7D8D6"/>
          </w:tcPr>
          <w:p>
            <w:pPr>
              <w:spacing w:after="0"/>
              <w:rPr>
                <w:sz w:val="4"/>
                <w:szCs w:val="4"/>
                <w:color w:val="auto"/>
              </w:rPr>
            </w:pPr>
          </w:p>
        </w:tc>
        <w:tc>
          <w:tcPr>
            <w:tcW w:w="2220" w:type="dxa"/>
            <w:vAlign w:val="bottom"/>
            <w:shd w:val="clear" w:color="auto" w:fill="D7D8D6"/>
          </w:tcPr>
          <w:p>
            <w:pPr>
              <w:spacing w:after="0"/>
              <w:rPr>
                <w:sz w:val="4"/>
                <w:szCs w:val="4"/>
                <w:color w:val="auto"/>
              </w:rPr>
            </w:pPr>
          </w:p>
        </w:tc>
        <w:tc>
          <w:tcPr>
            <w:tcW w:w="2220" w:type="dxa"/>
            <w:vAlign w:val="bottom"/>
            <w:shd w:val="clear" w:color="auto" w:fill="D7D8D6"/>
          </w:tcPr>
          <w:p>
            <w:pPr>
              <w:spacing w:after="0"/>
              <w:rPr>
                <w:sz w:val="4"/>
                <w:szCs w:val="4"/>
                <w:color w:val="auto"/>
              </w:rPr>
            </w:pPr>
          </w:p>
        </w:tc>
        <w:tc>
          <w:tcPr>
            <w:tcW w:w="2240" w:type="dxa"/>
            <w:vAlign w:val="bottom"/>
            <w:shd w:val="clear" w:color="auto" w:fill="D7D8D6"/>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20" w:type="dxa"/>
            <w:vAlign w:val="bottom"/>
            <w:shd w:val="clear" w:color="auto" w:fill="D7D8D6"/>
          </w:tcPr>
          <w:p>
            <w:pPr>
              <w:spacing w:after="0"/>
              <w:rPr>
                <w:sz w:val="16"/>
                <w:szCs w:val="16"/>
                <w:color w:val="auto"/>
              </w:rPr>
            </w:pPr>
          </w:p>
        </w:tc>
        <w:tc>
          <w:tcPr>
            <w:tcW w:w="2140" w:type="dxa"/>
            <w:vAlign w:val="bottom"/>
            <w:shd w:val="clear" w:color="auto" w:fill="D7D8D6"/>
          </w:tcPr>
          <w:p>
            <w:pPr>
              <w:spacing w:after="0"/>
              <w:rPr>
                <w:sz w:val="20"/>
                <w:szCs w:val="20"/>
                <w:color w:val="auto"/>
              </w:rPr>
            </w:pPr>
            <w:r>
              <w:rPr>
                <w:rFonts w:ascii="Arial" w:cs="Arial" w:eastAsia="Arial" w:hAnsi="Arial"/>
                <w:sz w:val="14"/>
                <w:szCs w:val="14"/>
                <w:color w:val="333740"/>
              </w:rPr>
              <w:t>Officer from</w:t>
            </w:r>
          </w:p>
        </w:tc>
        <w:tc>
          <w:tcPr>
            <w:tcW w:w="2320" w:type="dxa"/>
            <w:vAlign w:val="bottom"/>
            <w:shd w:val="clear" w:color="auto" w:fill="D7D8D6"/>
          </w:tcPr>
          <w:p>
            <w:pPr>
              <w:spacing w:after="0"/>
              <w:rPr>
                <w:sz w:val="16"/>
                <w:szCs w:val="16"/>
                <w:color w:val="auto"/>
              </w:rPr>
            </w:pPr>
          </w:p>
        </w:tc>
        <w:tc>
          <w:tcPr>
            <w:tcW w:w="2220" w:type="dxa"/>
            <w:vAlign w:val="bottom"/>
            <w:shd w:val="clear" w:color="auto" w:fill="D7D8D6"/>
          </w:tcPr>
          <w:p>
            <w:pPr>
              <w:spacing w:after="0"/>
              <w:rPr>
                <w:sz w:val="16"/>
                <w:szCs w:val="16"/>
                <w:color w:val="auto"/>
              </w:rPr>
            </w:pPr>
          </w:p>
        </w:tc>
        <w:tc>
          <w:tcPr>
            <w:tcW w:w="2220" w:type="dxa"/>
            <w:vAlign w:val="bottom"/>
            <w:shd w:val="clear" w:color="auto" w:fill="D7D8D6"/>
          </w:tcPr>
          <w:p>
            <w:pPr>
              <w:spacing w:after="0"/>
              <w:rPr>
                <w:sz w:val="16"/>
                <w:szCs w:val="16"/>
                <w:color w:val="auto"/>
              </w:rPr>
            </w:pPr>
          </w:p>
        </w:tc>
        <w:tc>
          <w:tcPr>
            <w:tcW w:w="224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President Onshore/</w:t>
            </w:r>
          </w:p>
        </w:tc>
        <w:tc>
          <w:tcPr>
            <w:tcW w:w="0" w:type="dxa"/>
            <w:vAlign w:val="bottom"/>
          </w:tcPr>
          <w:p>
            <w:pPr>
              <w:spacing w:after="0"/>
              <w:rPr>
                <w:sz w:val="1"/>
                <w:szCs w:val="1"/>
                <w:color w:val="auto"/>
              </w:rPr>
            </w:pPr>
          </w:p>
        </w:tc>
      </w:tr>
      <w:tr>
        <w:trPr>
          <w:trHeight w:val="191"/>
        </w:trPr>
        <w:tc>
          <w:tcPr>
            <w:tcW w:w="120" w:type="dxa"/>
            <w:vAlign w:val="bottom"/>
            <w:shd w:val="clear" w:color="auto" w:fill="D7D8D6"/>
          </w:tcPr>
          <w:p>
            <w:pPr>
              <w:spacing w:after="0"/>
              <w:rPr>
                <w:sz w:val="16"/>
                <w:szCs w:val="16"/>
                <w:color w:val="auto"/>
              </w:rPr>
            </w:pPr>
          </w:p>
        </w:tc>
        <w:tc>
          <w:tcPr>
            <w:tcW w:w="2140" w:type="dxa"/>
            <w:vAlign w:val="bottom"/>
            <w:shd w:val="clear" w:color="auto" w:fill="D7D8D6"/>
          </w:tcPr>
          <w:p>
            <w:pPr>
              <w:spacing w:after="0"/>
              <w:rPr>
                <w:sz w:val="20"/>
                <w:szCs w:val="20"/>
                <w:color w:val="auto"/>
              </w:rPr>
            </w:pPr>
            <w:r>
              <w:rPr>
                <w:rFonts w:ascii="Arial" w:cs="Arial" w:eastAsia="Arial" w:hAnsi="Arial"/>
                <w:sz w:val="14"/>
                <w:szCs w:val="14"/>
                <w:color w:val="333740"/>
              </w:rPr>
              <w:t>January 1 through</w:t>
            </w:r>
          </w:p>
        </w:tc>
        <w:tc>
          <w:tcPr>
            <w:tcW w:w="2320" w:type="dxa"/>
            <w:vAlign w:val="bottom"/>
            <w:shd w:val="clear" w:color="auto" w:fill="D7D8D6"/>
          </w:tcPr>
          <w:p>
            <w:pPr>
              <w:spacing w:after="0"/>
              <w:rPr>
                <w:sz w:val="16"/>
                <w:szCs w:val="16"/>
                <w:color w:val="auto"/>
              </w:rPr>
            </w:pPr>
          </w:p>
        </w:tc>
        <w:tc>
          <w:tcPr>
            <w:tcW w:w="2220" w:type="dxa"/>
            <w:vAlign w:val="bottom"/>
            <w:shd w:val="clear" w:color="auto" w:fill="D7D8D6"/>
          </w:tcPr>
          <w:p>
            <w:pPr>
              <w:spacing w:after="0"/>
              <w:rPr>
                <w:sz w:val="16"/>
                <w:szCs w:val="16"/>
                <w:color w:val="auto"/>
              </w:rPr>
            </w:pPr>
          </w:p>
        </w:tc>
        <w:tc>
          <w:tcPr>
            <w:tcW w:w="2220" w:type="dxa"/>
            <w:vAlign w:val="bottom"/>
            <w:shd w:val="clear" w:color="auto" w:fill="D7D8D6"/>
          </w:tcPr>
          <w:p>
            <w:pPr>
              <w:spacing w:after="0"/>
              <w:rPr>
                <w:sz w:val="16"/>
                <w:szCs w:val="16"/>
                <w:color w:val="auto"/>
              </w:rPr>
            </w:pPr>
          </w:p>
        </w:tc>
        <w:tc>
          <w:tcPr>
            <w:tcW w:w="224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Offshore from</w:t>
            </w:r>
          </w:p>
        </w:tc>
        <w:tc>
          <w:tcPr>
            <w:tcW w:w="0" w:type="dxa"/>
            <w:vAlign w:val="bottom"/>
          </w:tcPr>
          <w:p>
            <w:pPr>
              <w:spacing w:after="0"/>
              <w:rPr>
                <w:sz w:val="1"/>
                <w:szCs w:val="1"/>
                <w:color w:val="auto"/>
              </w:rPr>
            </w:pPr>
          </w:p>
        </w:tc>
      </w:tr>
      <w:tr>
        <w:trPr>
          <w:trHeight w:val="191"/>
        </w:trPr>
        <w:tc>
          <w:tcPr>
            <w:tcW w:w="120" w:type="dxa"/>
            <w:vAlign w:val="bottom"/>
            <w:shd w:val="clear" w:color="auto" w:fill="D7D8D6"/>
          </w:tcPr>
          <w:p>
            <w:pPr>
              <w:spacing w:after="0"/>
              <w:rPr>
                <w:sz w:val="16"/>
                <w:szCs w:val="16"/>
                <w:color w:val="auto"/>
              </w:rPr>
            </w:pPr>
          </w:p>
        </w:tc>
        <w:tc>
          <w:tcPr>
            <w:tcW w:w="2140" w:type="dxa"/>
            <w:vAlign w:val="bottom"/>
            <w:shd w:val="clear" w:color="auto" w:fill="D7D8D6"/>
          </w:tcPr>
          <w:p>
            <w:pPr>
              <w:spacing w:after="0"/>
              <w:rPr>
                <w:sz w:val="20"/>
                <w:szCs w:val="20"/>
                <w:color w:val="auto"/>
              </w:rPr>
            </w:pPr>
            <w:r>
              <w:rPr>
                <w:rFonts w:ascii="Arial" w:cs="Arial" w:eastAsia="Arial" w:hAnsi="Arial"/>
                <w:sz w:val="14"/>
                <w:szCs w:val="14"/>
                <w:color w:val="333740"/>
              </w:rPr>
              <w:t>April 30, 2019</w:t>
            </w:r>
          </w:p>
        </w:tc>
        <w:tc>
          <w:tcPr>
            <w:tcW w:w="2320" w:type="dxa"/>
            <w:vAlign w:val="bottom"/>
            <w:shd w:val="clear" w:color="auto" w:fill="D7D8D6"/>
          </w:tcPr>
          <w:p>
            <w:pPr>
              <w:spacing w:after="0"/>
              <w:rPr>
                <w:sz w:val="16"/>
                <w:szCs w:val="16"/>
                <w:color w:val="auto"/>
              </w:rPr>
            </w:pPr>
          </w:p>
        </w:tc>
        <w:tc>
          <w:tcPr>
            <w:tcW w:w="2220" w:type="dxa"/>
            <w:vAlign w:val="bottom"/>
            <w:shd w:val="clear" w:color="auto" w:fill="D7D8D6"/>
          </w:tcPr>
          <w:p>
            <w:pPr>
              <w:spacing w:after="0"/>
              <w:rPr>
                <w:sz w:val="16"/>
                <w:szCs w:val="16"/>
                <w:color w:val="auto"/>
              </w:rPr>
            </w:pPr>
          </w:p>
        </w:tc>
        <w:tc>
          <w:tcPr>
            <w:tcW w:w="2220" w:type="dxa"/>
            <w:vAlign w:val="bottom"/>
            <w:shd w:val="clear" w:color="auto" w:fill="D7D8D6"/>
          </w:tcPr>
          <w:p>
            <w:pPr>
              <w:spacing w:after="0"/>
              <w:rPr>
                <w:sz w:val="16"/>
                <w:szCs w:val="16"/>
                <w:color w:val="auto"/>
              </w:rPr>
            </w:pPr>
          </w:p>
        </w:tc>
        <w:tc>
          <w:tcPr>
            <w:tcW w:w="224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January 1 through</w:t>
            </w:r>
          </w:p>
        </w:tc>
        <w:tc>
          <w:tcPr>
            <w:tcW w:w="0" w:type="dxa"/>
            <w:vAlign w:val="bottom"/>
          </w:tcPr>
          <w:p>
            <w:pPr>
              <w:spacing w:after="0"/>
              <w:rPr>
                <w:sz w:val="1"/>
                <w:szCs w:val="1"/>
                <w:color w:val="auto"/>
              </w:rPr>
            </w:pPr>
          </w:p>
        </w:tc>
      </w:tr>
      <w:tr>
        <w:trPr>
          <w:trHeight w:val="225"/>
        </w:trPr>
        <w:tc>
          <w:tcPr>
            <w:tcW w:w="120" w:type="dxa"/>
            <w:vAlign w:val="bottom"/>
            <w:shd w:val="clear" w:color="auto" w:fill="D7D8D6"/>
          </w:tcPr>
          <w:p>
            <w:pPr>
              <w:spacing w:after="0"/>
              <w:rPr>
                <w:sz w:val="19"/>
                <w:szCs w:val="19"/>
                <w:color w:val="auto"/>
              </w:rPr>
            </w:pPr>
          </w:p>
        </w:tc>
        <w:tc>
          <w:tcPr>
            <w:tcW w:w="2140" w:type="dxa"/>
            <w:vAlign w:val="bottom"/>
            <w:shd w:val="clear" w:color="auto" w:fill="D7D8D6"/>
          </w:tcPr>
          <w:p>
            <w:pPr>
              <w:spacing w:after="0"/>
              <w:rPr>
                <w:sz w:val="19"/>
                <w:szCs w:val="19"/>
                <w:color w:val="auto"/>
              </w:rPr>
            </w:pPr>
          </w:p>
        </w:tc>
        <w:tc>
          <w:tcPr>
            <w:tcW w:w="2320" w:type="dxa"/>
            <w:vAlign w:val="bottom"/>
            <w:shd w:val="clear" w:color="auto" w:fill="D7D8D6"/>
          </w:tcPr>
          <w:p>
            <w:pPr>
              <w:spacing w:after="0"/>
              <w:rPr>
                <w:sz w:val="19"/>
                <w:szCs w:val="19"/>
                <w:color w:val="auto"/>
              </w:rPr>
            </w:pPr>
          </w:p>
        </w:tc>
        <w:tc>
          <w:tcPr>
            <w:tcW w:w="2220" w:type="dxa"/>
            <w:vAlign w:val="bottom"/>
            <w:shd w:val="clear" w:color="auto" w:fill="D7D8D6"/>
          </w:tcPr>
          <w:p>
            <w:pPr>
              <w:spacing w:after="0"/>
              <w:rPr>
                <w:sz w:val="19"/>
                <w:szCs w:val="19"/>
                <w:color w:val="auto"/>
              </w:rPr>
            </w:pPr>
          </w:p>
        </w:tc>
        <w:tc>
          <w:tcPr>
            <w:tcW w:w="2220" w:type="dxa"/>
            <w:vAlign w:val="bottom"/>
            <w:shd w:val="clear" w:color="auto" w:fill="D7D8D6"/>
          </w:tcPr>
          <w:p>
            <w:pPr>
              <w:spacing w:after="0"/>
              <w:rPr>
                <w:sz w:val="19"/>
                <w:szCs w:val="19"/>
                <w:color w:val="auto"/>
              </w:rPr>
            </w:pPr>
          </w:p>
        </w:tc>
        <w:tc>
          <w:tcPr>
            <w:tcW w:w="2240" w:type="dxa"/>
            <w:vAlign w:val="bottom"/>
            <w:shd w:val="clear" w:color="auto" w:fill="D7D8D6"/>
          </w:tcPr>
          <w:p>
            <w:pPr>
              <w:ind w:left="120"/>
              <w:spacing w:after="0"/>
              <w:rPr>
                <w:sz w:val="20"/>
                <w:szCs w:val="20"/>
                <w:color w:val="auto"/>
              </w:rPr>
            </w:pPr>
            <w:r>
              <w:rPr>
                <w:rFonts w:ascii="Arial" w:cs="Arial" w:eastAsia="Arial" w:hAnsi="Arial"/>
                <w:sz w:val="14"/>
                <w:szCs w:val="14"/>
                <w:color w:val="333740"/>
              </w:rPr>
              <w:t>October 31, 2019</w:t>
            </w:r>
          </w:p>
        </w:tc>
        <w:tc>
          <w:tcPr>
            <w:tcW w:w="0" w:type="dxa"/>
            <w:vAlign w:val="bottom"/>
          </w:tcPr>
          <w:p>
            <w:pPr>
              <w:spacing w:after="0"/>
              <w:rPr>
                <w:sz w:val="1"/>
                <w:szCs w:val="1"/>
                <w:color w:val="auto"/>
              </w:rPr>
            </w:pPr>
          </w:p>
        </w:tc>
      </w:tr>
      <w:tr>
        <w:trPr>
          <w:trHeight w:val="79"/>
        </w:trPr>
        <w:tc>
          <w:tcPr>
            <w:tcW w:w="120" w:type="dxa"/>
            <w:vAlign w:val="bottom"/>
            <w:shd w:val="clear" w:color="auto" w:fill="D7D8D6"/>
          </w:tcPr>
          <w:p>
            <w:pPr>
              <w:spacing w:after="0"/>
              <w:rPr>
                <w:sz w:val="6"/>
                <w:szCs w:val="6"/>
                <w:color w:val="auto"/>
              </w:rPr>
            </w:pPr>
          </w:p>
        </w:tc>
        <w:tc>
          <w:tcPr>
            <w:tcW w:w="2140" w:type="dxa"/>
            <w:vAlign w:val="bottom"/>
            <w:shd w:val="clear" w:color="auto" w:fill="D7D8D6"/>
          </w:tcPr>
          <w:p>
            <w:pPr>
              <w:spacing w:after="0"/>
              <w:rPr>
                <w:sz w:val="6"/>
                <w:szCs w:val="6"/>
                <w:color w:val="auto"/>
              </w:rPr>
            </w:pPr>
          </w:p>
        </w:tc>
        <w:tc>
          <w:tcPr>
            <w:tcW w:w="2320" w:type="dxa"/>
            <w:vAlign w:val="bottom"/>
            <w:shd w:val="clear" w:color="auto" w:fill="D7D8D6"/>
          </w:tcPr>
          <w:p>
            <w:pPr>
              <w:spacing w:after="0"/>
              <w:rPr>
                <w:sz w:val="6"/>
                <w:szCs w:val="6"/>
                <w:color w:val="auto"/>
              </w:rPr>
            </w:pPr>
          </w:p>
        </w:tc>
        <w:tc>
          <w:tcPr>
            <w:tcW w:w="2220" w:type="dxa"/>
            <w:vAlign w:val="bottom"/>
            <w:shd w:val="clear" w:color="auto" w:fill="D7D8D6"/>
          </w:tcPr>
          <w:p>
            <w:pPr>
              <w:spacing w:after="0"/>
              <w:rPr>
                <w:sz w:val="6"/>
                <w:szCs w:val="6"/>
                <w:color w:val="auto"/>
              </w:rPr>
            </w:pPr>
          </w:p>
        </w:tc>
        <w:tc>
          <w:tcPr>
            <w:tcW w:w="2220" w:type="dxa"/>
            <w:vAlign w:val="bottom"/>
            <w:shd w:val="clear" w:color="auto" w:fill="D7D8D6"/>
          </w:tcPr>
          <w:p>
            <w:pPr>
              <w:spacing w:after="0"/>
              <w:rPr>
                <w:sz w:val="6"/>
                <w:szCs w:val="6"/>
                <w:color w:val="auto"/>
              </w:rPr>
            </w:pPr>
          </w:p>
        </w:tc>
        <w:tc>
          <w:tcPr>
            <w:tcW w:w="2240" w:type="dxa"/>
            <w:vAlign w:val="bottom"/>
            <w:shd w:val="clear" w:color="auto" w:fill="D7D8D6"/>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1510030</wp:posOffset>
            </wp:positionH>
            <wp:positionV relativeFrom="paragraph">
              <wp:posOffset>-2404745</wp:posOffset>
            </wp:positionV>
            <wp:extent cx="5137150" cy="10394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37150" cy="1039495"/>
                    </a:xfrm>
                    <a:prstGeom prst="rect">
                      <a:avLst/>
                    </a:prstGeom>
                    <a:noFill/>
                  </pic:spPr>
                </pic:pic>
              </a:graphicData>
            </a:graphic>
          </wp:anchor>
        </w:drawing>
        <w:drawing>
          <wp:anchor simplePos="0" relativeHeight="251657728" behindDoc="1" locked="0" layoutInCell="0" allowOverlap="1">
            <wp:simplePos x="0" y="0"/>
            <wp:positionH relativeFrom="column">
              <wp:posOffset>1510030</wp:posOffset>
            </wp:positionH>
            <wp:positionV relativeFrom="paragraph">
              <wp:posOffset>-2404745</wp:posOffset>
            </wp:positionV>
            <wp:extent cx="5137150" cy="10394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37150" cy="1039495"/>
                    </a:xfrm>
                    <a:prstGeom prst="rect">
                      <a:avLst/>
                    </a:prstGeom>
                    <a:noFill/>
                  </pic:spPr>
                </pic:pic>
              </a:graphicData>
            </a:graphic>
          </wp:anchor>
        </w:drawing>
      </w:r>
    </w:p>
    <w:p>
      <w:pPr>
        <w:spacing w:after="0" w:line="153" w:lineRule="exact"/>
        <w:rPr>
          <w:sz w:val="20"/>
          <w:szCs w:val="20"/>
          <w:color w:val="auto"/>
        </w:rPr>
      </w:pPr>
    </w:p>
    <w:p>
      <w:pPr>
        <w:ind w:left="4"/>
        <w:spacing w:after="0"/>
        <w:rPr>
          <w:sz w:val="20"/>
          <w:szCs w:val="20"/>
          <w:color w:val="auto"/>
        </w:rPr>
      </w:pPr>
      <w:r>
        <w:rPr>
          <w:rFonts w:ascii="Arial" w:cs="Arial" w:eastAsia="Arial" w:hAnsi="Arial"/>
          <w:sz w:val="33"/>
          <w:szCs w:val="33"/>
          <w:color w:val="481F6E"/>
        </w:rPr>
        <w:t>Business Overview</w:t>
      </w:r>
    </w:p>
    <w:p>
      <w:pPr>
        <w:spacing w:after="0" w:line="111" w:lineRule="exact"/>
        <w:rPr>
          <w:sz w:val="20"/>
          <w:szCs w:val="20"/>
          <w:color w:val="auto"/>
        </w:rPr>
      </w:pPr>
    </w:p>
    <w:p>
      <w:pPr>
        <w:ind w:left="4" w:right="220"/>
        <w:spacing w:after="0"/>
        <w:rPr>
          <w:sz w:val="20"/>
          <w:szCs w:val="20"/>
          <w:color w:val="auto"/>
        </w:rPr>
      </w:pPr>
      <w:r>
        <w:rPr>
          <w:rFonts w:ascii="Arial" w:cs="Arial" w:eastAsia="Arial" w:hAnsi="Arial"/>
          <w:sz w:val="19"/>
          <w:szCs w:val="19"/>
          <w:color w:val="333740"/>
        </w:rPr>
        <w:t>TechnipFMC plc is a global energy service company with a portfolio of solutions for the production and transformation of hydrocarbons and other renewable energy sources. These solutions range from discrete products and services to fully integrated solutions based on proprietary technologies, with a clear focus to deliver greater efficiency across project lifecycles from concept to delivery and beyond.</w:t>
      </w:r>
    </w:p>
    <w:p>
      <w:pPr>
        <w:spacing w:after="0" w:line="82" w:lineRule="exact"/>
        <w:rPr>
          <w:sz w:val="20"/>
          <w:szCs w:val="20"/>
          <w:color w:val="auto"/>
        </w:rPr>
      </w:pPr>
    </w:p>
    <w:p>
      <w:pPr>
        <w:ind w:left="4" w:right="520"/>
        <w:spacing w:after="0" w:line="242" w:lineRule="auto"/>
        <w:rPr>
          <w:sz w:val="20"/>
          <w:szCs w:val="20"/>
          <w:color w:val="auto"/>
        </w:rPr>
      </w:pPr>
      <w:r>
        <w:rPr>
          <w:rFonts w:ascii="Arial" w:cs="Arial" w:eastAsia="Arial" w:hAnsi="Arial"/>
          <w:sz w:val="19"/>
          <w:szCs w:val="19"/>
          <w:color w:val="333740"/>
        </w:rPr>
        <w:t>We have operational headquarters in Paris, France and Houston, Texas, United States. We operate across three business segments: Subsea, Onshore/Offshore, and Surface Technologies. Through these segments, we are levered to the three energy growth areas of unconventional reserves, liquefied natural gas, and deepwater developments.</w:t>
      </w:r>
    </w:p>
    <w:p>
      <w:pPr>
        <w:spacing w:after="0" w:line="68" w:lineRule="exact"/>
        <w:rPr>
          <w:sz w:val="20"/>
          <w:szCs w:val="20"/>
          <w:color w:val="auto"/>
        </w:rPr>
      </w:pPr>
    </w:p>
    <w:p>
      <w:pPr>
        <w:ind w:left="4" w:right="80"/>
        <w:spacing w:after="0"/>
        <w:rPr>
          <w:sz w:val="20"/>
          <w:szCs w:val="20"/>
          <w:color w:val="auto"/>
        </w:rPr>
      </w:pPr>
      <w:r>
        <w:rPr>
          <w:rFonts w:ascii="Arial" w:cs="Arial" w:eastAsia="Arial" w:hAnsi="Arial"/>
          <w:sz w:val="19"/>
          <w:szCs w:val="19"/>
          <w:color w:val="333740"/>
        </w:rPr>
        <w:t>Enhancement of our performance and competitiveness is a key component of our strategy, especially in a cyclical industry, and this is achieved through technology innovation and differentiation, seamless execution, and simplification that drives cost efficiency. We are targeting profitable and sustainable growth, seizing market growth opportunities, expanding our range of services, and managing our assets efficiently to ensure that we are well prepared to benefit from the opportunities we see in many of the segments we serve.</w:t>
      </w:r>
    </w:p>
    <w:p>
      <w:pPr>
        <w:spacing w:after="0" w:line="82" w:lineRule="exact"/>
        <w:rPr>
          <w:sz w:val="20"/>
          <w:szCs w:val="20"/>
          <w:color w:val="auto"/>
        </w:rPr>
      </w:pPr>
    </w:p>
    <w:p>
      <w:pPr>
        <w:ind w:left="4" w:right="400"/>
        <w:spacing w:after="0"/>
        <w:rPr>
          <w:sz w:val="20"/>
          <w:szCs w:val="20"/>
          <w:color w:val="auto"/>
        </w:rPr>
      </w:pPr>
      <w:r>
        <w:rPr>
          <w:rFonts w:ascii="Arial" w:cs="Arial" w:eastAsia="Arial" w:hAnsi="Arial"/>
          <w:sz w:val="19"/>
          <w:szCs w:val="19"/>
          <w:color w:val="333740"/>
        </w:rPr>
        <w:t>Each of our more than 37,000 employees is driven by a steadfast commitment to clients and a culture of purposeful innovation, challenging industry conventions, and finding new and better ways of working to unlock possibilities. This leads to fresh thinking, streamlined decisions, and smarter results, enabling us to achieve our vision of enhancing the performance of the world’s energy industry.</w:t>
      </w:r>
    </w:p>
    <w:p>
      <w:pPr>
        <w:spacing w:after="0" w:line="355" w:lineRule="exact"/>
        <w:rPr>
          <w:sz w:val="20"/>
          <w:szCs w:val="20"/>
          <w:color w:val="auto"/>
        </w:rPr>
      </w:pPr>
    </w:p>
    <w:p>
      <w:pPr>
        <w:ind w:left="564" w:hanging="564"/>
        <w:spacing w:after="0"/>
        <w:tabs>
          <w:tab w:leader="none" w:pos="564" w:val="left"/>
        </w:tabs>
        <w:numPr>
          <w:ilvl w:val="0"/>
          <w:numId w:val="67"/>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56" w:name="page57"/>
    <w:bookmarkEnd w:id="56"/>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71" w:lineRule="exact"/>
        <w:rPr>
          <w:sz w:val="20"/>
          <w:szCs w:val="20"/>
          <w:color w:val="auto"/>
        </w:rPr>
      </w:pPr>
    </w:p>
    <w:p>
      <w:pPr>
        <w:ind w:left="4"/>
        <w:spacing w:after="0"/>
        <w:rPr>
          <w:sz w:val="20"/>
          <w:szCs w:val="20"/>
          <w:color w:val="auto"/>
        </w:rPr>
      </w:pPr>
      <w:r>
        <w:rPr>
          <w:rFonts w:ascii="Arial" w:cs="Arial" w:eastAsia="Arial" w:hAnsi="Arial"/>
          <w:sz w:val="33"/>
          <w:szCs w:val="33"/>
          <w:color w:val="481F6E"/>
        </w:rPr>
        <w:t>Executive Compensation Highlights</w:t>
      </w:r>
    </w:p>
    <w:p>
      <w:pPr>
        <w:spacing w:after="0" w:line="111" w:lineRule="exact"/>
        <w:rPr>
          <w:sz w:val="20"/>
          <w:szCs w:val="20"/>
          <w:color w:val="auto"/>
        </w:rPr>
      </w:pPr>
    </w:p>
    <w:p>
      <w:pPr>
        <w:ind w:left="4" w:right="80"/>
        <w:spacing w:after="0" w:line="236" w:lineRule="auto"/>
        <w:rPr>
          <w:sz w:val="20"/>
          <w:szCs w:val="20"/>
          <w:color w:val="auto"/>
        </w:rPr>
      </w:pPr>
      <w:r>
        <w:rPr>
          <w:rFonts w:ascii="Arial" w:cs="Arial" w:eastAsia="Arial" w:hAnsi="Arial"/>
          <w:sz w:val="19"/>
          <w:szCs w:val="19"/>
          <w:color w:val="333740"/>
        </w:rPr>
        <w:t>We are a global leader in oil and gas projects, technologies, systems, and services and provide our clients deep expertise across subsea, onshore/offshore, and surface projects. Our vision to enhance the performance of the world’s energy industry is supported by the relentless drive of every individual at TechnipFMC. We are united by one single purpose:</w:t>
      </w:r>
    </w:p>
    <w:p>
      <w:pPr>
        <w:spacing w:after="0" w:line="1" w:lineRule="exact"/>
        <w:rPr>
          <w:sz w:val="20"/>
          <w:szCs w:val="20"/>
          <w:color w:val="auto"/>
        </w:rPr>
      </w:pPr>
    </w:p>
    <w:p>
      <w:pPr>
        <w:ind w:left="4"/>
        <w:spacing w:after="0" w:line="247" w:lineRule="auto"/>
        <w:rPr>
          <w:sz w:val="20"/>
          <w:szCs w:val="20"/>
          <w:color w:val="auto"/>
        </w:rPr>
      </w:pPr>
      <w:r>
        <w:rPr>
          <w:rFonts w:ascii="Arial" w:cs="Arial" w:eastAsia="Arial" w:hAnsi="Arial"/>
          <w:sz w:val="19"/>
          <w:szCs w:val="19"/>
          <w:color w:val="333740"/>
        </w:rPr>
        <w:t>to bring together the scope, knowledge, and determination to transform our clients’ project economics. Our executive compensation is designed to help us achieve our vision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36830</wp:posOffset>
            </wp:positionV>
            <wp:extent cx="38100" cy="755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40" w:lineRule="exact"/>
        <w:rPr>
          <w:sz w:val="20"/>
          <w:szCs w:val="20"/>
          <w:color w:val="auto"/>
        </w:rPr>
      </w:pPr>
    </w:p>
    <w:p>
      <w:pPr>
        <w:ind w:left="324"/>
        <w:spacing w:after="0"/>
        <w:rPr>
          <w:sz w:val="20"/>
          <w:szCs w:val="20"/>
          <w:color w:val="auto"/>
        </w:rPr>
      </w:pPr>
      <w:r>
        <w:rPr>
          <w:rFonts w:ascii="Arial" w:cs="Arial" w:eastAsia="Arial" w:hAnsi="Arial"/>
          <w:sz w:val="14"/>
          <w:szCs w:val="14"/>
          <w:color w:val="333740"/>
        </w:rPr>
        <w:t>Motivating our executive officers to achieve and exceed our short-term and long-term goals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3175</wp:posOffset>
            </wp:positionV>
            <wp:extent cx="38100" cy="755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ind w:left="324" w:right="20"/>
        <w:spacing w:after="0" w:line="265" w:lineRule="auto"/>
        <w:rPr>
          <w:sz w:val="20"/>
          <w:szCs w:val="20"/>
          <w:color w:val="auto"/>
        </w:rPr>
      </w:pPr>
      <w:r>
        <w:rPr>
          <w:rFonts w:ascii="Arial" w:cs="Arial" w:eastAsia="Arial" w:hAnsi="Arial"/>
          <w:sz w:val="14"/>
          <w:szCs w:val="14"/>
          <w:color w:val="333740"/>
        </w:rPr>
        <w:t>Aligning the interest of our executive officers with the interests of our shareholders by focusing our executive compensation program on drivers of sustainable shareholder value and by ensuring a majority of executive compensation is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31115</wp:posOffset>
            </wp:positionV>
            <wp:extent cx="38100" cy="755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1" w:lineRule="exact"/>
        <w:rPr>
          <w:sz w:val="20"/>
          <w:szCs w:val="20"/>
          <w:color w:val="auto"/>
        </w:rPr>
      </w:pPr>
    </w:p>
    <w:p>
      <w:pPr>
        <w:ind w:left="324"/>
        <w:spacing w:after="0"/>
        <w:rPr>
          <w:sz w:val="20"/>
          <w:szCs w:val="20"/>
          <w:color w:val="auto"/>
        </w:rPr>
      </w:pPr>
      <w:r>
        <w:rPr>
          <w:rFonts w:ascii="Arial" w:cs="Arial" w:eastAsia="Arial" w:hAnsi="Arial"/>
          <w:sz w:val="14"/>
          <w:szCs w:val="14"/>
          <w:color w:val="333740"/>
        </w:rPr>
        <w:t>Providing market competitive levels of compensation to help us retain and attract exceptionally talented individuals who can deliver on our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7148195" cy="2425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8195" cy="242570"/>
                    </a:xfrm>
                    <a:prstGeom prst="rect">
                      <a:avLst/>
                    </a:prstGeom>
                    <a:noFill/>
                  </pic:spPr>
                </pic:pic>
              </a:graphicData>
            </a:graphic>
          </wp:anchor>
        </w:drawing>
      </w:r>
    </w:p>
    <w:p>
      <w:pPr>
        <w:sectPr>
          <w:pgSz w:w="11900" w:h="16838" w:orient="portrait"/>
          <w:cols w:equalWidth="0" w:num="1">
            <w:col w:w="11104"/>
          </w:cols>
          <w:pgMar w:left="316" w:top="128" w:right="479" w:bottom="1440" w:gutter="0" w:footer="0" w:header="0"/>
        </w:sectPr>
      </w:pPr>
    </w:p>
    <w:p>
      <w:pPr>
        <w:spacing w:after="0" w:line="292" w:lineRule="exact"/>
        <w:rPr>
          <w:sz w:val="20"/>
          <w:szCs w:val="20"/>
          <w:color w:val="auto"/>
        </w:rPr>
      </w:pPr>
    </w:p>
    <w:p>
      <w:pPr>
        <w:ind w:left="104"/>
        <w:spacing w:after="0"/>
        <w:rPr>
          <w:sz w:val="20"/>
          <w:szCs w:val="20"/>
          <w:color w:val="auto"/>
        </w:rPr>
      </w:pPr>
      <w:r>
        <w:rPr>
          <w:rFonts w:ascii="Arial" w:cs="Arial" w:eastAsia="Arial" w:hAnsi="Arial"/>
          <w:sz w:val="14"/>
          <w:szCs w:val="14"/>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3513455" cy="15557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513455" cy="1555750"/>
                    </a:xfrm>
                    <a:prstGeom prst="rect">
                      <a:avLst/>
                    </a:prstGeom>
                    <a:noFill/>
                  </pic:spPr>
                </pic:pic>
              </a:graphicData>
            </a:graphic>
          </wp:anchor>
        </w:drawing>
      </w:r>
    </w:p>
    <w:p>
      <w:pPr>
        <w:spacing w:after="0" w:line="189" w:lineRule="exact"/>
        <w:rPr>
          <w:sz w:val="20"/>
          <w:szCs w:val="20"/>
          <w:color w:val="auto"/>
        </w:rPr>
      </w:pPr>
    </w:p>
    <w:p>
      <w:pPr>
        <w:ind w:left="284" w:right="300" w:hanging="142"/>
        <w:spacing w:after="0"/>
        <w:rPr>
          <w:sz w:val="20"/>
          <w:szCs w:val="20"/>
          <w:color w:val="auto"/>
        </w:rPr>
      </w:pPr>
      <w:r>
        <w:rPr>
          <w:sz w:val="1"/>
          <w:szCs w:val="1"/>
          <w:color w:val="auto"/>
        </w:rPr>
        <w:drawing>
          <wp:inline distT="0" distB="0" distL="0" distR="0">
            <wp:extent cx="45720" cy="10541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5720" cy="105410"/>
                    </a:xfrm>
                    <a:prstGeom prst="rect">
                      <a:avLst/>
                    </a:prstGeom>
                    <a:noFill/>
                    <a:ln>
                      <a:noFill/>
                    </a:ln>
                  </pic:spPr>
                </pic:pic>
              </a:graphicData>
            </a:graphic>
          </wp:inline>
        </w:drawing>
      </w:r>
      <w:r>
        <w:rPr>
          <w:rFonts w:ascii="Arial" w:cs="Arial" w:eastAsia="Arial" w:hAnsi="Arial"/>
          <w:sz w:val="14"/>
          <w:szCs w:val="14"/>
          <w:color w:val="auto"/>
        </w:rPr>
        <w:t xml:space="preserve"> Pay for performance by aligning performance measures with our strategy and shareholder interests</w:t>
      </w:r>
    </w:p>
    <w:p>
      <w:pPr>
        <w:spacing w:after="0" w:line="2" w:lineRule="exact"/>
        <w:rPr>
          <w:sz w:val="20"/>
          <w:szCs w:val="20"/>
          <w:color w:val="auto"/>
        </w:rPr>
      </w:pPr>
    </w:p>
    <w:p>
      <w:pPr>
        <w:ind w:left="284" w:hanging="142"/>
        <w:spacing w:after="0"/>
        <w:rPr>
          <w:sz w:val="20"/>
          <w:szCs w:val="20"/>
          <w:color w:val="auto"/>
        </w:rPr>
      </w:pPr>
      <w:r>
        <w:rPr>
          <w:sz w:val="1"/>
          <w:szCs w:val="1"/>
          <w:color w:val="auto"/>
        </w:rPr>
        <w:drawing>
          <wp:inline distT="0" distB="0" distL="0" distR="0">
            <wp:extent cx="45720" cy="10541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5720" cy="105410"/>
                    </a:xfrm>
                    <a:prstGeom prst="rect">
                      <a:avLst/>
                    </a:prstGeom>
                    <a:noFill/>
                    <a:ln>
                      <a:noFill/>
                    </a:ln>
                  </pic:spPr>
                </pic:pic>
              </a:graphicData>
            </a:graphic>
          </wp:inline>
        </w:drawing>
      </w:r>
      <w:r>
        <w:rPr>
          <w:rFonts w:ascii="Arial" w:cs="Arial" w:eastAsia="Arial" w:hAnsi="Arial"/>
          <w:sz w:val="14"/>
          <w:szCs w:val="14"/>
          <w:color w:val="auto"/>
        </w:rPr>
        <w:t xml:space="preserve"> Majority of NEO compensation is performance- based, “at-risk” long-term compensation</w:t>
      </w:r>
    </w:p>
    <w:p>
      <w:pPr>
        <w:spacing w:after="0" w:line="2" w:lineRule="exact"/>
        <w:rPr>
          <w:sz w:val="20"/>
          <w:szCs w:val="20"/>
          <w:color w:val="auto"/>
        </w:rPr>
      </w:pPr>
    </w:p>
    <w:p>
      <w:pPr>
        <w:ind w:left="144"/>
        <w:spacing w:after="0"/>
        <w:rPr>
          <w:sz w:val="20"/>
          <w:szCs w:val="20"/>
          <w:color w:val="auto"/>
        </w:rPr>
      </w:pPr>
      <w:r>
        <w:rPr>
          <w:sz w:val="1"/>
          <w:szCs w:val="1"/>
          <w:color w:val="auto"/>
        </w:rPr>
        <w:drawing>
          <wp:inline distT="0" distB="0" distL="0" distR="0">
            <wp:extent cx="98425" cy="10604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8425" cy="106045"/>
                    </a:xfrm>
                    <a:prstGeom prst="rect">
                      <a:avLst/>
                    </a:prstGeom>
                    <a:noFill/>
                    <a:ln>
                      <a:noFill/>
                    </a:ln>
                  </pic:spPr>
                </pic:pic>
              </a:graphicData>
            </a:graphic>
          </wp:inline>
        </w:drawing>
      </w:r>
      <w:r>
        <w:rPr>
          <w:rFonts w:ascii="Arial" w:cs="Arial" w:eastAsia="Arial" w:hAnsi="Arial"/>
          <w:sz w:val="14"/>
          <w:szCs w:val="14"/>
          <w:color w:val="auto"/>
        </w:rPr>
        <w:t>Maintain a clawback policy in the event of malfeasance or fraud</w:t>
      </w:r>
    </w:p>
    <w:p>
      <w:pPr>
        <w:spacing w:after="0" w:line="42" w:lineRule="exact"/>
        <w:rPr>
          <w:sz w:val="20"/>
          <w:szCs w:val="20"/>
          <w:color w:val="auto"/>
        </w:rPr>
      </w:pPr>
    </w:p>
    <w:p>
      <w:pPr>
        <w:ind w:left="144"/>
        <w:spacing w:after="0" w:line="311" w:lineRule="auto"/>
        <w:rPr>
          <w:sz w:val="20"/>
          <w:szCs w:val="20"/>
          <w:color w:val="auto"/>
        </w:rPr>
      </w:pPr>
      <w:r>
        <w:rPr>
          <w:sz w:val="1"/>
          <w:szCs w:val="1"/>
          <w:color w:val="auto"/>
        </w:rPr>
        <w:drawing>
          <wp:inline distT="0" distB="0" distL="0" distR="0">
            <wp:extent cx="106045" cy="10604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6045" cy="106045"/>
                    </a:xfrm>
                    <a:prstGeom prst="rect">
                      <a:avLst/>
                    </a:prstGeom>
                    <a:noFill/>
                    <a:ln>
                      <a:noFill/>
                    </a:ln>
                  </pic:spPr>
                </pic:pic>
              </a:graphicData>
            </a:graphic>
          </wp:inline>
        </w:drawing>
      </w:r>
      <w:r>
        <w:rPr>
          <w:rFonts w:ascii="Arial" w:cs="Arial" w:eastAsia="Arial" w:hAnsi="Arial"/>
          <w:sz w:val="14"/>
          <w:szCs w:val="14"/>
          <w:color w:val="auto"/>
        </w:rPr>
        <w:t xml:space="preserve">Require robust executive and director share ownership requirements </w:t>
      </w:r>
      <w:r>
        <w:rPr>
          <w:sz w:val="1"/>
          <w:szCs w:val="1"/>
          <w:color w:val="auto"/>
        </w:rPr>
        <w:drawing>
          <wp:inline distT="0" distB="0" distL="0" distR="0">
            <wp:extent cx="106045" cy="10604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6045" cy="106045"/>
                    </a:xfrm>
                    <a:prstGeom prst="rect">
                      <a:avLst/>
                    </a:prstGeom>
                    <a:noFill/>
                    <a:ln>
                      <a:noFill/>
                    </a:ln>
                  </pic:spPr>
                </pic:pic>
              </a:graphicData>
            </a:graphic>
          </wp:inline>
        </w:drawing>
      </w:r>
      <w:r>
        <w:rPr>
          <w:rFonts w:ascii="Arial" w:cs="Arial" w:eastAsia="Arial" w:hAnsi="Arial"/>
          <w:sz w:val="14"/>
          <w:szCs w:val="14"/>
          <w:color w:val="auto"/>
        </w:rPr>
        <w:t>Engage an independent, external compensation consultant</w:t>
      </w:r>
    </w:p>
    <w:p>
      <w:pPr>
        <w:spacing w:after="0" w:line="1" w:lineRule="exact"/>
        <w:rPr>
          <w:sz w:val="20"/>
          <w:szCs w:val="20"/>
          <w:color w:val="auto"/>
        </w:rPr>
      </w:pPr>
    </w:p>
    <w:p>
      <w:pPr>
        <w:ind w:left="284" w:right="40" w:hanging="142"/>
        <w:spacing w:after="0" w:line="241" w:lineRule="auto"/>
        <w:rPr>
          <w:sz w:val="20"/>
          <w:szCs w:val="20"/>
          <w:color w:val="auto"/>
        </w:rPr>
      </w:pPr>
      <w:r>
        <w:rPr>
          <w:sz w:val="1"/>
          <w:szCs w:val="1"/>
          <w:color w:val="auto"/>
        </w:rPr>
        <w:drawing>
          <wp:inline distT="0" distB="0" distL="0" distR="0">
            <wp:extent cx="106045" cy="10541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6045" cy="105410"/>
                    </a:xfrm>
                    <a:prstGeom prst="rect">
                      <a:avLst/>
                    </a:prstGeom>
                    <a:noFill/>
                    <a:ln>
                      <a:noFill/>
                    </a:ln>
                  </pic:spPr>
                </pic:pic>
              </a:graphicData>
            </a:graphic>
          </wp:inline>
        </w:drawing>
      </w:r>
      <w:r>
        <w:rPr>
          <w:rFonts w:ascii="Arial" w:cs="Arial" w:eastAsia="Arial" w:hAnsi="Arial"/>
          <w:sz w:val="14"/>
          <w:szCs w:val="14"/>
          <w:color w:val="auto"/>
        </w:rPr>
        <w:t>Benchmark compensation against relevant global and industry peer groups</w:t>
      </w:r>
    </w:p>
    <w:p>
      <w:pPr>
        <w:spacing w:after="0" w:line="210" w:lineRule="exact"/>
        <w:rPr>
          <w:sz w:val="20"/>
          <w:szCs w:val="20"/>
          <w:color w:val="auto"/>
        </w:rPr>
      </w:pPr>
    </w:p>
    <w:p>
      <w:pPr>
        <w:ind w:left="284" w:right="360" w:hanging="142"/>
        <w:spacing w:after="0"/>
        <w:rPr>
          <w:sz w:val="20"/>
          <w:szCs w:val="20"/>
          <w:color w:val="auto"/>
        </w:rPr>
      </w:pPr>
      <w:r>
        <w:rPr>
          <w:sz w:val="1"/>
          <w:szCs w:val="1"/>
          <w:color w:val="auto"/>
        </w:rPr>
        <w:drawing>
          <wp:inline distT="0" distB="0" distL="0" distR="0">
            <wp:extent cx="45720" cy="10541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5720" cy="105410"/>
                    </a:xfrm>
                    <a:prstGeom prst="rect">
                      <a:avLst/>
                    </a:prstGeom>
                    <a:noFill/>
                    <a:ln>
                      <a:noFill/>
                    </a:ln>
                  </pic:spPr>
                </pic:pic>
              </a:graphicData>
            </a:graphic>
          </wp:inline>
        </w:drawing>
      </w:r>
      <w:r>
        <w:rPr>
          <w:rFonts w:ascii="Arial" w:cs="Arial" w:eastAsia="Arial" w:hAnsi="Arial"/>
          <w:sz w:val="14"/>
          <w:szCs w:val="14"/>
          <w:color w:val="auto"/>
        </w:rPr>
        <w:t xml:space="preserve"> Cap PSU payout at target when relative TSR exceeds peers’ but absolute TSR is negative</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94615</wp:posOffset>
            </wp:positionV>
            <wp:extent cx="3498215" cy="15557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98215" cy="1555750"/>
                    </a:xfrm>
                    <a:prstGeom prst="rect">
                      <a:avLst/>
                    </a:prstGeom>
                    <a:noFill/>
                  </pic:spPr>
                </pic:pic>
              </a:graphicData>
            </a:graphic>
          </wp:anchor>
        </w:drawing>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4"/>
          <w:szCs w:val="14"/>
          <w:color w:val="333740"/>
        </w:rPr>
        <w:t>No single-trigger vesting upon a change-in-control</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4"/>
          <w:szCs w:val="14"/>
          <w:color w:val="333740"/>
        </w:rPr>
        <w:t>No guaranteed bonuses</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4"/>
          <w:szCs w:val="14"/>
          <w:color w:val="333740"/>
        </w:rPr>
        <w:t>No uncapped incentives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4"/>
          <w:szCs w:val="14"/>
          <w:color w:val="333740"/>
        </w:rPr>
        <w:t>No tax gross-ups on any severance payments</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4"/>
          <w:szCs w:val="14"/>
          <w:color w:val="333740"/>
        </w:rPr>
        <w:t>No excessive perquisites, benefits, or pension payments</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4"/>
          <w:szCs w:val="14"/>
          <w:color w:val="333740"/>
        </w:rPr>
        <w:t>No discounting, reloading, or repricing of stock options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4"/>
          <w:szCs w:val="14"/>
          <w:color w:val="333740"/>
        </w:rPr>
        <w:t>No hedging and pledging of Company securities</w:t>
      </w:r>
    </w:p>
    <w:p>
      <w:pPr>
        <w:spacing w:after="0" w:line="933" w:lineRule="exact"/>
        <w:rPr>
          <w:sz w:val="20"/>
          <w:szCs w:val="20"/>
          <w:color w:val="auto"/>
        </w:rPr>
      </w:pPr>
    </w:p>
    <w:p>
      <w:pPr>
        <w:sectPr>
          <w:pgSz w:w="11900" w:h="16838" w:orient="portrait"/>
          <w:cols w:equalWidth="0" w:num="2">
            <w:col w:w="5244" w:space="580"/>
            <w:col w:w="5280"/>
          </w:cols>
          <w:pgMar w:left="316" w:top="128" w:right="479" w:bottom="1440" w:gutter="0" w:footer="0" w:header="0"/>
          <w:type w:val="continuous"/>
        </w:sectPr>
      </w:pPr>
    </w:p>
    <w:p>
      <w:pPr>
        <w:spacing w:after="0" w:line="82" w:lineRule="exact"/>
        <w:rPr>
          <w:sz w:val="20"/>
          <w:szCs w:val="20"/>
          <w:color w:val="auto"/>
        </w:rPr>
      </w:pPr>
    </w:p>
    <w:p>
      <w:pPr>
        <w:ind w:left="4" w:right="80"/>
        <w:spacing w:after="0" w:line="338" w:lineRule="auto"/>
        <w:rPr>
          <w:sz w:val="20"/>
          <w:szCs w:val="20"/>
          <w:color w:val="auto"/>
        </w:rPr>
      </w:pPr>
      <w:r>
        <w:rPr>
          <w:rFonts w:ascii="Arial" w:cs="Arial" w:eastAsia="Arial" w:hAnsi="Arial"/>
          <w:sz w:val="19"/>
          <w:szCs w:val="19"/>
          <w:color w:val="333740"/>
        </w:rPr>
        <w:t>As intended by our pay-for-performance program, and as outlined in the sections below, our 2019 executive compensation was directly impacted by our performance against key financial, operational, and individual metrics.</w:t>
      </w:r>
    </w:p>
    <w:p>
      <w:pPr>
        <w:spacing w:after="0" w:line="244" w:lineRule="exact"/>
        <w:rPr>
          <w:sz w:val="20"/>
          <w:szCs w:val="20"/>
          <w:color w:val="auto"/>
        </w:rPr>
      </w:pPr>
    </w:p>
    <w:p>
      <w:pPr>
        <w:ind w:left="564" w:hanging="564"/>
        <w:spacing w:after="0"/>
        <w:tabs>
          <w:tab w:leader="none" w:pos="564" w:val="left"/>
        </w:tabs>
        <w:numPr>
          <w:ilvl w:val="0"/>
          <w:numId w:val="68"/>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04"/>
          </w:cols>
          <w:pgMar w:left="316" w:top="128" w:right="479" w:bottom="1440" w:gutter="0" w:footer="0" w:header="0"/>
          <w:type w:val="continuous"/>
        </w:sectPr>
      </w:pPr>
    </w:p>
    <w:bookmarkStart w:id="57" w:name="page58"/>
    <w:bookmarkEnd w:id="57"/>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98"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Emphasize Pay-for-Performance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137160</wp:posOffset>
            </wp:positionV>
            <wp:extent cx="5250815" cy="22840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50815" cy="2284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 w:type="dxa"/>
        <w:tblCellMar>
          <w:top w:w="0" w:type="dxa"/>
          <w:left w:w="0" w:type="dxa"/>
          <w:bottom w:w="0" w:type="dxa"/>
          <w:right w:w="0" w:type="dxa"/>
        </w:tblCellMar>
      </w:tblPr>
      <w:tr>
        <w:trPr>
          <w:trHeight w:val="155"/>
        </w:trPr>
        <w:tc>
          <w:tcPr>
            <w:tcW w:w="2980" w:type="dxa"/>
            <w:vAlign w:val="bottom"/>
          </w:tcPr>
          <w:p>
            <w:pPr>
              <w:ind w:left="820"/>
              <w:spacing w:after="0"/>
              <w:rPr>
                <w:sz w:val="20"/>
                <w:szCs w:val="20"/>
                <w:color w:val="auto"/>
              </w:rPr>
            </w:pPr>
            <w:r>
              <w:rPr>
                <w:rFonts w:ascii="Arial" w:cs="Arial" w:eastAsia="Arial" w:hAnsi="Arial"/>
                <w:sz w:val="13"/>
                <w:szCs w:val="13"/>
                <w:color w:val="333740"/>
              </w:rPr>
              <w:t>Fixed</w:t>
            </w:r>
          </w:p>
        </w:tc>
        <w:tc>
          <w:tcPr>
            <w:tcW w:w="2280" w:type="dxa"/>
            <w:vAlign w:val="bottom"/>
          </w:tcPr>
          <w:p>
            <w:pPr>
              <w:ind w:left="460"/>
              <w:spacing w:after="0"/>
              <w:rPr>
                <w:sz w:val="20"/>
                <w:szCs w:val="20"/>
                <w:color w:val="auto"/>
              </w:rPr>
            </w:pPr>
            <w:r>
              <w:rPr>
                <w:rFonts w:ascii="Arial" w:cs="Arial" w:eastAsia="Arial" w:hAnsi="Arial"/>
                <w:sz w:val="13"/>
                <w:szCs w:val="13"/>
                <w:color w:val="333740"/>
              </w:rPr>
              <w:t>10%</w:t>
            </w:r>
          </w:p>
        </w:tc>
        <w:tc>
          <w:tcPr>
            <w:tcW w:w="4480" w:type="dxa"/>
            <w:vAlign w:val="bottom"/>
          </w:tcPr>
          <w:p>
            <w:pPr>
              <w:ind w:left="1540"/>
              <w:spacing w:after="0"/>
              <w:rPr>
                <w:sz w:val="20"/>
                <w:szCs w:val="20"/>
                <w:color w:val="auto"/>
              </w:rPr>
            </w:pPr>
            <w:r>
              <w:rPr>
                <w:rFonts w:ascii="Arial" w:cs="Arial" w:eastAsia="Arial" w:hAnsi="Arial"/>
                <w:sz w:val="13"/>
                <w:szCs w:val="13"/>
                <w:color w:val="333740"/>
              </w:rPr>
              <w:t>Fixed</w:t>
            </w:r>
          </w:p>
        </w:tc>
        <w:tc>
          <w:tcPr>
            <w:tcW w:w="1520" w:type="dxa"/>
            <w:vAlign w:val="bottom"/>
          </w:tcPr>
          <w:p>
            <w:pPr>
              <w:jc w:val="right"/>
              <w:spacing w:after="0"/>
              <w:rPr>
                <w:sz w:val="20"/>
                <w:szCs w:val="20"/>
                <w:color w:val="auto"/>
              </w:rPr>
            </w:pPr>
            <w:r>
              <w:rPr>
                <w:rFonts w:ascii="Arial" w:cs="Arial" w:eastAsia="Arial" w:hAnsi="Arial"/>
                <w:sz w:val="13"/>
                <w:szCs w:val="13"/>
                <w:color w:val="333740"/>
              </w:rPr>
              <w:t>20%</w:t>
            </w:r>
          </w:p>
        </w:tc>
        <w:tc>
          <w:tcPr>
            <w:tcW w:w="0" w:type="dxa"/>
            <w:vAlign w:val="bottom"/>
          </w:tcPr>
          <w:p>
            <w:pPr>
              <w:spacing w:after="0"/>
              <w:rPr>
                <w:sz w:val="1"/>
                <w:szCs w:val="1"/>
                <w:color w:val="auto"/>
              </w:rPr>
            </w:pPr>
          </w:p>
        </w:tc>
      </w:tr>
      <w:tr>
        <w:trPr>
          <w:trHeight w:val="200"/>
        </w:trPr>
        <w:tc>
          <w:tcPr>
            <w:tcW w:w="2980" w:type="dxa"/>
            <w:vAlign w:val="bottom"/>
          </w:tcPr>
          <w:p>
            <w:pPr>
              <w:ind w:left="820"/>
              <w:spacing w:after="0"/>
              <w:rPr>
                <w:sz w:val="20"/>
                <w:szCs w:val="20"/>
                <w:color w:val="auto"/>
              </w:rPr>
            </w:pPr>
            <w:r>
              <w:rPr>
                <w:rFonts w:ascii="Arial" w:cs="Arial" w:eastAsia="Arial" w:hAnsi="Arial"/>
                <w:sz w:val="13"/>
                <w:szCs w:val="13"/>
                <w:b w:val="1"/>
                <w:bCs w:val="1"/>
                <w:color w:val="333740"/>
              </w:rPr>
              <w:t>Variable</w:t>
            </w:r>
          </w:p>
        </w:tc>
        <w:tc>
          <w:tcPr>
            <w:tcW w:w="2280" w:type="dxa"/>
            <w:vAlign w:val="bottom"/>
          </w:tcPr>
          <w:p>
            <w:pPr>
              <w:ind w:left="460"/>
              <w:spacing w:after="0"/>
              <w:rPr>
                <w:sz w:val="20"/>
                <w:szCs w:val="20"/>
                <w:color w:val="auto"/>
              </w:rPr>
            </w:pPr>
            <w:r>
              <w:rPr>
                <w:rFonts w:ascii="Arial" w:cs="Arial" w:eastAsia="Arial" w:hAnsi="Arial"/>
                <w:sz w:val="13"/>
                <w:szCs w:val="13"/>
                <w:b w:val="1"/>
                <w:bCs w:val="1"/>
                <w:color w:val="333740"/>
              </w:rPr>
              <w:t>90%</w:t>
            </w:r>
          </w:p>
        </w:tc>
        <w:tc>
          <w:tcPr>
            <w:tcW w:w="4480" w:type="dxa"/>
            <w:vAlign w:val="bottom"/>
          </w:tcPr>
          <w:p>
            <w:pPr>
              <w:ind w:left="1540"/>
              <w:spacing w:after="0"/>
              <w:rPr>
                <w:sz w:val="20"/>
                <w:szCs w:val="20"/>
                <w:color w:val="auto"/>
              </w:rPr>
            </w:pPr>
            <w:r>
              <w:rPr>
                <w:rFonts w:ascii="Arial" w:cs="Arial" w:eastAsia="Arial" w:hAnsi="Arial"/>
                <w:sz w:val="13"/>
                <w:szCs w:val="13"/>
                <w:b w:val="1"/>
                <w:bCs w:val="1"/>
                <w:color w:val="333740"/>
              </w:rPr>
              <w:t>Variable</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333740"/>
              </w:rPr>
              <w:t>80%</w:t>
            </w:r>
          </w:p>
        </w:tc>
        <w:tc>
          <w:tcPr>
            <w:tcW w:w="0" w:type="dxa"/>
            <w:vAlign w:val="bottom"/>
          </w:tcPr>
          <w:p>
            <w:pPr>
              <w:spacing w:after="0"/>
              <w:rPr>
                <w:sz w:val="1"/>
                <w:szCs w:val="1"/>
                <w:color w:val="auto"/>
              </w:rPr>
            </w:pPr>
          </w:p>
        </w:tc>
      </w:tr>
      <w:tr>
        <w:trPr>
          <w:trHeight w:val="139"/>
        </w:trPr>
        <w:tc>
          <w:tcPr>
            <w:tcW w:w="2980" w:type="dxa"/>
            <w:vAlign w:val="bottom"/>
            <w:tcBorders>
              <w:bottom w:val="single" w:sz="8" w:color="D7D8D6"/>
            </w:tcBorders>
          </w:tcPr>
          <w:p>
            <w:pPr>
              <w:spacing w:after="0"/>
              <w:rPr>
                <w:sz w:val="12"/>
                <w:szCs w:val="12"/>
                <w:color w:val="auto"/>
              </w:rPr>
            </w:pPr>
          </w:p>
        </w:tc>
        <w:tc>
          <w:tcPr>
            <w:tcW w:w="2280" w:type="dxa"/>
            <w:vAlign w:val="bottom"/>
            <w:tcBorders>
              <w:bottom w:val="single" w:sz="8" w:color="D7D8D6"/>
            </w:tcBorders>
          </w:tcPr>
          <w:p>
            <w:pPr>
              <w:spacing w:after="0"/>
              <w:rPr>
                <w:sz w:val="12"/>
                <w:szCs w:val="12"/>
                <w:color w:val="auto"/>
              </w:rPr>
            </w:pPr>
          </w:p>
        </w:tc>
        <w:tc>
          <w:tcPr>
            <w:tcW w:w="4480" w:type="dxa"/>
            <w:vAlign w:val="bottom"/>
            <w:tcBorders>
              <w:bottom w:val="single" w:sz="8" w:color="D7D8D6"/>
            </w:tcBorders>
          </w:tcPr>
          <w:p>
            <w:pPr>
              <w:spacing w:after="0"/>
              <w:rPr>
                <w:sz w:val="12"/>
                <w:szCs w:val="12"/>
                <w:color w:val="auto"/>
              </w:rPr>
            </w:pPr>
          </w:p>
        </w:tc>
        <w:tc>
          <w:tcPr>
            <w:tcW w:w="1520" w:type="dxa"/>
            <w:vAlign w:val="bottom"/>
            <w:tcBorders>
              <w:bottom w:val="single" w:sz="8" w:color="D7D8D6"/>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80" w:type="dxa"/>
            <w:vAlign w:val="bottom"/>
            <w:vMerge w:val="restart"/>
          </w:tcPr>
          <w:p>
            <w:pPr>
              <w:ind w:left="820"/>
              <w:spacing w:after="0"/>
              <w:rPr>
                <w:sz w:val="20"/>
                <w:szCs w:val="20"/>
                <w:color w:val="auto"/>
              </w:rPr>
            </w:pPr>
            <w:r>
              <w:rPr>
                <w:rFonts w:ascii="Arial" w:cs="Arial" w:eastAsia="Arial" w:hAnsi="Arial"/>
                <w:sz w:val="13"/>
                <w:szCs w:val="13"/>
                <w:color w:val="333740"/>
              </w:rPr>
              <w:t>Cash</w:t>
            </w:r>
          </w:p>
        </w:tc>
        <w:tc>
          <w:tcPr>
            <w:tcW w:w="2280" w:type="dxa"/>
            <w:vAlign w:val="bottom"/>
          </w:tcPr>
          <w:p>
            <w:pPr>
              <w:ind w:left="460"/>
              <w:spacing w:after="0" w:line="119" w:lineRule="exact"/>
              <w:rPr>
                <w:sz w:val="20"/>
                <w:szCs w:val="20"/>
                <w:color w:val="auto"/>
              </w:rPr>
            </w:pPr>
            <w:r>
              <w:rPr>
                <w:rFonts w:ascii="Arial" w:cs="Arial" w:eastAsia="Arial" w:hAnsi="Arial"/>
                <w:sz w:val="13"/>
                <w:szCs w:val="13"/>
                <w:color w:val="333740"/>
              </w:rPr>
              <w:t>23%</w:t>
            </w:r>
          </w:p>
        </w:tc>
        <w:tc>
          <w:tcPr>
            <w:tcW w:w="4480" w:type="dxa"/>
            <w:vAlign w:val="bottom"/>
          </w:tcPr>
          <w:p>
            <w:pPr>
              <w:ind w:left="1540"/>
              <w:spacing w:after="0" w:line="119" w:lineRule="exact"/>
              <w:rPr>
                <w:sz w:val="20"/>
                <w:szCs w:val="20"/>
                <w:color w:val="auto"/>
              </w:rPr>
            </w:pPr>
            <w:r>
              <w:rPr>
                <w:rFonts w:ascii="Arial" w:cs="Arial" w:eastAsia="Arial" w:hAnsi="Arial"/>
                <w:sz w:val="13"/>
                <w:szCs w:val="13"/>
                <w:color w:val="333740"/>
              </w:rPr>
              <w:t>Cash</w:t>
            </w:r>
          </w:p>
        </w:tc>
        <w:tc>
          <w:tcPr>
            <w:tcW w:w="1520" w:type="dxa"/>
            <w:vAlign w:val="bottom"/>
          </w:tcPr>
          <w:p>
            <w:pPr>
              <w:jc w:val="right"/>
              <w:spacing w:after="0" w:line="119" w:lineRule="exact"/>
              <w:rPr>
                <w:sz w:val="20"/>
                <w:szCs w:val="20"/>
                <w:color w:val="auto"/>
              </w:rPr>
            </w:pPr>
            <w:r>
              <w:rPr>
                <w:rFonts w:ascii="Arial" w:cs="Arial" w:eastAsia="Arial" w:hAnsi="Arial"/>
                <w:sz w:val="13"/>
                <w:szCs w:val="13"/>
                <w:color w:val="333740"/>
              </w:rPr>
              <w:t>40%</w:t>
            </w:r>
          </w:p>
        </w:tc>
        <w:tc>
          <w:tcPr>
            <w:tcW w:w="0" w:type="dxa"/>
            <w:vAlign w:val="bottom"/>
          </w:tcPr>
          <w:p>
            <w:pPr>
              <w:spacing w:after="0"/>
              <w:rPr>
                <w:sz w:val="1"/>
                <w:szCs w:val="1"/>
                <w:color w:val="auto"/>
              </w:rPr>
            </w:pPr>
          </w:p>
        </w:tc>
      </w:tr>
      <w:tr>
        <w:trPr>
          <w:trHeight w:val="60"/>
        </w:trPr>
        <w:tc>
          <w:tcPr>
            <w:tcW w:w="2980" w:type="dxa"/>
            <w:vAlign w:val="bottom"/>
            <w:vMerge w:val="continue"/>
          </w:tcPr>
          <w:p>
            <w:pPr>
              <w:spacing w:after="0"/>
              <w:rPr>
                <w:sz w:val="5"/>
                <w:szCs w:val="5"/>
                <w:color w:val="auto"/>
              </w:rPr>
            </w:pPr>
          </w:p>
        </w:tc>
        <w:tc>
          <w:tcPr>
            <w:tcW w:w="2280" w:type="dxa"/>
            <w:vAlign w:val="bottom"/>
            <w:vMerge w:val="restart"/>
          </w:tcPr>
          <w:p>
            <w:pPr>
              <w:ind w:left="460"/>
              <w:spacing w:after="0"/>
              <w:rPr>
                <w:sz w:val="20"/>
                <w:szCs w:val="20"/>
                <w:color w:val="auto"/>
              </w:rPr>
            </w:pPr>
            <w:r>
              <w:rPr>
                <w:rFonts w:ascii="Arial" w:cs="Arial" w:eastAsia="Arial" w:hAnsi="Arial"/>
                <w:sz w:val="13"/>
                <w:szCs w:val="13"/>
                <w:b w:val="1"/>
                <w:bCs w:val="1"/>
                <w:color w:val="333740"/>
              </w:rPr>
              <w:t>77%</w:t>
            </w:r>
          </w:p>
        </w:tc>
        <w:tc>
          <w:tcPr>
            <w:tcW w:w="4480" w:type="dxa"/>
            <w:vAlign w:val="bottom"/>
            <w:vMerge w:val="restart"/>
          </w:tcPr>
          <w:p>
            <w:pPr>
              <w:ind w:left="1540"/>
              <w:spacing w:after="0"/>
              <w:rPr>
                <w:sz w:val="20"/>
                <w:szCs w:val="20"/>
                <w:color w:val="auto"/>
              </w:rPr>
            </w:pPr>
            <w:r>
              <w:rPr>
                <w:rFonts w:ascii="Arial" w:cs="Arial" w:eastAsia="Arial" w:hAnsi="Arial"/>
                <w:sz w:val="13"/>
                <w:szCs w:val="13"/>
                <w:b w:val="1"/>
                <w:bCs w:val="1"/>
                <w:color w:val="333740"/>
              </w:rPr>
              <w:t>Equity</w:t>
            </w:r>
          </w:p>
        </w:tc>
        <w:tc>
          <w:tcPr>
            <w:tcW w:w="1520" w:type="dxa"/>
            <w:vAlign w:val="bottom"/>
            <w:vMerge w:val="restart"/>
          </w:tcPr>
          <w:p>
            <w:pPr>
              <w:jc w:val="right"/>
              <w:spacing w:after="0"/>
              <w:rPr>
                <w:sz w:val="20"/>
                <w:szCs w:val="20"/>
                <w:color w:val="auto"/>
              </w:rPr>
            </w:pPr>
            <w:r>
              <w:rPr>
                <w:rFonts w:ascii="Arial" w:cs="Arial" w:eastAsia="Arial" w:hAnsi="Arial"/>
                <w:sz w:val="13"/>
                <w:szCs w:val="13"/>
                <w:b w:val="1"/>
                <w:bCs w:val="1"/>
                <w:color w:val="333740"/>
              </w:rPr>
              <w:t>60%</w:t>
            </w:r>
          </w:p>
        </w:tc>
        <w:tc>
          <w:tcPr>
            <w:tcW w:w="0" w:type="dxa"/>
            <w:vAlign w:val="bottom"/>
          </w:tcPr>
          <w:p>
            <w:pPr>
              <w:spacing w:after="0"/>
              <w:rPr>
                <w:sz w:val="1"/>
                <w:szCs w:val="1"/>
                <w:color w:val="auto"/>
              </w:rPr>
            </w:pPr>
          </w:p>
        </w:tc>
      </w:tr>
      <w:tr>
        <w:trPr>
          <w:trHeight w:val="140"/>
        </w:trPr>
        <w:tc>
          <w:tcPr>
            <w:tcW w:w="2980" w:type="dxa"/>
            <w:vAlign w:val="bottom"/>
            <w:vMerge w:val="restart"/>
          </w:tcPr>
          <w:p>
            <w:pPr>
              <w:ind w:left="820"/>
              <w:spacing w:after="0"/>
              <w:rPr>
                <w:sz w:val="20"/>
                <w:szCs w:val="20"/>
                <w:color w:val="auto"/>
              </w:rPr>
            </w:pPr>
            <w:r>
              <w:rPr>
                <w:rFonts w:ascii="Arial" w:cs="Arial" w:eastAsia="Arial" w:hAnsi="Arial"/>
                <w:sz w:val="13"/>
                <w:szCs w:val="13"/>
                <w:b w:val="1"/>
                <w:bCs w:val="1"/>
                <w:color w:val="333740"/>
              </w:rPr>
              <w:t>Equity</w:t>
            </w:r>
          </w:p>
        </w:tc>
        <w:tc>
          <w:tcPr>
            <w:tcW w:w="2280" w:type="dxa"/>
            <w:vAlign w:val="bottom"/>
            <w:vMerge w:val="continue"/>
          </w:tcPr>
          <w:p>
            <w:pPr>
              <w:spacing w:after="0"/>
              <w:rPr>
                <w:sz w:val="12"/>
                <w:szCs w:val="12"/>
                <w:color w:val="auto"/>
              </w:rPr>
            </w:pPr>
          </w:p>
        </w:tc>
        <w:tc>
          <w:tcPr>
            <w:tcW w:w="448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980" w:type="dxa"/>
            <w:vAlign w:val="bottom"/>
            <w:vMerge w:val="continue"/>
          </w:tcPr>
          <w:p>
            <w:pPr>
              <w:spacing w:after="0"/>
              <w:rPr>
                <w:sz w:val="5"/>
                <w:szCs w:val="5"/>
                <w:color w:val="auto"/>
              </w:rPr>
            </w:pPr>
          </w:p>
        </w:tc>
        <w:tc>
          <w:tcPr>
            <w:tcW w:w="2280" w:type="dxa"/>
            <w:vAlign w:val="bottom"/>
          </w:tcPr>
          <w:p>
            <w:pPr>
              <w:spacing w:after="0"/>
              <w:rPr>
                <w:sz w:val="5"/>
                <w:szCs w:val="5"/>
                <w:color w:val="auto"/>
              </w:rPr>
            </w:pPr>
          </w:p>
        </w:tc>
        <w:tc>
          <w:tcPr>
            <w:tcW w:w="44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980" w:type="dxa"/>
            <w:vAlign w:val="bottom"/>
            <w:tcBorders>
              <w:bottom w:val="single" w:sz="8" w:color="D7D8D6"/>
            </w:tcBorders>
          </w:tcPr>
          <w:p>
            <w:pPr>
              <w:spacing w:after="0"/>
              <w:rPr>
                <w:sz w:val="10"/>
                <w:szCs w:val="10"/>
                <w:color w:val="auto"/>
              </w:rPr>
            </w:pPr>
          </w:p>
        </w:tc>
        <w:tc>
          <w:tcPr>
            <w:tcW w:w="2280" w:type="dxa"/>
            <w:vAlign w:val="bottom"/>
            <w:tcBorders>
              <w:bottom w:val="single" w:sz="8" w:color="D7D8D6"/>
            </w:tcBorders>
          </w:tcPr>
          <w:p>
            <w:pPr>
              <w:spacing w:after="0"/>
              <w:rPr>
                <w:sz w:val="10"/>
                <w:szCs w:val="10"/>
                <w:color w:val="auto"/>
              </w:rPr>
            </w:pPr>
          </w:p>
        </w:tc>
        <w:tc>
          <w:tcPr>
            <w:tcW w:w="4480" w:type="dxa"/>
            <w:vAlign w:val="bottom"/>
            <w:tcBorders>
              <w:bottom w:val="single" w:sz="8" w:color="D7D8D6"/>
            </w:tcBorders>
          </w:tcPr>
          <w:p>
            <w:pPr>
              <w:spacing w:after="0"/>
              <w:rPr>
                <w:sz w:val="10"/>
                <w:szCs w:val="10"/>
                <w:color w:val="auto"/>
              </w:rPr>
            </w:pPr>
          </w:p>
        </w:tc>
        <w:tc>
          <w:tcPr>
            <w:tcW w:w="1520" w:type="dxa"/>
            <w:vAlign w:val="bottom"/>
            <w:tcBorders>
              <w:bottom w:val="single" w:sz="8" w:color="D7D8D6"/>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980" w:type="dxa"/>
            <w:vAlign w:val="bottom"/>
            <w:vMerge w:val="restart"/>
          </w:tcPr>
          <w:p>
            <w:pPr>
              <w:ind w:left="820"/>
              <w:spacing w:after="0"/>
              <w:rPr>
                <w:sz w:val="20"/>
                <w:szCs w:val="20"/>
                <w:color w:val="auto"/>
              </w:rPr>
            </w:pPr>
            <w:r>
              <w:rPr>
                <w:rFonts w:ascii="Arial" w:cs="Arial" w:eastAsia="Arial" w:hAnsi="Arial"/>
                <w:sz w:val="13"/>
                <w:szCs w:val="13"/>
                <w:color w:val="333740"/>
              </w:rPr>
              <w:t>Short-Term Performance</w:t>
            </w:r>
          </w:p>
        </w:tc>
        <w:tc>
          <w:tcPr>
            <w:tcW w:w="2280" w:type="dxa"/>
            <w:vAlign w:val="bottom"/>
          </w:tcPr>
          <w:p>
            <w:pPr>
              <w:ind w:left="460"/>
              <w:spacing w:after="0" w:line="131" w:lineRule="exact"/>
              <w:rPr>
                <w:sz w:val="20"/>
                <w:szCs w:val="20"/>
                <w:color w:val="auto"/>
              </w:rPr>
            </w:pPr>
            <w:r>
              <w:rPr>
                <w:rFonts w:ascii="Arial" w:cs="Arial" w:eastAsia="Arial" w:hAnsi="Arial"/>
                <w:sz w:val="13"/>
                <w:szCs w:val="13"/>
                <w:color w:val="333740"/>
              </w:rPr>
              <w:t>15%</w:t>
            </w:r>
          </w:p>
        </w:tc>
        <w:tc>
          <w:tcPr>
            <w:tcW w:w="4480" w:type="dxa"/>
            <w:vAlign w:val="bottom"/>
            <w:vMerge w:val="restart"/>
          </w:tcPr>
          <w:p>
            <w:pPr>
              <w:ind w:left="1540"/>
              <w:spacing w:after="0"/>
              <w:rPr>
                <w:sz w:val="20"/>
                <w:szCs w:val="20"/>
                <w:color w:val="auto"/>
              </w:rPr>
            </w:pPr>
            <w:r>
              <w:rPr>
                <w:rFonts w:ascii="Arial" w:cs="Arial" w:eastAsia="Arial" w:hAnsi="Arial"/>
                <w:sz w:val="13"/>
                <w:szCs w:val="13"/>
                <w:color w:val="333740"/>
              </w:rPr>
              <w:t>Short-Term Performance</w:t>
            </w:r>
          </w:p>
        </w:tc>
        <w:tc>
          <w:tcPr>
            <w:tcW w:w="1520" w:type="dxa"/>
            <w:vAlign w:val="bottom"/>
          </w:tcPr>
          <w:p>
            <w:pPr>
              <w:jc w:val="right"/>
              <w:spacing w:after="0" w:line="131" w:lineRule="exact"/>
              <w:rPr>
                <w:sz w:val="20"/>
                <w:szCs w:val="20"/>
                <w:color w:val="auto"/>
              </w:rPr>
            </w:pPr>
            <w:r>
              <w:rPr>
                <w:rFonts w:ascii="Arial" w:cs="Arial" w:eastAsia="Arial" w:hAnsi="Arial"/>
                <w:sz w:val="13"/>
                <w:szCs w:val="13"/>
                <w:color w:val="333740"/>
              </w:rPr>
              <w:t>25%</w:t>
            </w:r>
          </w:p>
        </w:tc>
        <w:tc>
          <w:tcPr>
            <w:tcW w:w="0" w:type="dxa"/>
            <w:vAlign w:val="bottom"/>
          </w:tcPr>
          <w:p>
            <w:pPr>
              <w:spacing w:after="0"/>
              <w:rPr>
                <w:sz w:val="1"/>
                <w:szCs w:val="1"/>
                <w:color w:val="auto"/>
              </w:rPr>
            </w:pPr>
          </w:p>
        </w:tc>
      </w:tr>
      <w:tr>
        <w:trPr>
          <w:trHeight w:val="60"/>
        </w:trPr>
        <w:tc>
          <w:tcPr>
            <w:tcW w:w="2980" w:type="dxa"/>
            <w:vAlign w:val="bottom"/>
            <w:vMerge w:val="continue"/>
          </w:tcPr>
          <w:p>
            <w:pPr>
              <w:spacing w:after="0"/>
              <w:rPr>
                <w:sz w:val="5"/>
                <w:szCs w:val="5"/>
                <w:color w:val="auto"/>
              </w:rPr>
            </w:pPr>
          </w:p>
        </w:tc>
        <w:tc>
          <w:tcPr>
            <w:tcW w:w="2280" w:type="dxa"/>
            <w:vAlign w:val="bottom"/>
            <w:vMerge w:val="restart"/>
          </w:tcPr>
          <w:p>
            <w:pPr>
              <w:ind w:left="460"/>
              <w:spacing w:after="0"/>
              <w:rPr>
                <w:sz w:val="20"/>
                <w:szCs w:val="20"/>
                <w:color w:val="auto"/>
              </w:rPr>
            </w:pPr>
            <w:r>
              <w:rPr>
                <w:rFonts w:ascii="Arial" w:cs="Arial" w:eastAsia="Arial" w:hAnsi="Arial"/>
                <w:sz w:val="13"/>
                <w:szCs w:val="13"/>
                <w:b w:val="1"/>
                <w:bCs w:val="1"/>
                <w:color w:val="333740"/>
              </w:rPr>
              <w:t>85%</w:t>
            </w:r>
          </w:p>
        </w:tc>
        <w:tc>
          <w:tcPr>
            <w:tcW w:w="4480" w:type="dxa"/>
            <w:vAlign w:val="bottom"/>
            <w:vMerge w:val="continue"/>
          </w:tcPr>
          <w:p>
            <w:pPr>
              <w:spacing w:after="0"/>
              <w:rPr>
                <w:sz w:val="5"/>
                <w:szCs w:val="5"/>
                <w:color w:val="auto"/>
              </w:rPr>
            </w:pPr>
          </w:p>
        </w:tc>
        <w:tc>
          <w:tcPr>
            <w:tcW w:w="1520" w:type="dxa"/>
            <w:vAlign w:val="bottom"/>
            <w:vMerge w:val="restart"/>
          </w:tcPr>
          <w:p>
            <w:pPr>
              <w:jc w:val="right"/>
              <w:spacing w:after="0"/>
              <w:rPr>
                <w:sz w:val="20"/>
                <w:szCs w:val="20"/>
                <w:color w:val="auto"/>
              </w:rPr>
            </w:pPr>
            <w:r>
              <w:rPr>
                <w:rFonts w:ascii="Arial" w:cs="Arial" w:eastAsia="Arial" w:hAnsi="Arial"/>
                <w:sz w:val="13"/>
                <w:szCs w:val="13"/>
                <w:b w:val="1"/>
                <w:bCs w:val="1"/>
                <w:color w:val="333740"/>
              </w:rPr>
              <w:t>75%</w:t>
            </w:r>
          </w:p>
        </w:tc>
        <w:tc>
          <w:tcPr>
            <w:tcW w:w="0" w:type="dxa"/>
            <w:vAlign w:val="bottom"/>
          </w:tcPr>
          <w:p>
            <w:pPr>
              <w:spacing w:after="0"/>
              <w:rPr>
                <w:sz w:val="1"/>
                <w:szCs w:val="1"/>
                <w:color w:val="auto"/>
              </w:rPr>
            </w:pPr>
          </w:p>
        </w:tc>
      </w:tr>
      <w:tr>
        <w:trPr>
          <w:trHeight w:val="140"/>
        </w:trPr>
        <w:tc>
          <w:tcPr>
            <w:tcW w:w="2980" w:type="dxa"/>
            <w:vAlign w:val="bottom"/>
            <w:vMerge w:val="restart"/>
          </w:tcPr>
          <w:p>
            <w:pPr>
              <w:ind w:left="820"/>
              <w:spacing w:after="0"/>
              <w:rPr>
                <w:sz w:val="20"/>
                <w:szCs w:val="20"/>
                <w:color w:val="auto"/>
              </w:rPr>
            </w:pPr>
            <w:r>
              <w:rPr>
                <w:rFonts w:ascii="Arial" w:cs="Arial" w:eastAsia="Arial" w:hAnsi="Arial"/>
                <w:sz w:val="13"/>
                <w:szCs w:val="13"/>
                <w:b w:val="1"/>
                <w:bCs w:val="1"/>
                <w:color w:val="333740"/>
              </w:rPr>
              <w:t>Long-Term Performance</w:t>
            </w:r>
          </w:p>
        </w:tc>
        <w:tc>
          <w:tcPr>
            <w:tcW w:w="2280" w:type="dxa"/>
            <w:vAlign w:val="bottom"/>
            <w:vMerge w:val="continue"/>
          </w:tcPr>
          <w:p>
            <w:pPr>
              <w:spacing w:after="0"/>
              <w:rPr>
                <w:sz w:val="12"/>
                <w:szCs w:val="12"/>
                <w:color w:val="auto"/>
              </w:rPr>
            </w:pPr>
          </w:p>
        </w:tc>
        <w:tc>
          <w:tcPr>
            <w:tcW w:w="4480" w:type="dxa"/>
            <w:vAlign w:val="bottom"/>
            <w:vMerge w:val="restart"/>
          </w:tcPr>
          <w:p>
            <w:pPr>
              <w:ind w:left="1540"/>
              <w:spacing w:after="0"/>
              <w:rPr>
                <w:sz w:val="20"/>
                <w:szCs w:val="20"/>
                <w:color w:val="auto"/>
              </w:rPr>
            </w:pPr>
            <w:r>
              <w:rPr>
                <w:rFonts w:ascii="Arial" w:cs="Arial" w:eastAsia="Arial" w:hAnsi="Arial"/>
                <w:sz w:val="13"/>
                <w:szCs w:val="13"/>
                <w:b w:val="1"/>
                <w:bCs w:val="1"/>
                <w:color w:val="333740"/>
              </w:rPr>
              <w:t>Long-Term Performance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980" w:type="dxa"/>
            <w:vAlign w:val="bottom"/>
            <w:vMerge w:val="continue"/>
          </w:tcPr>
          <w:p>
            <w:pPr>
              <w:spacing w:after="0"/>
              <w:rPr>
                <w:sz w:val="5"/>
                <w:szCs w:val="5"/>
                <w:color w:val="auto"/>
              </w:rPr>
            </w:pPr>
          </w:p>
        </w:tc>
        <w:tc>
          <w:tcPr>
            <w:tcW w:w="2280" w:type="dxa"/>
            <w:vAlign w:val="bottom"/>
          </w:tcPr>
          <w:p>
            <w:pPr>
              <w:spacing w:after="0"/>
              <w:rPr>
                <w:sz w:val="5"/>
                <w:szCs w:val="5"/>
                <w:color w:val="auto"/>
              </w:rPr>
            </w:pPr>
          </w:p>
        </w:tc>
        <w:tc>
          <w:tcPr>
            <w:tcW w:w="4480" w:type="dxa"/>
            <w:vAlign w:val="bottom"/>
            <w:vMerge w:val="continue"/>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14819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-882015</wp:posOffset>
            </wp:positionV>
            <wp:extent cx="4249420" cy="918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249420" cy="918210"/>
                    </a:xfrm>
                    <a:prstGeom prst="rect">
                      <a:avLst/>
                    </a:prstGeom>
                    <a:noFill/>
                  </pic:spPr>
                </pic:pic>
              </a:graphicData>
            </a:graphic>
          </wp:anchor>
        </w:drawing>
      </w:r>
    </w:p>
    <w:p>
      <w:pPr>
        <w:spacing w:after="0" w:line="186" w:lineRule="exact"/>
        <w:rPr>
          <w:sz w:val="20"/>
          <w:szCs w:val="20"/>
          <w:color w:val="auto"/>
        </w:rPr>
      </w:pPr>
    </w:p>
    <w:p>
      <w:pPr>
        <w:ind w:left="4" w:right="240"/>
        <w:spacing w:after="0" w:line="285" w:lineRule="auto"/>
        <w:rPr>
          <w:sz w:val="20"/>
          <w:szCs w:val="20"/>
          <w:color w:val="auto"/>
        </w:rPr>
      </w:pPr>
      <w:r>
        <w:rPr>
          <w:rFonts w:ascii="Arial" w:cs="Arial" w:eastAsia="Arial" w:hAnsi="Arial"/>
          <w:sz w:val="13"/>
          <w:szCs w:val="13"/>
          <w:color w:val="231F20"/>
        </w:rPr>
        <w:t>Stock options are considered variable as they require the stock price to increase before they yield any value. The delivered value of RSUs is variable based on share price at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38100" cy="755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35" w:lineRule="exact"/>
        <w:rPr>
          <w:sz w:val="20"/>
          <w:szCs w:val="20"/>
          <w:color w:val="auto"/>
        </w:rPr>
      </w:pPr>
    </w:p>
    <w:p>
      <w:pPr>
        <w:ind w:left="324"/>
        <w:spacing w:after="0"/>
        <w:rPr>
          <w:sz w:val="20"/>
          <w:szCs w:val="20"/>
          <w:color w:val="auto"/>
        </w:rPr>
      </w:pPr>
      <w:r>
        <w:rPr>
          <w:rFonts w:ascii="Arial" w:cs="Arial" w:eastAsia="Arial" w:hAnsi="Arial"/>
          <w:sz w:val="14"/>
          <w:szCs w:val="14"/>
          <w:color w:val="333740"/>
        </w:rPr>
        <w:t>Total target compensation is made up of salary, an annual cash incentive, and long-term equity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38100" cy="755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4" w:lineRule="exact"/>
        <w:rPr>
          <w:sz w:val="20"/>
          <w:szCs w:val="20"/>
          <w:color w:val="auto"/>
        </w:rPr>
      </w:pPr>
    </w:p>
    <w:p>
      <w:pPr>
        <w:ind w:left="324"/>
        <w:spacing w:after="0"/>
        <w:rPr>
          <w:sz w:val="20"/>
          <w:szCs w:val="20"/>
          <w:color w:val="auto"/>
        </w:rPr>
      </w:pPr>
      <w:r>
        <w:rPr>
          <w:rFonts w:ascii="Arial" w:cs="Arial" w:eastAsia="Arial" w:hAnsi="Arial"/>
          <w:sz w:val="14"/>
          <w:szCs w:val="14"/>
          <w:color w:val="333740"/>
        </w:rPr>
        <w:t>Our compensation program is strongly linked to performance, and a majority of our NEOs’ pay is variable, at-risk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38100" cy="755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4" w:lineRule="exact"/>
        <w:rPr>
          <w:sz w:val="20"/>
          <w:szCs w:val="20"/>
          <w:color w:val="auto"/>
        </w:rPr>
      </w:pPr>
    </w:p>
    <w:p>
      <w:pPr>
        <w:ind w:left="324"/>
        <w:spacing w:after="0"/>
        <w:rPr>
          <w:sz w:val="20"/>
          <w:szCs w:val="20"/>
          <w:color w:val="auto"/>
        </w:rPr>
      </w:pPr>
      <w:r>
        <w:rPr>
          <w:rFonts w:ascii="Arial" w:cs="Arial" w:eastAsia="Arial" w:hAnsi="Arial"/>
          <w:sz w:val="14"/>
          <w:szCs w:val="14"/>
          <w:color w:val="333740"/>
        </w:rPr>
        <w:t>Total target compensation is benchmarked relative to appropriate peer groups by our independent compensation consultant and is targeted at market median.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38100" cy="755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4" w:lineRule="exact"/>
        <w:rPr>
          <w:sz w:val="20"/>
          <w:szCs w:val="20"/>
          <w:color w:val="auto"/>
        </w:rPr>
      </w:pPr>
    </w:p>
    <w:p>
      <w:pPr>
        <w:ind w:left="324"/>
        <w:spacing w:after="0"/>
        <w:rPr>
          <w:sz w:val="20"/>
          <w:szCs w:val="20"/>
          <w:color w:val="auto"/>
        </w:rPr>
      </w:pPr>
      <w:r>
        <w:rPr>
          <w:rFonts w:ascii="Arial" w:cs="Arial" w:eastAsia="Arial" w:hAnsi="Arial"/>
          <w:sz w:val="14"/>
          <w:szCs w:val="14"/>
          <w:color w:val="333740"/>
        </w:rPr>
        <w:t>Annual cash incentive bonus is based on financial performance (75%) and individual performance in areas of strategic significance (25%).</w:t>
      </w:r>
    </w:p>
    <w:p>
      <w:pPr>
        <w:spacing w:after="0" w:line="44" w:lineRule="exact"/>
        <w:rPr>
          <w:sz w:val="20"/>
          <w:szCs w:val="20"/>
          <w:color w:val="auto"/>
        </w:rPr>
      </w:pPr>
    </w:p>
    <w:p>
      <w:pPr>
        <w:ind w:left="564" w:right="140"/>
        <w:spacing w:after="0" w:line="273" w:lineRule="auto"/>
        <w:rPr>
          <w:sz w:val="20"/>
          <w:szCs w:val="20"/>
          <w:color w:val="auto"/>
        </w:rPr>
      </w:pPr>
      <w:r>
        <w:rPr>
          <w:rFonts w:ascii="Arial" w:cs="Arial" w:eastAsia="Arial" w:hAnsi="Arial"/>
          <w:sz w:val="14"/>
          <w:szCs w:val="14"/>
          <w:color w:val="333740"/>
        </w:rPr>
        <w:t>Payouts for the financial portion are based on quantifiable performance. There is no payout if Company performance is below a minimum level of performance due to our emphasis on paying for performance. Payouts increase with increasing levels of performance and there is a cap on payout at maximum performance. Performance targets and goals are predetermined, communicated in advance, and included in our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-342900</wp:posOffset>
            </wp:positionV>
            <wp:extent cx="38100" cy="755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ind w:left="564"/>
        <w:spacing w:after="0"/>
        <w:rPr>
          <w:sz w:val="20"/>
          <w:szCs w:val="20"/>
          <w:color w:val="auto"/>
        </w:rPr>
      </w:pPr>
      <w:r>
        <w:rPr>
          <w:rFonts w:ascii="Arial" w:cs="Arial" w:eastAsia="Arial" w:hAnsi="Arial"/>
          <w:sz w:val="14"/>
          <w:szCs w:val="14"/>
          <w:color w:val="333740"/>
        </w:rPr>
        <w:t>Payout for the individual performance indicators are based on rigorous, individual goal setting and year-end evaluation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-96520</wp:posOffset>
            </wp:positionV>
            <wp:extent cx="38100" cy="755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100" cy="755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46990</wp:posOffset>
            </wp:positionV>
            <wp:extent cx="38100" cy="755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56" w:lineRule="exact"/>
        <w:rPr>
          <w:sz w:val="20"/>
          <w:szCs w:val="20"/>
          <w:color w:val="auto"/>
        </w:rPr>
      </w:pPr>
    </w:p>
    <w:p>
      <w:pPr>
        <w:ind w:left="324" w:right="200"/>
        <w:spacing w:after="0" w:line="265" w:lineRule="auto"/>
        <w:rPr>
          <w:sz w:val="20"/>
          <w:szCs w:val="20"/>
          <w:color w:val="auto"/>
        </w:rPr>
      </w:pPr>
      <w:r>
        <w:rPr>
          <w:rFonts w:ascii="Arial" w:cs="Arial" w:eastAsia="Arial" w:hAnsi="Arial"/>
          <w:sz w:val="14"/>
          <w:szCs w:val="14"/>
          <w:color w:val="333740"/>
        </w:rPr>
        <w:t>PSUs comprise the majority of long-term equity incentives (60%) with vesting contingent on ROIC performance and relative TSR performance, each measured over three years.</w:t>
      </w:r>
    </w:p>
    <w:p>
      <w:pPr>
        <w:spacing w:after="0" w:line="268" w:lineRule="exact"/>
        <w:rPr>
          <w:sz w:val="20"/>
          <w:szCs w:val="20"/>
          <w:color w:val="auto"/>
        </w:rPr>
      </w:pPr>
    </w:p>
    <w:p>
      <w:pPr>
        <w:ind w:left="564" w:hanging="564"/>
        <w:spacing w:after="0"/>
        <w:tabs>
          <w:tab w:leader="none" w:pos="564" w:val="left"/>
        </w:tabs>
        <w:numPr>
          <w:ilvl w:val="0"/>
          <w:numId w:val="69"/>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58" w:name="page59"/>
    <w:bookmarkEnd w:id="58"/>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1" w:lineRule="exact"/>
        <w:rPr>
          <w:sz w:val="20"/>
          <w:szCs w:val="20"/>
          <w:color w:val="auto"/>
        </w:rPr>
      </w:pPr>
    </w:p>
    <w:p>
      <w:pPr>
        <w:ind w:left="564" w:right="40"/>
        <w:spacing w:after="0" w:line="273" w:lineRule="auto"/>
        <w:rPr>
          <w:sz w:val="20"/>
          <w:szCs w:val="20"/>
          <w:color w:val="auto"/>
        </w:rPr>
      </w:pPr>
      <w:r>
        <w:rPr>
          <w:rFonts w:ascii="Arial" w:cs="Arial" w:eastAsia="Arial" w:hAnsi="Arial"/>
          <w:sz w:val="14"/>
          <w:szCs w:val="14"/>
          <w:color w:val="333740"/>
        </w:rPr>
        <w:t>Payouts for the PSU plan are based on performance. There is no payout if Company performance is below a minimum level of performance, and there is a cap on payout at maximum performance. In addition, in the case of negative absolute TSR performance, payouts are capped at target, even if our TSR performance relative to our Relative TSR Peer Group (as defined below) is above target. Performance targets and goals are pre-determined, communicated in advance, and disclosed publicly.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-312420</wp:posOffset>
            </wp:positionV>
            <wp:extent cx="38100" cy="755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100" cy="755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38100" cy="755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50" w:lineRule="exact"/>
        <w:rPr>
          <w:sz w:val="20"/>
          <w:szCs w:val="20"/>
          <w:color w:val="auto"/>
        </w:rPr>
      </w:pPr>
    </w:p>
    <w:p>
      <w:pPr>
        <w:ind w:left="324"/>
        <w:spacing w:after="0" w:line="265" w:lineRule="auto"/>
        <w:rPr>
          <w:sz w:val="20"/>
          <w:szCs w:val="20"/>
          <w:color w:val="auto"/>
        </w:rPr>
      </w:pPr>
      <w:r>
        <w:rPr>
          <w:rFonts w:ascii="Arial" w:cs="Arial" w:eastAsia="Arial" w:hAnsi="Arial"/>
          <w:sz w:val="14"/>
          <w:szCs w:val="14"/>
          <w:color w:val="333740"/>
        </w:rPr>
        <w:t>The remainder of the long-term equity incentives are delivered in the form of stock options and RSUs. The delivered value of stock options and RSUs to NEOs is also based on share price performance.</w:t>
      </w:r>
    </w:p>
    <w:p>
      <w:pPr>
        <w:spacing w:after="0" w:line="53" w:lineRule="exact"/>
        <w:rPr>
          <w:sz w:val="20"/>
          <w:szCs w:val="20"/>
          <w:color w:val="auto"/>
        </w:rPr>
      </w:pPr>
    </w:p>
    <w:p>
      <w:pPr>
        <w:ind w:left="564" w:right="840"/>
        <w:spacing w:after="0" w:line="298" w:lineRule="auto"/>
        <w:rPr>
          <w:sz w:val="20"/>
          <w:szCs w:val="20"/>
          <w:color w:val="auto"/>
        </w:rPr>
      </w:pPr>
      <w:r>
        <w:rPr>
          <w:rFonts w:ascii="Arial" w:cs="Arial" w:eastAsia="Arial" w:hAnsi="Arial"/>
          <w:sz w:val="14"/>
          <w:szCs w:val="14"/>
          <w:color w:val="333740"/>
        </w:rPr>
        <w:t>Starting in 2020, we will eliminate stock options from our executive compensation program, based on feedback from shareholders that stock options are not performance-based, at-risk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-247650</wp:posOffset>
            </wp:positionV>
            <wp:extent cx="38100" cy="755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100" cy="755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wp:posOffset>
            </wp:positionV>
            <wp:extent cx="38100" cy="755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2" w:lineRule="exact"/>
        <w:rPr>
          <w:sz w:val="20"/>
          <w:szCs w:val="20"/>
          <w:color w:val="auto"/>
        </w:rPr>
      </w:pPr>
    </w:p>
    <w:p>
      <w:pPr>
        <w:ind w:left="324"/>
        <w:spacing w:after="0"/>
        <w:rPr>
          <w:sz w:val="20"/>
          <w:szCs w:val="20"/>
          <w:color w:val="auto"/>
        </w:rPr>
      </w:pPr>
      <w:r>
        <w:rPr>
          <w:rFonts w:ascii="Arial" w:cs="Arial" w:eastAsia="Arial" w:hAnsi="Arial"/>
          <w:sz w:val="14"/>
          <w:szCs w:val="14"/>
          <w:color w:val="333740"/>
        </w:rPr>
        <w:t>All long-term equity incentive awards vest at the end of three years, providing a significant retention incentive to NEOs.</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333740"/>
        </w:rPr>
        <w:t>Alignment of pay and performance</w:t>
      </w:r>
    </w:p>
    <w:p>
      <w:pPr>
        <w:spacing w:after="0" w:line="156" w:lineRule="exact"/>
        <w:rPr>
          <w:sz w:val="20"/>
          <w:szCs w:val="20"/>
          <w:color w:val="auto"/>
        </w:rPr>
      </w:pPr>
    </w:p>
    <w:p>
      <w:pPr>
        <w:ind w:left="4" w:right="180"/>
        <w:spacing w:after="0" w:line="265" w:lineRule="auto"/>
        <w:rPr>
          <w:sz w:val="20"/>
          <w:szCs w:val="20"/>
          <w:color w:val="auto"/>
        </w:rPr>
      </w:pPr>
      <w:r>
        <w:rPr>
          <w:rFonts w:ascii="Arial" w:cs="Arial" w:eastAsia="Arial" w:hAnsi="Arial"/>
          <w:sz w:val="14"/>
          <w:szCs w:val="14"/>
          <w:color w:val="333740"/>
        </w:rPr>
        <w:t>The chart below presents the relative alignment of CEO pay to TSR performance over a two-year period compared to our 2019 Industry Peer Group. For more details on our 2019 Industry Peer Group, please see the section “</w:t>
      </w:r>
      <w:r>
        <w:rPr>
          <w:rFonts w:ascii="Arial" w:cs="Arial" w:eastAsia="Arial" w:hAnsi="Arial"/>
          <w:sz w:val="14"/>
          <w:szCs w:val="14"/>
          <w:i w:val="1"/>
          <w:iCs w:val="1"/>
          <w:color w:val="333740"/>
        </w:rPr>
        <w:t>—Compensation Governance—Compensation Decisions—Compensation Peer Groups</w:t>
      </w:r>
      <w:r>
        <w:rPr>
          <w:rFonts w:ascii="Arial" w:cs="Arial" w:eastAsia="Arial" w:hAnsi="Arial"/>
          <w:sz w:val="14"/>
          <w:szCs w:val="14"/>
          <w:color w:val="333740"/>
        </w:rPr>
        <w:t>.”</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4"/>
          <w:szCs w:val="14"/>
          <w:color w:val="333740"/>
        </w:rPr>
        <w:t>TechnipFMC’s position in the central corridor illustrates that our pay is in alignment with our performance.</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4"/>
          <w:szCs w:val="14"/>
          <w:color w:val="333740"/>
        </w:rPr>
        <w:t>Our two-year TSR performance for 2017-2018 is at the 57th percentile versus our peers, while our two-year CEO pay rank is at the 47th percentile of our peers.</w:t>
      </w:r>
    </w:p>
    <w:p>
      <w:pPr>
        <w:spacing w:after="0" w:line="232" w:lineRule="exact"/>
        <w:rPr>
          <w:sz w:val="20"/>
          <w:szCs w:val="20"/>
          <w:color w:val="auto"/>
        </w:rPr>
      </w:pPr>
    </w:p>
    <w:p>
      <w:pPr>
        <w:jc w:val="center"/>
        <w:ind w:right="-23"/>
        <w:spacing w:after="0"/>
        <w:rPr>
          <w:sz w:val="20"/>
          <w:szCs w:val="20"/>
          <w:color w:val="auto"/>
        </w:rPr>
      </w:pPr>
      <w:r>
        <w:rPr>
          <w:rFonts w:ascii="Arial" w:cs="Arial" w:eastAsia="Arial" w:hAnsi="Arial"/>
          <w:sz w:val="15"/>
          <w:szCs w:val="15"/>
          <w:b w:val="1"/>
          <w:bCs w:val="1"/>
          <w:color w:val="333740"/>
        </w:rPr>
        <w:t>TechnipFMC plc: Pay for Performance*</w:t>
      </w:r>
    </w:p>
    <w:p>
      <w:pPr>
        <w:spacing w:after="0" w:line="13" w:lineRule="exact"/>
        <w:rPr>
          <w:sz w:val="20"/>
          <w:szCs w:val="20"/>
          <w:color w:val="auto"/>
        </w:rPr>
      </w:pPr>
    </w:p>
    <w:p>
      <w:pPr>
        <w:jc w:val="center"/>
        <w:ind w:right="-23"/>
        <w:spacing w:after="0"/>
        <w:rPr>
          <w:sz w:val="20"/>
          <w:szCs w:val="20"/>
          <w:color w:val="auto"/>
        </w:rPr>
      </w:pPr>
      <w:r>
        <w:rPr>
          <w:rFonts w:ascii="Arial" w:cs="Arial" w:eastAsia="Arial" w:hAnsi="Arial"/>
          <w:sz w:val="15"/>
          <w:szCs w:val="15"/>
          <w:b w:val="1"/>
          <w:bCs w:val="1"/>
          <w:color w:val="333740"/>
        </w:rPr>
        <w:t>Two-Year CEO Pay Rank vs. Two-Year TSR Percentile 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1335405</wp:posOffset>
            </wp:positionH>
            <wp:positionV relativeFrom="paragraph">
              <wp:posOffset>106680</wp:posOffset>
            </wp:positionV>
            <wp:extent cx="4704715" cy="25876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04715" cy="258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
        <w:spacing w:after="0"/>
        <w:rPr>
          <w:sz w:val="20"/>
          <w:szCs w:val="20"/>
          <w:color w:val="auto"/>
        </w:rPr>
      </w:pPr>
      <w:r>
        <w:rPr>
          <w:rFonts w:ascii="Arial" w:cs="Arial" w:eastAsia="Arial" w:hAnsi="Arial"/>
          <w:sz w:val="11"/>
          <w:szCs w:val="11"/>
          <w:b w:val="1"/>
          <w:bCs w:val="1"/>
          <w:color w:val="333740"/>
        </w:rPr>
        <w:t>Two-Year CEO Pay Rank</w:t>
      </w:r>
    </w:p>
    <w:p>
      <w:pPr>
        <w:spacing w:after="0" w:line="91" w:lineRule="exact"/>
        <w:rPr>
          <w:sz w:val="20"/>
          <w:szCs w:val="20"/>
          <w:color w:val="auto"/>
        </w:rPr>
      </w:pPr>
    </w:p>
    <w:p>
      <w:pPr>
        <w:ind w:left="1864" w:right="40"/>
        <w:spacing w:after="0" w:line="239" w:lineRule="auto"/>
        <w:tabs>
          <w:tab w:leader="none" w:pos="1939" w:val="left"/>
        </w:tabs>
        <w:numPr>
          <w:ilvl w:val="0"/>
          <w:numId w:val="70"/>
        </w:numPr>
        <w:rPr>
          <w:rFonts w:ascii="Arial" w:cs="Arial" w:eastAsia="Arial" w:hAnsi="Arial"/>
          <w:sz w:val="11"/>
          <w:szCs w:val="11"/>
          <w:color w:val="333740"/>
        </w:rPr>
      </w:pPr>
      <w:r>
        <w:rPr>
          <w:rFonts w:ascii="Arial" w:cs="Arial" w:eastAsia="Arial" w:hAnsi="Arial"/>
          <w:sz w:val="11"/>
          <w:szCs w:val="11"/>
          <w:color w:val="333740"/>
        </w:rPr>
        <w:t>Two-year performance and pay data was used (instead of a three-year analysis) since the Merger was completed in 2017, and peer group data for 2019 was not available at the time of this Proxy Statement.</w:t>
      </w:r>
    </w:p>
    <w:p>
      <w:pPr>
        <w:spacing w:after="0" w:line="107" w:lineRule="exact"/>
        <w:rPr>
          <w:sz w:val="20"/>
          <w:szCs w:val="20"/>
          <w:color w:val="auto"/>
        </w:rPr>
      </w:pPr>
    </w:p>
    <w:p>
      <w:pPr>
        <w:ind w:left="1864"/>
        <w:spacing w:after="0" w:line="239" w:lineRule="auto"/>
        <w:rPr>
          <w:sz w:val="20"/>
          <w:szCs w:val="20"/>
          <w:color w:val="auto"/>
        </w:rPr>
      </w:pPr>
      <w:r>
        <w:rPr>
          <w:rFonts w:ascii="Arial" w:cs="Arial" w:eastAsia="Arial" w:hAnsi="Arial"/>
          <w:sz w:val="11"/>
          <w:szCs w:val="11"/>
          <w:color w:val="333740"/>
        </w:rPr>
        <w:t>In addition, the table above excludes the following companies from our Industry Peer Group: (i) Anadarko Petroleum Corporation and Chicago Bridge &amp; Iron due to merger/acquisition activity; (ii) Weatherford International plc due to Chapter 11 bankruptcy filing; and (iii) Subsea 7 S.A. due to insufficient disclosure.</w:t>
      </w:r>
    </w:p>
    <w:p>
      <w:pPr>
        <w:spacing w:after="0" w:line="307" w:lineRule="exact"/>
        <w:rPr>
          <w:sz w:val="20"/>
          <w:szCs w:val="20"/>
          <w:color w:val="auto"/>
        </w:rPr>
      </w:pPr>
    </w:p>
    <w:p>
      <w:pPr>
        <w:ind w:left="564" w:hanging="564"/>
        <w:spacing w:after="0"/>
        <w:tabs>
          <w:tab w:leader="none" w:pos="564" w:val="left"/>
        </w:tabs>
        <w:numPr>
          <w:ilvl w:val="0"/>
          <w:numId w:val="71"/>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59" w:name="page60"/>
    <w:bookmarkEnd w:id="59"/>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TechnipFMC 2019 Performance</w:t>
      </w:r>
    </w:p>
    <w:p>
      <w:pPr>
        <w:spacing w:after="0" w:line="93" w:lineRule="exact"/>
        <w:rPr>
          <w:sz w:val="20"/>
          <w:szCs w:val="20"/>
          <w:color w:val="auto"/>
        </w:rPr>
      </w:pPr>
    </w:p>
    <w:p>
      <w:pPr>
        <w:ind w:left="4" w:right="60"/>
        <w:spacing w:after="0" w:line="254" w:lineRule="auto"/>
        <w:rPr>
          <w:sz w:val="20"/>
          <w:szCs w:val="20"/>
          <w:color w:val="auto"/>
        </w:rPr>
      </w:pPr>
      <w:r>
        <w:rPr>
          <w:rFonts w:ascii="Arial" w:cs="Arial" w:eastAsia="Arial" w:hAnsi="Arial"/>
          <w:sz w:val="14"/>
          <w:szCs w:val="14"/>
          <w:color w:val="333740"/>
        </w:rPr>
        <w:t>TechnipFMC operates a sophisticated, global business in a highly competitive industry that has been negatively impacted by an extended period of low commodity prices. Our solutions add value to some of the largest capital investments in the world. We identified an opportunity to change the way projects are conceived and executed in the industry with the introduction of our subsea integrated engineering, procurement, construction, and installation (“</w:t>
      </w:r>
      <w:r>
        <w:rPr>
          <w:rFonts w:ascii="Arial" w:cs="Arial" w:eastAsia="Arial" w:hAnsi="Arial"/>
          <w:sz w:val="14"/>
          <w:szCs w:val="14"/>
          <w:b w:val="1"/>
          <w:bCs w:val="1"/>
          <w:color w:val="333740"/>
        </w:rPr>
        <w:t>iEPCI</w:t>
      </w:r>
      <w:r>
        <w:rPr>
          <w:rFonts w:ascii="Arial" w:cs="Arial" w:eastAsia="Arial" w:hAnsi="Arial"/>
          <w:sz w:val="14"/>
          <w:szCs w:val="14"/>
          <w:color w:val="333740"/>
        </w:rPr>
        <w:t>”) business model aimed at lowering project costs and accelerating the delivery of initial hydrocarbon production.</w:t>
      </w:r>
    </w:p>
    <w:p>
      <w:pPr>
        <w:spacing w:after="0" w:line="83" w:lineRule="exact"/>
        <w:rPr>
          <w:sz w:val="20"/>
          <w:szCs w:val="20"/>
          <w:color w:val="auto"/>
        </w:rPr>
      </w:pPr>
    </w:p>
    <w:p>
      <w:pPr>
        <w:ind w:left="4" w:right="20"/>
        <w:spacing w:after="0" w:line="257" w:lineRule="auto"/>
        <w:rPr>
          <w:sz w:val="20"/>
          <w:szCs w:val="20"/>
          <w:color w:val="auto"/>
        </w:rPr>
      </w:pPr>
      <w:r>
        <w:rPr>
          <w:rFonts w:ascii="Arial" w:cs="Arial" w:eastAsia="Arial" w:hAnsi="Arial"/>
          <w:sz w:val="14"/>
          <w:szCs w:val="14"/>
          <w:color w:val="333740"/>
        </w:rPr>
        <w:t>In 2019, the value of these integrated subsea awards to TechnipFMC more than doubled versus the prior year, representing more than 40% of all Subsea inbound orders. The increase was driven by further adoption of the integrated business model, particularly with those clients where we have unique alliances. With the industry’s most comprehensive and only truly integrated market offering, we have continued to expand the deepwater opportunity set for our customers.</w:t>
      </w:r>
    </w:p>
    <w:p>
      <w:pPr>
        <w:spacing w:after="0" w:line="80" w:lineRule="exact"/>
        <w:rPr>
          <w:sz w:val="20"/>
          <w:szCs w:val="20"/>
          <w:color w:val="auto"/>
        </w:rPr>
      </w:pPr>
    </w:p>
    <w:p>
      <w:pPr>
        <w:ind w:left="4"/>
        <w:spacing w:after="0" w:line="257" w:lineRule="auto"/>
        <w:rPr>
          <w:sz w:val="20"/>
          <w:szCs w:val="20"/>
          <w:color w:val="auto"/>
        </w:rPr>
      </w:pPr>
      <w:r>
        <w:rPr>
          <w:rFonts w:ascii="Arial" w:cs="Arial" w:eastAsia="Arial" w:hAnsi="Arial"/>
          <w:sz w:val="14"/>
          <w:szCs w:val="14"/>
          <w:color w:val="333740"/>
        </w:rPr>
        <w:t>TechnipFMC’s expertise does not end with the development of hydrocarbons. Because of its best-in-class project design and execution capabilities, enabled by a portfolio of proprietary technologies, TechnipFMC continues to secure and deliver projects that further enable our clients to monetize resources — from liquefaction of gas, both onshore and on floating vessels, to refining and production facilities, through new energy solutions and applications for the world’s energy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1092835</wp:posOffset>
            </wp:positionH>
            <wp:positionV relativeFrom="paragraph">
              <wp:posOffset>148590</wp:posOffset>
            </wp:positionV>
            <wp:extent cx="4962525" cy="16008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962525" cy="160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4" w:hanging="564"/>
        <w:spacing w:after="0"/>
        <w:tabs>
          <w:tab w:leader="none" w:pos="564" w:val="left"/>
        </w:tabs>
        <w:numPr>
          <w:ilvl w:val="0"/>
          <w:numId w:val="72"/>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60" w:name="page61"/>
    <w:bookmarkEnd w:id="60"/>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51" w:lineRule="exact"/>
        <w:rPr>
          <w:sz w:val="20"/>
          <w:szCs w:val="20"/>
          <w:color w:val="auto"/>
        </w:rPr>
      </w:pPr>
    </w:p>
    <w:p>
      <w:pPr>
        <w:ind w:left="4"/>
        <w:spacing w:after="0" w:line="257" w:lineRule="auto"/>
        <w:rPr>
          <w:sz w:val="20"/>
          <w:szCs w:val="20"/>
          <w:color w:val="auto"/>
        </w:rPr>
      </w:pPr>
      <w:r>
        <w:rPr>
          <w:rFonts w:ascii="Arial" w:cs="Arial" w:eastAsia="Arial" w:hAnsi="Arial"/>
          <w:sz w:val="14"/>
          <w:szCs w:val="14"/>
          <w:color w:val="333740"/>
        </w:rPr>
        <w:t>On August 26, 2019, the Company announced that it will separate into two diversified, pure-play market leaders — TechnipFMC, focused on subsea and surface hydrocarbon production, and Technip Energies, focused on downstream EPC project execution. The separation will enable both companies to benefit from distinct and compelling market opportunities across the energy value chain; dedicated focus of management, resources, and capital; and unique value propositions with differentiated investment appeal.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42545</wp:posOffset>
            </wp:positionV>
            <wp:extent cx="7620" cy="15557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20" cy="1555750"/>
                    </a:xfrm>
                    <a:prstGeom prst="rect">
                      <a:avLst/>
                    </a:prstGeom>
                    <a:noFill/>
                  </pic:spPr>
                </pic:pic>
              </a:graphicData>
            </a:graphic>
          </wp:anchor>
        </w:drawing>
      </w:r>
    </w:p>
    <w:p>
      <w:pPr>
        <w:spacing w:after="0" w:line="47" w:lineRule="exact"/>
        <w:rPr>
          <w:sz w:val="20"/>
          <w:szCs w:val="20"/>
          <w:color w:val="auto"/>
        </w:rPr>
      </w:pPr>
    </w:p>
    <w:tbl>
      <w:tblPr>
        <w:tblLayout w:type="fixed"/>
        <w:tblInd w:w="564" w:type="dxa"/>
        <w:tblCellMar>
          <w:top w:w="0" w:type="dxa"/>
          <w:left w:w="0" w:type="dxa"/>
          <w:bottom w:w="0" w:type="dxa"/>
          <w:right w:w="0" w:type="dxa"/>
        </w:tblCellMar>
      </w:tblPr>
      <w:tr>
        <w:trPr>
          <w:trHeight w:val="362"/>
        </w:trPr>
        <w:tc>
          <w:tcPr>
            <w:tcW w:w="5060" w:type="dxa"/>
            <w:vAlign w:val="bottom"/>
            <w:tcBorders>
              <w:bottom w:val="single" w:sz="8" w:color="481F6E"/>
            </w:tcBorders>
            <w:shd w:val="clear" w:color="auto" w:fill="481F6E"/>
          </w:tcPr>
          <w:p>
            <w:pPr>
              <w:ind w:left="100"/>
              <w:spacing w:after="0"/>
              <w:rPr>
                <w:sz w:val="20"/>
                <w:szCs w:val="20"/>
                <w:color w:val="auto"/>
              </w:rPr>
            </w:pPr>
            <w:r>
              <w:rPr>
                <w:rFonts w:ascii="Arial" w:cs="Arial" w:eastAsia="Arial" w:hAnsi="Arial"/>
                <w:sz w:val="18"/>
                <w:szCs w:val="18"/>
                <w:b w:val="1"/>
                <w:bCs w:val="1"/>
                <w:color w:val="FFFFFF"/>
              </w:rPr>
              <w:t>TechnipFMC (RemainCo)</w:t>
            </w:r>
          </w:p>
        </w:tc>
        <w:tc>
          <w:tcPr>
            <w:tcW w:w="5080" w:type="dxa"/>
            <w:vAlign w:val="bottom"/>
            <w:tcBorders>
              <w:bottom w:val="single" w:sz="8" w:color="D72930"/>
            </w:tcBorders>
            <w:shd w:val="clear" w:color="auto" w:fill="D72930"/>
          </w:tcPr>
          <w:p>
            <w:pPr>
              <w:ind w:left="100"/>
              <w:spacing w:after="0"/>
              <w:rPr>
                <w:sz w:val="20"/>
                <w:szCs w:val="20"/>
                <w:color w:val="auto"/>
              </w:rPr>
            </w:pPr>
            <w:r>
              <w:rPr>
                <w:rFonts w:ascii="Arial" w:cs="Arial" w:eastAsia="Arial" w:hAnsi="Arial"/>
                <w:sz w:val="18"/>
                <w:szCs w:val="18"/>
                <w:b w:val="1"/>
                <w:bCs w:val="1"/>
                <w:color w:val="FFFFFF"/>
              </w:rPr>
              <w:t>Technip Energies (SpinCo)</w:t>
            </w:r>
          </w:p>
        </w:tc>
        <w:tc>
          <w:tcPr>
            <w:tcW w:w="0" w:type="dxa"/>
            <w:vAlign w:val="bottom"/>
          </w:tcPr>
          <w:p>
            <w:pPr>
              <w:spacing w:after="0"/>
              <w:rPr>
                <w:sz w:val="1"/>
                <w:szCs w:val="1"/>
                <w:color w:val="auto"/>
              </w:rPr>
            </w:pPr>
          </w:p>
        </w:tc>
      </w:tr>
      <w:tr>
        <w:trPr>
          <w:trHeight w:val="253"/>
        </w:trPr>
        <w:tc>
          <w:tcPr>
            <w:tcW w:w="5060" w:type="dxa"/>
            <w:vAlign w:val="bottom"/>
            <w:shd w:val="clear" w:color="auto" w:fill="D7D8D6"/>
          </w:tcPr>
          <w:p>
            <w:pPr>
              <w:ind w:left="100"/>
              <w:spacing w:after="0"/>
              <w:rPr>
                <w:sz w:val="20"/>
                <w:szCs w:val="20"/>
                <w:color w:val="auto"/>
              </w:rPr>
            </w:pPr>
            <w:r>
              <w:rPr>
                <w:rFonts w:ascii="Arial" w:cs="Arial" w:eastAsia="Arial" w:hAnsi="Arial"/>
                <w:sz w:val="14"/>
                <w:szCs w:val="14"/>
                <w:b w:val="1"/>
                <w:bCs w:val="1"/>
                <w:color w:val="333740"/>
              </w:rPr>
              <w:t xml:space="preserve">TechnipFMC </w:t>
            </w:r>
            <w:r>
              <w:rPr>
                <w:rFonts w:ascii="Arial" w:cs="Arial" w:eastAsia="Arial" w:hAnsi="Arial"/>
                <w:sz w:val="14"/>
                <w:szCs w:val="14"/>
                <w:color w:val="333740"/>
              </w:rPr>
              <w:t>will be a fully integrated technology and services provider,</w:t>
            </w:r>
          </w:p>
        </w:tc>
        <w:tc>
          <w:tcPr>
            <w:tcW w:w="5080" w:type="dxa"/>
            <w:vAlign w:val="bottom"/>
            <w:shd w:val="clear" w:color="auto" w:fill="D7D8D6"/>
          </w:tcPr>
          <w:p>
            <w:pPr>
              <w:ind w:left="100"/>
              <w:spacing w:after="0"/>
              <w:rPr>
                <w:sz w:val="20"/>
                <w:szCs w:val="20"/>
                <w:color w:val="auto"/>
              </w:rPr>
            </w:pPr>
            <w:r>
              <w:rPr>
                <w:rFonts w:ascii="Arial" w:cs="Arial" w:eastAsia="Arial" w:hAnsi="Arial"/>
                <w:sz w:val="14"/>
                <w:szCs w:val="14"/>
                <w:b w:val="1"/>
                <w:bCs w:val="1"/>
                <w:color w:val="333740"/>
              </w:rPr>
              <w:t xml:space="preserve">Technip Energies </w:t>
            </w:r>
            <w:r>
              <w:rPr>
                <w:rFonts w:ascii="Arial" w:cs="Arial" w:eastAsia="Arial" w:hAnsi="Arial"/>
                <w:sz w:val="14"/>
                <w:szCs w:val="14"/>
                <w:color w:val="333740"/>
              </w:rPr>
              <w:t>will be a leading engineering and construction provider,</w:t>
            </w:r>
          </w:p>
        </w:tc>
        <w:tc>
          <w:tcPr>
            <w:tcW w:w="0" w:type="dxa"/>
            <w:vAlign w:val="bottom"/>
          </w:tcPr>
          <w:p>
            <w:pPr>
              <w:spacing w:after="0"/>
              <w:rPr>
                <w:sz w:val="1"/>
                <w:szCs w:val="1"/>
                <w:color w:val="auto"/>
              </w:rPr>
            </w:pPr>
          </w:p>
        </w:tc>
      </w:tr>
      <w:tr>
        <w:trPr>
          <w:trHeight w:val="167"/>
        </w:trPr>
        <w:tc>
          <w:tcPr>
            <w:tcW w:w="506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driving energy development across deepwater, conventional, and</w:t>
            </w:r>
          </w:p>
        </w:tc>
        <w:tc>
          <w:tcPr>
            <w:tcW w:w="508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with a robust project delivery model, strong technical capabilities, and proven</w:t>
            </w:r>
          </w:p>
        </w:tc>
        <w:tc>
          <w:tcPr>
            <w:tcW w:w="0" w:type="dxa"/>
            <w:vAlign w:val="bottom"/>
          </w:tcPr>
          <w:p>
            <w:pPr>
              <w:spacing w:after="0"/>
              <w:rPr>
                <w:sz w:val="1"/>
                <w:szCs w:val="1"/>
                <w:color w:val="auto"/>
              </w:rPr>
            </w:pPr>
          </w:p>
        </w:tc>
      </w:tr>
      <w:tr>
        <w:trPr>
          <w:trHeight w:val="167"/>
        </w:trPr>
        <w:tc>
          <w:tcPr>
            <w:tcW w:w="506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unconventional resources.</w:t>
            </w:r>
          </w:p>
        </w:tc>
        <w:tc>
          <w:tcPr>
            <w:tcW w:w="508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track record as demonstrated by the successful execution of some of the</w:t>
            </w:r>
          </w:p>
        </w:tc>
        <w:tc>
          <w:tcPr>
            <w:tcW w:w="0" w:type="dxa"/>
            <w:vAlign w:val="bottom"/>
          </w:tcPr>
          <w:p>
            <w:pPr>
              <w:spacing w:after="0"/>
              <w:rPr>
                <w:sz w:val="1"/>
                <w:szCs w:val="1"/>
                <w:color w:val="auto"/>
              </w:rPr>
            </w:pPr>
          </w:p>
        </w:tc>
      </w:tr>
      <w:tr>
        <w:trPr>
          <w:trHeight w:val="172"/>
        </w:trPr>
        <w:tc>
          <w:tcPr>
            <w:tcW w:w="5060" w:type="dxa"/>
            <w:vAlign w:val="bottom"/>
            <w:vMerge w:val="restart"/>
            <w:shd w:val="clear" w:color="auto" w:fill="D7D8D6"/>
          </w:tcPr>
          <w:p>
            <w:pPr>
              <w:ind w:left="100"/>
              <w:spacing w:after="0"/>
              <w:rPr>
                <w:sz w:val="20"/>
                <w:szCs w:val="20"/>
                <w:color w:val="auto"/>
              </w:rPr>
            </w:pPr>
            <w:r>
              <w:rPr>
                <w:rFonts w:ascii="Arial" w:cs="Arial" w:eastAsia="Arial" w:hAnsi="Arial"/>
                <w:sz w:val="14"/>
                <w:szCs w:val="14"/>
                <w:color w:val="333740"/>
              </w:rPr>
              <w:t>The Company will continue to demonstrate leadership in integrated subsea</w:t>
            </w:r>
          </w:p>
        </w:tc>
        <w:tc>
          <w:tcPr>
            <w:tcW w:w="508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world’s most iconic EPC projects.</w:t>
            </w:r>
          </w:p>
        </w:tc>
        <w:tc>
          <w:tcPr>
            <w:tcW w:w="0" w:type="dxa"/>
            <w:vAlign w:val="bottom"/>
          </w:tcPr>
          <w:p>
            <w:pPr>
              <w:spacing w:after="0"/>
              <w:rPr>
                <w:sz w:val="1"/>
                <w:szCs w:val="1"/>
                <w:color w:val="auto"/>
              </w:rPr>
            </w:pPr>
          </w:p>
        </w:tc>
      </w:tr>
      <w:tr>
        <w:trPr>
          <w:trHeight w:val="79"/>
        </w:trPr>
        <w:tc>
          <w:tcPr>
            <w:tcW w:w="5060" w:type="dxa"/>
            <w:vAlign w:val="bottom"/>
            <w:vMerge w:val="continue"/>
            <w:shd w:val="clear" w:color="auto" w:fill="D7D8D6"/>
          </w:tcPr>
          <w:p>
            <w:pPr>
              <w:spacing w:after="0"/>
              <w:rPr>
                <w:sz w:val="6"/>
                <w:szCs w:val="6"/>
                <w:color w:val="auto"/>
              </w:rPr>
            </w:pPr>
          </w:p>
        </w:tc>
        <w:tc>
          <w:tcPr>
            <w:tcW w:w="5080" w:type="dxa"/>
            <w:vAlign w:val="bottom"/>
            <w:shd w:val="clear" w:color="auto" w:fill="D7D8D6"/>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506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project delivery and will focus on replicating this success through the</w:t>
            </w:r>
          </w:p>
        </w:tc>
        <w:tc>
          <w:tcPr>
            <w:tcW w:w="508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The new company will continue to leverage its industry-leading process</w:t>
            </w:r>
          </w:p>
        </w:tc>
        <w:tc>
          <w:tcPr>
            <w:tcW w:w="0" w:type="dxa"/>
            <w:vAlign w:val="bottom"/>
          </w:tcPr>
          <w:p>
            <w:pPr>
              <w:spacing w:after="0"/>
              <w:rPr>
                <w:sz w:val="1"/>
                <w:szCs w:val="1"/>
                <w:color w:val="auto"/>
              </w:rPr>
            </w:pPr>
          </w:p>
        </w:tc>
      </w:tr>
      <w:tr>
        <w:trPr>
          <w:trHeight w:val="167"/>
        </w:trPr>
        <w:tc>
          <w:tcPr>
            <w:tcW w:w="506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development of integrated production models for the surface production</w:t>
            </w:r>
          </w:p>
        </w:tc>
        <w:tc>
          <w:tcPr>
            <w:tcW w:w="508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technology portfolio, particularly in the areas of ethylene and hydrogen, while</w:t>
            </w:r>
          </w:p>
        </w:tc>
        <w:tc>
          <w:tcPr>
            <w:tcW w:w="0" w:type="dxa"/>
            <w:vAlign w:val="bottom"/>
          </w:tcPr>
          <w:p>
            <w:pPr>
              <w:spacing w:after="0"/>
              <w:rPr>
                <w:sz w:val="1"/>
                <w:szCs w:val="1"/>
                <w:color w:val="auto"/>
              </w:rPr>
            </w:pPr>
          </w:p>
        </w:tc>
      </w:tr>
      <w:tr>
        <w:trPr>
          <w:trHeight w:val="172"/>
        </w:trPr>
        <w:tc>
          <w:tcPr>
            <w:tcW w:w="506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market.</w:t>
            </w:r>
          </w:p>
        </w:tc>
        <w:tc>
          <w:tcPr>
            <w:tcW w:w="508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pursuing further opportunities to enhance and differentiate this portfolio.</w:t>
            </w:r>
          </w:p>
        </w:tc>
        <w:tc>
          <w:tcPr>
            <w:tcW w:w="0" w:type="dxa"/>
            <w:vAlign w:val="bottom"/>
          </w:tcPr>
          <w:p>
            <w:pPr>
              <w:spacing w:after="0"/>
              <w:rPr>
                <w:sz w:val="1"/>
                <w:szCs w:val="1"/>
                <w:color w:val="auto"/>
              </w:rPr>
            </w:pPr>
          </w:p>
        </w:tc>
      </w:tr>
      <w:tr>
        <w:trPr>
          <w:trHeight w:val="221"/>
        </w:trPr>
        <w:tc>
          <w:tcPr>
            <w:tcW w:w="506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TechnipFMC is also poised to benefit from service opportunities</w:t>
            </w:r>
          </w:p>
        </w:tc>
        <w:tc>
          <w:tcPr>
            <w:tcW w:w="5080" w:type="dxa"/>
            <w:vAlign w:val="bottom"/>
            <w:shd w:val="clear" w:color="auto" w:fill="D7D8D6"/>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06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resulting from the world’s largest installed base of subsea</w:t>
            </w:r>
          </w:p>
        </w:tc>
        <w:tc>
          <w:tcPr>
            <w:tcW w:w="508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production equipment, umbilicals, risers, and flowlines.</w:t>
            </w:r>
          </w:p>
        </w:tc>
        <w:tc>
          <w:tcPr>
            <w:tcW w:w="5080" w:type="dxa"/>
            <w:vAlign w:val="bottom"/>
            <w:shd w:val="clear" w:color="auto" w:fill="D7D8D6"/>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10140" w:type="dxa"/>
            <w:vAlign w:val="bottom"/>
            <w:gridSpan w:val="2"/>
            <w:shd w:val="clear" w:color="auto" w:fill="D7D8D6"/>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10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140" w:type="dxa"/>
            <w:vAlign w:val="bottom"/>
            <w:gridSpan w:val="2"/>
            <w:shd w:val="clear" w:color="auto" w:fill="481F6E"/>
          </w:tcPr>
          <w:p>
            <w:pPr>
              <w:ind w:left="3980"/>
              <w:spacing w:after="0"/>
              <w:rPr>
                <w:sz w:val="20"/>
                <w:szCs w:val="20"/>
                <w:color w:val="auto"/>
              </w:rPr>
            </w:pPr>
            <w:r>
              <w:rPr>
                <w:rFonts w:ascii="Arial" w:cs="Arial" w:eastAsia="Arial" w:hAnsi="Arial"/>
                <w:sz w:val="14"/>
                <w:szCs w:val="14"/>
                <w:b w:val="1"/>
                <w:bCs w:val="1"/>
                <w:color w:val="FFFFFF"/>
              </w:rPr>
              <w:t>Creating Two Industry Leaders</w:t>
            </w:r>
          </w:p>
        </w:tc>
        <w:tc>
          <w:tcPr>
            <w:tcW w:w="0" w:type="dxa"/>
            <w:vAlign w:val="bottom"/>
          </w:tcPr>
          <w:p>
            <w:pPr>
              <w:spacing w:after="0"/>
              <w:rPr>
                <w:sz w:val="1"/>
                <w:szCs w:val="1"/>
                <w:color w:val="auto"/>
              </w:rPr>
            </w:pPr>
          </w:p>
        </w:tc>
      </w:tr>
      <w:tr>
        <w:trPr>
          <w:trHeight w:val="85"/>
        </w:trPr>
        <w:tc>
          <w:tcPr>
            <w:tcW w:w="5060" w:type="dxa"/>
            <w:vAlign w:val="bottom"/>
            <w:shd w:val="clear" w:color="auto" w:fill="481F6E"/>
          </w:tcPr>
          <w:p>
            <w:pPr>
              <w:spacing w:after="0"/>
              <w:rPr>
                <w:sz w:val="7"/>
                <w:szCs w:val="7"/>
                <w:color w:val="auto"/>
              </w:rPr>
            </w:pPr>
          </w:p>
        </w:tc>
        <w:tc>
          <w:tcPr>
            <w:tcW w:w="5080" w:type="dxa"/>
            <w:vAlign w:val="bottom"/>
            <w:shd w:val="clear" w:color="auto" w:fill="481F6E"/>
          </w:tcPr>
          <w:p>
            <w:pPr>
              <w:spacing w:after="0"/>
              <w:rPr>
                <w:sz w:val="7"/>
                <w:szCs w:val="7"/>
                <w:color w:val="auto"/>
              </w:rPr>
            </w:pPr>
          </w:p>
        </w:tc>
        <w:tc>
          <w:tcPr>
            <w:tcW w:w="0" w:type="dxa"/>
            <w:vAlign w:val="bottom"/>
          </w:tcPr>
          <w:p>
            <w:pPr>
              <w:spacing w:after="0"/>
              <w:rPr>
                <w:sz w:val="1"/>
                <w:szCs w:val="1"/>
                <w:color w:val="auto"/>
              </w:rPr>
            </w:pPr>
          </w:p>
        </w:tc>
      </w:tr>
      <w:tr>
        <w:trPr>
          <w:trHeight w:val="628"/>
        </w:trPr>
        <w:tc>
          <w:tcPr>
            <w:tcW w:w="5060" w:type="dxa"/>
            <w:vAlign w:val="bottom"/>
            <w:shd w:val="clear" w:color="auto" w:fill="E0E1DF"/>
          </w:tcPr>
          <w:p>
            <w:pPr>
              <w:ind w:left="1440"/>
              <w:spacing w:after="0"/>
              <w:rPr>
                <w:sz w:val="20"/>
                <w:szCs w:val="20"/>
                <w:color w:val="auto"/>
              </w:rPr>
            </w:pPr>
            <w:r>
              <w:rPr>
                <w:rFonts w:ascii="Arial" w:cs="Arial" w:eastAsia="Arial" w:hAnsi="Arial"/>
                <w:sz w:val="14"/>
                <w:szCs w:val="14"/>
                <w:b w:val="1"/>
                <w:bCs w:val="1"/>
                <w:color w:val="333740"/>
              </w:rPr>
              <w:t>Distinct and compelling</w:t>
            </w:r>
          </w:p>
        </w:tc>
        <w:tc>
          <w:tcPr>
            <w:tcW w:w="5080" w:type="dxa"/>
            <w:vAlign w:val="bottom"/>
            <w:shd w:val="clear" w:color="auto" w:fill="E0E1DF"/>
          </w:tcPr>
          <w:p>
            <w:pPr>
              <w:ind w:left="880"/>
              <w:spacing w:after="0"/>
              <w:rPr>
                <w:sz w:val="20"/>
                <w:szCs w:val="20"/>
                <w:color w:val="auto"/>
              </w:rPr>
            </w:pPr>
            <w:r>
              <w:rPr>
                <w:rFonts w:ascii="Arial" w:cs="Arial" w:eastAsia="Arial" w:hAnsi="Arial"/>
                <w:sz w:val="14"/>
                <w:szCs w:val="14"/>
                <w:b w:val="1"/>
                <w:bCs w:val="1"/>
                <w:color w:val="333740"/>
              </w:rPr>
              <w:t>Unique business profiles with</w:t>
            </w:r>
          </w:p>
        </w:tc>
        <w:tc>
          <w:tcPr>
            <w:tcW w:w="0" w:type="dxa"/>
            <w:vAlign w:val="bottom"/>
          </w:tcPr>
          <w:p>
            <w:pPr>
              <w:spacing w:after="0"/>
              <w:rPr>
                <w:sz w:val="1"/>
                <w:szCs w:val="1"/>
                <w:color w:val="auto"/>
              </w:rPr>
            </w:pPr>
          </w:p>
        </w:tc>
      </w:tr>
      <w:tr>
        <w:trPr>
          <w:trHeight w:val="191"/>
        </w:trPr>
        <w:tc>
          <w:tcPr>
            <w:tcW w:w="5060" w:type="dxa"/>
            <w:vAlign w:val="bottom"/>
            <w:shd w:val="clear" w:color="auto" w:fill="E0E1DF"/>
          </w:tcPr>
          <w:p>
            <w:pPr>
              <w:ind w:left="1440"/>
              <w:spacing w:after="0"/>
              <w:rPr>
                <w:sz w:val="20"/>
                <w:szCs w:val="20"/>
                <w:color w:val="auto"/>
              </w:rPr>
            </w:pPr>
            <w:r>
              <w:rPr>
                <w:rFonts w:ascii="Arial" w:cs="Arial" w:eastAsia="Arial" w:hAnsi="Arial"/>
                <w:sz w:val="14"/>
                <w:szCs w:val="14"/>
                <w:b w:val="1"/>
                <w:bCs w:val="1"/>
                <w:color w:val="333740"/>
              </w:rPr>
              <w:t>market opportunities</w:t>
            </w:r>
          </w:p>
        </w:tc>
        <w:tc>
          <w:tcPr>
            <w:tcW w:w="5080" w:type="dxa"/>
            <w:vAlign w:val="bottom"/>
            <w:shd w:val="clear" w:color="auto" w:fill="E0E1DF"/>
          </w:tcPr>
          <w:p>
            <w:pPr>
              <w:ind w:left="880"/>
              <w:spacing w:after="0"/>
              <w:rPr>
                <w:sz w:val="20"/>
                <w:szCs w:val="20"/>
                <w:color w:val="auto"/>
              </w:rPr>
            </w:pPr>
            <w:r>
              <w:rPr>
                <w:rFonts w:ascii="Arial" w:cs="Arial" w:eastAsia="Arial" w:hAnsi="Arial"/>
                <w:sz w:val="14"/>
                <w:szCs w:val="14"/>
                <w:b w:val="1"/>
                <w:bCs w:val="1"/>
                <w:color w:val="333740"/>
              </w:rPr>
              <w:t>differentiated investment appeal</w:t>
            </w:r>
          </w:p>
        </w:tc>
        <w:tc>
          <w:tcPr>
            <w:tcW w:w="0" w:type="dxa"/>
            <w:vAlign w:val="bottom"/>
          </w:tcPr>
          <w:p>
            <w:pPr>
              <w:spacing w:after="0"/>
              <w:rPr>
                <w:sz w:val="1"/>
                <w:szCs w:val="1"/>
                <w:color w:val="auto"/>
              </w:rPr>
            </w:pPr>
          </w:p>
        </w:tc>
      </w:tr>
      <w:tr>
        <w:trPr>
          <w:trHeight w:val="472"/>
        </w:trPr>
        <w:tc>
          <w:tcPr>
            <w:tcW w:w="5060" w:type="dxa"/>
            <w:vAlign w:val="bottom"/>
            <w:shd w:val="clear" w:color="auto" w:fill="E0E1DF"/>
          </w:tcPr>
          <w:p>
            <w:pPr>
              <w:spacing w:after="0"/>
              <w:rPr>
                <w:sz w:val="24"/>
                <w:szCs w:val="24"/>
                <w:color w:val="auto"/>
              </w:rPr>
            </w:pPr>
          </w:p>
        </w:tc>
        <w:tc>
          <w:tcPr>
            <w:tcW w:w="5080" w:type="dxa"/>
            <w:vAlign w:val="bottom"/>
            <w:shd w:val="clear" w:color="auto" w:fill="E0E1D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-819150</wp:posOffset>
            </wp:positionV>
            <wp:extent cx="6427470" cy="1934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427470" cy="1934845"/>
                    </a:xfrm>
                    <a:prstGeom prst="rect">
                      <a:avLst/>
                    </a:prstGeom>
                    <a:noFill/>
                  </pic:spPr>
                </pic:pic>
              </a:graphicData>
            </a:graphic>
          </wp:anchor>
        </w:drawing>
      </w:r>
    </w:p>
    <w:p>
      <w:pPr>
        <w:sectPr>
          <w:pgSz w:w="11900" w:h="16838" w:orient="portrait"/>
          <w:cols w:equalWidth="0" w:num="1">
            <w:col w:w="11004"/>
          </w:cols>
          <w:pgMar w:left="316" w:top="128" w:right="57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004"/>
        <w:spacing w:after="0"/>
        <w:rPr>
          <w:sz w:val="20"/>
          <w:szCs w:val="20"/>
          <w:color w:val="auto"/>
        </w:rPr>
      </w:pPr>
      <w:r>
        <w:rPr>
          <w:rFonts w:ascii="Arial" w:cs="Arial" w:eastAsia="Arial" w:hAnsi="Arial"/>
          <w:sz w:val="14"/>
          <w:szCs w:val="14"/>
          <w:b w:val="1"/>
          <w:bCs w:val="1"/>
          <w:color w:val="333740"/>
        </w:rPr>
        <w:t>Strong balance sheets and</w:t>
      </w:r>
    </w:p>
    <w:p>
      <w:pPr>
        <w:spacing w:after="0" w:line="30" w:lineRule="exact"/>
        <w:rPr>
          <w:sz w:val="20"/>
          <w:szCs w:val="20"/>
          <w:color w:val="auto"/>
        </w:rPr>
      </w:pPr>
    </w:p>
    <w:p>
      <w:pPr>
        <w:ind w:left="2004"/>
        <w:spacing w:after="0"/>
        <w:rPr>
          <w:sz w:val="20"/>
          <w:szCs w:val="20"/>
          <w:color w:val="auto"/>
        </w:rPr>
      </w:pPr>
      <w:r>
        <w:rPr>
          <w:rFonts w:ascii="Arial" w:cs="Arial" w:eastAsia="Arial" w:hAnsi="Arial"/>
          <w:sz w:val="14"/>
          <w:szCs w:val="14"/>
          <w:b w:val="1"/>
          <w:bCs w:val="1"/>
          <w:color w:val="333740"/>
        </w:rPr>
        <w:t>tailored capital structures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Focus, agility, and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strategic flexibility</w:t>
      </w:r>
    </w:p>
    <w:p>
      <w:pPr>
        <w:spacing w:after="0" w:line="200" w:lineRule="exact"/>
        <w:rPr>
          <w:sz w:val="20"/>
          <w:szCs w:val="20"/>
          <w:color w:val="auto"/>
        </w:rPr>
      </w:pPr>
    </w:p>
    <w:p>
      <w:pPr>
        <w:sectPr>
          <w:pgSz w:w="11900" w:h="16838" w:orient="portrait"/>
          <w:cols w:equalWidth="0" w:num="2">
            <w:col w:w="5784" w:space="720"/>
            <w:col w:w="4500"/>
          </w:cols>
          <w:pgMar w:left="316" w:top="128" w:right="579" w:bottom="1440" w:gutter="0" w:footer="0" w:header="0"/>
          <w:type w:val="continuous"/>
        </w:sectPr>
      </w:pPr>
    </w:p>
    <w:p>
      <w:pPr>
        <w:spacing w:after="0" w:line="337" w:lineRule="exact"/>
        <w:rPr>
          <w:sz w:val="20"/>
          <w:szCs w:val="20"/>
          <w:color w:val="auto"/>
        </w:rPr>
      </w:pPr>
    </w:p>
    <w:p>
      <w:pPr>
        <w:ind w:left="2544"/>
        <w:spacing w:after="0"/>
        <w:rPr>
          <w:sz w:val="20"/>
          <w:szCs w:val="20"/>
          <w:color w:val="auto"/>
        </w:rPr>
      </w:pPr>
      <w:r>
        <w:rPr>
          <w:rFonts w:ascii="Arial" w:cs="Arial" w:eastAsia="Arial" w:hAnsi="Arial"/>
          <w:sz w:val="14"/>
          <w:szCs w:val="14"/>
          <w:b w:val="1"/>
          <w:bCs w:val="1"/>
          <w:color w:val="333740"/>
        </w:rPr>
        <w:t>Continuing to reshape the energy industry and create value for all stakeholders</w:t>
      </w:r>
    </w:p>
    <w:p>
      <w:pPr>
        <w:spacing w:after="0" w:line="283" w:lineRule="exact"/>
        <w:rPr>
          <w:sz w:val="20"/>
          <w:szCs w:val="20"/>
          <w:color w:val="auto"/>
        </w:rPr>
      </w:pPr>
    </w:p>
    <w:p>
      <w:pPr>
        <w:ind w:left="4" w:right="80"/>
        <w:spacing w:after="0" w:line="265" w:lineRule="auto"/>
        <w:rPr>
          <w:sz w:val="20"/>
          <w:szCs w:val="20"/>
          <w:color w:val="auto"/>
        </w:rPr>
      </w:pPr>
      <w:r>
        <w:rPr>
          <w:rFonts w:ascii="Arial" w:cs="Arial" w:eastAsia="Arial" w:hAnsi="Arial"/>
          <w:sz w:val="14"/>
          <w:szCs w:val="14"/>
          <w:color w:val="333740"/>
        </w:rPr>
        <w:t>We expect that the executive compensation programs for these two companies will continue to emphasize performance and will be tailored to each company’s business and strategy.</w:t>
      </w:r>
    </w:p>
    <w:p>
      <w:pPr>
        <w:spacing w:after="0" w:line="292" w:lineRule="exact"/>
        <w:rPr>
          <w:sz w:val="20"/>
          <w:szCs w:val="20"/>
          <w:color w:val="auto"/>
        </w:rPr>
      </w:pPr>
    </w:p>
    <w:p>
      <w:pPr>
        <w:ind w:left="564" w:hanging="564"/>
        <w:spacing w:after="0"/>
        <w:tabs>
          <w:tab w:leader="none" w:pos="564" w:val="left"/>
        </w:tabs>
        <w:numPr>
          <w:ilvl w:val="0"/>
          <w:numId w:val="73"/>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04"/>
          </w:cols>
          <w:pgMar w:left="316" w:top="128" w:right="579" w:bottom="1440" w:gutter="0" w:footer="0" w:header="0"/>
          <w:type w:val="continuous"/>
        </w:sectPr>
      </w:pPr>
    </w:p>
    <w:bookmarkStart w:id="61" w:name="page62"/>
    <w:bookmarkEnd w:id="61"/>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21"/>
          <w:szCs w:val="21"/>
          <w:color w:val="481F6E"/>
        </w:rPr>
        <w:t>Key Strategic Achievements in 2019</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9"/>
          <w:szCs w:val="19"/>
          <w:color w:val="333740"/>
        </w:rPr>
        <w:t>We have summarized some of our key 2019 results and achievements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137795</wp:posOffset>
            </wp:positionV>
            <wp:extent cx="7160895" cy="13557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0895" cy="1355725"/>
                    </a:xfrm>
                    <a:prstGeom prst="rect">
                      <a:avLst/>
                    </a:prstGeom>
                    <a:noFill/>
                  </pic:spPr>
                </pic:pic>
              </a:graphicData>
            </a:graphic>
          </wp:anchor>
        </w:drawing>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97"/>
        </w:trPr>
        <w:tc>
          <w:tcPr>
            <w:tcW w:w="2280" w:type="dxa"/>
            <w:vAlign w:val="bottom"/>
            <w:shd w:val="clear" w:color="auto" w:fill="481F6E"/>
          </w:tcPr>
          <w:p>
            <w:pPr>
              <w:ind w:left="180"/>
              <w:spacing w:after="0"/>
              <w:rPr>
                <w:sz w:val="20"/>
                <w:szCs w:val="20"/>
                <w:color w:val="auto"/>
              </w:rPr>
            </w:pPr>
            <w:r>
              <w:rPr>
                <w:rFonts w:ascii="Arial" w:cs="Arial" w:eastAsia="Arial" w:hAnsi="Arial"/>
                <w:sz w:val="14"/>
                <w:szCs w:val="14"/>
                <w:color w:val="FFFFFF"/>
              </w:rPr>
              <w:t>Subsea</w:t>
            </w:r>
          </w:p>
        </w:tc>
        <w:tc>
          <w:tcPr>
            <w:tcW w:w="8980" w:type="dxa"/>
            <w:vAlign w:val="bottom"/>
            <w:shd w:val="clear" w:color="auto" w:fill="481F6E"/>
          </w:tcPr>
          <w:p>
            <w:pPr>
              <w:ind w:left="1620"/>
              <w:spacing w:after="0"/>
              <w:rPr>
                <w:sz w:val="20"/>
                <w:szCs w:val="20"/>
                <w:color w:val="auto"/>
              </w:rPr>
            </w:pPr>
            <w:r>
              <w:rPr>
                <w:rFonts w:ascii="Arial" w:cs="Arial" w:eastAsia="Arial" w:hAnsi="Arial"/>
                <w:sz w:val="14"/>
                <w:szCs w:val="14"/>
                <w:color w:val="FFFFFF"/>
              </w:rPr>
              <w:t>Financials</w:t>
            </w:r>
            <w:r>
              <w:rPr>
                <w:rFonts w:ascii="Arial" w:cs="Arial" w:eastAsia="Arial" w:hAnsi="Arial"/>
                <w:sz w:val="7"/>
                <w:szCs w:val="7"/>
                <w:color w:val="FFFFFF"/>
              </w:rPr>
              <w:t>1</w:t>
            </w:r>
          </w:p>
        </w:tc>
      </w:tr>
      <w:tr>
        <w:trPr>
          <w:trHeight w:val="85"/>
        </w:trPr>
        <w:tc>
          <w:tcPr>
            <w:tcW w:w="2280" w:type="dxa"/>
            <w:vAlign w:val="bottom"/>
            <w:shd w:val="clear" w:color="auto" w:fill="481F6E"/>
          </w:tcPr>
          <w:p>
            <w:pPr>
              <w:spacing w:after="0"/>
              <w:rPr>
                <w:sz w:val="7"/>
                <w:szCs w:val="7"/>
                <w:color w:val="auto"/>
              </w:rPr>
            </w:pPr>
          </w:p>
        </w:tc>
        <w:tc>
          <w:tcPr>
            <w:tcW w:w="8980" w:type="dxa"/>
            <w:vAlign w:val="bottom"/>
            <w:shd w:val="clear" w:color="auto" w:fill="481F6E"/>
          </w:tcPr>
          <w:p>
            <w:pPr>
              <w:spacing w:after="0"/>
              <w:rPr>
                <w:sz w:val="7"/>
                <w:szCs w:val="7"/>
                <w:color w:val="auto"/>
              </w:rPr>
            </w:pPr>
          </w:p>
        </w:tc>
      </w:tr>
    </w:tbl>
    <w:p>
      <w:pPr>
        <w:spacing w:after="0" w:line="38" w:lineRule="exact"/>
        <w:rPr>
          <w:sz w:val="20"/>
          <w:szCs w:val="20"/>
          <w:color w:val="auto"/>
        </w:rPr>
      </w:pPr>
    </w:p>
    <w:p>
      <w:pPr>
        <w:ind w:left="4184" w:right="3740" w:firstLine="2"/>
        <w:spacing w:after="0" w:line="266" w:lineRule="auto"/>
        <w:rPr>
          <w:sz w:val="20"/>
          <w:szCs w:val="20"/>
          <w:color w:val="auto"/>
        </w:rPr>
      </w:pPr>
      <w:r>
        <w:rPr>
          <w:rFonts w:ascii="Arial" w:cs="Arial" w:eastAsia="Arial" w:hAnsi="Arial"/>
          <w:sz w:val="14"/>
          <w:szCs w:val="14"/>
          <w:color w:val="333740"/>
        </w:rPr>
        <w:t>Revenue growth of 14% versus the prior year, driven by double-digit growth in both project and service activities</w:t>
      </w:r>
    </w:p>
    <w:p>
      <w:pPr>
        <w:spacing w:after="0" w:line="38" w:lineRule="exact"/>
        <w:rPr>
          <w:sz w:val="20"/>
          <w:szCs w:val="20"/>
          <w:color w:val="auto"/>
        </w:rPr>
      </w:pPr>
    </w:p>
    <w:p>
      <w:pPr>
        <w:ind w:left="4184" w:right="3940" w:hanging="42"/>
        <w:spacing w:after="0" w:line="283" w:lineRule="auto"/>
        <w:rPr>
          <w:sz w:val="20"/>
          <w:szCs w:val="20"/>
          <w:color w:val="auto"/>
        </w:rPr>
      </w:pPr>
      <w:r>
        <w:rPr>
          <w:rFonts w:ascii="Arial" w:cs="Arial" w:eastAsia="Arial" w:hAnsi="Arial"/>
          <w:sz w:val="14"/>
          <w:szCs w:val="14"/>
          <w:color w:val="333740"/>
        </w:rPr>
        <w:t>Integrated project activity a higher mix of business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607695</wp:posOffset>
            </wp:positionV>
            <wp:extent cx="7160895" cy="13023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0895" cy="130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4"/>
        <w:spacing w:after="0"/>
        <w:rPr>
          <w:sz w:val="20"/>
          <w:szCs w:val="20"/>
          <w:color w:val="auto"/>
        </w:rPr>
      </w:pPr>
      <w:r>
        <w:rPr>
          <w:rFonts w:ascii="Arial" w:cs="Arial" w:eastAsia="Arial" w:hAnsi="Arial"/>
          <w:sz w:val="14"/>
          <w:szCs w:val="14"/>
          <w:color w:val="FFFFFF"/>
        </w:rPr>
        <w:t>Onshore/Oﬀshore</w:t>
      </w:r>
    </w:p>
    <w:p>
      <w:pPr>
        <w:spacing w:after="0" w:line="187" w:lineRule="exact"/>
        <w:rPr>
          <w:sz w:val="20"/>
          <w:szCs w:val="20"/>
          <w:color w:val="auto"/>
        </w:rPr>
      </w:pPr>
    </w:p>
    <w:p>
      <w:pPr>
        <w:ind w:left="4184" w:right="4000" w:firstLine="34"/>
        <w:spacing w:after="0" w:line="257" w:lineRule="auto"/>
        <w:rPr>
          <w:sz w:val="20"/>
          <w:szCs w:val="20"/>
          <w:color w:val="auto"/>
        </w:rPr>
      </w:pPr>
      <w:r>
        <w:rPr>
          <w:rFonts w:ascii="Arial" w:cs="Arial" w:eastAsia="Arial" w:hAnsi="Arial"/>
          <w:sz w:val="14"/>
          <w:szCs w:val="14"/>
          <w:color w:val="333740"/>
        </w:rPr>
        <w:t>Three quarters of sequential revenue growth, as segment revenue has inflected above the 2018 trough</w:t>
      </w:r>
    </w:p>
    <w:p>
      <w:pPr>
        <w:spacing w:after="0" w:line="44" w:lineRule="exact"/>
        <w:rPr>
          <w:sz w:val="20"/>
          <w:szCs w:val="20"/>
          <w:color w:val="auto"/>
        </w:rPr>
      </w:pPr>
    </w:p>
    <w:p>
      <w:pPr>
        <w:ind w:left="4184" w:right="3920" w:hanging="10"/>
        <w:spacing w:after="0" w:line="265" w:lineRule="auto"/>
        <w:rPr>
          <w:sz w:val="20"/>
          <w:szCs w:val="20"/>
          <w:color w:val="auto"/>
        </w:rPr>
      </w:pPr>
      <w:r>
        <w:rPr>
          <w:rFonts w:ascii="Arial" w:cs="Arial" w:eastAsia="Arial" w:hAnsi="Arial"/>
          <w:sz w:val="14"/>
          <w:szCs w:val="14"/>
          <w:color w:val="333740"/>
        </w:rPr>
        <w:t>Revenue growth excluding the Yamal LNG project exceeded 25% versus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577215</wp:posOffset>
            </wp:positionV>
            <wp:extent cx="7160895" cy="129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0895" cy="129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4"/>
        <w:spacing w:after="0"/>
        <w:rPr>
          <w:sz w:val="20"/>
          <w:szCs w:val="20"/>
          <w:color w:val="auto"/>
        </w:rPr>
      </w:pPr>
      <w:r>
        <w:rPr>
          <w:rFonts w:ascii="Arial" w:cs="Arial" w:eastAsia="Arial" w:hAnsi="Arial"/>
          <w:sz w:val="14"/>
          <w:szCs w:val="14"/>
          <w:color w:val="FFFFFF"/>
        </w:rPr>
        <w:t>Surface Technologies</w:t>
      </w:r>
    </w:p>
    <w:p>
      <w:pPr>
        <w:spacing w:after="0" w:line="187" w:lineRule="exact"/>
        <w:rPr>
          <w:sz w:val="20"/>
          <w:szCs w:val="20"/>
          <w:color w:val="auto"/>
        </w:rPr>
      </w:pPr>
    </w:p>
    <w:p>
      <w:pPr>
        <w:ind w:left="4184" w:right="4140" w:firstLine="34"/>
        <w:spacing w:after="0" w:line="265" w:lineRule="auto"/>
        <w:rPr>
          <w:sz w:val="20"/>
          <w:szCs w:val="20"/>
          <w:color w:val="auto"/>
        </w:rPr>
      </w:pPr>
      <w:r>
        <w:rPr>
          <w:rFonts w:ascii="Arial" w:cs="Arial" w:eastAsia="Arial" w:hAnsi="Arial"/>
          <w:sz w:val="14"/>
          <w:szCs w:val="14"/>
          <w:color w:val="333740"/>
        </w:rPr>
        <w:t>Revenue growth of more than 15% in markets outside of North America versus the prior year</w:t>
      </w:r>
    </w:p>
    <w:p>
      <w:pPr>
        <w:spacing w:after="0" w:line="39" w:lineRule="exact"/>
        <w:rPr>
          <w:sz w:val="20"/>
          <w:szCs w:val="20"/>
          <w:color w:val="auto"/>
        </w:rPr>
      </w:pPr>
    </w:p>
    <w:p>
      <w:pPr>
        <w:ind w:left="4184" w:right="4040" w:hanging="10"/>
        <w:spacing w:after="0" w:line="265" w:lineRule="auto"/>
        <w:rPr>
          <w:sz w:val="20"/>
          <w:szCs w:val="20"/>
          <w:color w:val="auto"/>
        </w:rPr>
      </w:pPr>
      <w:r>
        <w:rPr>
          <w:rFonts w:ascii="Arial" w:cs="Arial" w:eastAsia="Arial" w:hAnsi="Arial"/>
          <w:sz w:val="14"/>
          <w:szCs w:val="14"/>
          <w:color w:val="333740"/>
        </w:rPr>
        <w:t>Surface international revenues account for more than 50% of total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4" w:hanging="304"/>
        <w:spacing w:after="0"/>
        <w:tabs>
          <w:tab w:leader="none" w:pos="304" w:val="left"/>
        </w:tabs>
        <w:numPr>
          <w:ilvl w:val="0"/>
          <w:numId w:val="74"/>
        </w:numPr>
        <w:rPr>
          <w:rFonts w:ascii="Arial" w:cs="Arial" w:eastAsia="Arial" w:hAnsi="Arial"/>
          <w:sz w:val="11"/>
          <w:szCs w:val="11"/>
          <w:color w:val="333740"/>
        </w:rPr>
      </w:pPr>
      <w:r>
        <w:rPr>
          <w:rFonts w:ascii="Arial" w:cs="Arial" w:eastAsia="Arial" w:hAnsi="Arial"/>
          <w:sz w:val="11"/>
          <w:szCs w:val="11"/>
          <w:color w:val="333740"/>
        </w:rPr>
        <w:t>Reported financial results for the twelve months ended December 31, 2019 and inbound and backlog as of December 31, 2019 are as reported in our Form 10-K.</w:t>
      </w:r>
    </w:p>
    <w:p>
      <w:pPr>
        <w:spacing w:after="0" w:line="361" w:lineRule="exact"/>
        <w:rPr>
          <w:sz w:val="20"/>
          <w:szCs w:val="20"/>
          <w:color w:val="auto"/>
        </w:rPr>
      </w:pPr>
    </w:p>
    <w:p>
      <w:pPr>
        <w:ind w:left="564" w:hanging="564"/>
        <w:spacing w:after="0"/>
        <w:tabs>
          <w:tab w:leader="none" w:pos="564" w:val="left"/>
        </w:tabs>
        <w:numPr>
          <w:ilvl w:val="0"/>
          <w:numId w:val="75"/>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62" w:name="page63"/>
    <w:bookmarkEnd w:id="62"/>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9"/>
          <w:szCs w:val="19"/>
          <w:color w:val="333740"/>
        </w:rPr>
        <w:t>Market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48195" cy="2051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8195" cy="205105"/>
                    </a:xfrm>
                    <a:prstGeom prst="rect">
                      <a:avLst/>
                    </a:prstGeom>
                    <a:noFill/>
                  </pic:spPr>
                </pic:pic>
              </a:graphicData>
            </a:graphic>
          </wp:anchor>
        </w:drawing>
      </w:r>
    </w:p>
    <w:p>
      <w:pPr>
        <w:spacing w:after="0" w:line="245" w:lineRule="exact"/>
        <w:rPr>
          <w:sz w:val="20"/>
          <w:szCs w:val="20"/>
          <w:color w:val="auto"/>
        </w:rPr>
      </w:pPr>
    </w:p>
    <w:p>
      <w:pPr>
        <w:ind w:left="144"/>
        <w:spacing w:after="0"/>
        <w:rPr>
          <w:sz w:val="20"/>
          <w:szCs w:val="20"/>
          <w:color w:val="auto"/>
        </w:rPr>
      </w:pPr>
      <w:r>
        <w:rPr>
          <w:rFonts w:ascii="Arial" w:cs="Arial" w:eastAsia="Arial" w:hAnsi="Arial"/>
          <w:sz w:val="14"/>
          <w:szCs w:val="14"/>
          <w:color w:val="FFFFFF"/>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148195" cy="12369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8195" cy="1236980"/>
                    </a:xfrm>
                    <a:prstGeom prst="rect">
                      <a:avLst/>
                    </a:prstGeom>
                    <a:noFill/>
                  </pic:spPr>
                </pic:pic>
              </a:graphicData>
            </a:graphic>
          </wp:anchor>
        </w:drawing>
      </w:r>
    </w:p>
    <w:p>
      <w:pPr>
        <w:spacing w:after="0" w:line="179" w:lineRule="exact"/>
        <w:rPr>
          <w:sz w:val="20"/>
          <w:szCs w:val="20"/>
          <w:color w:val="auto"/>
        </w:rPr>
      </w:pPr>
    </w:p>
    <w:p>
      <w:pPr>
        <w:ind w:left="2684" w:right="620" w:hanging="10"/>
        <w:spacing w:after="0" w:line="265" w:lineRule="auto"/>
        <w:rPr>
          <w:sz w:val="20"/>
          <w:szCs w:val="20"/>
          <w:color w:val="auto"/>
        </w:rPr>
      </w:pPr>
      <w:r>
        <w:rPr>
          <w:rFonts w:ascii="Arial" w:cs="Arial" w:eastAsia="Arial" w:hAnsi="Arial"/>
          <w:sz w:val="14"/>
          <w:szCs w:val="14"/>
          <w:color w:val="333740"/>
        </w:rPr>
        <w:t>Inbound order growth exceeded 50% versus the prior year, driven by integrated (iEPCI™) awards, subsea services, and new technologies</w:t>
      </w:r>
    </w:p>
    <w:p>
      <w:pPr>
        <w:spacing w:after="0" w:line="75" w:lineRule="exact"/>
        <w:rPr>
          <w:sz w:val="20"/>
          <w:szCs w:val="20"/>
          <w:color w:val="auto"/>
        </w:rPr>
      </w:pPr>
    </w:p>
    <w:p>
      <w:pPr>
        <w:ind w:left="2684" w:right="360" w:hanging="10"/>
        <w:spacing w:after="0" w:line="265" w:lineRule="auto"/>
        <w:rPr>
          <w:sz w:val="20"/>
          <w:szCs w:val="20"/>
          <w:color w:val="auto"/>
        </w:rPr>
      </w:pPr>
      <w:r>
        <w:rPr>
          <w:rFonts w:ascii="Arial" w:cs="Arial" w:eastAsia="Arial" w:hAnsi="Arial"/>
          <w:sz w:val="14"/>
          <w:szCs w:val="14"/>
          <w:color w:val="333740"/>
        </w:rPr>
        <w:t>Continued growth in adoption of the integrated model across multiple clients and regions including the Mozambique LNG Subsea project, our largest integrated subsea award to date</w:t>
      </w:r>
    </w:p>
    <w:p>
      <w:pPr>
        <w:spacing w:after="0" w:line="51" w:lineRule="exact"/>
        <w:rPr>
          <w:sz w:val="20"/>
          <w:szCs w:val="20"/>
          <w:color w:val="auto"/>
        </w:rPr>
      </w:pPr>
    </w:p>
    <w:p>
      <w:pPr>
        <w:ind w:left="2684"/>
        <w:spacing w:after="0"/>
        <w:rPr>
          <w:sz w:val="20"/>
          <w:szCs w:val="20"/>
          <w:color w:val="auto"/>
        </w:rPr>
      </w:pPr>
      <w:r>
        <w:rPr>
          <w:rFonts w:ascii="Arial" w:cs="Arial" w:eastAsia="Arial" w:hAnsi="Arial"/>
          <w:sz w:val="14"/>
          <w:szCs w:val="14"/>
          <w:color w:val="333740"/>
        </w:rPr>
        <w:t>Awarded industry’s first 20,000 psi high-pressure, high-temperature system for LLOG’s Shenandoah project in the U.S. Gulf of Mexico</w:t>
      </w:r>
    </w:p>
    <w:p>
      <w:pPr>
        <w:spacing w:after="0" w:line="102" w:lineRule="exact"/>
        <w:rPr>
          <w:sz w:val="20"/>
          <w:szCs w:val="20"/>
          <w:color w:val="auto"/>
        </w:rPr>
      </w:pPr>
    </w:p>
    <w:p>
      <w:pPr>
        <w:ind w:left="2684" w:hanging="10"/>
        <w:spacing w:after="0" w:line="265" w:lineRule="auto"/>
        <w:rPr>
          <w:sz w:val="20"/>
          <w:szCs w:val="20"/>
          <w:color w:val="auto"/>
        </w:rPr>
      </w:pPr>
      <w:r>
        <w:rPr>
          <w:rFonts w:ascii="Arial" w:cs="Arial" w:eastAsia="Arial" w:hAnsi="Arial"/>
          <w:sz w:val="14"/>
          <w:szCs w:val="14"/>
          <w:color w:val="333740"/>
        </w:rPr>
        <w:t>Further enhanced our competitive position through newly formed strategic partnerships, with particular focus on expanding the number of clients engaged in iEPCI alliances</w:t>
      </w:r>
    </w:p>
    <w:p>
      <w:pPr>
        <w:spacing w:after="0" w:line="75" w:lineRule="exact"/>
        <w:rPr>
          <w:sz w:val="20"/>
          <w:szCs w:val="20"/>
          <w:color w:val="auto"/>
        </w:rPr>
      </w:pPr>
    </w:p>
    <w:p>
      <w:pPr>
        <w:ind w:left="2684" w:right="300" w:hanging="10"/>
        <w:spacing w:after="0" w:line="265" w:lineRule="auto"/>
        <w:rPr>
          <w:sz w:val="20"/>
          <w:szCs w:val="20"/>
          <w:color w:val="auto"/>
        </w:rPr>
      </w:pPr>
      <w:r>
        <w:rPr>
          <w:rFonts w:ascii="Arial" w:cs="Arial" w:eastAsia="Arial" w:hAnsi="Arial"/>
          <w:sz w:val="14"/>
          <w:szCs w:val="14"/>
          <w:color w:val="333740"/>
        </w:rPr>
        <w:t>Entered into a strategic collaboration agreement with Allseas to jointly pursue deepwater projects where the assets, products, and capabilities of both companies are complementary and support the execution of our differentiated iEPCI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48195" cy="2273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8195" cy="227330"/>
                    </a:xfrm>
                    <a:prstGeom prst="rect">
                      <a:avLst/>
                    </a:prstGeom>
                    <a:noFill/>
                  </pic:spPr>
                </pic:pic>
              </a:graphicData>
            </a:graphic>
          </wp:anchor>
        </w:drawing>
      </w:r>
    </w:p>
    <w:p>
      <w:pPr>
        <w:spacing w:after="0" w:line="282" w:lineRule="exact"/>
        <w:rPr>
          <w:sz w:val="20"/>
          <w:szCs w:val="20"/>
          <w:color w:val="auto"/>
        </w:rPr>
      </w:pPr>
    </w:p>
    <w:p>
      <w:pPr>
        <w:ind w:left="144"/>
        <w:spacing w:after="0"/>
        <w:rPr>
          <w:sz w:val="20"/>
          <w:szCs w:val="20"/>
          <w:color w:val="auto"/>
        </w:rPr>
      </w:pPr>
      <w:r>
        <w:rPr>
          <w:rFonts w:ascii="Arial" w:cs="Arial" w:eastAsia="Arial" w:hAnsi="Arial"/>
          <w:sz w:val="14"/>
          <w:szCs w:val="14"/>
          <w:color w:val="FFFFFF"/>
        </w:rPr>
        <w:t>Onshore/Offshore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48195" cy="10623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8195" cy="1062355"/>
                    </a:xfrm>
                    <a:prstGeom prst="rect">
                      <a:avLst/>
                    </a:prstGeom>
                    <a:noFill/>
                  </pic:spPr>
                </pic:pic>
              </a:graphicData>
            </a:graphic>
          </wp:anchor>
        </w:drawing>
      </w:r>
    </w:p>
    <w:p>
      <w:pPr>
        <w:spacing w:after="0" w:line="70" w:lineRule="exact"/>
        <w:rPr>
          <w:sz w:val="20"/>
          <w:szCs w:val="20"/>
          <w:color w:val="auto"/>
        </w:rPr>
      </w:pPr>
    </w:p>
    <w:p>
      <w:pPr>
        <w:ind w:left="2704"/>
        <w:spacing w:after="0"/>
        <w:rPr>
          <w:sz w:val="20"/>
          <w:szCs w:val="20"/>
          <w:color w:val="auto"/>
        </w:rPr>
      </w:pPr>
      <w:r>
        <w:rPr>
          <w:rFonts w:ascii="Arial" w:cs="Arial" w:eastAsia="Arial" w:hAnsi="Arial"/>
          <w:sz w:val="14"/>
          <w:szCs w:val="14"/>
          <w:color w:val="auto"/>
        </w:rPr>
        <w:t>Inbound order growth exceeded 75% versus the prior year driven by EPC contract awards for LNG projects including:</w:t>
      </w:r>
    </w:p>
    <w:p>
      <w:pPr>
        <w:spacing w:after="0" w:line="6" w:lineRule="exact"/>
        <w:rPr>
          <w:sz w:val="20"/>
          <w:szCs w:val="20"/>
          <w:color w:val="auto"/>
        </w:rPr>
      </w:pPr>
    </w:p>
    <w:p>
      <w:pPr>
        <w:ind w:left="2984"/>
        <w:spacing w:after="0"/>
        <w:rPr>
          <w:sz w:val="20"/>
          <w:szCs w:val="20"/>
          <w:color w:val="auto"/>
        </w:rPr>
      </w:pPr>
      <w:r>
        <w:rPr>
          <w:rFonts w:ascii="Arial" w:cs="Arial" w:eastAsia="Arial" w:hAnsi="Arial"/>
          <w:sz w:val="14"/>
          <w:szCs w:val="14"/>
          <w:color w:val="auto"/>
        </w:rPr>
        <w:t>Novatek Arctic LNG 2 project which leverages our proven track record in delivering harsh environment mega projects</w:t>
      </w:r>
    </w:p>
    <w:p>
      <w:pPr>
        <w:spacing w:after="0" w:line="6" w:lineRule="exact"/>
        <w:rPr>
          <w:sz w:val="20"/>
          <w:szCs w:val="20"/>
          <w:color w:val="auto"/>
        </w:rPr>
      </w:pPr>
    </w:p>
    <w:p>
      <w:pPr>
        <w:ind w:left="2984" w:right="120" w:firstLine="12"/>
        <w:spacing w:after="0" w:line="249" w:lineRule="auto"/>
        <w:rPr>
          <w:sz w:val="20"/>
          <w:szCs w:val="20"/>
          <w:color w:val="auto"/>
        </w:rPr>
      </w:pPr>
      <w:r>
        <w:rPr>
          <w:rFonts w:ascii="Arial" w:cs="Arial" w:eastAsia="Arial" w:hAnsi="Arial"/>
          <w:sz w:val="14"/>
          <w:szCs w:val="14"/>
          <w:color w:val="auto"/>
        </w:rPr>
        <w:t>ExxonMobil Rovuma LNG project which builds upon our local content and expands our capabilities in Africa; the full value of the EPC contract will be included in backlog upon issuance of full notice to proceed, most likely in conjunction with project FID</w:t>
      </w:r>
    </w:p>
    <w:p>
      <w:pPr>
        <w:spacing w:after="0" w:line="1" w:lineRule="exact"/>
        <w:rPr>
          <w:sz w:val="20"/>
          <w:szCs w:val="20"/>
          <w:color w:val="auto"/>
        </w:rPr>
      </w:pPr>
    </w:p>
    <w:p>
      <w:pPr>
        <w:ind w:left="2704"/>
        <w:spacing w:after="0"/>
        <w:rPr>
          <w:sz w:val="20"/>
          <w:szCs w:val="20"/>
          <w:color w:val="auto"/>
        </w:rPr>
      </w:pPr>
      <w:r>
        <w:rPr>
          <w:rFonts w:ascii="Arial" w:cs="Arial" w:eastAsia="Arial" w:hAnsi="Arial"/>
          <w:sz w:val="14"/>
          <w:szCs w:val="14"/>
          <w:color w:val="auto"/>
        </w:rPr>
        <w:t>Strong order activity also supported by project awards in the downstream and gas monetization sectors:</w:t>
      </w:r>
    </w:p>
    <w:p>
      <w:pPr>
        <w:spacing w:after="0" w:line="6" w:lineRule="exact"/>
        <w:rPr>
          <w:sz w:val="20"/>
          <w:szCs w:val="20"/>
          <w:color w:val="auto"/>
        </w:rPr>
      </w:pPr>
    </w:p>
    <w:p>
      <w:pPr>
        <w:ind w:left="2984"/>
        <w:spacing w:after="0"/>
        <w:rPr>
          <w:sz w:val="20"/>
          <w:szCs w:val="20"/>
          <w:color w:val="auto"/>
        </w:rPr>
      </w:pPr>
      <w:r>
        <w:rPr>
          <w:rFonts w:ascii="Arial" w:cs="Arial" w:eastAsia="Arial" w:hAnsi="Arial"/>
          <w:sz w:val="14"/>
          <w:szCs w:val="14"/>
          <w:color w:val="auto"/>
        </w:rPr>
        <w:t>MIDOR Refinery modernization and expansion in Egypt</w:t>
      </w:r>
    </w:p>
    <w:p>
      <w:pPr>
        <w:spacing w:after="0" w:line="6" w:lineRule="exact"/>
        <w:rPr>
          <w:sz w:val="20"/>
          <w:szCs w:val="20"/>
          <w:color w:val="auto"/>
        </w:rPr>
      </w:pPr>
    </w:p>
    <w:p>
      <w:pPr>
        <w:ind w:left="2984" w:right="3680"/>
        <w:spacing w:after="0" w:line="249" w:lineRule="auto"/>
        <w:rPr>
          <w:sz w:val="20"/>
          <w:szCs w:val="20"/>
          <w:color w:val="auto"/>
        </w:rPr>
      </w:pPr>
      <w:r>
        <w:rPr>
          <w:rFonts w:ascii="Arial" w:cs="Arial" w:eastAsia="Arial" w:hAnsi="Arial"/>
          <w:sz w:val="14"/>
          <w:szCs w:val="14"/>
          <w:color w:val="auto"/>
        </w:rPr>
        <w:t>ExxonMobil Refinery crude expansion project in the U.S. Gulf of Mexico BP Greater Tortue Ahmeyim gas FPSO offshore Africa</w:t>
      </w:r>
    </w:p>
    <w:p>
      <w:pPr>
        <w:spacing w:after="0" w:line="1" w:lineRule="exact"/>
        <w:rPr>
          <w:sz w:val="20"/>
          <w:szCs w:val="20"/>
          <w:color w:val="auto"/>
        </w:rPr>
      </w:pPr>
    </w:p>
    <w:p>
      <w:pPr>
        <w:ind w:left="2684" w:right="320" w:firstLine="24"/>
        <w:spacing w:after="0" w:line="265" w:lineRule="auto"/>
        <w:rPr>
          <w:sz w:val="20"/>
          <w:szCs w:val="20"/>
          <w:color w:val="auto"/>
        </w:rPr>
      </w:pPr>
      <w:r>
        <w:rPr>
          <w:rFonts w:ascii="Arial" w:cs="Arial" w:eastAsia="Arial" w:hAnsi="Arial"/>
          <w:sz w:val="14"/>
          <w:szCs w:val="14"/>
          <w:color w:val="auto"/>
        </w:rPr>
        <w:t>Entered into EPICEROL® strategic license agreement with Meghmani Finechem, marking our first “green” epichlorohydrin (ECH) technology license in India</w:t>
      </w:r>
    </w:p>
    <w:p>
      <w:pPr>
        <w:spacing w:after="0" w:line="340" w:lineRule="exact"/>
        <w:rPr>
          <w:sz w:val="20"/>
          <w:szCs w:val="20"/>
          <w:color w:val="auto"/>
        </w:rPr>
      </w:pPr>
    </w:p>
    <w:p>
      <w:pPr>
        <w:ind w:left="564" w:hanging="564"/>
        <w:spacing w:after="0"/>
        <w:tabs>
          <w:tab w:leader="none" w:pos="564" w:val="left"/>
        </w:tabs>
        <w:numPr>
          <w:ilvl w:val="0"/>
          <w:numId w:val="7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4"/>
          </w:cols>
          <w:pgMar w:left="316" w:top="128" w:right="379" w:bottom="1440" w:gutter="0" w:footer="0" w:header="0"/>
        </w:sectPr>
      </w:pPr>
    </w:p>
    <w:bookmarkStart w:id="63" w:name="page64"/>
    <w:bookmarkEnd w:id="63"/>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48195" cy="2273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8195" cy="227330"/>
                    </a:xfrm>
                    <a:prstGeom prst="rect">
                      <a:avLst/>
                    </a:prstGeom>
                    <a:noFill/>
                  </pic:spPr>
                </pic:pic>
              </a:graphicData>
            </a:graphic>
          </wp:anchor>
        </w:drawing>
      </w:r>
    </w:p>
    <w:p>
      <w:pPr>
        <w:spacing w:after="0" w:line="238" w:lineRule="exact"/>
        <w:rPr>
          <w:sz w:val="20"/>
          <w:szCs w:val="20"/>
          <w:color w:val="auto"/>
        </w:rPr>
      </w:pPr>
    </w:p>
    <w:p>
      <w:pPr>
        <w:ind w:left="144"/>
        <w:spacing w:after="0"/>
        <w:rPr>
          <w:sz w:val="20"/>
          <w:szCs w:val="20"/>
          <w:color w:val="auto"/>
        </w:rPr>
      </w:pPr>
      <w:r>
        <w:rPr>
          <w:rFonts w:ascii="Arial" w:cs="Arial" w:eastAsia="Arial" w:hAnsi="Arial"/>
          <w:sz w:val="14"/>
          <w:szCs w:val="14"/>
          <w:color w:val="FFFFFF"/>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48195" cy="910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8195" cy="910590"/>
                    </a:xfrm>
                    <a:prstGeom prst="rect">
                      <a:avLst/>
                    </a:prstGeom>
                    <a:noFill/>
                  </pic:spPr>
                </pic:pic>
              </a:graphicData>
            </a:graphic>
          </wp:anchor>
        </w:drawing>
      </w:r>
    </w:p>
    <w:p>
      <w:pPr>
        <w:spacing w:after="0" w:line="154" w:lineRule="exact"/>
        <w:rPr>
          <w:sz w:val="20"/>
          <w:szCs w:val="20"/>
          <w:color w:val="auto"/>
        </w:rPr>
      </w:pPr>
    </w:p>
    <w:p>
      <w:pPr>
        <w:ind w:left="2684" w:right="120" w:hanging="10"/>
        <w:spacing w:after="0" w:line="265" w:lineRule="auto"/>
        <w:rPr>
          <w:sz w:val="20"/>
          <w:szCs w:val="20"/>
          <w:color w:val="auto"/>
        </w:rPr>
      </w:pPr>
      <w:r>
        <w:rPr>
          <w:rFonts w:ascii="Arial" w:cs="Arial" w:eastAsia="Arial" w:hAnsi="Arial"/>
          <w:sz w:val="14"/>
          <w:szCs w:val="14"/>
          <w:color w:val="333740"/>
        </w:rPr>
        <w:t>Capitalized on our high degree of vertical integration and technology differentiation outside North America where revenue increased more than 20% versus the prior year</w:t>
      </w:r>
    </w:p>
    <w:p>
      <w:pPr>
        <w:spacing w:after="0" w:line="75" w:lineRule="exact"/>
        <w:rPr>
          <w:sz w:val="20"/>
          <w:szCs w:val="20"/>
          <w:color w:val="auto"/>
        </w:rPr>
      </w:pPr>
    </w:p>
    <w:p>
      <w:pPr>
        <w:ind w:left="2684"/>
        <w:spacing w:after="0"/>
        <w:rPr>
          <w:sz w:val="20"/>
          <w:szCs w:val="20"/>
          <w:color w:val="auto"/>
        </w:rPr>
      </w:pPr>
      <w:r>
        <w:rPr>
          <w:rFonts w:ascii="Arial" w:cs="Arial" w:eastAsia="Arial" w:hAnsi="Arial"/>
          <w:sz w:val="14"/>
          <w:szCs w:val="14"/>
          <w:color w:val="333740"/>
        </w:rPr>
        <w:t>Successful introduction of several new product development items from our Frac 2.0 suite</w:t>
      </w:r>
    </w:p>
    <w:p>
      <w:pPr>
        <w:spacing w:after="0" w:line="102" w:lineRule="exact"/>
        <w:rPr>
          <w:sz w:val="20"/>
          <w:szCs w:val="20"/>
          <w:color w:val="auto"/>
        </w:rPr>
      </w:pPr>
    </w:p>
    <w:p>
      <w:pPr>
        <w:ind w:left="2684"/>
        <w:spacing w:after="0"/>
        <w:rPr>
          <w:sz w:val="20"/>
          <w:szCs w:val="20"/>
          <w:color w:val="auto"/>
        </w:rPr>
      </w:pPr>
      <w:r>
        <w:rPr>
          <w:rFonts w:ascii="Arial" w:cs="Arial" w:eastAsia="Arial" w:hAnsi="Arial"/>
          <w:sz w:val="14"/>
          <w:szCs w:val="14"/>
          <w:color w:val="333740"/>
        </w:rPr>
        <w:t>Successful introduction of our first Automated Well Testing Unit in the Bakken</w:t>
      </w:r>
    </w:p>
    <w:p>
      <w:pPr>
        <w:spacing w:after="0" w:line="66" w:lineRule="exact"/>
        <w:rPr>
          <w:sz w:val="20"/>
          <w:szCs w:val="20"/>
          <w:color w:val="auto"/>
        </w:rPr>
      </w:pPr>
    </w:p>
    <w:p>
      <w:pPr>
        <w:ind w:left="2684" w:right="680"/>
        <w:spacing w:after="0" w:line="407" w:lineRule="auto"/>
        <w:rPr>
          <w:sz w:val="20"/>
          <w:szCs w:val="20"/>
          <w:color w:val="auto"/>
        </w:rPr>
      </w:pPr>
      <w:r>
        <w:rPr>
          <w:rFonts w:ascii="Arial" w:cs="Arial" w:eastAsia="Arial" w:hAnsi="Arial"/>
          <w:sz w:val="14"/>
          <w:szCs w:val="14"/>
          <w:color w:val="333740"/>
        </w:rPr>
        <w:t>Applying our subsea integrated model to the U.S. land production market to further transform our North American business Awarded loading arms for an LNG project in Asia Pacific, one of our largest orders to date</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333740"/>
        </w:rPr>
        <w:t>Disciplined Capital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50735" cy="8096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735" cy="809625"/>
                    </a:xfrm>
                    <a:prstGeom prst="rect">
                      <a:avLst/>
                    </a:prstGeom>
                    <a:noFill/>
                  </pic:spPr>
                </pic:pic>
              </a:graphicData>
            </a:graphic>
          </wp:anchor>
        </w:drawing>
      </w:r>
    </w:p>
    <w:p>
      <w:pPr>
        <w:sectPr>
          <w:pgSz w:w="11900" w:h="16838" w:orient="portrait"/>
          <w:cols w:equalWidth="0" w:num="1">
            <w:col w:w="11124"/>
          </w:cols>
          <w:pgMar w:left="316" w:top="128" w:right="459" w:bottom="1440" w:gutter="0" w:footer="0" w:header="0"/>
        </w:sectPr>
      </w:pPr>
    </w:p>
    <w:p>
      <w:pPr>
        <w:spacing w:after="0" w:line="301" w:lineRule="exact"/>
        <w:rPr>
          <w:sz w:val="20"/>
          <w:szCs w:val="20"/>
          <w:color w:val="auto"/>
        </w:rPr>
      </w:pPr>
    </w:p>
    <w:p>
      <w:pPr>
        <w:ind w:left="164"/>
        <w:spacing w:after="0"/>
        <w:rPr>
          <w:sz w:val="20"/>
          <w:szCs w:val="20"/>
          <w:color w:val="auto"/>
        </w:rPr>
      </w:pPr>
      <w:r>
        <w:rPr>
          <w:rFonts w:ascii="Arial" w:cs="Arial" w:eastAsia="Arial" w:hAnsi="Arial"/>
          <w:sz w:val="14"/>
          <w:szCs w:val="14"/>
          <w:color w:val="333740"/>
        </w:rPr>
        <w:t>Total shareholder distributions of $326 million:</w:t>
      </w:r>
    </w:p>
    <w:p>
      <w:pPr>
        <w:spacing w:after="0" w:line="103" w:lineRule="exact"/>
        <w:rPr>
          <w:sz w:val="20"/>
          <w:szCs w:val="20"/>
          <w:color w:val="auto"/>
        </w:rPr>
      </w:pPr>
    </w:p>
    <w:p>
      <w:pPr>
        <w:ind w:left="504" w:right="80" w:hanging="73"/>
        <w:spacing w:after="0" w:line="265" w:lineRule="auto"/>
        <w:rPr>
          <w:sz w:val="20"/>
          <w:szCs w:val="20"/>
          <w:color w:val="auto"/>
        </w:rPr>
      </w:pPr>
      <w:r>
        <w:rPr>
          <w:rFonts w:ascii="Arial" w:cs="Arial" w:eastAsia="Arial" w:hAnsi="Arial"/>
          <w:sz w:val="14"/>
          <w:szCs w:val="14"/>
          <w:color w:val="333740"/>
        </w:rPr>
        <w:t>Dividend payments of $233 million Repurchase of Ordinary Shares of $93 million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333740"/>
        </w:rPr>
        <w:t>Capital expenditures* of $378 million:</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Continued to fund targeted growth initiatives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4"/>
          <w:szCs w:val="14"/>
          <w:color w:val="333740"/>
        </w:rPr>
        <w:t>Capital expenditures were below depreciation</w:t>
      </w:r>
    </w:p>
    <w:p>
      <w:pPr>
        <w:spacing w:after="0" w:line="124" w:lineRule="exact"/>
        <w:rPr>
          <w:sz w:val="20"/>
          <w:szCs w:val="20"/>
          <w:color w:val="auto"/>
        </w:rPr>
      </w:pPr>
    </w:p>
    <w:p>
      <w:pPr>
        <w:ind w:left="140" w:right="40" w:hanging="137"/>
        <w:spacing w:after="0" w:line="344" w:lineRule="auto"/>
        <w:tabs>
          <w:tab w:leader="none" w:pos="160" w:val="left"/>
        </w:tabs>
        <w:numPr>
          <w:ilvl w:val="0"/>
          <w:numId w:val="77"/>
        </w:numPr>
        <w:rPr>
          <w:rFonts w:ascii="Arial" w:cs="Arial" w:eastAsia="Arial" w:hAnsi="Arial"/>
          <w:sz w:val="14"/>
          <w:szCs w:val="14"/>
          <w:color w:val="333740"/>
        </w:rPr>
      </w:pPr>
      <w:r>
        <w:rPr>
          <w:rFonts w:ascii="Arial" w:cs="Arial" w:eastAsia="Arial" w:hAnsi="Arial"/>
          <w:sz w:val="14"/>
          <w:szCs w:val="14"/>
          <w:color w:val="333740"/>
        </w:rPr>
        <w:t>Excludes $80 million associated with dive support vessel acquisition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333740"/>
        </w:rPr>
        <w:t>Further optimization of Subsea fleet:</w:t>
      </w:r>
    </w:p>
    <w:p>
      <w:pPr>
        <w:spacing w:after="0" w:line="66" w:lineRule="exact"/>
        <w:rPr>
          <w:sz w:val="20"/>
          <w:szCs w:val="20"/>
          <w:color w:val="auto"/>
        </w:rPr>
      </w:pPr>
    </w:p>
    <w:p>
      <w:pPr>
        <w:ind w:left="280" w:right="360"/>
        <w:spacing w:after="0" w:line="265" w:lineRule="auto"/>
        <w:rPr>
          <w:sz w:val="20"/>
          <w:szCs w:val="20"/>
          <w:color w:val="auto"/>
        </w:rPr>
      </w:pPr>
      <w:r>
        <w:rPr>
          <w:rFonts w:ascii="Arial" w:cs="Arial" w:eastAsia="Arial" w:hAnsi="Arial"/>
          <w:sz w:val="14"/>
          <w:szCs w:val="14"/>
          <w:color w:val="333740"/>
        </w:rPr>
        <w:t>Disposal of a pipelay vessel while retaining predetermined operational access</w:t>
      </w:r>
    </w:p>
    <w:p>
      <w:pPr>
        <w:spacing w:after="0" w:line="51" w:lineRule="exact"/>
        <w:rPr>
          <w:sz w:val="20"/>
          <w:szCs w:val="20"/>
          <w:color w:val="auto"/>
        </w:rPr>
      </w:pPr>
    </w:p>
    <w:p>
      <w:pPr>
        <w:ind w:left="280" w:right="300"/>
        <w:spacing w:after="0" w:line="265" w:lineRule="auto"/>
        <w:rPr>
          <w:sz w:val="20"/>
          <w:szCs w:val="20"/>
          <w:color w:val="auto"/>
        </w:rPr>
      </w:pPr>
      <w:r>
        <w:rPr>
          <w:rFonts w:ascii="Arial" w:cs="Arial" w:eastAsia="Arial" w:hAnsi="Arial"/>
          <w:sz w:val="14"/>
          <w:szCs w:val="14"/>
          <w:color w:val="333740"/>
        </w:rPr>
        <w:t>Consolidation of pipelay support vessel joint venture to maximize fleet optionality</w:t>
      </w:r>
    </w:p>
    <w:p>
      <w:pPr>
        <w:spacing w:after="0" w:line="459" w:lineRule="exact"/>
        <w:rPr>
          <w:sz w:val="20"/>
          <w:szCs w:val="20"/>
          <w:color w:val="auto"/>
        </w:rPr>
      </w:pPr>
    </w:p>
    <w:p>
      <w:pPr>
        <w:sectPr>
          <w:pgSz w:w="11900" w:h="16838" w:orient="portrait"/>
          <w:cols w:equalWidth="0" w:num="3">
            <w:col w:w="3484" w:space="420"/>
            <w:col w:w="3200" w:space="640"/>
            <w:col w:w="3380"/>
          </w:cols>
          <w:pgMar w:left="316" w:top="128" w:right="459" w:bottom="1440" w:gutter="0" w:footer="0" w:header="0"/>
          <w:type w:val="continuous"/>
        </w:sectPr>
      </w:pPr>
    </w:p>
    <w:p>
      <w:pPr>
        <w:spacing w:after="0" w:line="2" w:lineRule="exact"/>
        <w:rPr>
          <w:sz w:val="20"/>
          <w:szCs w:val="20"/>
          <w:color w:val="auto"/>
        </w:rPr>
      </w:pPr>
    </w:p>
    <w:p>
      <w:pPr>
        <w:ind w:left="4"/>
        <w:spacing w:after="0" w:line="238" w:lineRule="auto"/>
        <w:rPr>
          <w:sz w:val="20"/>
          <w:szCs w:val="20"/>
          <w:color w:val="auto"/>
        </w:rPr>
      </w:pPr>
      <w:r>
        <w:rPr>
          <w:rFonts w:ascii="Arial" w:cs="Arial" w:eastAsia="Arial" w:hAnsi="Arial"/>
          <w:sz w:val="19"/>
          <w:szCs w:val="19"/>
          <w:color w:val="333740"/>
        </w:rPr>
        <w:t>While 2019 presented a competitive and challenging environment, our relentless focus on strong project execution and cost reduction drove solid operational performance. Our integrated business models have further reinforced our market leadership. We achieved robust year-over-year growth in inbound orders and backlog in both Subsea and Onshore/ Offshore, providing improved revenue visibility for 2020 and beyond. We are capitalizing on the offshore recovery and current LNG cycle through early customer engagement, demonstrated engineering capabilities, and multicenter execution. Additionally, in Surface Technologies, we are taking aggressive restructuring actions in North America to further realign our product and service offering to the changing markets, while leveraging our strong international franchise for the growth we see in markets outside of the United States. In support of the overall strategy, we continue to focus on quality, health, safety, and environment with the implementation of our quality and safety program.</w:t>
      </w:r>
    </w:p>
    <w:p>
      <w:pPr>
        <w:spacing w:after="0" w:line="356" w:lineRule="exact"/>
        <w:rPr>
          <w:sz w:val="20"/>
          <w:szCs w:val="20"/>
          <w:color w:val="auto"/>
        </w:rPr>
      </w:pPr>
    </w:p>
    <w:p>
      <w:pPr>
        <w:ind w:left="564" w:hanging="564"/>
        <w:spacing w:after="0"/>
        <w:tabs>
          <w:tab w:leader="none" w:pos="564" w:val="left"/>
        </w:tabs>
        <w:numPr>
          <w:ilvl w:val="0"/>
          <w:numId w:val="78"/>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24"/>
          </w:cols>
          <w:pgMar w:left="316" w:top="128" w:right="459" w:bottom="1440" w:gutter="0" w:footer="0" w:header="0"/>
          <w:type w:val="continuous"/>
        </w:sectPr>
      </w:pPr>
    </w:p>
    <w:bookmarkStart w:id="64" w:name="page65"/>
    <w:bookmarkEnd w:id="64"/>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333740"/>
        </w:rPr>
        <w:t>2017-2019 TSR Performance</w:t>
      </w:r>
    </w:p>
    <w:p>
      <w:pPr>
        <w:spacing w:after="0" w:line="56" w:lineRule="exact"/>
        <w:rPr>
          <w:sz w:val="20"/>
          <w:szCs w:val="20"/>
          <w:color w:val="auto"/>
        </w:rPr>
      </w:pPr>
    </w:p>
    <w:p>
      <w:pPr>
        <w:ind w:left="4" w:right="80"/>
        <w:spacing w:after="0" w:line="239" w:lineRule="auto"/>
        <w:rPr>
          <w:sz w:val="20"/>
          <w:szCs w:val="20"/>
          <w:color w:val="auto"/>
        </w:rPr>
      </w:pPr>
      <w:r>
        <w:rPr>
          <w:rFonts w:ascii="Arial" w:cs="Arial" w:eastAsia="Arial" w:hAnsi="Arial"/>
          <w:sz w:val="19"/>
          <w:szCs w:val="19"/>
          <w:color w:val="333740"/>
        </w:rPr>
        <w:t>30% of our long-term equity incentive plan is based on relative TSR performance versus the relative TSR peer group for the year of grant. As such, the figures below indicate the Company’s TSR performance against our 2017 Performance Peer Group as defined in our 2018 Proxy Statement (“</w:t>
      </w:r>
      <w:r>
        <w:rPr>
          <w:rFonts w:ascii="Arial" w:cs="Arial" w:eastAsia="Arial" w:hAnsi="Arial"/>
          <w:sz w:val="19"/>
          <w:szCs w:val="19"/>
          <w:b w:val="1"/>
          <w:bCs w:val="1"/>
          <w:color w:val="333740"/>
        </w:rPr>
        <w:t>2017 Performance Peer Group</w:t>
      </w:r>
      <w:r>
        <w:rPr>
          <w:rFonts w:ascii="Arial" w:cs="Arial" w:eastAsia="Arial" w:hAnsi="Arial"/>
          <w:sz w:val="19"/>
          <w:szCs w:val="19"/>
          <w:color w:val="333740"/>
        </w:rPr>
        <w:t>”) and against the Philadelphia Oil Service Sector (OSX) index. Note that the OSX index is not used for plan payout, but provided as a reference point to demonstrate TSR performance for the oil service industry as a whole during this period.</w:t>
      </w:r>
    </w:p>
    <w:p>
      <w:pPr>
        <w:spacing w:after="0" w:line="71" w:lineRule="exact"/>
        <w:rPr>
          <w:sz w:val="20"/>
          <w:szCs w:val="20"/>
          <w:color w:val="auto"/>
        </w:rPr>
      </w:pPr>
    </w:p>
    <w:p>
      <w:pPr>
        <w:ind w:left="4" w:right="440"/>
        <w:spacing w:after="0" w:line="247" w:lineRule="auto"/>
        <w:rPr>
          <w:sz w:val="20"/>
          <w:szCs w:val="20"/>
          <w:color w:val="auto"/>
        </w:rPr>
      </w:pPr>
      <w:r>
        <w:rPr>
          <w:rFonts w:ascii="Arial" w:cs="Arial" w:eastAsia="Arial" w:hAnsi="Arial"/>
          <w:sz w:val="19"/>
          <w:szCs w:val="19"/>
          <w:color w:val="333740"/>
        </w:rPr>
        <w:t>Although our absolute TSR for this period was negative, our relative TSR was above the median for our 2017 Performance Peer Group, demonstrating superior relative performance during a period of downturn for the industry.</w:t>
      </w:r>
    </w:p>
    <w:p>
      <w:pPr>
        <w:spacing w:after="0" w:line="76" w:lineRule="exact"/>
        <w:rPr>
          <w:sz w:val="20"/>
          <w:szCs w:val="20"/>
          <w:color w:val="auto"/>
        </w:rPr>
      </w:pPr>
    </w:p>
    <w:p>
      <w:pPr>
        <w:jc w:val="both"/>
        <w:ind w:left="4"/>
        <w:spacing w:after="0" w:line="242" w:lineRule="auto"/>
        <w:rPr>
          <w:sz w:val="20"/>
          <w:szCs w:val="20"/>
          <w:color w:val="auto"/>
        </w:rPr>
      </w:pPr>
      <w:r>
        <w:rPr>
          <w:rFonts w:ascii="Arial" w:cs="Arial" w:eastAsia="Arial" w:hAnsi="Arial"/>
          <w:sz w:val="19"/>
          <w:szCs w:val="19"/>
          <w:color w:val="333740"/>
        </w:rPr>
        <w:t>Note: Our executive compensation plan rules capped the payout of the relative TSR component of the 2017-2019 PSU award at target, despite above target performance. For more details on this, please see the section “</w:t>
      </w:r>
      <w:r>
        <w:rPr>
          <w:rFonts w:ascii="Arial" w:cs="Arial" w:eastAsia="Arial" w:hAnsi="Arial"/>
          <w:sz w:val="19"/>
          <w:szCs w:val="19"/>
          <w:i w:val="1"/>
          <w:iCs w:val="1"/>
          <w:color w:val="333740"/>
        </w:rPr>
        <w:t>—Elements of 2019 Executive</w:t>
      </w:r>
      <w:r>
        <w:rPr>
          <w:rFonts w:ascii="Arial" w:cs="Arial" w:eastAsia="Arial" w:hAnsi="Arial"/>
          <w:sz w:val="19"/>
          <w:szCs w:val="19"/>
          <w:color w:val="333740"/>
        </w:rPr>
        <w:t xml:space="preserve"> </w:t>
      </w:r>
      <w:r>
        <w:rPr>
          <w:rFonts w:ascii="Arial" w:cs="Arial" w:eastAsia="Arial" w:hAnsi="Arial"/>
          <w:sz w:val="19"/>
          <w:szCs w:val="19"/>
          <w:i w:val="1"/>
          <w:iCs w:val="1"/>
          <w:color w:val="333740"/>
        </w:rPr>
        <w:t>Compensation—Long-Term Equity Incentives—Vesting of 2017 PSU Awards</w:t>
      </w:r>
      <w:r>
        <w:rPr>
          <w:rFonts w:ascii="Arial" w:cs="Arial" w:eastAsia="Arial" w:hAnsi="Arial"/>
          <w:sz w:val="19"/>
          <w:szCs w:val="19"/>
          <w:color w:val="3337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1919605</wp:posOffset>
            </wp:positionH>
            <wp:positionV relativeFrom="paragraph">
              <wp:posOffset>130175</wp:posOffset>
            </wp:positionV>
            <wp:extent cx="3308350" cy="3717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08350" cy="371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 w:right="340"/>
        <w:spacing w:after="0" w:line="242" w:lineRule="auto"/>
        <w:rPr>
          <w:sz w:val="20"/>
          <w:szCs w:val="20"/>
          <w:color w:val="auto"/>
        </w:rPr>
      </w:pPr>
      <w:r>
        <w:rPr>
          <w:rFonts w:ascii="Arial" w:cs="Arial" w:eastAsia="Arial" w:hAnsi="Arial"/>
          <w:sz w:val="19"/>
          <w:szCs w:val="19"/>
          <w:color w:val="333740"/>
        </w:rPr>
        <w:t>For detailed information regarding our 2019 results, please see our Form 10-K, which reports our results using U.S. generally accepted accounting principles, and our U.K. Annual Reports and Accounts, which reports our results using international financial reporting standards (as adopted by the European Union).</w:t>
      </w:r>
    </w:p>
    <w:p>
      <w:pPr>
        <w:spacing w:after="0" w:line="353" w:lineRule="exact"/>
        <w:rPr>
          <w:sz w:val="20"/>
          <w:szCs w:val="20"/>
          <w:color w:val="auto"/>
        </w:rPr>
      </w:pPr>
    </w:p>
    <w:p>
      <w:pPr>
        <w:ind w:left="564" w:hanging="564"/>
        <w:spacing w:after="0"/>
        <w:tabs>
          <w:tab w:leader="none" w:pos="564" w:val="left"/>
        </w:tabs>
        <w:numPr>
          <w:ilvl w:val="0"/>
          <w:numId w:val="79"/>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65" w:name="page66"/>
    <w:bookmarkEnd w:id="65"/>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481F6E"/>
        </w:rPr>
        <w:t>2019 Performance Impact on Compensation</w:t>
      </w:r>
    </w:p>
    <w:p>
      <w:pPr>
        <w:spacing w:after="0" w:line="224" w:lineRule="exact"/>
        <w:rPr>
          <w:sz w:val="20"/>
          <w:szCs w:val="20"/>
          <w:color w:val="auto"/>
        </w:rPr>
      </w:pPr>
    </w:p>
    <w:p>
      <w:pPr>
        <w:ind w:left="4" w:right="260"/>
        <w:spacing w:after="0" w:line="262" w:lineRule="auto"/>
        <w:rPr>
          <w:sz w:val="20"/>
          <w:szCs w:val="20"/>
          <w:color w:val="auto"/>
        </w:rPr>
      </w:pPr>
      <w:r>
        <w:rPr>
          <w:rFonts w:ascii="Arial" w:cs="Arial" w:eastAsia="Arial" w:hAnsi="Arial"/>
          <w:sz w:val="16"/>
          <w:szCs w:val="16"/>
          <w:color w:val="333740"/>
        </w:rPr>
        <w:t>The table below outlines the elements of our compensation program that are directly tied to Company performance, along with 2019 performance and resulting payouts. For additional details, including calculations and payout scales, please see the sections “</w:t>
      </w:r>
      <w:r>
        <w:rPr>
          <w:rFonts w:ascii="Arial" w:cs="Arial" w:eastAsia="Arial" w:hAnsi="Arial"/>
          <w:sz w:val="16"/>
          <w:szCs w:val="16"/>
          <w:i w:val="1"/>
          <w:iCs w:val="1"/>
          <w:color w:val="333740"/>
        </w:rPr>
        <w:t>—Elements of 2019 Executive Compensation—Annual Cash Incentive</w:t>
      </w:r>
      <w:r>
        <w:rPr>
          <w:rFonts w:ascii="Arial" w:cs="Arial" w:eastAsia="Arial" w:hAnsi="Arial"/>
          <w:sz w:val="16"/>
          <w:szCs w:val="16"/>
          <w:color w:val="333740"/>
        </w:rPr>
        <w:t xml:space="preserve"> </w:t>
      </w:r>
      <w:r>
        <w:rPr>
          <w:rFonts w:ascii="Arial" w:cs="Arial" w:eastAsia="Arial" w:hAnsi="Arial"/>
          <w:sz w:val="16"/>
          <w:szCs w:val="16"/>
          <w:i w:val="1"/>
          <w:iCs w:val="1"/>
          <w:color w:val="333740"/>
        </w:rPr>
        <w:t>Bonus” and “—Elements of 2019 Executive Compensation—Long-Term Equity Incentives—Vesting of 2017 PSU Awards</w:t>
      </w:r>
      <w:r>
        <w:rPr>
          <w:rFonts w:ascii="Arial" w:cs="Arial" w:eastAsia="Arial" w:hAnsi="Arial"/>
          <w:sz w:val="16"/>
          <w:szCs w:val="16"/>
          <w:color w:val="3337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48195" cy="22002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8195" cy="2200275"/>
                    </a:xfrm>
                    <a:prstGeom prst="rect">
                      <a:avLst/>
                    </a:prstGeom>
                    <a:noFill/>
                  </pic:spPr>
                </pic:pic>
              </a:graphicData>
            </a:graphic>
          </wp:anchor>
        </w:drawing>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227"/>
        </w:trPr>
        <w:tc>
          <w:tcPr>
            <w:tcW w:w="1700" w:type="dxa"/>
            <w:vAlign w:val="bottom"/>
            <w:shd w:val="clear" w:color="auto" w:fill="481F6E"/>
          </w:tcPr>
          <w:p>
            <w:pPr>
              <w:ind w:left="180"/>
              <w:spacing w:after="0"/>
              <w:rPr>
                <w:sz w:val="20"/>
                <w:szCs w:val="20"/>
                <w:color w:val="auto"/>
              </w:rPr>
            </w:pPr>
            <w:r>
              <w:rPr>
                <w:rFonts w:ascii="Arial" w:cs="Arial" w:eastAsia="Arial" w:hAnsi="Arial"/>
                <w:sz w:val="16"/>
                <w:szCs w:val="16"/>
                <w:color w:val="FFFFFF"/>
              </w:rPr>
              <w:t>Compensation</w:t>
            </w:r>
          </w:p>
        </w:tc>
        <w:tc>
          <w:tcPr>
            <w:tcW w:w="3760" w:type="dxa"/>
            <w:vAlign w:val="bottom"/>
            <w:vMerge w:val="restart"/>
            <w:shd w:val="clear" w:color="auto" w:fill="481F6E"/>
          </w:tcPr>
          <w:p>
            <w:pPr>
              <w:ind w:left="200"/>
              <w:spacing w:after="0"/>
              <w:rPr>
                <w:sz w:val="20"/>
                <w:szCs w:val="20"/>
                <w:color w:val="auto"/>
              </w:rPr>
            </w:pPr>
            <w:r>
              <w:rPr>
                <w:rFonts w:ascii="Arial" w:cs="Arial" w:eastAsia="Arial" w:hAnsi="Arial"/>
                <w:sz w:val="16"/>
                <w:szCs w:val="16"/>
                <w:color w:val="FFFFFF"/>
              </w:rPr>
              <w:t>Objective</w:t>
            </w:r>
          </w:p>
        </w:tc>
        <w:tc>
          <w:tcPr>
            <w:tcW w:w="660" w:type="dxa"/>
            <w:vAlign w:val="bottom"/>
            <w:shd w:val="clear" w:color="auto" w:fill="481F6E"/>
          </w:tcPr>
          <w:p>
            <w:pPr>
              <w:ind w:left="140"/>
              <w:spacing w:after="0"/>
              <w:rPr>
                <w:sz w:val="20"/>
                <w:szCs w:val="20"/>
                <w:color w:val="auto"/>
              </w:rPr>
            </w:pPr>
            <w:r>
              <w:rPr>
                <w:rFonts w:ascii="Arial" w:cs="Arial" w:eastAsia="Arial" w:hAnsi="Arial"/>
                <w:sz w:val="16"/>
                <w:szCs w:val="16"/>
                <w:color w:val="FFFFFF"/>
              </w:rPr>
              <w:t>2019</w:t>
            </w:r>
          </w:p>
        </w:tc>
        <w:tc>
          <w:tcPr>
            <w:tcW w:w="960" w:type="dxa"/>
            <w:vAlign w:val="bottom"/>
            <w:shd w:val="clear" w:color="auto" w:fill="481F6E"/>
          </w:tcPr>
          <w:p>
            <w:pPr>
              <w:spacing w:after="0"/>
              <w:rPr>
                <w:sz w:val="20"/>
                <w:szCs w:val="20"/>
                <w:color w:val="auto"/>
              </w:rPr>
            </w:pPr>
            <w:r>
              <w:rPr>
                <w:rFonts w:ascii="Arial" w:cs="Arial" w:eastAsia="Arial" w:hAnsi="Arial"/>
                <w:sz w:val="16"/>
                <w:szCs w:val="16"/>
                <w:color w:val="FFFFFF"/>
              </w:rPr>
              <w:t>Performance</w:t>
            </w:r>
          </w:p>
        </w:tc>
        <w:tc>
          <w:tcPr>
            <w:tcW w:w="540" w:type="dxa"/>
            <w:vAlign w:val="bottom"/>
            <w:shd w:val="clear" w:color="auto" w:fill="481F6E"/>
          </w:tcPr>
          <w:p>
            <w:pPr>
              <w:spacing w:after="0"/>
              <w:rPr>
                <w:sz w:val="19"/>
                <w:szCs w:val="19"/>
                <w:color w:val="auto"/>
              </w:rPr>
            </w:pPr>
          </w:p>
        </w:tc>
        <w:tc>
          <w:tcPr>
            <w:tcW w:w="1580" w:type="dxa"/>
            <w:vAlign w:val="bottom"/>
            <w:vMerge w:val="restart"/>
            <w:shd w:val="clear" w:color="auto" w:fill="481F6E"/>
          </w:tcPr>
          <w:p>
            <w:pPr>
              <w:ind w:left="100"/>
              <w:spacing w:after="0"/>
              <w:rPr>
                <w:sz w:val="20"/>
                <w:szCs w:val="20"/>
                <w:color w:val="auto"/>
              </w:rPr>
            </w:pPr>
            <w:r>
              <w:rPr>
                <w:rFonts w:ascii="Arial" w:cs="Arial" w:eastAsia="Arial" w:hAnsi="Arial"/>
                <w:sz w:val="16"/>
                <w:szCs w:val="16"/>
                <w:color w:val="FFFFFF"/>
              </w:rPr>
              <w:t>2019 Performance</w:t>
            </w:r>
          </w:p>
        </w:tc>
        <w:tc>
          <w:tcPr>
            <w:tcW w:w="360" w:type="dxa"/>
            <w:vAlign w:val="bottom"/>
            <w:shd w:val="clear" w:color="auto" w:fill="481F6E"/>
          </w:tcPr>
          <w:p>
            <w:pPr>
              <w:spacing w:after="0"/>
              <w:rPr>
                <w:sz w:val="19"/>
                <w:szCs w:val="19"/>
                <w:color w:val="auto"/>
              </w:rPr>
            </w:pPr>
          </w:p>
        </w:tc>
        <w:tc>
          <w:tcPr>
            <w:tcW w:w="1700" w:type="dxa"/>
            <w:vAlign w:val="bottom"/>
            <w:vMerge w:val="restart"/>
            <w:shd w:val="clear" w:color="auto" w:fill="481F6E"/>
          </w:tcPr>
          <w:p>
            <w:pPr>
              <w:ind w:left="60"/>
              <w:spacing w:after="0"/>
              <w:rPr>
                <w:sz w:val="20"/>
                <w:szCs w:val="20"/>
                <w:color w:val="auto"/>
              </w:rPr>
            </w:pPr>
            <w:r>
              <w:rPr>
                <w:rFonts w:ascii="Arial" w:cs="Arial" w:eastAsia="Arial" w:hAnsi="Arial"/>
                <w:sz w:val="16"/>
                <w:szCs w:val="16"/>
                <w:color w:val="FFFFFF"/>
              </w:rPr>
              <w:t>2019 Payout</w:t>
            </w:r>
          </w:p>
        </w:tc>
        <w:tc>
          <w:tcPr>
            <w:tcW w:w="0" w:type="dxa"/>
            <w:vAlign w:val="bottom"/>
          </w:tcPr>
          <w:p>
            <w:pPr>
              <w:spacing w:after="0"/>
              <w:rPr>
                <w:sz w:val="1"/>
                <w:szCs w:val="1"/>
                <w:color w:val="auto"/>
              </w:rPr>
            </w:pPr>
          </w:p>
        </w:tc>
      </w:tr>
      <w:tr>
        <w:trPr>
          <w:trHeight w:val="108"/>
        </w:trPr>
        <w:tc>
          <w:tcPr>
            <w:tcW w:w="1700" w:type="dxa"/>
            <w:vAlign w:val="bottom"/>
            <w:vMerge w:val="restart"/>
            <w:shd w:val="clear" w:color="auto" w:fill="481F6E"/>
          </w:tcPr>
          <w:p>
            <w:pPr>
              <w:ind w:left="180"/>
              <w:spacing w:after="0"/>
              <w:rPr>
                <w:sz w:val="20"/>
                <w:szCs w:val="20"/>
                <w:color w:val="auto"/>
              </w:rPr>
            </w:pPr>
            <w:r>
              <w:rPr>
                <w:rFonts w:ascii="Arial" w:cs="Arial" w:eastAsia="Arial" w:hAnsi="Arial"/>
                <w:sz w:val="16"/>
                <w:szCs w:val="16"/>
                <w:color w:val="FFFFFF"/>
              </w:rPr>
              <w:t>Element</w:t>
            </w:r>
          </w:p>
        </w:tc>
        <w:tc>
          <w:tcPr>
            <w:tcW w:w="3760" w:type="dxa"/>
            <w:vAlign w:val="bottom"/>
            <w:vMerge w:val="continue"/>
            <w:shd w:val="clear" w:color="auto" w:fill="481F6E"/>
          </w:tcPr>
          <w:p>
            <w:pPr>
              <w:spacing w:after="0"/>
              <w:rPr>
                <w:sz w:val="9"/>
                <w:szCs w:val="9"/>
                <w:color w:val="auto"/>
              </w:rPr>
            </w:pPr>
          </w:p>
        </w:tc>
        <w:tc>
          <w:tcPr>
            <w:tcW w:w="1620" w:type="dxa"/>
            <w:vAlign w:val="bottom"/>
            <w:gridSpan w:val="2"/>
            <w:vMerge w:val="restart"/>
            <w:shd w:val="clear" w:color="auto" w:fill="481F6E"/>
          </w:tcPr>
          <w:p>
            <w:pPr>
              <w:ind w:left="140"/>
              <w:spacing w:after="0"/>
              <w:rPr>
                <w:sz w:val="20"/>
                <w:szCs w:val="20"/>
                <w:color w:val="auto"/>
              </w:rPr>
            </w:pPr>
            <w:r>
              <w:rPr>
                <w:rFonts w:ascii="Arial" w:cs="Arial" w:eastAsia="Arial" w:hAnsi="Arial"/>
                <w:sz w:val="16"/>
                <w:szCs w:val="16"/>
                <w:color w:val="FFFFFF"/>
              </w:rPr>
              <w:t>Measures</w:t>
            </w:r>
          </w:p>
        </w:tc>
        <w:tc>
          <w:tcPr>
            <w:tcW w:w="540" w:type="dxa"/>
            <w:vAlign w:val="bottom"/>
            <w:shd w:val="clear" w:color="auto" w:fill="481F6E"/>
          </w:tcPr>
          <w:p>
            <w:pPr>
              <w:spacing w:after="0"/>
              <w:rPr>
                <w:sz w:val="9"/>
                <w:szCs w:val="9"/>
                <w:color w:val="auto"/>
              </w:rPr>
            </w:pPr>
          </w:p>
        </w:tc>
        <w:tc>
          <w:tcPr>
            <w:tcW w:w="1580" w:type="dxa"/>
            <w:vAlign w:val="bottom"/>
            <w:vMerge w:val="continue"/>
            <w:shd w:val="clear" w:color="auto" w:fill="481F6E"/>
          </w:tcPr>
          <w:p>
            <w:pPr>
              <w:spacing w:after="0"/>
              <w:rPr>
                <w:sz w:val="9"/>
                <w:szCs w:val="9"/>
                <w:color w:val="auto"/>
              </w:rPr>
            </w:pPr>
          </w:p>
        </w:tc>
        <w:tc>
          <w:tcPr>
            <w:tcW w:w="360" w:type="dxa"/>
            <w:vAlign w:val="bottom"/>
            <w:shd w:val="clear" w:color="auto" w:fill="481F6E"/>
          </w:tcPr>
          <w:p>
            <w:pPr>
              <w:spacing w:after="0"/>
              <w:rPr>
                <w:sz w:val="9"/>
                <w:szCs w:val="9"/>
                <w:color w:val="auto"/>
              </w:rPr>
            </w:pPr>
          </w:p>
        </w:tc>
        <w:tc>
          <w:tcPr>
            <w:tcW w:w="1700" w:type="dxa"/>
            <w:vAlign w:val="bottom"/>
            <w:vMerge w:val="continue"/>
            <w:shd w:val="clear" w:color="auto" w:fill="481F6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00" w:type="dxa"/>
            <w:vAlign w:val="bottom"/>
            <w:tcBorders>
              <w:bottom w:val="single" w:sz="8" w:color="481F6E"/>
            </w:tcBorders>
            <w:vMerge w:val="continue"/>
            <w:shd w:val="clear" w:color="auto" w:fill="481F6E"/>
          </w:tcPr>
          <w:p>
            <w:pPr>
              <w:spacing w:after="0"/>
              <w:rPr>
                <w:sz w:val="11"/>
                <w:szCs w:val="11"/>
                <w:color w:val="auto"/>
              </w:rPr>
            </w:pPr>
          </w:p>
        </w:tc>
        <w:tc>
          <w:tcPr>
            <w:tcW w:w="3760" w:type="dxa"/>
            <w:vAlign w:val="bottom"/>
            <w:tcBorders>
              <w:bottom w:val="single" w:sz="8" w:color="481F6E"/>
            </w:tcBorders>
            <w:shd w:val="clear" w:color="auto" w:fill="481F6E"/>
          </w:tcPr>
          <w:p>
            <w:pPr>
              <w:spacing w:after="0"/>
              <w:rPr>
                <w:sz w:val="11"/>
                <w:szCs w:val="11"/>
                <w:color w:val="auto"/>
              </w:rPr>
            </w:pPr>
          </w:p>
        </w:tc>
        <w:tc>
          <w:tcPr>
            <w:tcW w:w="1620" w:type="dxa"/>
            <w:vAlign w:val="bottom"/>
            <w:tcBorders>
              <w:bottom w:val="single" w:sz="8" w:color="481F6E"/>
            </w:tcBorders>
            <w:gridSpan w:val="2"/>
            <w:vMerge w:val="continue"/>
            <w:shd w:val="clear" w:color="auto" w:fill="481F6E"/>
          </w:tcPr>
          <w:p>
            <w:pPr>
              <w:spacing w:after="0"/>
              <w:rPr>
                <w:sz w:val="11"/>
                <w:szCs w:val="11"/>
                <w:color w:val="auto"/>
              </w:rPr>
            </w:pPr>
          </w:p>
        </w:tc>
        <w:tc>
          <w:tcPr>
            <w:tcW w:w="540" w:type="dxa"/>
            <w:vAlign w:val="bottom"/>
            <w:tcBorders>
              <w:bottom w:val="single" w:sz="8" w:color="481F6E"/>
            </w:tcBorders>
            <w:shd w:val="clear" w:color="auto" w:fill="481F6E"/>
          </w:tcPr>
          <w:p>
            <w:pPr>
              <w:spacing w:after="0"/>
              <w:rPr>
                <w:sz w:val="11"/>
                <w:szCs w:val="11"/>
                <w:color w:val="auto"/>
              </w:rPr>
            </w:pPr>
          </w:p>
        </w:tc>
        <w:tc>
          <w:tcPr>
            <w:tcW w:w="1580" w:type="dxa"/>
            <w:vAlign w:val="bottom"/>
            <w:tcBorders>
              <w:bottom w:val="single" w:sz="8" w:color="481F6E"/>
            </w:tcBorders>
            <w:shd w:val="clear" w:color="auto" w:fill="481F6E"/>
          </w:tcPr>
          <w:p>
            <w:pPr>
              <w:spacing w:after="0"/>
              <w:rPr>
                <w:sz w:val="11"/>
                <w:szCs w:val="11"/>
                <w:color w:val="auto"/>
              </w:rPr>
            </w:pPr>
          </w:p>
        </w:tc>
        <w:tc>
          <w:tcPr>
            <w:tcW w:w="360" w:type="dxa"/>
            <w:vAlign w:val="bottom"/>
            <w:tcBorders>
              <w:bottom w:val="single" w:sz="8" w:color="481F6E"/>
            </w:tcBorders>
            <w:shd w:val="clear" w:color="auto" w:fill="481F6E"/>
          </w:tcPr>
          <w:p>
            <w:pPr>
              <w:spacing w:after="0"/>
              <w:rPr>
                <w:sz w:val="11"/>
                <w:szCs w:val="11"/>
                <w:color w:val="auto"/>
              </w:rPr>
            </w:pPr>
          </w:p>
        </w:tc>
        <w:tc>
          <w:tcPr>
            <w:tcW w:w="1700" w:type="dxa"/>
            <w:vAlign w:val="bottom"/>
            <w:tcBorders>
              <w:bottom w:val="single" w:sz="8" w:color="481F6E"/>
            </w:tcBorders>
            <w:shd w:val="clear" w:color="auto" w:fill="481F6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700" w:type="dxa"/>
            <w:vAlign w:val="bottom"/>
            <w:vMerge w:val="restart"/>
            <w:shd w:val="clear" w:color="auto" w:fill="D7D8D6"/>
          </w:tcPr>
          <w:p>
            <w:pPr>
              <w:ind w:left="180"/>
              <w:spacing w:after="0"/>
              <w:rPr>
                <w:sz w:val="20"/>
                <w:szCs w:val="20"/>
                <w:color w:val="auto"/>
              </w:rPr>
            </w:pPr>
            <w:r>
              <w:rPr>
                <w:rFonts w:ascii="Arial" w:cs="Arial" w:eastAsia="Arial" w:hAnsi="Arial"/>
                <w:sz w:val="16"/>
                <w:szCs w:val="16"/>
                <w:color w:val="333740"/>
              </w:rPr>
              <w:t>Long-Term</w:t>
            </w:r>
          </w:p>
        </w:tc>
        <w:tc>
          <w:tcPr>
            <w:tcW w:w="3760" w:type="dxa"/>
            <w:vAlign w:val="bottom"/>
            <w:vMerge w:val="restart"/>
            <w:shd w:val="clear" w:color="auto" w:fill="D7D8D6"/>
          </w:tcPr>
          <w:p>
            <w:pPr>
              <w:ind w:left="200"/>
              <w:spacing w:after="0"/>
              <w:rPr>
                <w:sz w:val="20"/>
                <w:szCs w:val="20"/>
                <w:color w:val="auto"/>
              </w:rPr>
            </w:pPr>
            <w:r>
              <w:rPr>
                <w:rFonts w:ascii="Arial" w:cs="Arial" w:eastAsia="Arial" w:hAnsi="Arial"/>
                <w:sz w:val="16"/>
                <w:szCs w:val="16"/>
                <w:color w:val="333740"/>
              </w:rPr>
              <w:t>To drive and reward the achievement of long-term</w:t>
            </w:r>
          </w:p>
        </w:tc>
        <w:tc>
          <w:tcPr>
            <w:tcW w:w="1620" w:type="dxa"/>
            <w:vAlign w:val="bottom"/>
            <w:gridSpan w:val="2"/>
            <w:shd w:val="clear" w:color="auto" w:fill="D7D8D6"/>
          </w:tcPr>
          <w:p>
            <w:pPr>
              <w:ind w:left="140"/>
              <w:spacing w:after="0"/>
              <w:rPr>
                <w:sz w:val="20"/>
                <w:szCs w:val="20"/>
                <w:color w:val="auto"/>
              </w:rPr>
            </w:pPr>
            <w:r>
              <w:rPr>
                <w:rFonts w:ascii="Arial" w:cs="Arial" w:eastAsia="Arial" w:hAnsi="Arial"/>
                <w:sz w:val="13"/>
                <w:szCs w:val="13"/>
                <w:color w:val="333740"/>
              </w:rPr>
              <w:t>30% PSUs</w:t>
            </w:r>
          </w:p>
        </w:tc>
        <w:tc>
          <w:tcPr>
            <w:tcW w:w="540" w:type="dxa"/>
            <w:vAlign w:val="bottom"/>
            <w:vMerge w:val="restart"/>
            <w:shd w:val="clear" w:color="auto" w:fill="D7D8D6"/>
          </w:tcPr>
          <w:p>
            <w:pPr>
              <w:jc w:val="center"/>
              <w:ind w:left="132"/>
              <w:spacing w:after="0"/>
              <w:rPr>
                <w:sz w:val="20"/>
                <w:szCs w:val="20"/>
                <w:color w:val="auto"/>
              </w:rPr>
            </w:pPr>
            <w:r>
              <w:rPr>
                <w:rFonts w:ascii="Arial" w:cs="Arial" w:eastAsia="Arial" w:hAnsi="Arial"/>
                <w:sz w:val="19"/>
                <w:szCs w:val="19"/>
                <w:color w:val="481F6E"/>
              </w:rPr>
              <w:t>&gt;</w:t>
            </w:r>
          </w:p>
        </w:tc>
        <w:tc>
          <w:tcPr>
            <w:tcW w:w="1580" w:type="dxa"/>
            <w:vAlign w:val="bottom"/>
            <w:shd w:val="clear" w:color="auto" w:fill="D7D8D6"/>
          </w:tcPr>
          <w:p>
            <w:pPr>
              <w:ind w:left="220"/>
              <w:spacing w:after="0"/>
              <w:rPr>
                <w:sz w:val="20"/>
                <w:szCs w:val="20"/>
                <w:color w:val="auto"/>
              </w:rPr>
            </w:pPr>
            <w:r>
              <w:rPr>
                <w:rFonts w:ascii="Arial" w:cs="Arial" w:eastAsia="Arial" w:hAnsi="Arial"/>
                <w:sz w:val="13"/>
                <w:szCs w:val="13"/>
                <w:color w:val="333740"/>
              </w:rPr>
              <w:t>2017-2019</w:t>
            </w:r>
          </w:p>
        </w:tc>
        <w:tc>
          <w:tcPr>
            <w:tcW w:w="360" w:type="dxa"/>
            <w:vAlign w:val="bottom"/>
            <w:vMerge w:val="restart"/>
            <w:shd w:val="clear" w:color="auto" w:fill="D7D8D6"/>
          </w:tcPr>
          <w:p>
            <w:pPr>
              <w:jc w:val="center"/>
              <w:ind w:left="72"/>
              <w:spacing w:after="0"/>
              <w:rPr>
                <w:sz w:val="20"/>
                <w:szCs w:val="20"/>
                <w:color w:val="auto"/>
              </w:rPr>
            </w:pPr>
            <w:r>
              <w:rPr>
                <w:rFonts w:ascii="Arial" w:cs="Arial" w:eastAsia="Arial" w:hAnsi="Arial"/>
                <w:sz w:val="19"/>
                <w:szCs w:val="19"/>
                <w:color w:val="481F6E"/>
              </w:rPr>
              <w:t>&gt;</w:t>
            </w:r>
          </w:p>
        </w:tc>
        <w:tc>
          <w:tcPr>
            <w:tcW w:w="1700" w:type="dxa"/>
            <w:vAlign w:val="bottom"/>
            <w:vMerge w:val="restart"/>
            <w:shd w:val="clear" w:color="auto" w:fill="D7D8D6"/>
          </w:tcPr>
          <w:p>
            <w:pPr>
              <w:jc w:val="center"/>
              <w:spacing w:after="0"/>
              <w:rPr>
                <w:sz w:val="20"/>
                <w:szCs w:val="20"/>
                <w:color w:val="auto"/>
              </w:rPr>
            </w:pPr>
            <w:r>
              <w:rPr>
                <w:rFonts w:ascii="Arial" w:cs="Arial" w:eastAsia="Arial" w:hAnsi="Arial"/>
                <w:sz w:val="13"/>
                <w:szCs w:val="13"/>
                <w:color w:val="333740"/>
                <w:w w:val="87"/>
              </w:rPr>
              <w:t>0% of target</w:t>
            </w:r>
            <w:r>
              <w:rPr>
                <w:rFonts w:ascii="Arial" w:cs="Arial" w:eastAsia="Arial" w:hAnsi="Arial"/>
                <w:sz w:val="21"/>
                <w:szCs w:val="21"/>
                <w:color w:val="333740"/>
                <w:w w:val="87"/>
                <w:vertAlign w:val="superscript"/>
              </w:rPr>
              <w:t>1</w:t>
            </w:r>
          </w:p>
        </w:tc>
        <w:tc>
          <w:tcPr>
            <w:tcW w:w="0" w:type="dxa"/>
            <w:vAlign w:val="bottom"/>
          </w:tcPr>
          <w:p>
            <w:pPr>
              <w:spacing w:after="0"/>
              <w:rPr>
                <w:sz w:val="1"/>
                <w:szCs w:val="1"/>
                <w:color w:val="auto"/>
              </w:rPr>
            </w:pPr>
          </w:p>
        </w:tc>
      </w:tr>
      <w:tr>
        <w:trPr>
          <w:trHeight w:val="126"/>
        </w:trPr>
        <w:tc>
          <w:tcPr>
            <w:tcW w:w="1700" w:type="dxa"/>
            <w:vAlign w:val="bottom"/>
            <w:vMerge w:val="continue"/>
            <w:shd w:val="clear" w:color="auto" w:fill="D7D8D6"/>
          </w:tcPr>
          <w:p>
            <w:pPr>
              <w:spacing w:after="0"/>
              <w:rPr>
                <w:sz w:val="10"/>
                <w:szCs w:val="10"/>
                <w:color w:val="auto"/>
              </w:rPr>
            </w:pPr>
          </w:p>
        </w:tc>
        <w:tc>
          <w:tcPr>
            <w:tcW w:w="3760" w:type="dxa"/>
            <w:vAlign w:val="bottom"/>
            <w:vMerge w:val="continue"/>
            <w:shd w:val="clear" w:color="auto" w:fill="D7D8D6"/>
          </w:tcPr>
          <w:p>
            <w:pPr>
              <w:spacing w:after="0"/>
              <w:rPr>
                <w:sz w:val="10"/>
                <w:szCs w:val="10"/>
                <w:color w:val="auto"/>
              </w:rPr>
            </w:pPr>
          </w:p>
        </w:tc>
        <w:tc>
          <w:tcPr>
            <w:tcW w:w="1620" w:type="dxa"/>
            <w:vAlign w:val="bottom"/>
            <w:gridSpan w:val="2"/>
            <w:shd w:val="clear" w:color="auto" w:fill="D7D8D6"/>
          </w:tcPr>
          <w:p>
            <w:pPr>
              <w:ind w:left="140"/>
              <w:spacing w:after="0" w:line="127" w:lineRule="exact"/>
              <w:rPr>
                <w:sz w:val="20"/>
                <w:szCs w:val="20"/>
                <w:color w:val="auto"/>
              </w:rPr>
            </w:pPr>
            <w:r>
              <w:rPr>
                <w:rFonts w:ascii="Arial" w:cs="Arial" w:eastAsia="Arial" w:hAnsi="Arial"/>
                <w:sz w:val="13"/>
                <w:szCs w:val="13"/>
                <w:color w:val="333740"/>
              </w:rPr>
              <w:t>3-year ROIC</w:t>
            </w:r>
          </w:p>
        </w:tc>
        <w:tc>
          <w:tcPr>
            <w:tcW w:w="540" w:type="dxa"/>
            <w:vAlign w:val="bottom"/>
            <w:vMerge w:val="continue"/>
            <w:shd w:val="clear" w:color="auto" w:fill="D7D8D6"/>
          </w:tcPr>
          <w:p>
            <w:pPr>
              <w:spacing w:after="0"/>
              <w:rPr>
                <w:sz w:val="10"/>
                <w:szCs w:val="10"/>
                <w:color w:val="auto"/>
              </w:rPr>
            </w:pPr>
          </w:p>
        </w:tc>
        <w:tc>
          <w:tcPr>
            <w:tcW w:w="1580" w:type="dxa"/>
            <w:vAlign w:val="bottom"/>
            <w:shd w:val="clear" w:color="auto" w:fill="D7D8D6"/>
          </w:tcPr>
          <w:p>
            <w:pPr>
              <w:ind w:left="220"/>
              <w:spacing w:after="0" w:line="127" w:lineRule="exact"/>
              <w:rPr>
                <w:sz w:val="20"/>
                <w:szCs w:val="20"/>
                <w:color w:val="auto"/>
              </w:rPr>
            </w:pPr>
            <w:r>
              <w:rPr>
                <w:rFonts w:ascii="Arial" w:cs="Arial" w:eastAsia="Arial" w:hAnsi="Arial"/>
                <w:sz w:val="9"/>
                <w:szCs w:val="9"/>
                <w:color w:val="333740"/>
              </w:rPr>
              <w:t>performance of 6.9%</w:t>
            </w:r>
            <w:r>
              <w:rPr>
                <w:rFonts w:ascii="Arial" w:cs="Arial" w:eastAsia="Arial" w:hAnsi="Arial"/>
                <w:sz w:val="14"/>
                <w:szCs w:val="14"/>
                <w:color w:val="333740"/>
                <w:vertAlign w:val="superscript"/>
              </w:rPr>
              <w:t>1</w:t>
            </w:r>
          </w:p>
        </w:tc>
        <w:tc>
          <w:tcPr>
            <w:tcW w:w="360" w:type="dxa"/>
            <w:vAlign w:val="bottom"/>
            <w:vMerge w:val="continue"/>
            <w:shd w:val="clear" w:color="auto" w:fill="D7D8D6"/>
          </w:tcPr>
          <w:p>
            <w:pPr>
              <w:spacing w:after="0"/>
              <w:rPr>
                <w:sz w:val="10"/>
                <w:szCs w:val="10"/>
                <w:color w:val="auto"/>
              </w:rPr>
            </w:pPr>
          </w:p>
        </w:tc>
        <w:tc>
          <w:tcPr>
            <w:tcW w:w="1700" w:type="dxa"/>
            <w:vAlign w:val="bottom"/>
            <w:vMerge w:val="continue"/>
            <w:shd w:val="clear" w:color="auto" w:fill="D7D8D6"/>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D7D8D6"/>
          </w:tcPr>
          <w:p>
            <w:pPr>
              <w:ind w:left="180"/>
              <w:spacing w:after="0" w:line="131" w:lineRule="exact"/>
              <w:rPr>
                <w:sz w:val="20"/>
                <w:szCs w:val="20"/>
                <w:color w:val="auto"/>
              </w:rPr>
            </w:pPr>
            <w:r>
              <w:rPr>
                <w:rFonts w:ascii="Arial" w:cs="Arial" w:eastAsia="Arial" w:hAnsi="Arial"/>
                <w:sz w:val="15"/>
                <w:szCs w:val="15"/>
                <w:color w:val="333740"/>
              </w:rPr>
              <w:t>Equity</w:t>
            </w:r>
          </w:p>
        </w:tc>
        <w:tc>
          <w:tcPr>
            <w:tcW w:w="3760" w:type="dxa"/>
            <w:vAlign w:val="bottom"/>
            <w:shd w:val="clear" w:color="auto" w:fill="D7D8D6"/>
          </w:tcPr>
          <w:p>
            <w:pPr>
              <w:ind w:left="200"/>
              <w:spacing w:after="0" w:line="131" w:lineRule="exact"/>
              <w:rPr>
                <w:sz w:val="20"/>
                <w:szCs w:val="20"/>
                <w:color w:val="auto"/>
              </w:rPr>
            </w:pPr>
            <w:r>
              <w:rPr>
                <w:rFonts w:ascii="Arial" w:cs="Arial" w:eastAsia="Arial" w:hAnsi="Arial"/>
                <w:sz w:val="15"/>
                <w:szCs w:val="15"/>
                <w:color w:val="333740"/>
              </w:rPr>
              <w:t>results and align interests of NEOs with shareholder</w:t>
            </w:r>
          </w:p>
        </w:tc>
        <w:tc>
          <w:tcPr>
            <w:tcW w:w="660" w:type="dxa"/>
            <w:vAlign w:val="bottom"/>
            <w:shd w:val="clear" w:color="auto" w:fill="D7D8D6"/>
          </w:tcPr>
          <w:p>
            <w:pPr>
              <w:spacing w:after="0"/>
              <w:rPr>
                <w:sz w:val="11"/>
                <w:szCs w:val="11"/>
                <w:color w:val="auto"/>
              </w:rPr>
            </w:pPr>
          </w:p>
        </w:tc>
        <w:tc>
          <w:tcPr>
            <w:tcW w:w="960" w:type="dxa"/>
            <w:vAlign w:val="bottom"/>
            <w:shd w:val="clear" w:color="auto" w:fill="D7D8D6"/>
          </w:tcPr>
          <w:p>
            <w:pPr>
              <w:spacing w:after="0"/>
              <w:rPr>
                <w:sz w:val="11"/>
                <w:szCs w:val="11"/>
                <w:color w:val="auto"/>
              </w:rPr>
            </w:pPr>
          </w:p>
        </w:tc>
        <w:tc>
          <w:tcPr>
            <w:tcW w:w="540" w:type="dxa"/>
            <w:vAlign w:val="bottom"/>
            <w:shd w:val="clear" w:color="auto" w:fill="D7D8D6"/>
          </w:tcPr>
          <w:p>
            <w:pPr>
              <w:spacing w:after="0"/>
              <w:rPr>
                <w:sz w:val="11"/>
                <w:szCs w:val="11"/>
                <w:color w:val="auto"/>
              </w:rPr>
            </w:pPr>
          </w:p>
        </w:tc>
        <w:tc>
          <w:tcPr>
            <w:tcW w:w="1580" w:type="dxa"/>
            <w:vAlign w:val="bottom"/>
            <w:vMerge w:val="restart"/>
            <w:shd w:val="clear" w:color="auto" w:fill="D7D8D6"/>
          </w:tcPr>
          <w:p>
            <w:pPr>
              <w:ind w:left="220"/>
              <w:spacing w:after="0"/>
              <w:rPr>
                <w:sz w:val="20"/>
                <w:szCs w:val="20"/>
                <w:color w:val="auto"/>
              </w:rPr>
            </w:pPr>
            <w:r>
              <w:rPr>
                <w:rFonts w:ascii="Arial" w:cs="Arial" w:eastAsia="Arial" w:hAnsi="Arial"/>
                <w:sz w:val="13"/>
                <w:szCs w:val="13"/>
                <w:color w:val="333740"/>
              </w:rPr>
              <w:t>2017-2019</w:t>
            </w:r>
          </w:p>
        </w:tc>
        <w:tc>
          <w:tcPr>
            <w:tcW w:w="360" w:type="dxa"/>
            <w:vAlign w:val="bottom"/>
            <w:shd w:val="clear" w:color="auto" w:fill="D7D8D6"/>
          </w:tcPr>
          <w:p>
            <w:pPr>
              <w:spacing w:after="0"/>
              <w:rPr>
                <w:sz w:val="11"/>
                <w:szCs w:val="11"/>
                <w:color w:val="auto"/>
              </w:rPr>
            </w:pPr>
          </w:p>
        </w:tc>
        <w:tc>
          <w:tcPr>
            <w:tcW w:w="1700" w:type="dxa"/>
            <w:vAlign w:val="bottom"/>
            <w:shd w:val="clear" w:color="auto" w:fill="D7D8D6"/>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00" w:type="dxa"/>
            <w:vAlign w:val="bottom"/>
            <w:shd w:val="clear" w:color="auto" w:fill="D7D8D6"/>
          </w:tcPr>
          <w:p>
            <w:pPr>
              <w:spacing w:after="0"/>
              <w:rPr>
                <w:sz w:val="14"/>
                <w:szCs w:val="14"/>
                <w:color w:val="auto"/>
              </w:rPr>
            </w:pPr>
          </w:p>
        </w:tc>
        <w:tc>
          <w:tcPr>
            <w:tcW w:w="3760" w:type="dxa"/>
            <w:vAlign w:val="bottom"/>
            <w:shd w:val="clear" w:color="auto" w:fill="D7D8D6"/>
          </w:tcPr>
          <w:p>
            <w:pPr>
              <w:ind w:left="200"/>
              <w:spacing w:after="0" w:line="168" w:lineRule="exact"/>
              <w:rPr>
                <w:sz w:val="20"/>
                <w:szCs w:val="20"/>
                <w:color w:val="auto"/>
              </w:rPr>
            </w:pPr>
            <w:r>
              <w:rPr>
                <w:rFonts w:ascii="Arial" w:cs="Arial" w:eastAsia="Arial" w:hAnsi="Arial"/>
                <w:sz w:val="16"/>
                <w:szCs w:val="16"/>
                <w:color w:val="333740"/>
              </w:rPr>
              <w:t>interests</w:t>
            </w:r>
          </w:p>
        </w:tc>
        <w:tc>
          <w:tcPr>
            <w:tcW w:w="1620" w:type="dxa"/>
            <w:vAlign w:val="bottom"/>
            <w:gridSpan w:val="2"/>
            <w:shd w:val="clear" w:color="auto" w:fill="D7D8D6"/>
          </w:tcPr>
          <w:p>
            <w:pPr>
              <w:ind w:left="140"/>
              <w:spacing w:after="0"/>
              <w:rPr>
                <w:sz w:val="20"/>
                <w:szCs w:val="20"/>
                <w:color w:val="auto"/>
              </w:rPr>
            </w:pPr>
            <w:r>
              <w:rPr>
                <w:rFonts w:ascii="Arial" w:cs="Arial" w:eastAsia="Arial" w:hAnsi="Arial"/>
                <w:sz w:val="13"/>
                <w:szCs w:val="13"/>
                <w:color w:val="333740"/>
              </w:rPr>
              <w:t>30% PSUs</w:t>
            </w:r>
          </w:p>
        </w:tc>
        <w:tc>
          <w:tcPr>
            <w:tcW w:w="540" w:type="dxa"/>
            <w:vAlign w:val="bottom"/>
            <w:vMerge w:val="restart"/>
            <w:shd w:val="clear" w:color="auto" w:fill="D7D8D6"/>
          </w:tcPr>
          <w:p>
            <w:pPr>
              <w:jc w:val="center"/>
              <w:ind w:left="132"/>
              <w:spacing w:after="0"/>
              <w:rPr>
                <w:sz w:val="20"/>
                <w:szCs w:val="20"/>
                <w:color w:val="auto"/>
              </w:rPr>
            </w:pPr>
            <w:r>
              <w:rPr>
                <w:rFonts w:ascii="Arial" w:cs="Arial" w:eastAsia="Arial" w:hAnsi="Arial"/>
                <w:sz w:val="19"/>
                <w:szCs w:val="19"/>
                <w:color w:val="481F6E"/>
              </w:rPr>
              <w:t>&gt;</w:t>
            </w:r>
          </w:p>
        </w:tc>
        <w:tc>
          <w:tcPr>
            <w:tcW w:w="1580" w:type="dxa"/>
            <w:vAlign w:val="bottom"/>
            <w:vMerge w:val="continue"/>
            <w:shd w:val="clear" w:color="auto" w:fill="D7D8D6"/>
          </w:tcPr>
          <w:p>
            <w:pPr>
              <w:spacing w:after="0"/>
              <w:rPr>
                <w:sz w:val="14"/>
                <w:szCs w:val="14"/>
                <w:color w:val="auto"/>
              </w:rPr>
            </w:pPr>
          </w:p>
        </w:tc>
        <w:tc>
          <w:tcPr>
            <w:tcW w:w="360" w:type="dxa"/>
            <w:vAlign w:val="bottom"/>
            <w:vMerge w:val="restart"/>
            <w:shd w:val="clear" w:color="auto" w:fill="D7D8D6"/>
          </w:tcPr>
          <w:p>
            <w:pPr>
              <w:jc w:val="center"/>
              <w:ind w:left="72"/>
              <w:spacing w:after="0"/>
              <w:rPr>
                <w:sz w:val="20"/>
                <w:szCs w:val="20"/>
                <w:color w:val="auto"/>
              </w:rPr>
            </w:pPr>
            <w:r>
              <w:rPr>
                <w:rFonts w:ascii="Arial" w:cs="Arial" w:eastAsia="Arial" w:hAnsi="Arial"/>
                <w:sz w:val="19"/>
                <w:szCs w:val="19"/>
                <w:color w:val="481F6E"/>
              </w:rPr>
              <w:t>&gt;</w:t>
            </w:r>
          </w:p>
        </w:tc>
        <w:tc>
          <w:tcPr>
            <w:tcW w:w="1700" w:type="dxa"/>
            <w:vAlign w:val="bottom"/>
            <w:vMerge w:val="restart"/>
            <w:shd w:val="clear" w:color="auto" w:fill="D7D8D6"/>
          </w:tcPr>
          <w:p>
            <w:pPr>
              <w:jc w:val="center"/>
              <w:spacing w:after="0"/>
              <w:rPr>
                <w:sz w:val="20"/>
                <w:szCs w:val="20"/>
                <w:color w:val="auto"/>
              </w:rPr>
            </w:pPr>
            <w:r>
              <w:rPr>
                <w:rFonts w:ascii="Arial" w:cs="Arial" w:eastAsia="Arial" w:hAnsi="Arial"/>
                <w:sz w:val="13"/>
                <w:szCs w:val="13"/>
                <w:color w:val="333740"/>
                <w:w w:val="88"/>
              </w:rPr>
              <w:t>100% of target</w:t>
            </w:r>
            <w:r>
              <w:rPr>
                <w:rFonts w:ascii="Arial" w:cs="Arial" w:eastAsia="Arial" w:hAnsi="Arial"/>
                <w:sz w:val="21"/>
                <w:szCs w:val="21"/>
                <w:color w:val="333740"/>
                <w:w w:val="88"/>
                <w:vertAlign w:val="superscript"/>
              </w:rPr>
              <w:t>1</w:t>
            </w:r>
          </w:p>
        </w:tc>
        <w:tc>
          <w:tcPr>
            <w:tcW w:w="0" w:type="dxa"/>
            <w:vAlign w:val="bottom"/>
          </w:tcPr>
          <w:p>
            <w:pPr>
              <w:spacing w:after="0"/>
              <w:rPr>
                <w:sz w:val="1"/>
                <w:szCs w:val="1"/>
                <w:color w:val="auto"/>
              </w:rPr>
            </w:pPr>
          </w:p>
        </w:tc>
      </w:tr>
      <w:tr>
        <w:trPr>
          <w:trHeight w:val="131"/>
        </w:trPr>
        <w:tc>
          <w:tcPr>
            <w:tcW w:w="1700" w:type="dxa"/>
            <w:vAlign w:val="bottom"/>
            <w:shd w:val="clear" w:color="auto" w:fill="D7D8D6"/>
          </w:tcPr>
          <w:p>
            <w:pPr>
              <w:spacing w:after="0"/>
              <w:rPr>
                <w:sz w:val="11"/>
                <w:szCs w:val="11"/>
                <w:color w:val="auto"/>
              </w:rPr>
            </w:pPr>
          </w:p>
        </w:tc>
        <w:tc>
          <w:tcPr>
            <w:tcW w:w="3760" w:type="dxa"/>
            <w:vAlign w:val="bottom"/>
            <w:shd w:val="clear" w:color="auto" w:fill="D7D8D6"/>
          </w:tcPr>
          <w:p>
            <w:pPr>
              <w:spacing w:after="0"/>
              <w:rPr>
                <w:sz w:val="11"/>
                <w:szCs w:val="11"/>
                <w:color w:val="auto"/>
              </w:rPr>
            </w:pPr>
          </w:p>
        </w:tc>
        <w:tc>
          <w:tcPr>
            <w:tcW w:w="1620" w:type="dxa"/>
            <w:vAlign w:val="bottom"/>
            <w:gridSpan w:val="2"/>
            <w:shd w:val="clear" w:color="auto" w:fill="D7D8D6"/>
          </w:tcPr>
          <w:p>
            <w:pPr>
              <w:ind w:left="140"/>
              <w:spacing w:after="0" w:line="132" w:lineRule="exact"/>
              <w:rPr>
                <w:sz w:val="20"/>
                <w:szCs w:val="20"/>
                <w:color w:val="auto"/>
              </w:rPr>
            </w:pPr>
            <w:r>
              <w:rPr>
                <w:rFonts w:ascii="Arial" w:cs="Arial" w:eastAsia="Arial" w:hAnsi="Arial"/>
                <w:sz w:val="13"/>
                <w:szCs w:val="13"/>
                <w:color w:val="333740"/>
              </w:rPr>
              <w:t>3-year relative TSR</w:t>
            </w:r>
          </w:p>
        </w:tc>
        <w:tc>
          <w:tcPr>
            <w:tcW w:w="540" w:type="dxa"/>
            <w:vAlign w:val="bottom"/>
            <w:vMerge w:val="continue"/>
            <w:shd w:val="clear" w:color="auto" w:fill="D7D8D6"/>
          </w:tcPr>
          <w:p>
            <w:pPr>
              <w:spacing w:after="0"/>
              <w:rPr>
                <w:sz w:val="11"/>
                <w:szCs w:val="11"/>
                <w:color w:val="auto"/>
              </w:rPr>
            </w:pPr>
          </w:p>
        </w:tc>
        <w:tc>
          <w:tcPr>
            <w:tcW w:w="1580" w:type="dxa"/>
            <w:vAlign w:val="bottom"/>
            <w:shd w:val="clear" w:color="auto" w:fill="D7D8D6"/>
          </w:tcPr>
          <w:p>
            <w:pPr>
              <w:ind w:left="220"/>
              <w:spacing w:after="0" w:line="132" w:lineRule="exact"/>
              <w:rPr>
                <w:sz w:val="20"/>
                <w:szCs w:val="20"/>
                <w:color w:val="auto"/>
              </w:rPr>
            </w:pPr>
            <w:r>
              <w:rPr>
                <w:rFonts w:ascii="Arial" w:cs="Arial" w:eastAsia="Arial" w:hAnsi="Arial"/>
                <w:sz w:val="13"/>
                <w:szCs w:val="13"/>
                <w:color w:val="333740"/>
              </w:rPr>
              <w:t>performance</w:t>
            </w:r>
          </w:p>
        </w:tc>
        <w:tc>
          <w:tcPr>
            <w:tcW w:w="360" w:type="dxa"/>
            <w:vAlign w:val="bottom"/>
            <w:vMerge w:val="continue"/>
            <w:shd w:val="clear" w:color="auto" w:fill="D7D8D6"/>
          </w:tcPr>
          <w:p>
            <w:pPr>
              <w:spacing w:after="0"/>
              <w:rPr>
                <w:sz w:val="11"/>
                <w:szCs w:val="11"/>
                <w:color w:val="auto"/>
              </w:rPr>
            </w:pPr>
          </w:p>
        </w:tc>
        <w:tc>
          <w:tcPr>
            <w:tcW w:w="1700" w:type="dxa"/>
            <w:vAlign w:val="bottom"/>
            <w:vMerge w:val="continue"/>
            <w:shd w:val="clear" w:color="auto" w:fill="D7D8D6"/>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00" w:type="dxa"/>
            <w:vAlign w:val="bottom"/>
            <w:shd w:val="clear" w:color="auto" w:fill="D7D8D6"/>
          </w:tcPr>
          <w:p>
            <w:pPr>
              <w:spacing w:after="0"/>
              <w:rPr>
                <w:sz w:val="16"/>
                <w:szCs w:val="16"/>
                <w:color w:val="auto"/>
              </w:rPr>
            </w:pPr>
          </w:p>
        </w:tc>
        <w:tc>
          <w:tcPr>
            <w:tcW w:w="3760" w:type="dxa"/>
            <w:vAlign w:val="bottom"/>
            <w:shd w:val="clear" w:color="auto" w:fill="D7D8D6"/>
          </w:tcPr>
          <w:p>
            <w:pPr>
              <w:spacing w:after="0"/>
              <w:rPr>
                <w:sz w:val="16"/>
                <w:szCs w:val="16"/>
                <w:color w:val="auto"/>
              </w:rPr>
            </w:pPr>
          </w:p>
        </w:tc>
        <w:tc>
          <w:tcPr>
            <w:tcW w:w="660" w:type="dxa"/>
            <w:vAlign w:val="bottom"/>
            <w:shd w:val="clear" w:color="auto" w:fill="D7D8D6"/>
          </w:tcPr>
          <w:p>
            <w:pPr>
              <w:spacing w:after="0"/>
              <w:rPr>
                <w:sz w:val="16"/>
                <w:szCs w:val="16"/>
                <w:color w:val="auto"/>
              </w:rPr>
            </w:pPr>
          </w:p>
        </w:tc>
        <w:tc>
          <w:tcPr>
            <w:tcW w:w="960" w:type="dxa"/>
            <w:vAlign w:val="bottom"/>
            <w:shd w:val="clear" w:color="auto" w:fill="D7D8D6"/>
          </w:tcPr>
          <w:p>
            <w:pPr>
              <w:spacing w:after="0"/>
              <w:rPr>
                <w:sz w:val="16"/>
                <w:szCs w:val="16"/>
                <w:color w:val="auto"/>
              </w:rPr>
            </w:pPr>
          </w:p>
        </w:tc>
        <w:tc>
          <w:tcPr>
            <w:tcW w:w="540" w:type="dxa"/>
            <w:vAlign w:val="bottom"/>
            <w:shd w:val="clear" w:color="auto" w:fill="D7D8D6"/>
          </w:tcPr>
          <w:p>
            <w:pPr>
              <w:spacing w:after="0"/>
              <w:rPr>
                <w:sz w:val="16"/>
                <w:szCs w:val="16"/>
                <w:color w:val="auto"/>
              </w:rPr>
            </w:pPr>
          </w:p>
        </w:tc>
        <w:tc>
          <w:tcPr>
            <w:tcW w:w="1580" w:type="dxa"/>
            <w:vAlign w:val="bottom"/>
            <w:shd w:val="clear" w:color="auto" w:fill="D7D8D6"/>
          </w:tcPr>
          <w:p>
            <w:pPr>
              <w:ind w:left="220"/>
              <w:spacing w:after="0" w:line="188" w:lineRule="exact"/>
              <w:rPr>
                <w:sz w:val="20"/>
                <w:szCs w:val="20"/>
                <w:color w:val="auto"/>
              </w:rPr>
            </w:pPr>
            <w:r>
              <w:rPr>
                <w:rFonts w:ascii="Arial" w:cs="Arial" w:eastAsia="Arial" w:hAnsi="Arial"/>
                <w:sz w:val="13"/>
                <w:szCs w:val="13"/>
                <w:color w:val="333740"/>
              </w:rPr>
              <w:t>of 5th rank</w:t>
            </w:r>
            <w:r>
              <w:rPr>
                <w:rFonts w:ascii="Arial" w:cs="Arial" w:eastAsia="Arial" w:hAnsi="Arial"/>
                <w:sz w:val="21"/>
                <w:szCs w:val="21"/>
                <w:color w:val="333740"/>
                <w:vertAlign w:val="superscript"/>
              </w:rPr>
              <w:t>1</w:t>
            </w:r>
          </w:p>
        </w:tc>
        <w:tc>
          <w:tcPr>
            <w:tcW w:w="360" w:type="dxa"/>
            <w:vAlign w:val="bottom"/>
            <w:shd w:val="clear" w:color="auto" w:fill="D7D8D6"/>
          </w:tcPr>
          <w:p>
            <w:pPr>
              <w:spacing w:after="0"/>
              <w:rPr>
                <w:sz w:val="16"/>
                <w:szCs w:val="16"/>
                <w:color w:val="auto"/>
              </w:rPr>
            </w:pPr>
          </w:p>
        </w:tc>
        <w:tc>
          <w:tcPr>
            <w:tcW w:w="1700" w:type="dxa"/>
            <w:vAlign w:val="bottom"/>
            <w:shd w:val="clear" w:color="auto" w:fill="D7D8D6"/>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D7D8D6"/>
          </w:tcPr>
          <w:p>
            <w:pPr>
              <w:spacing w:after="0"/>
              <w:rPr>
                <w:sz w:val="11"/>
                <w:szCs w:val="11"/>
                <w:color w:val="auto"/>
              </w:rPr>
            </w:pPr>
          </w:p>
        </w:tc>
        <w:tc>
          <w:tcPr>
            <w:tcW w:w="9560" w:type="dxa"/>
            <w:vAlign w:val="bottom"/>
            <w:gridSpan w:val="7"/>
            <w:shd w:val="clear" w:color="auto" w:fill="D7D8D6"/>
          </w:tcPr>
          <w:p>
            <w:pPr>
              <w:ind w:left="200"/>
              <w:spacing w:after="0" w:line="132" w:lineRule="exact"/>
              <w:rPr>
                <w:sz w:val="20"/>
                <w:szCs w:val="20"/>
                <w:color w:val="auto"/>
              </w:rPr>
            </w:pPr>
            <w:r>
              <w:rPr>
                <w:rFonts w:ascii="Arial" w:cs="Arial" w:eastAsia="Arial" w:hAnsi="Arial"/>
                <w:sz w:val="13"/>
                <w:szCs w:val="13"/>
                <w:color w:val="333740"/>
                <w:w w:val="90"/>
              </w:rPr>
              <w:t>The remaining 40% of the long-term equity incentive was delivered in the form of stock options (20%) and RSUs (20%), the delivered value of which will also depend on share price</w:t>
            </w:r>
          </w:p>
        </w:tc>
        <w:tc>
          <w:tcPr>
            <w:tcW w:w="0" w:type="dxa"/>
            <w:vAlign w:val="bottom"/>
          </w:tcPr>
          <w:p>
            <w:pPr>
              <w:spacing w:after="0"/>
              <w:rPr>
                <w:sz w:val="1"/>
                <w:szCs w:val="1"/>
                <w:color w:val="auto"/>
              </w:rPr>
            </w:pPr>
          </w:p>
        </w:tc>
      </w:tr>
      <w:tr>
        <w:trPr>
          <w:trHeight w:val="162"/>
        </w:trPr>
        <w:tc>
          <w:tcPr>
            <w:tcW w:w="1700" w:type="dxa"/>
            <w:vAlign w:val="bottom"/>
            <w:shd w:val="clear" w:color="auto" w:fill="D7D8D6"/>
          </w:tcPr>
          <w:p>
            <w:pPr>
              <w:spacing w:after="0"/>
              <w:rPr>
                <w:sz w:val="14"/>
                <w:szCs w:val="14"/>
                <w:color w:val="auto"/>
              </w:rPr>
            </w:pPr>
          </w:p>
        </w:tc>
        <w:tc>
          <w:tcPr>
            <w:tcW w:w="3760" w:type="dxa"/>
            <w:vAlign w:val="bottom"/>
            <w:shd w:val="clear" w:color="auto" w:fill="D7D8D6"/>
          </w:tcPr>
          <w:p>
            <w:pPr>
              <w:ind w:left="200"/>
              <w:spacing w:after="0"/>
              <w:rPr>
                <w:sz w:val="20"/>
                <w:szCs w:val="20"/>
                <w:color w:val="auto"/>
              </w:rPr>
            </w:pPr>
            <w:r>
              <w:rPr>
                <w:rFonts w:ascii="Arial" w:cs="Arial" w:eastAsia="Arial" w:hAnsi="Arial"/>
                <w:sz w:val="13"/>
                <w:szCs w:val="13"/>
                <w:color w:val="333740"/>
              </w:rPr>
              <w:t>appreciation, and thus is aligned with shareholder interests.</w:t>
            </w:r>
          </w:p>
        </w:tc>
        <w:tc>
          <w:tcPr>
            <w:tcW w:w="660" w:type="dxa"/>
            <w:vAlign w:val="bottom"/>
            <w:shd w:val="clear" w:color="auto" w:fill="D7D8D6"/>
          </w:tcPr>
          <w:p>
            <w:pPr>
              <w:spacing w:after="0"/>
              <w:rPr>
                <w:sz w:val="14"/>
                <w:szCs w:val="14"/>
                <w:color w:val="auto"/>
              </w:rPr>
            </w:pPr>
          </w:p>
        </w:tc>
        <w:tc>
          <w:tcPr>
            <w:tcW w:w="960" w:type="dxa"/>
            <w:vAlign w:val="bottom"/>
            <w:shd w:val="clear" w:color="auto" w:fill="D7D8D6"/>
          </w:tcPr>
          <w:p>
            <w:pPr>
              <w:spacing w:after="0"/>
              <w:rPr>
                <w:sz w:val="14"/>
                <w:szCs w:val="14"/>
                <w:color w:val="auto"/>
              </w:rPr>
            </w:pPr>
          </w:p>
        </w:tc>
        <w:tc>
          <w:tcPr>
            <w:tcW w:w="540" w:type="dxa"/>
            <w:vAlign w:val="bottom"/>
            <w:shd w:val="clear" w:color="auto" w:fill="D7D8D6"/>
          </w:tcPr>
          <w:p>
            <w:pPr>
              <w:spacing w:after="0"/>
              <w:rPr>
                <w:sz w:val="14"/>
                <w:szCs w:val="14"/>
                <w:color w:val="auto"/>
              </w:rPr>
            </w:pPr>
          </w:p>
        </w:tc>
        <w:tc>
          <w:tcPr>
            <w:tcW w:w="1580" w:type="dxa"/>
            <w:vAlign w:val="bottom"/>
            <w:shd w:val="clear" w:color="auto" w:fill="D7D8D6"/>
          </w:tcPr>
          <w:p>
            <w:pPr>
              <w:spacing w:after="0"/>
              <w:rPr>
                <w:sz w:val="14"/>
                <w:szCs w:val="14"/>
                <w:color w:val="auto"/>
              </w:rPr>
            </w:pPr>
          </w:p>
        </w:tc>
        <w:tc>
          <w:tcPr>
            <w:tcW w:w="360" w:type="dxa"/>
            <w:vAlign w:val="bottom"/>
            <w:shd w:val="clear" w:color="auto" w:fill="D7D8D6"/>
          </w:tcPr>
          <w:p>
            <w:pPr>
              <w:spacing w:after="0"/>
              <w:rPr>
                <w:sz w:val="14"/>
                <w:szCs w:val="14"/>
                <w:color w:val="auto"/>
              </w:rPr>
            </w:pPr>
          </w:p>
        </w:tc>
        <w:tc>
          <w:tcPr>
            <w:tcW w:w="170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00" w:type="dxa"/>
            <w:vAlign w:val="bottom"/>
            <w:vMerge w:val="restart"/>
            <w:shd w:val="clear" w:color="auto" w:fill="D7D8D6"/>
          </w:tcPr>
          <w:p>
            <w:pPr>
              <w:ind w:left="180"/>
              <w:spacing w:after="0"/>
              <w:rPr>
                <w:sz w:val="20"/>
                <w:szCs w:val="20"/>
                <w:color w:val="auto"/>
              </w:rPr>
            </w:pPr>
            <w:r>
              <w:rPr>
                <w:rFonts w:ascii="Arial" w:cs="Arial" w:eastAsia="Arial" w:hAnsi="Arial"/>
                <w:sz w:val="16"/>
                <w:szCs w:val="16"/>
                <w:color w:val="333740"/>
              </w:rPr>
              <w:t>Annual Cash</w:t>
            </w:r>
          </w:p>
        </w:tc>
        <w:tc>
          <w:tcPr>
            <w:tcW w:w="3760" w:type="dxa"/>
            <w:vAlign w:val="bottom"/>
            <w:vMerge w:val="restart"/>
            <w:shd w:val="clear" w:color="auto" w:fill="D7D8D6"/>
          </w:tcPr>
          <w:p>
            <w:pPr>
              <w:ind w:left="200"/>
              <w:spacing w:after="0"/>
              <w:rPr>
                <w:sz w:val="20"/>
                <w:szCs w:val="20"/>
                <w:color w:val="auto"/>
              </w:rPr>
            </w:pPr>
            <w:r>
              <w:rPr>
                <w:rFonts w:ascii="Arial" w:cs="Arial" w:eastAsia="Arial" w:hAnsi="Arial"/>
                <w:sz w:val="16"/>
                <w:szCs w:val="16"/>
                <w:color w:val="333740"/>
                <w:w w:val="98"/>
              </w:rPr>
              <w:t>To drive and reward the achievement of short-term</w:t>
            </w:r>
          </w:p>
        </w:tc>
        <w:tc>
          <w:tcPr>
            <w:tcW w:w="1620" w:type="dxa"/>
            <w:vAlign w:val="bottom"/>
            <w:gridSpan w:val="2"/>
            <w:vMerge w:val="restart"/>
            <w:shd w:val="clear" w:color="auto" w:fill="D7D8D6"/>
          </w:tcPr>
          <w:p>
            <w:pPr>
              <w:ind w:left="140"/>
              <w:spacing w:after="0"/>
              <w:rPr>
                <w:sz w:val="20"/>
                <w:szCs w:val="20"/>
                <w:color w:val="auto"/>
              </w:rPr>
            </w:pPr>
            <w:r>
              <w:rPr>
                <w:rFonts w:ascii="Arial" w:cs="Arial" w:eastAsia="Arial" w:hAnsi="Arial"/>
                <w:sz w:val="13"/>
                <w:szCs w:val="13"/>
                <w:color w:val="333740"/>
              </w:rPr>
              <w:t>25% EBITDA</w:t>
            </w:r>
          </w:p>
        </w:tc>
        <w:tc>
          <w:tcPr>
            <w:tcW w:w="540" w:type="dxa"/>
            <w:vAlign w:val="bottom"/>
            <w:vMerge w:val="restart"/>
            <w:shd w:val="clear" w:color="auto" w:fill="D7D8D6"/>
          </w:tcPr>
          <w:p>
            <w:pPr>
              <w:jc w:val="center"/>
              <w:ind w:left="132"/>
              <w:spacing w:after="0"/>
              <w:rPr>
                <w:sz w:val="20"/>
                <w:szCs w:val="20"/>
                <w:color w:val="auto"/>
              </w:rPr>
            </w:pPr>
            <w:r>
              <w:rPr>
                <w:rFonts w:ascii="Arial" w:cs="Arial" w:eastAsia="Arial" w:hAnsi="Arial"/>
                <w:sz w:val="19"/>
                <w:szCs w:val="19"/>
                <w:color w:val="481F6E"/>
              </w:rPr>
              <w:t>&gt;</w:t>
            </w:r>
          </w:p>
        </w:tc>
        <w:tc>
          <w:tcPr>
            <w:tcW w:w="1580" w:type="dxa"/>
            <w:vAlign w:val="bottom"/>
            <w:shd w:val="clear" w:color="auto" w:fill="D7D8D6"/>
          </w:tcPr>
          <w:p>
            <w:pPr>
              <w:ind w:left="220"/>
              <w:spacing w:after="0"/>
              <w:rPr>
                <w:sz w:val="20"/>
                <w:szCs w:val="20"/>
                <w:color w:val="auto"/>
              </w:rPr>
            </w:pPr>
            <w:r>
              <w:rPr>
                <w:rFonts w:ascii="Arial" w:cs="Arial" w:eastAsia="Arial" w:hAnsi="Arial"/>
                <w:sz w:val="13"/>
                <w:szCs w:val="13"/>
                <w:color w:val="333740"/>
              </w:rPr>
              <w:t>$1,667 million - 162%</w:t>
            </w:r>
          </w:p>
        </w:tc>
        <w:tc>
          <w:tcPr>
            <w:tcW w:w="360" w:type="dxa"/>
            <w:vAlign w:val="bottom"/>
            <w:vMerge w:val="restart"/>
            <w:shd w:val="clear" w:color="auto" w:fill="D7D8D6"/>
          </w:tcPr>
          <w:p>
            <w:pPr>
              <w:jc w:val="center"/>
              <w:ind w:left="72"/>
              <w:spacing w:after="0"/>
              <w:rPr>
                <w:sz w:val="20"/>
                <w:szCs w:val="20"/>
                <w:color w:val="auto"/>
              </w:rPr>
            </w:pPr>
            <w:r>
              <w:rPr>
                <w:rFonts w:ascii="Arial" w:cs="Arial" w:eastAsia="Arial" w:hAnsi="Arial"/>
                <w:sz w:val="19"/>
                <w:szCs w:val="19"/>
                <w:color w:val="481F6E"/>
              </w:rPr>
              <w:t>&gt;</w:t>
            </w:r>
          </w:p>
        </w:tc>
        <w:tc>
          <w:tcPr>
            <w:tcW w:w="1700" w:type="dxa"/>
            <w:vAlign w:val="bottom"/>
            <w:vMerge w:val="restart"/>
            <w:shd w:val="clear" w:color="auto" w:fill="D7D8D6"/>
          </w:tcPr>
          <w:p>
            <w:pPr>
              <w:jc w:val="center"/>
              <w:spacing w:after="0"/>
              <w:rPr>
                <w:sz w:val="20"/>
                <w:szCs w:val="20"/>
                <w:color w:val="auto"/>
              </w:rPr>
            </w:pPr>
            <w:r>
              <w:rPr>
                <w:rFonts w:ascii="Arial" w:cs="Arial" w:eastAsia="Arial" w:hAnsi="Arial"/>
                <w:sz w:val="13"/>
                <w:szCs w:val="13"/>
                <w:color w:val="333740"/>
                <w:w w:val="87"/>
              </w:rPr>
              <w:t>162% of target</w:t>
            </w:r>
          </w:p>
        </w:tc>
        <w:tc>
          <w:tcPr>
            <w:tcW w:w="0" w:type="dxa"/>
            <w:vAlign w:val="bottom"/>
          </w:tcPr>
          <w:p>
            <w:pPr>
              <w:spacing w:after="0"/>
              <w:rPr>
                <w:sz w:val="1"/>
                <w:szCs w:val="1"/>
                <w:color w:val="auto"/>
              </w:rPr>
            </w:pPr>
          </w:p>
        </w:tc>
      </w:tr>
      <w:tr>
        <w:trPr>
          <w:trHeight w:val="124"/>
        </w:trPr>
        <w:tc>
          <w:tcPr>
            <w:tcW w:w="1700" w:type="dxa"/>
            <w:vAlign w:val="bottom"/>
            <w:vMerge w:val="continue"/>
            <w:shd w:val="clear" w:color="auto" w:fill="D7D8D6"/>
          </w:tcPr>
          <w:p>
            <w:pPr>
              <w:spacing w:after="0"/>
              <w:rPr>
                <w:sz w:val="10"/>
                <w:szCs w:val="10"/>
                <w:color w:val="auto"/>
              </w:rPr>
            </w:pPr>
          </w:p>
        </w:tc>
        <w:tc>
          <w:tcPr>
            <w:tcW w:w="3760" w:type="dxa"/>
            <w:vAlign w:val="bottom"/>
            <w:vMerge w:val="continue"/>
            <w:shd w:val="clear" w:color="auto" w:fill="D7D8D6"/>
          </w:tcPr>
          <w:p>
            <w:pPr>
              <w:spacing w:after="0"/>
              <w:rPr>
                <w:sz w:val="10"/>
                <w:szCs w:val="10"/>
                <w:color w:val="auto"/>
              </w:rPr>
            </w:pPr>
          </w:p>
        </w:tc>
        <w:tc>
          <w:tcPr>
            <w:tcW w:w="1620" w:type="dxa"/>
            <w:vAlign w:val="bottom"/>
            <w:gridSpan w:val="2"/>
            <w:vMerge w:val="continue"/>
            <w:shd w:val="clear" w:color="auto" w:fill="D7D8D6"/>
          </w:tcPr>
          <w:p>
            <w:pPr>
              <w:spacing w:after="0"/>
              <w:rPr>
                <w:sz w:val="10"/>
                <w:szCs w:val="10"/>
                <w:color w:val="auto"/>
              </w:rPr>
            </w:pPr>
          </w:p>
        </w:tc>
        <w:tc>
          <w:tcPr>
            <w:tcW w:w="540" w:type="dxa"/>
            <w:vAlign w:val="bottom"/>
            <w:vMerge w:val="continue"/>
            <w:shd w:val="clear" w:color="auto" w:fill="D7D8D6"/>
          </w:tcPr>
          <w:p>
            <w:pPr>
              <w:spacing w:after="0"/>
              <w:rPr>
                <w:sz w:val="10"/>
                <w:szCs w:val="10"/>
                <w:color w:val="auto"/>
              </w:rPr>
            </w:pPr>
          </w:p>
        </w:tc>
        <w:tc>
          <w:tcPr>
            <w:tcW w:w="1580" w:type="dxa"/>
            <w:vAlign w:val="bottom"/>
            <w:shd w:val="clear" w:color="auto" w:fill="D7D8D6"/>
          </w:tcPr>
          <w:p>
            <w:pPr>
              <w:ind w:left="220"/>
              <w:spacing w:after="0" w:line="124" w:lineRule="exact"/>
              <w:rPr>
                <w:sz w:val="20"/>
                <w:szCs w:val="20"/>
                <w:color w:val="auto"/>
              </w:rPr>
            </w:pPr>
            <w:r>
              <w:rPr>
                <w:rFonts w:ascii="Arial" w:cs="Arial" w:eastAsia="Arial" w:hAnsi="Arial"/>
                <w:sz w:val="13"/>
                <w:szCs w:val="13"/>
                <w:color w:val="333740"/>
              </w:rPr>
              <w:t>performance rating</w:t>
            </w:r>
          </w:p>
        </w:tc>
        <w:tc>
          <w:tcPr>
            <w:tcW w:w="360" w:type="dxa"/>
            <w:vAlign w:val="bottom"/>
            <w:vMerge w:val="continue"/>
            <w:shd w:val="clear" w:color="auto" w:fill="D7D8D6"/>
          </w:tcPr>
          <w:p>
            <w:pPr>
              <w:spacing w:after="0"/>
              <w:rPr>
                <w:sz w:val="10"/>
                <w:szCs w:val="10"/>
                <w:color w:val="auto"/>
              </w:rPr>
            </w:pPr>
          </w:p>
        </w:tc>
        <w:tc>
          <w:tcPr>
            <w:tcW w:w="1700" w:type="dxa"/>
            <w:vAlign w:val="bottom"/>
            <w:vMerge w:val="continue"/>
            <w:shd w:val="clear" w:color="auto" w:fill="D7D8D6"/>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D7D8D6"/>
          </w:tcPr>
          <w:p>
            <w:pPr>
              <w:ind w:left="180"/>
              <w:spacing w:after="0" w:line="131" w:lineRule="exact"/>
              <w:rPr>
                <w:sz w:val="20"/>
                <w:szCs w:val="20"/>
                <w:color w:val="auto"/>
              </w:rPr>
            </w:pPr>
            <w:r>
              <w:rPr>
                <w:rFonts w:ascii="Arial" w:cs="Arial" w:eastAsia="Arial" w:hAnsi="Arial"/>
                <w:sz w:val="15"/>
                <w:szCs w:val="15"/>
                <w:color w:val="333740"/>
              </w:rPr>
              <w:t>Incentive</w:t>
            </w:r>
          </w:p>
        </w:tc>
        <w:tc>
          <w:tcPr>
            <w:tcW w:w="3760" w:type="dxa"/>
            <w:vAlign w:val="bottom"/>
            <w:shd w:val="clear" w:color="auto" w:fill="D7D8D6"/>
          </w:tcPr>
          <w:p>
            <w:pPr>
              <w:ind w:left="200"/>
              <w:spacing w:after="0" w:line="131" w:lineRule="exact"/>
              <w:rPr>
                <w:sz w:val="20"/>
                <w:szCs w:val="20"/>
                <w:color w:val="auto"/>
              </w:rPr>
            </w:pPr>
            <w:r>
              <w:rPr>
                <w:rFonts w:ascii="Arial" w:cs="Arial" w:eastAsia="Arial" w:hAnsi="Arial"/>
                <w:sz w:val="15"/>
                <w:szCs w:val="15"/>
                <w:color w:val="333740"/>
              </w:rPr>
              <w:t>Company strategic goals and individual contributions</w:t>
            </w:r>
          </w:p>
        </w:tc>
        <w:tc>
          <w:tcPr>
            <w:tcW w:w="1620" w:type="dxa"/>
            <w:vAlign w:val="bottom"/>
            <w:gridSpan w:val="2"/>
            <w:vMerge w:val="restart"/>
            <w:shd w:val="clear" w:color="auto" w:fill="D7D8D6"/>
          </w:tcPr>
          <w:p>
            <w:pPr>
              <w:ind w:left="140"/>
              <w:spacing w:after="0"/>
              <w:rPr>
                <w:sz w:val="20"/>
                <w:szCs w:val="20"/>
                <w:color w:val="auto"/>
              </w:rPr>
            </w:pPr>
            <w:r>
              <w:rPr>
                <w:rFonts w:ascii="Arial" w:cs="Arial" w:eastAsia="Arial" w:hAnsi="Arial"/>
                <w:sz w:val="13"/>
                <w:szCs w:val="13"/>
                <w:color w:val="333740"/>
              </w:rPr>
              <w:t>25% EBITDA</w:t>
            </w:r>
          </w:p>
        </w:tc>
        <w:tc>
          <w:tcPr>
            <w:tcW w:w="540" w:type="dxa"/>
            <w:vAlign w:val="bottom"/>
            <w:shd w:val="clear" w:color="auto" w:fill="D7D8D6"/>
          </w:tcPr>
          <w:p>
            <w:pPr>
              <w:spacing w:after="0"/>
              <w:rPr>
                <w:sz w:val="11"/>
                <w:szCs w:val="11"/>
                <w:color w:val="auto"/>
              </w:rPr>
            </w:pPr>
          </w:p>
        </w:tc>
        <w:tc>
          <w:tcPr>
            <w:tcW w:w="1580" w:type="dxa"/>
            <w:vAlign w:val="bottom"/>
            <w:shd w:val="clear" w:color="auto" w:fill="D7D8D6"/>
          </w:tcPr>
          <w:p>
            <w:pPr>
              <w:spacing w:after="0"/>
              <w:rPr>
                <w:sz w:val="11"/>
                <w:szCs w:val="11"/>
                <w:color w:val="auto"/>
              </w:rPr>
            </w:pPr>
          </w:p>
        </w:tc>
        <w:tc>
          <w:tcPr>
            <w:tcW w:w="360" w:type="dxa"/>
            <w:vAlign w:val="bottom"/>
            <w:shd w:val="clear" w:color="auto" w:fill="D7D8D6"/>
          </w:tcPr>
          <w:p>
            <w:pPr>
              <w:spacing w:after="0"/>
              <w:rPr>
                <w:sz w:val="11"/>
                <w:szCs w:val="11"/>
                <w:color w:val="auto"/>
              </w:rPr>
            </w:pPr>
          </w:p>
        </w:tc>
        <w:tc>
          <w:tcPr>
            <w:tcW w:w="1700" w:type="dxa"/>
            <w:vAlign w:val="bottom"/>
            <w:shd w:val="clear" w:color="auto" w:fill="D7D8D6"/>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00" w:type="dxa"/>
            <w:vAlign w:val="bottom"/>
            <w:shd w:val="clear" w:color="auto" w:fill="D7D8D6"/>
          </w:tcPr>
          <w:p>
            <w:pPr>
              <w:ind w:left="180"/>
              <w:spacing w:after="0" w:line="168" w:lineRule="exact"/>
              <w:rPr>
                <w:sz w:val="20"/>
                <w:szCs w:val="20"/>
                <w:color w:val="auto"/>
              </w:rPr>
            </w:pPr>
            <w:r>
              <w:rPr>
                <w:rFonts w:ascii="Arial" w:cs="Arial" w:eastAsia="Arial" w:hAnsi="Arial"/>
                <w:sz w:val="16"/>
                <w:szCs w:val="16"/>
                <w:color w:val="333740"/>
              </w:rPr>
              <w:t>Bonus</w:t>
            </w:r>
          </w:p>
        </w:tc>
        <w:tc>
          <w:tcPr>
            <w:tcW w:w="3760" w:type="dxa"/>
            <w:vAlign w:val="bottom"/>
            <w:shd w:val="clear" w:color="auto" w:fill="D7D8D6"/>
          </w:tcPr>
          <w:p>
            <w:pPr>
              <w:spacing w:after="0"/>
              <w:rPr>
                <w:sz w:val="14"/>
                <w:szCs w:val="14"/>
                <w:color w:val="auto"/>
              </w:rPr>
            </w:pPr>
          </w:p>
        </w:tc>
        <w:tc>
          <w:tcPr>
            <w:tcW w:w="1620" w:type="dxa"/>
            <w:vAlign w:val="bottom"/>
            <w:gridSpan w:val="2"/>
            <w:vMerge w:val="continue"/>
            <w:shd w:val="clear" w:color="auto" w:fill="D7D8D6"/>
          </w:tcPr>
          <w:p>
            <w:pPr>
              <w:spacing w:after="0"/>
              <w:rPr>
                <w:sz w:val="14"/>
                <w:szCs w:val="14"/>
                <w:color w:val="auto"/>
              </w:rPr>
            </w:pPr>
          </w:p>
        </w:tc>
        <w:tc>
          <w:tcPr>
            <w:tcW w:w="540" w:type="dxa"/>
            <w:vAlign w:val="bottom"/>
            <w:vMerge w:val="restart"/>
            <w:shd w:val="clear" w:color="auto" w:fill="D7D8D6"/>
          </w:tcPr>
          <w:p>
            <w:pPr>
              <w:jc w:val="center"/>
              <w:ind w:left="132"/>
              <w:spacing w:after="0"/>
              <w:rPr>
                <w:sz w:val="20"/>
                <w:szCs w:val="20"/>
                <w:color w:val="auto"/>
              </w:rPr>
            </w:pPr>
            <w:r>
              <w:rPr>
                <w:rFonts w:ascii="Arial" w:cs="Arial" w:eastAsia="Arial" w:hAnsi="Arial"/>
                <w:sz w:val="16"/>
                <w:szCs w:val="16"/>
                <w:color w:val="auto"/>
                <w:w w:val="85"/>
              </w:rPr>
              <w:t>&gt;</w:t>
            </w:r>
          </w:p>
        </w:tc>
        <w:tc>
          <w:tcPr>
            <w:tcW w:w="1580" w:type="dxa"/>
            <w:vAlign w:val="bottom"/>
            <w:shd w:val="clear" w:color="auto" w:fill="D7D8D6"/>
          </w:tcPr>
          <w:p>
            <w:pPr>
              <w:ind w:left="220"/>
              <w:spacing w:after="0"/>
              <w:rPr>
                <w:sz w:val="20"/>
                <w:szCs w:val="20"/>
                <w:color w:val="auto"/>
              </w:rPr>
            </w:pPr>
            <w:r>
              <w:rPr>
                <w:rFonts w:ascii="Arial" w:cs="Arial" w:eastAsia="Arial" w:hAnsi="Arial"/>
                <w:sz w:val="13"/>
                <w:szCs w:val="13"/>
                <w:color w:val="333740"/>
              </w:rPr>
              <w:t>12.4% - 155%</w:t>
            </w:r>
          </w:p>
        </w:tc>
        <w:tc>
          <w:tcPr>
            <w:tcW w:w="360" w:type="dxa"/>
            <w:vAlign w:val="bottom"/>
            <w:vMerge w:val="restart"/>
            <w:shd w:val="clear" w:color="auto" w:fill="D7D8D6"/>
          </w:tcPr>
          <w:p>
            <w:pPr>
              <w:jc w:val="center"/>
              <w:ind w:left="72"/>
              <w:spacing w:after="0"/>
              <w:rPr>
                <w:sz w:val="20"/>
                <w:szCs w:val="20"/>
                <w:color w:val="auto"/>
              </w:rPr>
            </w:pPr>
            <w:r>
              <w:rPr>
                <w:rFonts w:ascii="Arial" w:cs="Arial" w:eastAsia="Arial" w:hAnsi="Arial"/>
                <w:sz w:val="16"/>
                <w:szCs w:val="16"/>
                <w:color w:val="auto"/>
                <w:w w:val="85"/>
              </w:rPr>
              <w:t>&gt;</w:t>
            </w:r>
          </w:p>
        </w:tc>
        <w:tc>
          <w:tcPr>
            <w:tcW w:w="1700" w:type="dxa"/>
            <w:vAlign w:val="bottom"/>
            <w:vMerge w:val="restart"/>
            <w:shd w:val="clear" w:color="auto" w:fill="D7D8D6"/>
          </w:tcPr>
          <w:p>
            <w:pPr>
              <w:jc w:val="center"/>
              <w:spacing w:after="0"/>
              <w:rPr>
                <w:sz w:val="20"/>
                <w:szCs w:val="20"/>
                <w:color w:val="auto"/>
              </w:rPr>
            </w:pPr>
            <w:r>
              <w:rPr>
                <w:rFonts w:ascii="Arial" w:cs="Arial" w:eastAsia="Arial" w:hAnsi="Arial"/>
                <w:sz w:val="13"/>
                <w:szCs w:val="13"/>
                <w:color w:val="333740"/>
                <w:w w:val="87"/>
              </w:rPr>
              <w:t>155% of target</w:t>
            </w:r>
          </w:p>
        </w:tc>
        <w:tc>
          <w:tcPr>
            <w:tcW w:w="0" w:type="dxa"/>
            <w:vAlign w:val="bottom"/>
          </w:tcPr>
          <w:p>
            <w:pPr>
              <w:spacing w:after="0"/>
              <w:rPr>
                <w:sz w:val="1"/>
                <w:szCs w:val="1"/>
                <w:color w:val="auto"/>
              </w:rPr>
            </w:pPr>
          </w:p>
        </w:tc>
      </w:tr>
      <w:tr>
        <w:trPr>
          <w:trHeight w:val="80"/>
        </w:trPr>
        <w:tc>
          <w:tcPr>
            <w:tcW w:w="1700" w:type="dxa"/>
            <w:vAlign w:val="bottom"/>
            <w:shd w:val="clear" w:color="auto" w:fill="D7D8D6"/>
          </w:tcPr>
          <w:p>
            <w:pPr>
              <w:spacing w:after="0"/>
              <w:rPr>
                <w:sz w:val="6"/>
                <w:szCs w:val="6"/>
                <w:color w:val="auto"/>
              </w:rPr>
            </w:pPr>
          </w:p>
        </w:tc>
        <w:tc>
          <w:tcPr>
            <w:tcW w:w="3760" w:type="dxa"/>
            <w:vAlign w:val="bottom"/>
            <w:shd w:val="clear" w:color="auto" w:fill="D7D8D6"/>
          </w:tcPr>
          <w:p>
            <w:pPr>
              <w:spacing w:after="0"/>
              <w:rPr>
                <w:sz w:val="6"/>
                <w:szCs w:val="6"/>
                <w:color w:val="auto"/>
              </w:rPr>
            </w:pPr>
          </w:p>
        </w:tc>
        <w:tc>
          <w:tcPr>
            <w:tcW w:w="1620" w:type="dxa"/>
            <w:vAlign w:val="bottom"/>
            <w:gridSpan w:val="2"/>
            <w:shd w:val="clear" w:color="auto" w:fill="D7D8D6"/>
          </w:tcPr>
          <w:p>
            <w:pPr>
              <w:ind w:left="140"/>
              <w:spacing w:after="0" w:line="80" w:lineRule="exact"/>
              <w:rPr>
                <w:sz w:val="20"/>
                <w:szCs w:val="20"/>
                <w:color w:val="auto"/>
              </w:rPr>
            </w:pPr>
            <w:r>
              <w:rPr>
                <w:rFonts w:ascii="Arial" w:cs="Arial" w:eastAsia="Arial" w:hAnsi="Arial"/>
                <w:sz w:val="8"/>
                <w:szCs w:val="8"/>
                <w:color w:val="333740"/>
              </w:rPr>
              <w:t>as a Percentage</w:t>
            </w:r>
          </w:p>
        </w:tc>
        <w:tc>
          <w:tcPr>
            <w:tcW w:w="540" w:type="dxa"/>
            <w:vAlign w:val="bottom"/>
            <w:vMerge w:val="continue"/>
            <w:shd w:val="clear" w:color="auto" w:fill="D7D8D6"/>
          </w:tcPr>
          <w:p>
            <w:pPr>
              <w:spacing w:after="0"/>
              <w:rPr>
                <w:sz w:val="6"/>
                <w:szCs w:val="6"/>
                <w:color w:val="auto"/>
              </w:rPr>
            </w:pPr>
          </w:p>
        </w:tc>
        <w:tc>
          <w:tcPr>
            <w:tcW w:w="1580" w:type="dxa"/>
            <w:vAlign w:val="bottom"/>
            <w:vMerge w:val="restart"/>
            <w:shd w:val="clear" w:color="auto" w:fill="D7D8D6"/>
          </w:tcPr>
          <w:p>
            <w:pPr>
              <w:ind w:left="220"/>
              <w:spacing w:after="0"/>
              <w:rPr>
                <w:sz w:val="20"/>
                <w:szCs w:val="20"/>
                <w:color w:val="auto"/>
              </w:rPr>
            </w:pPr>
            <w:r>
              <w:rPr>
                <w:rFonts w:ascii="Arial" w:cs="Arial" w:eastAsia="Arial" w:hAnsi="Arial"/>
                <w:sz w:val="13"/>
                <w:szCs w:val="13"/>
                <w:color w:val="333740"/>
              </w:rPr>
              <w:t>performance rating</w:t>
            </w:r>
          </w:p>
        </w:tc>
        <w:tc>
          <w:tcPr>
            <w:tcW w:w="360" w:type="dxa"/>
            <w:vAlign w:val="bottom"/>
            <w:vMerge w:val="continue"/>
            <w:shd w:val="clear" w:color="auto" w:fill="D7D8D6"/>
          </w:tcPr>
          <w:p>
            <w:pPr>
              <w:spacing w:after="0"/>
              <w:rPr>
                <w:sz w:val="6"/>
                <w:szCs w:val="6"/>
                <w:color w:val="auto"/>
              </w:rPr>
            </w:pPr>
          </w:p>
        </w:tc>
        <w:tc>
          <w:tcPr>
            <w:tcW w:w="1700" w:type="dxa"/>
            <w:vAlign w:val="bottom"/>
            <w:vMerge w:val="continue"/>
            <w:shd w:val="clear" w:color="auto" w:fill="D7D8D6"/>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700" w:type="dxa"/>
            <w:vAlign w:val="bottom"/>
            <w:shd w:val="clear" w:color="auto" w:fill="D7D8D6"/>
          </w:tcPr>
          <w:p>
            <w:pPr>
              <w:spacing w:after="0"/>
              <w:rPr>
                <w:sz w:val="7"/>
                <w:szCs w:val="7"/>
                <w:color w:val="auto"/>
              </w:rPr>
            </w:pPr>
          </w:p>
        </w:tc>
        <w:tc>
          <w:tcPr>
            <w:tcW w:w="3760" w:type="dxa"/>
            <w:vAlign w:val="bottom"/>
            <w:shd w:val="clear" w:color="auto" w:fill="D7D8D6"/>
          </w:tcPr>
          <w:p>
            <w:pPr>
              <w:spacing w:after="0"/>
              <w:rPr>
                <w:sz w:val="7"/>
                <w:szCs w:val="7"/>
                <w:color w:val="auto"/>
              </w:rPr>
            </w:pPr>
          </w:p>
        </w:tc>
        <w:tc>
          <w:tcPr>
            <w:tcW w:w="1620" w:type="dxa"/>
            <w:vAlign w:val="bottom"/>
            <w:gridSpan w:val="2"/>
            <w:vMerge w:val="restart"/>
            <w:shd w:val="clear" w:color="auto" w:fill="D7D8D6"/>
          </w:tcPr>
          <w:p>
            <w:pPr>
              <w:ind w:left="140"/>
              <w:spacing w:after="0"/>
              <w:rPr>
                <w:sz w:val="20"/>
                <w:szCs w:val="20"/>
                <w:color w:val="auto"/>
              </w:rPr>
            </w:pPr>
            <w:r>
              <w:rPr>
                <w:rFonts w:ascii="Arial" w:cs="Arial" w:eastAsia="Arial" w:hAnsi="Arial"/>
                <w:sz w:val="13"/>
                <w:szCs w:val="13"/>
                <w:color w:val="333740"/>
              </w:rPr>
              <w:t>of Revenue</w:t>
            </w:r>
          </w:p>
        </w:tc>
        <w:tc>
          <w:tcPr>
            <w:tcW w:w="540" w:type="dxa"/>
            <w:vAlign w:val="bottom"/>
            <w:shd w:val="clear" w:color="auto" w:fill="D7D8D6"/>
          </w:tcPr>
          <w:p>
            <w:pPr>
              <w:spacing w:after="0"/>
              <w:rPr>
                <w:sz w:val="7"/>
                <w:szCs w:val="7"/>
                <w:color w:val="auto"/>
              </w:rPr>
            </w:pPr>
          </w:p>
        </w:tc>
        <w:tc>
          <w:tcPr>
            <w:tcW w:w="1580" w:type="dxa"/>
            <w:vAlign w:val="bottom"/>
            <w:vMerge w:val="continue"/>
            <w:shd w:val="clear" w:color="auto" w:fill="D7D8D6"/>
          </w:tcPr>
          <w:p>
            <w:pPr>
              <w:spacing w:after="0"/>
              <w:rPr>
                <w:sz w:val="7"/>
                <w:szCs w:val="7"/>
                <w:color w:val="auto"/>
              </w:rPr>
            </w:pPr>
          </w:p>
        </w:tc>
        <w:tc>
          <w:tcPr>
            <w:tcW w:w="360" w:type="dxa"/>
            <w:vAlign w:val="bottom"/>
            <w:shd w:val="clear" w:color="auto" w:fill="D7D8D6"/>
          </w:tcPr>
          <w:p>
            <w:pPr>
              <w:spacing w:after="0"/>
              <w:rPr>
                <w:sz w:val="7"/>
                <w:szCs w:val="7"/>
                <w:color w:val="auto"/>
              </w:rPr>
            </w:pPr>
          </w:p>
        </w:tc>
        <w:tc>
          <w:tcPr>
            <w:tcW w:w="1700" w:type="dxa"/>
            <w:vAlign w:val="bottom"/>
            <w:shd w:val="clear" w:color="auto" w:fill="D7D8D6"/>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700" w:type="dxa"/>
            <w:vAlign w:val="bottom"/>
            <w:shd w:val="clear" w:color="auto" w:fill="D7D8D6"/>
          </w:tcPr>
          <w:p>
            <w:pPr>
              <w:spacing w:after="0"/>
              <w:rPr>
                <w:sz w:val="6"/>
                <w:szCs w:val="6"/>
                <w:color w:val="auto"/>
              </w:rPr>
            </w:pPr>
          </w:p>
        </w:tc>
        <w:tc>
          <w:tcPr>
            <w:tcW w:w="3760" w:type="dxa"/>
            <w:vAlign w:val="bottom"/>
            <w:shd w:val="clear" w:color="auto" w:fill="D7D8D6"/>
          </w:tcPr>
          <w:p>
            <w:pPr>
              <w:spacing w:after="0"/>
              <w:rPr>
                <w:sz w:val="6"/>
                <w:szCs w:val="6"/>
                <w:color w:val="auto"/>
              </w:rPr>
            </w:pPr>
          </w:p>
        </w:tc>
        <w:tc>
          <w:tcPr>
            <w:tcW w:w="1620" w:type="dxa"/>
            <w:vAlign w:val="bottom"/>
            <w:gridSpan w:val="2"/>
            <w:vMerge w:val="continue"/>
            <w:shd w:val="clear" w:color="auto" w:fill="D7D8D6"/>
          </w:tcPr>
          <w:p>
            <w:pPr>
              <w:spacing w:after="0"/>
              <w:rPr>
                <w:sz w:val="6"/>
                <w:szCs w:val="6"/>
                <w:color w:val="auto"/>
              </w:rPr>
            </w:pPr>
          </w:p>
        </w:tc>
        <w:tc>
          <w:tcPr>
            <w:tcW w:w="540" w:type="dxa"/>
            <w:vAlign w:val="bottom"/>
            <w:shd w:val="clear" w:color="auto" w:fill="D7D8D6"/>
          </w:tcPr>
          <w:p>
            <w:pPr>
              <w:spacing w:after="0"/>
              <w:rPr>
                <w:sz w:val="6"/>
                <w:szCs w:val="6"/>
                <w:color w:val="auto"/>
              </w:rPr>
            </w:pPr>
          </w:p>
        </w:tc>
        <w:tc>
          <w:tcPr>
            <w:tcW w:w="1580" w:type="dxa"/>
            <w:vAlign w:val="bottom"/>
            <w:shd w:val="clear" w:color="auto" w:fill="D7D8D6"/>
          </w:tcPr>
          <w:p>
            <w:pPr>
              <w:spacing w:after="0"/>
              <w:rPr>
                <w:sz w:val="6"/>
                <w:szCs w:val="6"/>
                <w:color w:val="auto"/>
              </w:rPr>
            </w:pPr>
          </w:p>
        </w:tc>
        <w:tc>
          <w:tcPr>
            <w:tcW w:w="360" w:type="dxa"/>
            <w:vAlign w:val="bottom"/>
            <w:shd w:val="clear" w:color="auto" w:fill="D7D8D6"/>
          </w:tcPr>
          <w:p>
            <w:pPr>
              <w:spacing w:after="0"/>
              <w:rPr>
                <w:sz w:val="6"/>
                <w:szCs w:val="6"/>
                <w:color w:val="auto"/>
              </w:rPr>
            </w:pPr>
          </w:p>
        </w:tc>
        <w:tc>
          <w:tcPr>
            <w:tcW w:w="1700" w:type="dxa"/>
            <w:vAlign w:val="bottom"/>
            <w:shd w:val="clear" w:color="auto" w:fill="D7D8D6"/>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D7D8D6"/>
          </w:tcPr>
          <w:p>
            <w:pPr>
              <w:spacing w:after="0"/>
              <w:rPr>
                <w:sz w:val="18"/>
                <w:szCs w:val="18"/>
                <w:color w:val="auto"/>
              </w:rPr>
            </w:pPr>
          </w:p>
        </w:tc>
        <w:tc>
          <w:tcPr>
            <w:tcW w:w="3760" w:type="dxa"/>
            <w:vAlign w:val="bottom"/>
            <w:shd w:val="clear" w:color="auto" w:fill="D7D8D6"/>
          </w:tcPr>
          <w:p>
            <w:pPr>
              <w:spacing w:after="0"/>
              <w:rPr>
                <w:sz w:val="18"/>
                <w:szCs w:val="18"/>
                <w:color w:val="auto"/>
              </w:rPr>
            </w:pPr>
          </w:p>
        </w:tc>
        <w:tc>
          <w:tcPr>
            <w:tcW w:w="1620" w:type="dxa"/>
            <w:vAlign w:val="bottom"/>
            <w:gridSpan w:val="2"/>
            <w:shd w:val="clear" w:color="auto" w:fill="D7D8D6"/>
          </w:tcPr>
          <w:p>
            <w:pPr>
              <w:ind w:left="140"/>
              <w:spacing w:after="0"/>
              <w:rPr>
                <w:sz w:val="20"/>
                <w:szCs w:val="20"/>
                <w:color w:val="auto"/>
              </w:rPr>
            </w:pPr>
            <w:r>
              <w:rPr>
                <w:rFonts w:ascii="Arial" w:cs="Arial" w:eastAsia="Arial" w:hAnsi="Arial"/>
                <w:sz w:val="13"/>
                <w:szCs w:val="13"/>
                <w:color w:val="333740"/>
              </w:rPr>
              <w:t>25% Working</w:t>
            </w:r>
          </w:p>
        </w:tc>
        <w:tc>
          <w:tcPr>
            <w:tcW w:w="540" w:type="dxa"/>
            <w:vAlign w:val="bottom"/>
            <w:vMerge w:val="restart"/>
            <w:shd w:val="clear" w:color="auto" w:fill="D7D8D6"/>
          </w:tcPr>
          <w:p>
            <w:pPr>
              <w:jc w:val="center"/>
              <w:ind w:left="132"/>
              <w:spacing w:after="0"/>
              <w:rPr>
                <w:sz w:val="20"/>
                <w:szCs w:val="20"/>
                <w:color w:val="auto"/>
              </w:rPr>
            </w:pPr>
            <w:r>
              <w:rPr>
                <w:rFonts w:ascii="Arial" w:cs="Arial" w:eastAsia="Arial" w:hAnsi="Arial"/>
                <w:sz w:val="16"/>
                <w:szCs w:val="16"/>
                <w:color w:val="auto"/>
                <w:w w:val="85"/>
              </w:rPr>
              <w:t>&gt;</w:t>
            </w:r>
          </w:p>
        </w:tc>
        <w:tc>
          <w:tcPr>
            <w:tcW w:w="1580" w:type="dxa"/>
            <w:vAlign w:val="bottom"/>
            <w:shd w:val="clear" w:color="auto" w:fill="D7D8D6"/>
          </w:tcPr>
          <w:p>
            <w:pPr>
              <w:ind w:left="220"/>
              <w:spacing w:after="0"/>
              <w:rPr>
                <w:sz w:val="20"/>
                <w:szCs w:val="20"/>
                <w:color w:val="auto"/>
              </w:rPr>
            </w:pPr>
            <w:r>
              <w:rPr>
                <w:rFonts w:ascii="Arial" w:cs="Arial" w:eastAsia="Arial" w:hAnsi="Arial"/>
                <w:sz w:val="13"/>
                <w:szCs w:val="13"/>
                <w:color w:val="333740"/>
              </w:rPr>
              <w:t>74 days - 200%</w:t>
            </w:r>
          </w:p>
        </w:tc>
        <w:tc>
          <w:tcPr>
            <w:tcW w:w="360" w:type="dxa"/>
            <w:vAlign w:val="bottom"/>
            <w:vMerge w:val="restart"/>
            <w:shd w:val="clear" w:color="auto" w:fill="D7D8D6"/>
          </w:tcPr>
          <w:p>
            <w:pPr>
              <w:jc w:val="center"/>
              <w:ind w:left="72"/>
              <w:spacing w:after="0"/>
              <w:rPr>
                <w:sz w:val="20"/>
                <w:szCs w:val="20"/>
                <w:color w:val="auto"/>
              </w:rPr>
            </w:pPr>
            <w:r>
              <w:rPr>
                <w:rFonts w:ascii="Arial" w:cs="Arial" w:eastAsia="Arial" w:hAnsi="Arial"/>
                <w:sz w:val="16"/>
                <w:szCs w:val="16"/>
                <w:color w:val="auto"/>
                <w:w w:val="85"/>
              </w:rPr>
              <w:t>&gt;</w:t>
            </w:r>
          </w:p>
        </w:tc>
        <w:tc>
          <w:tcPr>
            <w:tcW w:w="1700" w:type="dxa"/>
            <w:vAlign w:val="bottom"/>
            <w:vMerge w:val="restart"/>
            <w:shd w:val="clear" w:color="auto" w:fill="D7D8D6"/>
          </w:tcPr>
          <w:p>
            <w:pPr>
              <w:jc w:val="center"/>
              <w:spacing w:after="0"/>
              <w:rPr>
                <w:sz w:val="20"/>
                <w:szCs w:val="20"/>
                <w:color w:val="auto"/>
              </w:rPr>
            </w:pPr>
            <w:r>
              <w:rPr>
                <w:rFonts w:ascii="Arial" w:cs="Arial" w:eastAsia="Arial" w:hAnsi="Arial"/>
                <w:sz w:val="13"/>
                <w:szCs w:val="13"/>
                <w:color w:val="333740"/>
                <w:w w:val="87"/>
              </w:rPr>
              <w:t>200% of target</w:t>
            </w:r>
          </w:p>
        </w:tc>
        <w:tc>
          <w:tcPr>
            <w:tcW w:w="0" w:type="dxa"/>
            <w:vAlign w:val="bottom"/>
          </w:tcPr>
          <w:p>
            <w:pPr>
              <w:spacing w:after="0"/>
              <w:rPr>
                <w:sz w:val="1"/>
                <w:szCs w:val="1"/>
                <w:color w:val="auto"/>
              </w:rPr>
            </w:pPr>
          </w:p>
        </w:tc>
      </w:tr>
      <w:tr>
        <w:trPr>
          <w:trHeight w:val="112"/>
        </w:trPr>
        <w:tc>
          <w:tcPr>
            <w:tcW w:w="1700" w:type="dxa"/>
            <w:vAlign w:val="bottom"/>
            <w:shd w:val="clear" w:color="auto" w:fill="D7D8D6"/>
          </w:tcPr>
          <w:p>
            <w:pPr>
              <w:spacing w:after="0"/>
              <w:rPr>
                <w:sz w:val="9"/>
                <w:szCs w:val="9"/>
                <w:color w:val="auto"/>
              </w:rPr>
            </w:pPr>
          </w:p>
        </w:tc>
        <w:tc>
          <w:tcPr>
            <w:tcW w:w="3760" w:type="dxa"/>
            <w:vAlign w:val="bottom"/>
            <w:shd w:val="clear" w:color="auto" w:fill="D7D8D6"/>
          </w:tcPr>
          <w:p>
            <w:pPr>
              <w:spacing w:after="0"/>
              <w:rPr>
                <w:sz w:val="9"/>
                <w:szCs w:val="9"/>
                <w:color w:val="auto"/>
              </w:rPr>
            </w:pPr>
          </w:p>
        </w:tc>
        <w:tc>
          <w:tcPr>
            <w:tcW w:w="1620" w:type="dxa"/>
            <w:vAlign w:val="bottom"/>
            <w:gridSpan w:val="2"/>
            <w:vMerge w:val="restart"/>
            <w:shd w:val="clear" w:color="auto" w:fill="D7D8D6"/>
          </w:tcPr>
          <w:p>
            <w:pPr>
              <w:ind w:left="140"/>
              <w:spacing w:after="0"/>
              <w:rPr>
                <w:sz w:val="20"/>
                <w:szCs w:val="20"/>
                <w:color w:val="auto"/>
              </w:rPr>
            </w:pPr>
            <w:r>
              <w:rPr>
                <w:rFonts w:ascii="Arial" w:cs="Arial" w:eastAsia="Arial" w:hAnsi="Arial"/>
                <w:sz w:val="13"/>
                <w:szCs w:val="13"/>
                <w:color w:val="333740"/>
              </w:rPr>
              <w:t>Capital Days</w:t>
            </w:r>
          </w:p>
        </w:tc>
        <w:tc>
          <w:tcPr>
            <w:tcW w:w="540" w:type="dxa"/>
            <w:vAlign w:val="bottom"/>
            <w:vMerge w:val="continue"/>
            <w:shd w:val="clear" w:color="auto" w:fill="D7D8D6"/>
          </w:tcPr>
          <w:p>
            <w:pPr>
              <w:spacing w:after="0"/>
              <w:rPr>
                <w:sz w:val="9"/>
                <w:szCs w:val="9"/>
                <w:color w:val="auto"/>
              </w:rPr>
            </w:pPr>
          </w:p>
        </w:tc>
        <w:tc>
          <w:tcPr>
            <w:tcW w:w="1580" w:type="dxa"/>
            <w:vAlign w:val="bottom"/>
            <w:vMerge w:val="restart"/>
            <w:shd w:val="clear" w:color="auto" w:fill="D7D8D6"/>
          </w:tcPr>
          <w:p>
            <w:pPr>
              <w:ind w:left="220"/>
              <w:spacing w:after="0"/>
              <w:rPr>
                <w:sz w:val="20"/>
                <w:szCs w:val="20"/>
                <w:color w:val="auto"/>
              </w:rPr>
            </w:pPr>
            <w:r>
              <w:rPr>
                <w:rFonts w:ascii="Arial" w:cs="Arial" w:eastAsia="Arial" w:hAnsi="Arial"/>
                <w:sz w:val="13"/>
                <w:szCs w:val="13"/>
                <w:color w:val="333740"/>
              </w:rPr>
              <w:t>performance rating</w:t>
            </w:r>
          </w:p>
        </w:tc>
        <w:tc>
          <w:tcPr>
            <w:tcW w:w="360" w:type="dxa"/>
            <w:vAlign w:val="bottom"/>
            <w:vMerge w:val="continue"/>
            <w:shd w:val="clear" w:color="auto" w:fill="D7D8D6"/>
          </w:tcPr>
          <w:p>
            <w:pPr>
              <w:spacing w:after="0"/>
              <w:rPr>
                <w:sz w:val="9"/>
                <w:szCs w:val="9"/>
                <w:color w:val="auto"/>
              </w:rPr>
            </w:pPr>
          </w:p>
        </w:tc>
        <w:tc>
          <w:tcPr>
            <w:tcW w:w="1700" w:type="dxa"/>
            <w:vAlign w:val="bottom"/>
            <w:vMerge w:val="continue"/>
            <w:shd w:val="clear" w:color="auto" w:fill="D7D8D6"/>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1700" w:type="dxa"/>
            <w:vAlign w:val="bottom"/>
            <w:shd w:val="clear" w:color="auto" w:fill="D7D8D6"/>
          </w:tcPr>
          <w:p>
            <w:pPr>
              <w:spacing w:after="0"/>
              <w:rPr>
                <w:sz w:val="4"/>
                <w:szCs w:val="4"/>
                <w:color w:val="auto"/>
              </w:rPr>
            </w:pPr>
          </w:p>
        </w:tc>
        <w:tc>
          <w:tcPr>
            <w:tcW w:w="3760" w:type="dxa"/>
            <w:vAlign w:val="bottom"/>
            <w:shd w:val="clear" w:color="auto" w:fill="D7D8D6"/>
          </w:tcPr>
          <w:p>
            <w:pPr>
              <w:spacing w:after="0"/>
              <w:rPr>
                <w:sz w:val="4"/>
                <w:szCs w:val="4"/>
                <w:color w:val="auto"/>
              </w:rPr>
            </w:pPr>
          </w:p>
        </w:tc>
        <w:tc>
          <w:tcPr>
            <w:tcW w:w="1620" w:type="dxa"/>
            <w:vAlign w:val="bottom"/>
            <w:gridSpan w:val="2"/>
            <w:vMerge w:val="continue"/>
            <w:shd w:val="clear" w:color="auto" w:fill="D7D8D6"/>
          </w:tcPr>
          <w:p>
            <w:pPr>
              <w:spacing w:after="0"/>
              <w:rPr>
                <w:sz w:val="4"/>
                <w:szCs w:val="4"/>
                <w:color w:val="auto"/>
              </w:rPr>
            </w:pPr>
          </w:p>
        </w:tc>
        <w:tc>
          <w:tcPr>
            <w:tcW w:w="540" w:type="dxa"/>
            <w:vAlign w:val="bottom"/>
            <w:shd w:val="clear" w:color="auto" w:fill="D7D8D6"/>
          </w:tcPr>
          <w:p>
            <w:pPr>
              <w:spacing w:after="0"/>
              <w:rPr>
                <w:sz w:val="4"/>
                <w:szCs w:val="4"/>
                <w:color w:val="auto"/>
              </w:rPr>
            </w:pPr>
          </w:p>
        </w:tc>
        <w:tc>
          <w:tcPr>
            <w:tcW w:w="1580" w:type="dxa"/>
            <w:vAlign w:val="bottom"/>
            <w:vMerge w:val="continue"/>
            <w:shd w:val="clear" w:color="auto" w:fill="D7D8D6"/>
          </w:tcPr>
          <w:p>
            <w:pPr>
              <w:spacing w:after="0"/>
              <w:rPr>
                <w:sz w:val="4"/>
                <w:szCs w:val="4"/>
                <w:color w:val="auto"/>
              </w:rPr>
            </w:pPr>
          </w:p>
        </w:tc>
        <w:tc>
          <w:tcPr>
            <w:tcW w:w="360" w:type="dxa"/>
            <w:vAlign w:val="bottom"/>
            <w:shd w:val="clear" w:color="auto" w:fill="D7D8D6"/>
          </w:tcPr>
          <w:p>
            <w:pPr>
              <w:spacing w:after="0"/>
              <w:rPr>
                <w:sz w:val="4"/>
                <w:szCs w:val="4"/>
                <w:color w:val="auto"/>
              </w:rPr>
            </w:pPr>
          </w:p>
        </w:tc>
        <w:tc>
          <w:tcPr>
            <w:tcW w:w="1700" w:type="dxa"/>
            <w:vAlign w:val="bottom"/>
            <w:shd w:val="clear" w:color="auto" w:fill="D7D8D6"/>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D7D8D6"/>
          </w:tcPr>
          <w:p>
            <w:pPr>
              <w:spacing w:after="0"/>
              <w:rPr>
                <w:sz w:val="18"/>
                <w:szCs w:val="18"/>
                <w:color w:val="auto"/>
              </w:rPr>
            </w:pPr>
          </w:p>
        </w:tc>
        <w:tc>
          <w:tcPr>
            <w:tcW w:w="3760" w:type="dxa"/>
            <w:vAlign w:val="bottom"/>
            <w:shd w:val="clear" w:color="auto" w:fill="D7D8D6"/>
          </w:tcPr>
          <w:p>
            <w:pPr>
              <w:spacing w:after="0"/>
              <w:rPr>
                <w:sz w:val="18"/>
                <w:szCs w:val="18"/>
                <w:color w:val="auto"/>
              </w:rPr>
            </w:pPr>
          </w:p>
        </w:tc>
        <w:tc>
          <w:tcPr>
            <w:tcW w:w="1620" w:type="dxa"/>
            <w:vAlign w:val="bottom"/>
            <w:gridSpan w:val="2"/>
            <w:shd w:val="clear" w:color="auto" w:fill="D7D8D6"/>
          </w:tcPr>
          <w:p>
            <w:pPr>
              <w:ind w:left="140"/>
              <w:spacing w:after="0"/>
              <w:rPr>
                <w:sz w:val="20"/>
                <w:szCs w:val="20"/>
                <w:color w:val="auto"/>
              </w:rPr>
            </w:pPr>
            <w:r>
              <w:rPr>
                <w:rFonts w:ascii="Arial" w:cs="Arial" w:eastAsia="Arial" w:hAnsi="Arial"/>
                <w:sz w:val="13"/>
                <w:szCs w:val="13"/>
                <w:color w:val="333740"/>
              </w:rPr>
              <w:t>25% Annual</w:t>
            </w:r>
          </w:p>
        </w:tc>
        <w:tc>
          <w:tcPr>
            <w:tcW w:w="540" w:type="dxa"/>
            <w:vAlign w:val="bottom"/>
            <w:vMerge w:val="restart"/>
            <w:shd w:val="clear" w:color="auto" w:fill="D7D8D6"/>
          </w:tcPr>
          <w:p>
            <w:pPr>
              <w:jc w:val="center"/>
              <w:ind w:left="132"/>
              <w:spacing w:after="0"/>
              <w:rPr>
                <w:sz w:val="20"/>
                <w:szCs w:val="20"/>
                <w:color w:val="auto"/>
              </w:rPr>
            </w:pPr>
            <w:r>
              <w:rPr>
                <w:rFonts w:ascii="Arial" w:cs="Arial" w:eastAsia="Arial" w:hAnsi="Arial"/>
                <w:sz w:val="16"/>
                <w:szCs w:val="16"/>
                <w:color w:val="auto"/>
                <w:w w:val="85"/>
              </w:rPr>
              <w:t>&gt;</w:t>
            </w:r>
          </w:p>
        </w:tc>
        <w:tc>
          <w:tcPr>
            <w:tcW w:w="1580" w:type="dxa"/>
            <w:vAlign w:val="bottom"/>
            <w:shd w:val="clear" w:color="auto" w:fill="D7D8D6"/>
          </w:tcPr>
          <w:p>
            <w:pPr>
              <w:ind w:left="220"/>
              <w:spacing w:after="0"/>
              <w:rPr>
                <w:sz w:val="20"/>
                <w:szCs w:val="20"/>
                <w:color w:val="auto"/>
              </w:rPr>
            </w:pPr>
            <w:r>
              <w:rPr>
                <w:rFonts w:ascii="Arial" w:cs="Arial" w:eastAsia="Arial" w:hAnsi="Arial"/>
                <w:sz w:val="13"/>
                <w:szCs w:val="13"/>
                <w:color w:val="333740"/>
              </w:rPr>
              <w:t>Ranging from 140%</w:t>
            </w:r>
          </w:p>
        </w:tc>
        <w:tc>
          <w:tcPr>
            <w:tcW w:w="360" w:type="dxa"/>
            <w:vAlign w:val="bottom"/>
            <w:vMerge w:val="restart"/>
            <w:shd w:val="clear" w:color="auto" w:fill="D7D8D6"/>
          </w:tcPr>
          <w:p>
            <w:pPr>
              <w:jc w:val="center"/>
              <w:ind w:left="72"/>
              <w:spacing w:after="0"/>
              <w:rPr>
                <w:sz w:val="20"/>
                <w:szCs w:val="20"/>
                <w:color w:val="auto"/>
              </w:rPr>
            </w:pPr>
            <w:r>
              <w:rPr>
                <w:rFonts w:ascii="Arial" w:cs="Arial" w:eastAsia="Arial" w:hAnsi="Arial"/>
                <w:sz w:val="16"/>
                <w:szCs w:val="16"/>
                <w:color w:val="auto"/>
                <w:w w:val="85"/>
              </w:rPr>
              <w:t>&gt;</w:t>
            </w:r>
          </w:p>
        </w:tc>
        <w:tc>
          <w:tcPr>
            <w:tcW w:w="1700" w:type="dxa"/>
            <w:vAlign w:val="bottom"/>
            <w:vMerge w:val="restart"/>
            <w:shd w:val="clear" w:color="auto" w:fill="D7D8D6"/>
          </w:tcPr>
          <w:p>
            <w:pPr>
              <w:jc w:val="center"/>
              <w:spacing w:after="0"/>
              <w:rPr>
                <w:sz w:val="20"/>
                <w:szCs w:val="20"/>
                <w:color w:val="auto"/>
              </w:rPr>
            </w:pPr>
            <w:r>
              <w:rPr>
                <w:rFonts w:ascii="Arial" w:cs="Arial" w:eastAsia="Arial" w:hAnsi="Arial"/>
                <w:sz w:val="13"/>
                <w:szCs w:val="13"/>
                <w:color w:val="333740"/>
                <w:w w:val="87"/>
              </w:rPr>
              <w:t>140% to 180%</w:t>
            </w:r>
          </w:p>
        </w:tc>
        <w:tc>
          <w:tcPr>
            <w:tcW w:w="0" w:type="dxa"/>
            <w:vAlign w:val="bottom"/>
          </w:tcPr>
          <w:p>
            <w:pPr>
              <w:spacing w:after="0"/>
              <w:rPr>
                <w:sz w:val="1"/>
                <w:szCs w:val="1"/>
                <w:color w:val="auto"/>
              </w:rPr>
            </w:pPr>
          </w:p>
        </w:tc>
      </w:tr>
      <w:tr>
        <w:trPr>
          <w:trHeight w:val="60"/>
        </w:trPr>
        <w:tc>
          <w:tcPr>
            <w:tcW w:w="1700" w:type="dxa"/>
            <w:vAlign w:val="bottom"/>
            <w:shd w:val="clear" w:color="auto" w:fill="D7D8D6"/>
          </w:tcPr>
          <w:p>
            <w:pPr>
              <w:spacing w:after="0"/>
              <w:rPr>
                <w:sz w:val="5"/>
                <w:szCs w:val="5"/>
                <w:color w:val="auto"/>
              </w:rPr>
            </w:pPr>
          </w:p>
        </w:tc>
        <w:tc>
          <w:tcPr>
            <w:tcW w:w="3760" w:type="dxa"/>
            <w:vAlign w:val="bottom"/>
            <w:shd w:val="clear" w:color="auto" w:fill="D7D8D6"/>
          </w:tcPr>
          <w:p>
            <w:pPr>
              <w:spacing w:after="0"/>
              <w:rPr>
                <w:sz w:val="5"/>
                <w:szCs w:val="5"/>
                <w:color w:val="auto"/>
              </w:rPr>
            </w:pPr>
          </w:p>
        </w:tc>
        <w:tc>
          <w:tcPr>
            <w:tcW w:w="1620" w:type="dxa"/>
            <w:vAlign w:val="bottom"/>
            <w:gridSpan w:val="2"/>
            <w:vMerge w:val="restart"/>
            <w:shd w:val="clear" w:color="auto" w:fill="D7D8D6"/>
          </w:tcPr>
          <w:p>
            <w:pPr>
              <w:ind w:left="140"/>
              <w:spacing w:after="0" w:line="132" w:lineRule="exact"/>
              <w:rPr>
                <w:sz w:val="20"/>
                <w:szCs w:val="20"/>
                <w:color w:val="auto"/>
              </w:rPr>
            </w:pPr>
            <w:r>
              <w:rPr>
                <w:rFonts w:ascii="Arial" w:cs="Arial" w:eastAsia="Arial" w:hAnsi="Arial"/>
                <w:sz w:val="13"/>
                <w:szCs w:val="13"/>
                <w:color w:val="333740"/>
              </w:rPr>
              <w:t>Individual</w:t>
            </w:r>
          </w:p>
        </w:tc>
        <w:tc>
          <w:tcPr>
            <w:tcW w:w="540" w:type="dxa"/>
            <w:vAlign w:val="bottom"/>
            <w:vMerge w:val="continue"/>
            <w:shd w:val="clear" w:color="auto" w:fill="D7D8D6"/>
          </w:tcPr>
          <w:p>
            <w:pPr>
              <w:spacing w:after="0"/>
              <w:rPr>
                <w:sz w:val="5"/>
                <w:szCs w:val="5"/>
                <w:color w:val="auto"/>
              </w:rPr>
            </w:pPr>
          </w:p>
        </w:tc>
        <w:tc>
          <w:tcPr>
            <w:tcW w:w="1580" w:type="dxa"/>
            <w:vAlign w:val="bottom"/>
            <w:vMerge w:val="restart"/>
            <w:shd w:val="clear" w:color="auto" w:fill="D7D8D6"/>
          </w:tcPr>
          <w:p>
            <w:pPr>
              <w:ind w:left="220"/>
              <w:spacing w:after="0" w:line="132" w:lineRule="exact"/>
              <w:rPr>
                <w:sz w:val="20"/>
                <w:szCs w:val="20"/>
                <w:color w:val="auto"/>
              </w:rPr>
            </w:pPr>
            <w:r>
              <w:rPr>
                <w:rFonts w:ascii="Arial" w:cs="Arial" w:eastAsia="Arial" w:hAnsi="Arial"/>
                <w:sz w:val="13"/>
                <w:szCs w:val="13"/>
                <w:color w:val="333740"/>
              </w:rPr>
              <w:t>to 180% performance</w:t>
            </w:r>
          </w:p>
        </w:tc>
        <w:tc>
          <w:tcPr>
            <w:tcW w:w="360" w:type="dxa"/>
            <w:vAlign w:val="bottom"/>
            <w:vMerge w:val="continue"/>
            <w:shd w:val="clear" w:color="auto" w:fill="D7D8D6"/>
          </w:tcPr>
          <w:p>
            <w:pPr>
              <w:spacing w:after="0"/>
              <w:rPr>
                <w:sz w:val="5"/>
                <w:szCs w:val="5"/>
                <w:color w:val="auto"/>
              </w:rPr>
            </w:pPr>
          </w:p>
        </w:tc>
        <w:tc>
          <w:tcPr>
            <w:tcW w:w="1700" w:type="dxa"/>
            <w:vAlign w:val="bottom"/>
            <w:vMerge w:val="continue"/>
            <w:shd w:val="clear" w:color="auto" w:fill="D7D8D6"/>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1700" w:type="dxa"/>
            <w:vAlign w:val="bottom"/>
            <w:shd w:val="clear" w:color="auto" w:fill="D7D8D6"/>
          </w:tcPr>
          <w:p>
            <w:pPr>
              <w:spacing w:after="0"/>
              <w:rPr>
                <w:sz w:val="6"/>
                <w:szCs w:val="6"/>
                <w:color w:val="auto"/>
              </w:rPr>
            </w:pPr>
          </w:p>
        </w:tc>
        <w:tc>
          <w:tcPr>
            <w:tcW w:w="3760" w:type="dxa"/>
            <w:vAlign w:val="bottom"/>
            <w:shd w:val="clear" w:color="auto" w:fill="D7D8D6"/>
          </w:tcPr>
          <w:p>
            <w:pPr>
              <w:spacing w:after="0"/>
              <w:rPr>
                <w:sz w:val="6"/>
                <w:szCs w:val="6"/>
                <w:color w:val="auto"/>
              </w:rPr>
            </w:pPr>
          </w:p>
        </w:tc>
        <w:tc>
          <w:tcPr>
            <w:tcW w:w="1620" w:type="dxa"/>
            <w:vAlign w:val="bottom"/>
            <w:gridSpan w:val="2"/>
            <w:vMerge w:val="continue"/>
            <w:shd w:val="clear" w:color="auto" w:fill="D7D8D6"/>
          </w:tcPr>
          <w:p>
            <w:pPr>
              <w:spacing w:after="0"/>
              <w:rPr>
                <w:sz w:val="6"/>
                <w:szCs w:val="6"/>
                <w:color w:val="auto"/>
              </w:rPr>
            </w:pPr>
          </w:p>
        </w:tc>
        <w:tc>
          <w:tcPr>
            <w:tcW w:w="540" w:type="dxa"/>
            <w:vAlign w:val="bottom"/>
            <w:vMerge w:val="continue"/>
            <w:shd w:val="clear" w:color="auto" w:fill="D7D8D6"/>
          </w:tcPr>
          <w:p>
            <w:pPr>
              <w:spacing w:after="0"/>
              <w:rPr>
                <w:sz w:val="6"/>
                <w:szCs w:val="6"/>
                <w:color w:val="auto"/>
              </w:rPr>
            </w:pPr>
          </w:p>
        </w:tc>
        <w:tc>
          <w:tcPr>
            <w:tcW w:w="1580" w:type="dxa"/>
            <w:vAlign w:val="bottom"/>
            <w:vMerge w:val="continue"/>
            <w:shd w:val="clear" w:color="auto" w:fill="D7D8D6"/>
          </w:tcPr>
          <w:p>
            <w:pPr>
              <w:spacing w:after="0"/>
              <w:rPr>
                <w:sz w:val="6"/>
                <w:szCs w:val="6"/>
                <w:color w:val="auto"/>
              </w:rPr>
            </w:pPr>
          </w:p>
        </w:tc>
        <w:tc>
          <w:tcPr>
            <w:tcW w:w="360" w:type="dxa"/>
            <w:vAlign w:val="bottom"/>
            <w:vMerge w:val="continue"/>
            <w:shd w:val="clear" w:color="auto" w:fill="D7D8D6"/>
          </w:tcPr>
          <w:p>
            <w:pPr>
              <w:spacing w:after="0"/>
              <w:rPr>
                <w:sz w:val="6"/>
                <w:szCs w:val="6"/>
                <w:color w:val="auto"/>
              </w:rPr>
            </w:pPr>
          </w:p>
        </w:tc>
        <w:tc>
          <w:tcPr>
            <w:tcW w:w="1700" w:type="dxa"/>
            <w:vAlign w:val="bottom"/>
            <w:vMerge w:val="restart"/>
            <w:shd w:val="clear" w:color="auto" w:fill="D7D8D6"/>
          </w:tcPr>
          <w:p>
            <w:pPr>
              <w:jc w:val="center"/>
              <w:spacing w:after="0"/>
              <w:rPr>
                <w:sz w:val="20"/>
                <w:szCs w:val="20"/>
                <w:color w:val="auto"/>
              </w:rPr>
            </w:pPr>
            <w:r>
              <w:rPr>
                <w:rFonts w:ascii="Arial" w:cs="Arial" w:eastAsia="Arial" w:hAnsi="Arial"/>
                <w:sz w:val="13"/>
                <w:szCs w:val="13"/>
                <w:color w:val="333740"/>
                <w:w w:val="87"/>
              </w:rPr>
              <w:t>of target</w:t>
            </w:r>
          </w:p>
        </w:tc>
        <w:tc>
          <w:tcPr>
            <w:tcW w:w="0" w:type="dxa"/>
            <w:vAlign w:val="bottom"/>
          </w:tcPr>
          <w:p>
            <w:pPr>
              <w:spacing w:after="0"/>
              <w:rPr>
                <w:sz w:val="1"/>
                <w:szCs w:val="1"/>
                <w:color w:val="auto"/>
              </w:rPr>
            </w:pPr>
          </w:p>
        </w:tc>
      </w:tr>
      <w:tr>
        <w:trPr>
          <w:trHeight w:val="90"/>
        </w:trPr>
        <w:tc>
          <w:tcPr>
            <w:tcW w:w="1700" w:type="dxa"/>
            <w:vAlign w:val="bottom"/>
            <w:shd w:val="clear" w:color="auto" w:fill="D7D8D6"/>
          </w:tcPr>
          <w:p>
            <w:pPr>
              <w:spacing w:after="0"/>
              <w:rPr>
                <w:sz w:val="7"/>
                <w:szCs w:val="7"/>
                <w:color w:val="auto"/>
              </w:rPr>
            </w:pPr>
          </w:p>
        </w:tc>
        <w:tc>
          <w:tcPr>
            <w:tcW w:w="3760" w:type="dxa"/>
            <w:vAlign w:val="bottom"/>
            <w:shd w:val="clear" w:color="auto" w:fill="D7D8D6"/>
          </w:tcPr>
          <w:p>
            <w:pPr>
              <w:spacing w:after="0"/>
              <w:rPr>
                <w:sz w:val="7"/>
                <w:szCs w:val="7"/>
                <w:color w:val="auto"/>
              </w:rPr>
            </w:pPr>
          </w:p>
        </w:tc>
        <w:tc>
          <w:tcPr>
            <w:tcW w:w="1620" w:type="dxa"/>
            <w:vAlign w:val="bottom"/>
            <w:gridSpan w:val="2"/>
            <w:vMerge w:val="restart"/>
            <w:shd w:val="clear" w:color="auto" w:fill="D7D8D6"/>
          </w:tcPr>
          <w:p>
            <w:pPr>
              <w:ind w:left="140"/>
              <w:spacing w:after="0"/>
              <w:rPr>
                <w:sz w:val="20"/>
                <w:szCs w:val="20"/>
                <w:color w:val="auto"/>
              </w:rPr>
            </w:pPr>
            <w:r>
              <w:rPr>
                <w:rFonts w:ascii="Arial" w:cs="Arial" w:eastAsia="Arial" w:hAnsi="Arial"/>
                <w:sz w:val="13"/>
                <w:szCs w:val="13"/>
                <w:color w:val="333740"/>
              </w:rPr>
              <w:t>Performance</w:t>
            </w:r>
          </w:p>
        </w:tc>
        <w:tc>
          <w:tcPr>
            <w:tcW w:w="540" w:type="dxa"/>
            <w:vAlign w:val="bottom"/>
            <w:shd w:val="clear" w:color="auto" w:fill="D7D8D6"/>
          </w:tcPr>
          <w:p>
            <w:pPr>
              <w:spacing w:after="0"/>
              <w:rPr>
                <w:sz w:val="7"/>
                <w:szCs w:val="7"/>
                <w:color w:val="auto"/>
              </w:rPr>
            </w:pPr>
          </w:p>
        </w:tc>
        <w:tc>
          <w:tcPr>
            <w:tcW w:w="1580" w:type="dxa"/>
            <w:vAlign w:val="bottom"/>
            <w:vMerge w:val="restart"/>
            <w:shd w:val="clear" w:color="auto" w:fill="D7D8D6"/>
          </w:tcPr>
          <w:p>
            <w:pPr>
              <w:ind w:left="220"/>
              <w:spacing w:after="0"/>
              <w:rPr>
                <w:sz w:val="20"/>
                <w:szCs w:val="20"/>
                <w:color w:val="auto"/>
              </w:rPr>
            </w:pPr>
            <w:r>
              <w:rPr>
                <w:rFonts w:ascii="Arial" w:cs="Arial" w:eastAsia="Arial" w:hAnsi="Arial"/>
                <w:sz w:val="13"/>
                <w:szCs w:val="13"/>
                <w:color w:val="333740"/>
              </w:rPr>
              <w:t>rating</w:t>
            </w:r>
          </w:p>
        </w:tc>
        <w:tc>
          <w:tcPr>
            <w:tcW w:w="360" w:type="dxa"/>
            <w:vAlign w:val="bottom"/>
            <w:shd w:val="clear" w:color="auto" w:fill="D7D8D6"/>
          </w:tcPr>
          <w:p>
            <w:pPr>
              <w:spacing w:after="0"/>
              <w:rPr>
                <w:sz w:val="7"/>
                <w:szCs w:val="7"/>
                <w:color w:val="auto"/>
              </w:rPr>
            </w:pPr>
          </w:p>
        </w:tc>
        <w:tc>
          <w:tcPr>
            <w:tcW w:w="1700" w:type="dxa"/>
            <w:vAlign w:val="bottom"/>
            <w:vMerge w:val="continue"/>
            <w:shd w:val="clear" w:color="auto" w:fill="D7D8D6"/>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700" w:type="dxa"/>
            <w:vAlign w:val="bottom"/>
            <w:shd w:val="clear" w:color="auto" w:fill="D7D8D6"/>
          </w:tcPr>
          <w:p>
            <w:pPr>
              <w:spacing w:after="0"/>
              <w:rPr>
                <w:sz w:val="6"/>
                <w:szCs w:val="6"/>
                <w:color w:val="auto"/>
              </w:rPr>
            </w:pPr>
          </w:p>
        </w:tc>
        <w:tc>
          <w:tcPr>
            <w:tcW w:w="3760" w:type="dxa"/>
            <w:vAlign w:val="bottom"/>
            <w:shd w:val="clear" w:color="auto" w:fill="D7D8D6"/>
          </w:tcPr>
          <w:p>
            <w:pPr>
              <w:spacing w:after="0"/>
              <w:rPr>
                <w:sz w:val="6"/>
                <w:szCs w:val="6"/>
                <w:color w:val="auto"/>
              </w:rPr>
            </w:pPr>
          </w:p>
        </w:tc>
        <w:tc>
          <w:tcPr>
            <w:tcW w:w="1620" w:type="dxa"/>
            <w:vAlign w:val="bottom"/>
            <w:gridSpan w:val="2"/>
            <w:vMerge w:val="continue"/>
            <w:shd w:val="clear" w:color="auto" w:fill="D7D8D6"/>
          </w:tcPr>
          <w:p>
            <w:pPr>
              <w:spacing w:after="0"/>
              <w:rPr>
                <w:sz w:val="6"/>
                <w:szCs w:val="6"/>
                <w:color w:val="auto"/>
              </w:rPr>
            </w:pPr>
          </w:p>
        </w:tc>
        <w:tc>
          <w:tcPr>
            <w:tcW w:w="540" w:type="dxa"/>
            <w:vAlign w:val="bottom"/>
            <w:shd w:val="clear" w:color="auto" w:fill="D7D8D6"/>
          </w:tcPr>
          <w:p>
            <w:pPr>
              <w:spacing w:after="0"/>
              <w:rPr>
                <w:sz w:val="6"/>
                <w:szCs w:val="6"/>
                <w:color w:val="auto"/>
              </w:rPr>
            </w:pPr>
          </w:p>
        </w:tc>
        <w:tc>
          <w:tcPr>
            <w:tcW w:w="1580" w:type="dxa"/>
            <w:vAlign w:val="bottom"/>
            <w:vMerge w:val="continue"/>
            <w:shd w:val="clear" w:color="auto" w:fill="D7D8D6"/>
          </w:tcPr>
          <w:p>
            <w:pPr>
              <w:spacing w:after="0"/>
              <w:rPr>
                <w:sz w:val="6"/>
                <w:szCs w:val="6"/>
                <w:color w:val="auto"/>
              </w:rPr>
            </w:pPr>
          </w:p>
        </w:tc>
        <w:tc>
          <w:tcPr>
            <w:tcW w:w="360" w:type="dxa"/>
            <w:vAlign w:val="bottom"/>
            <w:shd w:val="clear" w:color="auto" w:fill="D7D8D6"/>
          </w:tcPr>
          <w:p>
            <w:pPr>
              <w:spacing w:after="0"/>
              <w:rPr>
                <w:sz w:val="6"/>
                <w:szCs w:val="6"/>
                <w:color w:val="auto"/>
              </w:rPr>
            </w:pPr>
          </w:p>
        </w:tc>
        <w:tc>
          <w:tcPr>
            <w:tcW w:w="1700" w:type="dxa"/>
            <w:vAlign w:val="bottom"/>
            <w:shd w:val="clear" w:color="auto" w:fill="D7D8D6"/>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1700" w:type="dxa"/>
            <w:vAlign w:val="bottom"/>
            <w:shd w:val="clear" w:color="auto" w:fill="D7D8D6"/>
          </w:tcPr>
          <w:p>
            <w:pPr>
              <w:spacing w:after="0"/>
              <w:rPr>
                <w:sz w:val="2"/>
                <w:szCs w:val="2"/>
                <w:color w:val="auto"/>
              </w:rPr>
            </w:pPr>
          </w:p>
        </w:tc>
        <w:tc>
          <w:tcPr>
            <w:tcW w:w="3760" w:type="dxa"/>
            <w:vAlign w:val="bottom"/>
            <w:shd w:val="clear" w:color="auto" w:fill="D7D8D6"/>
          </w:tcPr>
          <w:p>
            <w:pPr>
              <w:spacing w:after="0"/>
              <w:rPr>
                <w:sz w:val="2"/>
                <w:szCs w:val="2"/>
                <w:color w:val="auto"/>
              </w:rPr>
            </w:pPr>
          </w:p>
        </w:tc>
        <w:tc>
          <w:tcPr>
            <w:tcW w:w="660" w:type="dxa"/>
            <w:vAlign w:val="bottom"/>
            <w:shd w:val="clear" w:color="auto" w:fill="D7D8D6"/>
          </w:tcPr>
          <w:p>
            <w:pPr>
              <w:spacing w:after="0"/>
              <w:rPr>
                <w:sz w:val="2"/>
                <w:szCs w:val="2"/>
                <w:color w:val="auto"/>
              </w:rPr>
            </w:pPr>
          </w:p>
        </w:tc>
        <w:tc>
          <w:tcPr>
            <w:tcW w:w="960" w:type="dxa"/>
            <w:vAlign w:val="bottom"/>
            <w:shd w:val="clear" w:color="auto" w:fill="D7D8D6"/>
          </w:tcPr>
          <w:p>
            <w:pPr>
              <w:spacing w:after="0"/>
              <w:rPr>
                <w:sz w:val="2"/>
                <w:szCs w:val="2"/>
                <w:color w:val="auto"/>
              </w:rPr>
            </w:pPr>
          </w:p>
        </w:tc>
        <w:tc>
          <w:tcPr>
            <w:tcW w:w="540" w:type="dxa"/>
            <w:vAlign w:val="bottom"/>
            <w:shd w:val="clear" w:color="auto" w:fill="D7D8D6"/>
          </w:tcPr>
          <w:p>
            <w:pPr>
              <w:spacing w:after="0"/>
              <w:rPr>
                <w:sz w:val="2"/>
                <w:szCs w:val="2"/>
                <w:color w:val="auto"/>
              </w:rPr>
            </w:pPr>
          </w:p>
        </w:tc>
        <w:tc>
          <w:tcPr>
            <w:tcW w:w="1580" w:type="dxa"/>
            <w:vAlign w:val="bottom"/>
            <w:shd w:val="clear" w:color="auto" w:fill="D7D8D6"/>
          </w:tcPr>
          <w:p>
            <w:pPr>
              <w:spacing w:after="0"/>
              <w:rPr>
                <w:sz w:val="2"/>
                <w:szCs w:val="2"/>
                <w:color w:val="auto"/>
              </w:rPr>
            </w:pPr>
          </w:p>
        </w:tc>
        <w:tc>
          <w:tcPr>
            <w:tcW w:w="360" w:type="dxa"/>
            <w:vAlign w:val="bottom"/>
            <w:shd w:val="clear" w:color="auto" w:fill="D7D8D6"/>
          </w:tcPr>
          <w:p>
            <w:pPr>
              <w:spacing w:after="0"/>
              <w:rPr>
                <w:sz w:val="2"/>
                <w:szCs w:val="2"/>
                <w:color w:val="auto"/>
              </w:rPr>
            </w:pPr>
          </w:p>
        </w:tc>
        <w:tc>
          <w:tcPr>
            <w:tcW w:w="1700" w:type="dxa"/>
            <w:vAlign w:val="bottom"/>
            <w:shd w:val="clear" w:color="auto" w:fill="D7D8D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4"/>
        <w:spacing w:after="0"/>
        <w:rPr>
          <w:sz w:val="20"/>
          <w:szCs w:val="20"/>
          <w:color w:val="auto"/>
        </w:rPr>
      </w:pPr>
      <w:r>
        <w:rPr>
          <w:rFonts w:ascii="Arial" w:cs="Arial" w:eastAsia="Arial" w:hAnsi="Arial"/>
          <w:sz w:val="13"/>
          <w:szCs w:val="13"/>
          <w:color w:val="333740"/>
        </w:rPr>
        <w:t>(1) Payout for the 2017-2019 grant has been provided instead of payout for the 2019-2021 grant, since payout for the latter will only be determined at the end of 2021.</w:t>
      </w:r>
    </w:p>
    <w:p>
      <w:pPr>
        <w:spacing w:after="0" w:line="177" w:lineRule="exact"/>
        <w:rPr>
          <w:sz w:val="20"/>
          <w:szCs w:val="20"/>
          <w:color w:val="auto"/>
        </w:rPr>
      </w:pPr>
    </w:p>
    <w:p>
      <w:pPr>
        <w:ind w:left="4" w:right="120"/>
        <w:spacing w:after="0" w:line="262" w:lineRule="auto"/>
        <w:rPr>
          <w:sz w:val="20"/>
          <w:szCs w:val="20"/>
          <w:color w:val="auto"/>
        </w:rPr>
      </w:pPr>
      <w:r>
        <w:rPr>
          <w:rFonts w:ascii="Arial" w:cs="Arial" w:eastAsia="Arial" w:hAnsi="Arial"/>
          <w:sz w:val="16"/>
          <w:szCs w:val="16"/>
          <w:color w:val="333740"/>
        </w:rPr>
        <w:t>Our pay-for-performance program aims to motivate our executive officers to achieve and exceed both our short-term and long-term goals and objectives by including an appropriate mix of long-term equity compensation and annual cash incentive bonus compensation. As intended by our program, our NEO compensation was directly impacted by our performance.</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481F6E"/>
        </w:rPr>
        <w:t>Long-Term Equity</w:t>
      </w:r>
    </w:p>
    <w:p>
      <w:pPr>
        <w:spacing w:after="0" w:line="224" w:lineRule="exact"/>
        <w:rPr>
          <w:sz w:val="20"/>
          <w:szCs w:val="20"/>
          <w:color w:val="auto"/>
        </w:rPr>
      </w:pPr>
    </w:p>
    <w:p>
      <w:pPr>
        <w:jc w:val="both"/>
        <w:ind w:left="4" w:right="220"/>
        <w:spacing w:after="0" w:line="262" w:lineRule="auto"/>
        <w:rPr>
          <w:sz w:val="20"/>
          <w:szCs w:val="20"/>
          <w:color w:val="auto"/>
        </w:rPr>
      </w:pPr>
      <w:r>
        <w:rPr>
          <w:rFonts w:ascii="Arial" w:cs="Arial" w:eastAsia="Arial" w:hAnsi="Arial"/>
          <w:sz w:val="16"/>
          <w:szCs w:val="16"/>
          <w:color w:val="333740"/>
        </w:rPr>
        <w:t>The majority of our executives’ variable compensation is in the form of long-term equity compensation, comprising 85% and 75% of 2019 total target variable compensation for our CEO and other NEOs, respectively. Our NEOs achieved a payout of 50% of target on their 2017 performance-based, long-term equity incentive awards, based on the following:</w:t>
      </w:r>
    </w:p>
    <w:p>
      <w:pPr>
        <w:spacing w:after="0" w:line="162" w:lineRule="exact"/>
        <w:rPr>
          <w:sz w:val="20"/>
          <w:szCs w:val="20"/>
          <w:color w:val="auto"/>
        </w:rPr>
      </w:pPr>
    </w:p>
    <w:p>
      <w:pPr>
        <w:ind w:left="184" w:right="320"/>
        <w:spacing w:after="0" w:line="257" w:lineRule="auto"/>
        <w:rPr>
          <w:sz w:val="20"/>
          <w:szCs w:val="20"/>
          <w:color w:val="auto"/>
        </w:rPr>
      </w:pPr>
      <w:r>
        <w:rPr>
          <w:rFonts w:ascii="Arial" w:cs="Arial" w:eastAsia="Arial" w:hAnsi="Arial"/>
          <w:sz w:val="16"/>
          <w:szCs w:val="16"/>
          <w:color w:val="333740"/>
        </w:rPr>
        <w:t>For the ROIC measure, we did not meet the threshold performance for the 2017-2019 performance period, and as a result, the ROIC component of the 2017 PSU awards paid out at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38100" cy="755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100" cy="755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wp:posOffset>
            </wp:positionV>
            <wp:extent cx="38100" cy="755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jc w:val="both"/>
        <w:ind w:left="184" w:right="20"/>
        <w:spacing w:after="0" w:line="254" w:lineRule="auto"/>
        <w:rPr>
          <w:sz w:val="20"/>
          <w:szCs w:val="20"/>
          <w:color w:val="auto"/>
        </w:rPr>
      </w:pPr>
      <w:r>
        <w:rPr>
          <w:rFonts w:ascii="Arial" w:cs="Arial" w:eastAsia="Arial" w:hAnsi="Arial"/>
          <w:sz w:val="16"/>
          <w:szCs w:val="16"/>
          <w:color w:val="333740"/>
        </w:rPr>
        <w:t>For the three-year relative TSR measure, we achieved above-target performance for relative TSR for the 2017-2019 performance period based on our performance relative to our 2017 Performance Peer Group. However, our absolute TSR performance was negative given the overall oil and gas market conditions during the same period. Therefore, our payout under our incentive plan was capped at target (100%) given the absolute TSR performance.</w:t>
      </w:r>
    </w:p>
    <w:p>
      <w:pPr>
        <w:spacing w:after="0" w:line="364" w:lineRule="exact"/>
        <w:rPr>
          <w:sz w:val="20"/>
          <w:szCs w:val="20"/>
          <w:color w:val="auto"/>
        </w:rPr>
      </w:pPr>
    </w:p>
    <w:p>
      <w:pPr>
        <w:ind w:left="564" w:hanging="564"/>
        <w:spacing w:after="0"/>
        <w:tabs>
          <w:tab w:leader="none" w:pos="564" w:val="left"/>
        </w:tabs>
        <w:numPr>
          <w:ilvl w:val="0"/>
          <w:numId w:val="80"/>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66" w:name="page67"/>
    <w:bookmarkEnd w:id="66"/>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481F6E"/>
        </w:rPr>
        <w:t>Annual Cash Incentive Bonus</w:t>
      </w:r>
    </w:p>
    <w:p>
      <w:pPr>
        <w:spacing w:after="0" w:line="224" w:lineRule="exact"/>
        <w:rPr>
          <w:sz w:val="20"/>
          <w:szCs w:val="20"/>
          <w:color w:val="auto"/>
        </w:rPr>
      </w:pPr>
    </w:p>
    <w:p>
      <w:pPr>
        <w:ind w:left="4" w:right="20"/>
        <w:spacing w:after="0" w:line="306" w:lineRule="auto"/>
        <w:rPr>
          <w:sz w:val="20"/>
          <w:szCs w:val="20"/>
          <w:color w:val="auto"/>
        </w:rPr>
      </w:pPr>
      <w:r>
        <w:rPr>
          <w:rFonts w:ascii="Arial" w:cs="Arial" w:eastAsia="Arial" w:hAnsi="Arial"/>
          <w:sz w:val="14"/>
          <w:szCs w:val="14"/>
          <w:color w:val="333740"/>
        </w:rPr>
        <w:t>For 2019, our annual cash incentive comprised 15% and 25% of total target variable compensation for our CEO and other NEOs, respectively. Performance targets related to our annual cash incentive are set at “stretch” targets that are difficult and challenging but achievable with superior execution based on our long-range plans. Given the cyclical nature of our sectors, as well as the variability in some of our metrics caused by the lifecycle progression of a few very large projects, our targets will not always increase, in absolute terms, over prior year targets but are set to ensure that achievement will require the same or increased execution to achieve the targets.</w:t>
      </w:r>
    </w:p>
    <w:p>
      <w:pPr>
        <w:spacing w:after="0" w:line="159" w:lineRule="exact"/>
        <w:rPr>
          <w:sz w:val="20"/>
          <w:szCs w:val="20"/>
          <w:color w:val="auto"/>
        </w:rPr>
      </w:pPr>
    </w:p>
    <w:p>
      <w:pPr>
        <w:ind w:left="4" w:right="160"/>
        <w:spacing w:after="0" w:line="275" w:lineRule="auto"/>
        <w:rPr>
          <w:sz w:val="20"/>
          <w:szCs w:val="20"/>
          <w:color w:val="auto"/>
        </w:rPr>
      </w:pPr>
      <w:r>
        <w:rPr>
          <w:rFonts w:ascii="Arial" w:cs="Arial" w:eastAsia="Arial" w:hAnsi="Arial"/>
          <w:sz w:val="16"/>
          <w:szCs w:val="16"/>
          <w:color w:val="333740"/>
        </w:rPr>
        <w:t>In setting performance goals, the Compensation Committee considers the Company’s annual financial plans, strategic initiatives, and projections, which are impacted by the following factors:</w:t>
      </w:r>
    </w:p>
    <w:p>
      <w:pPr>
        <w:spacing w:after="0" w:line="176" w:lineRule="exact"/>
        <w:rPr>
          <w:sz w:val="20"/>
          <w:szCs w:val="20"/>
          <w:color w:val="auto"/>
        </w:rPr>
      </w:pPr>
    </w:p>
    <w:p>
      <w:pPr>
        <w:ind w:left="184"/>
        <w:spacing w:after="0"/>
        <w:rPr>
          <w:sz w:val="20"/>
          <w:szCs w:val="20"/>
          <w:color w:val="auto"/>
        </w:rPr>
      </w:pPr>
      <w:r>
        <w:rPr>
          <w:rFonts w:ascii="Arial" w:cs="Arial" w:eastAsia="Arial" w:hAnsi="Arial"/>
          <w:sz w:val="16"/>
          <w:szCs w:val="16"/>
          <w:color w:val="333740"/>
        </w:rPr>
        <w:t>The overall business climate and the cyclical nature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38100" cy="755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02" w:lineRule="exact"/>
        <w:rPr>
          <w:sz w:val="20"/>
          <w:szCs w:val="20"/>
          <w:color w:val="auto"/>
        </w:rPr>
      </w:pPr>
    </w:p>
    <w:p>
      <w:pPr>
        <w:ind w:left="184"/>
        <w:spacing w:after="0"/>
        <w:rPr>
          <w:sz w:val="20"/>
          <w:szCs w:val="20"/>
          <w:color w:val="auto"/>
        </w:rPr>
      </w:pPr>
      <w:r>
        <w:rPr>
          <w:rFonts w:ascii="Arial" w:cs="Arial" w:eastAsia="Arial" w:hAnsi="Arial"/>
          <w:sz w:val="16"/>
          <w:szCs w:val="16"/>
          <w:color w:val="333740"/>
        </w:rPr>
        <w:t>Underlying market conditions for our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38100" cy="755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02" w:lineRule="exact"/>
        <w:rPr>
          <w:sz w:val="20"/>
          <w:szCs w:val="20"/>
          <w:color w:val="auto"/>
        </w:rPr>
      </w:pPr>
    </w:p>
    <w:p>
      <w:pPr>
        <w:ind w:left="184"/>
        <w:spacing w:after="0"/>
        <w:rPr>
          <w:sz w:val="20"/>
          <w:szCs w:val="20"/>
          <w:color w:val="auto"/>
        </w:rPr>
      </w:pPr>
      <w:r>
        <w:rPr>
          <w:rFonts w:ascii="Arial" w:cs="Arial" w:eastAsia="Arial" w:hAnsi="Arial"/>
          <w:sz w:val="16"/>
          <w:szCs w:val="16"/>
          <w:color w:val="333740"/>
        </w:rPr>
        <w:t>Volatility in commodity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38100" cy="755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02" w:lineRule="exact"/>
        <w:rPr>
          <w:sz w:val="20"/>
          <w:szCs w:val="20"/>
          <w:color w:val="auto"/>
        </w:rPr>
      </w:pPr>
    </w:p>
    <w:p>
      <w:pPr>
        <w:ind w:left="184"/>
        <w:spacing w:after="0"/>
        <w:rPr>
          <w:sz w:val="20"/>
          <w:szCs w:val="20"/>
          <w:color w:val="auto"/>
        </w:rPr>
      </w:pPr>
      <w:r>
        <w:rPr>
          <w:rFonts w:ascii="Arial" w:cs="Arial" w:eastAsia="Arial" w:hAnsi="Arial"/>
          <w:sz w:val="16"/>
          <w:szCs w:val="16"/>
          <w:color w:val="333740"/>
        </w:rPr>
        <w:t>Our competitors’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38100" cy="755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02" w:lineRule="exact"/>
        <w:rPr>
          <w:sz w:val="20"/>
          <w:szCs w:val="20"/>
          <w:color w:val="auto"/>
        </w:rPr>
      </w:pPr>
    </w:p>
    <w:p>
      <w:pPr>
        <w:ind w:left="184"/>
        <w:spacing w:after="0"/>
        <w:rPr>
          <w:sz w:val="20"/>
          <w:szCs w:val="20"/>
          <w:color w:val="auto"/>
        </w:rPr>
      </w:pPr>
      <w:r>
        <w:rPr>
          <w:rFonts w:ascii="Arial" w:cs="Arial" w:eastAsia="Arial" w:hAnsi="Arial"/>
          <w:sz w:val="16"/>
          <w:szCs w:val="16"/>
          <w:color w:val="333740"/>
        </w:rPr>
        <w:t>Anticipated changes in customer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38100" cy="755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02" w:lineRule="exact"/>
        <w:rPr>
          <w:sz w:val="20"/>
          <w:szCs w:val="20"/>
          <w:color w:val="auto"/>
        </w:rPr>
      </w:pPr>
    </w:p>
    <w:p>
      <w:pPr>
        <w:ind w:left="184"/>
        <w:spacing w:after="0"/>
        <w:rPr>
          <w:sz w:val="20"/>
          <w:szCs w:val="20"/>
          <w:color w:val="auto"/>
        </w:rPr>
      </w:pPr>
      <w:r>
        <w:rPr>
          <w:rFonts w:ascii="Arial" w:cs="Arial" w:eastAsia="Arial" w:hAnsi="Arial"/>
          <w:sz w:val="16"/>
          <w:szCs w:val="16"/>
          <w:color w:val="333740"/>
        </w:rPr>
        <w:t>Our prior-year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38100" cy="755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02" w:lineRule="exact"/>
        <w:rPr>
          <w:sz w:val="20"/>
          <w:szCs w:val="20"/>
          <w:color w:val="auto"/>
        </w:rPr>
      </w:pPr>
    </w:p>
    <w:p>
      <w:pPr>
        <w:ind w:left="4"/>
        <w:spacing w:after="0" w:line="275" w:lineRule="auto"/>
        <w:rPr>
          <w:sz w:val="20"/>
          <w:szCs w:val="20"/>
          <w:color w:val="auto"/>
        </w:rPr>
      </w:pPr>
      <w:r>
        <w:rPr>
          <w:rFonts w:ascii="Arial" w:cs="Arial" w:eastAsia="Arial" w:hAnsi="Arial"/>
          <w:sz w:val="16"/>
          <w:szCs w:val="16"/>
          <w:color w:val="333740"/>
        </w:rPr>
        <w:t>These inputs inform discussions regarding both the targets and the ranges around the target to ensure the goals are sufficiently difficult without incentivizing inappropriate risk taking.</w:t>
      </w:r>
    </w:p>
    <w:p>
      <w:pPr>
        <w:spacing w:after="0" w:line="176" w:lineRule="exact"/>
        <w:rPr>
          <w:sz w:val="20"/>
          <w:szCs w:val="20"/>
          <w:color w:val="auto"/>
        </w:rPr>
      </w:pPr>
    </w:p>
    <w:p>
      <w:pPr>
        <w:ind w:left="4" w:right="100"/>
        <w:spacing w:after="0" w:line="280" w:lineRule="auto"/>
        <w:rPr>
          <w:sz w:val="20"/>
          <w:szCs w:val="20"/>
          <w:color w:val="auto"/>
        </w:rPr>
      </w:pPr>
      <w:r>
        <w:rPr>
          <w:rFonts w:ascii="Arial" w:cs="Arial" w:eastAsia="Arial" w:hAnsi="Arial"/>
          <w:sz w:val="15"/>
          <w:szCs w:val="15"/>
          <w:color w:val="333740"/>
        </w:rPr>
        <w:t>In setting our 2019 targets, the Compensation Committee considered the market outlook for each of our business segments and for the Company as a whole. In particular, we considered the projected decline for our Subsea segment due to the volatile, and generally low, crude oil price environment over the last several years that led many of our customers to reduce their capital spending plans or defer new deepwater projects. This led to the winding down of certain projects, and an expected decline in operating margins due to the competitive environment in 2019. During this time, we focused on growing our order backlog.</w:t>
      </w:r>
    </w:p>
    <w:p>
      <w:pPr>
        <w:spacing w:after="0" w:line="175" w:lineRule="exact"/>
        <w:rPr>
          <w:sz w:val="20"/>
          <w:szCs w:val="20"/>
          <w:color w:val="auto"/>
        </w:rPr>
      </w:pPr>
    </w:p>
    <w:p>
      <w:pPr>
        <w:jc w:val="both"/>
        <w:ind w:left="4" w:right="300"/>
        <w:spacing w:after="0" w:line="317" w:lineRule="auto"/>
        <w:rPr>
          <w:sz w:val="20"/>
          <w:szCs w:val="20"/>
          <w:color w:val="auto"/>
        </w:rPr>
      </w:pPr>
      <w:r>
        <w:rPr>
          <w:rFonts w:ascii="Arial" w:cs="Arial" w:eastAsia="Arial" w:hAnsi="Arial"/>
          <w:sz w:val="14"/>
          <w:szCs w:val="14"/>
          <w:color w:val="333740"/>
        </w:rPr>
        <w:t>As a result, in 2019, our performance exceeded the targets for the EBITDA, EBITDA as a Percentage of Revenue, and Working Capital Days measures due to accelerated market adoption of our new subsea technologies, our strong execution and disciplined capital spending, and achieving an unprecedented level of backlog. As a result, our annual cash incentive bonus plan paid out in a range of 164%-174%, including the impact of annual individual performance indicator results.</w:t>
      </w:r>
    </w:p>
    <w:p>
      <w:pPr>
        <w:spacing w:after="0" w:line="335" w:lineRule="exact"/>
        <w:rPr>
          <w:sz w:val="20"/>
          <w:szCs w:val="20"/>
          <w:color w:val="auto"/>
        </w:rPr>
      </w:pPr>
    </w:p>
    <w:p>
      <w:pPr>
        <w:ind w:left="564" w:hanging="564"/>
        <w:spacing w:after="0"/>
        <w:tabs>
          <w:tab w:leader="none" w:pos="564" w:val="left"/>
        </w:tabs>
        <w:numPr>
          <w:ilvl w:val="0"/>
          <w:numId w:val="81"/>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44"/>
          </w:cols>
          <w:pgMar w:left="316" w:top="128" w:right="439" w:bottom="1440" w:gutter="0" w:footer="0" w:header="0"/>
        </w:sectPr>
      </w:pPr>
    </w:p>
    <w:bookmarkStart w:id="67" w:name="page68"/>
    <w:bookmarkEnd w:id="67"/>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9"/>
          <w:szCs w:val="29"/>
          <w:color w:val="481F6E"/>
        </w:rPr>
        <w:t>Compensation Governance</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481F6E"/>
        </w:rPr>
        <w:t>Role of the Compensation Committee</w:t>
      </w:r>
    </w:p>
    <w:p>
      <w:pPr>
        <w:spacing w:after="0" w:line="224" w:lineRule="exact"/>
        <w:rPr>
          <w:sz w:val="20"/>
          <w:szCs w:val="20"/>
          <w:color w:val="auto"/>
        </w:rPr>
      </w:pPr>
    </w:p>
    <w:p>
      <w:pPr>
        <w:ind w:left="4" w:right="200"/>
        <w:spacing w:after="0" w:line="309" w:lineRule="auto"/>
        <w:rPr>
          <w:sz w:val="20"/>
          <w:szCs w:val="20"/>
          <w:color w:val="auto"/>
        </w:rPr>
      </w:pPr>
      <w:r>
        <w:rPr>
          <w:rFonts w:ascii="Arial" w:cs="Arial" w:eastAsia="Arial" w:hAnsi="Arial"/>
          <w:sz w:val="15"/>
          <w:szCs w:val="15"/>
          <w:color w:val="333740"/>
        </w:rPr>
        <w:t>Our Compensation Committee of five independent non-executive directors oversees our executive compensation program and determines the compensation for our executive officers on behalf of the Board. The Compensation Committee is responsible for, among other things, reviewing, evaluating, and approving:</w:t>
      </w:r>
    </w:p>
    <w:p>
      <w:pPr>
        <w:spacing w:after="0" w:line="153" w:lineRule="exact"/>
        <w:rPr>
          <w:sz w:val="20"/>
          <w:szCs w:val="20"/>
          <w:color w:val="auto"/>
        </w:rPr>
      </w:pPr>
    </w:p>
    <w:p>
      <w:pPr>
        <w:ind w:left="344"/>
        <w:spacing w:after="0"/>
        <w:rPr>
          <w:sz w:val="20"/>
          <w:szCs w:val="20"/>
          <w:color w:val="auto"/>
        </w:rPr>
      </w:pPr>
      <w:r>
        <w:rPr>
          <w:rFonts w:ascii="Arial" w:cs="Arial" w:eastAsia="Arial" w:hAnsi="Arial"/>
          <w:sz w:val="15"/>
          <w:szCs w:val="15"/>
          <w:color w:val="333740"/>
        </w:rPr>
        <w:t>The agreements, plans, policies, and programs of the Company to compensate its independent directors, Chairman and CEO, and other officers, as applicable;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-100965</wp:posOffset>
            </wp:positionV>
            <wp:extent cx="38100" cy="755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14" w:lineRule="exact"/>
        <w:rPr>
          <w:sz w:val="20"/>
          <w:szCs w:val="20"/>
          <w:color w:val="auto"/>
        </w:rPr>
      </w:pPr>
    </w:p>
    <w:p>
      <w:pPr>
        <w:ind w:left="344" w:right="20"/>
        <w:spacing w:after="0" w:line="275" w:lineRule="auto"/>
        <w:rPr>
          <w:sz w:val="20"/>
          <w:szCs w:val="20"/>
          <w:color w:val="auto"/>
        </w:rPr>
      </w:pPr>
      <w:r>
        <w:rPr>
          <w:rFonts w:ascii="Arial" w:cs="Arial" w:eastAsia="Arial" w:hAnsi="Arial"/>
          <w:sz w:val="16"/>
          <w:szCs w:val="16"/>
          <w:color w:val="333740"/>
        </w:rPr>
        <w:t>All awards of equity securities or equity derivatives to executive officers of the Company, as well as the total number of equity securities or equity derivatives to be allocated to all other employees at the discretion of the CEO, consistent with equity plans approved by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-259080</wp:posOffset>
            </wp:positionV>
            <wp:extent cx="38100" cy="755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56"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333740"/>
        </w:rPr>
        <w:t>The Compensation Committee also reviews the Company’s incentive compensation arrangements to ensure that they do not incentivize excessive risk-taking and evaluates compensation policies and practices that could mitigate any such risk.</w:t>
      </w:r>
    </w:p>
    <w:p>
      <w:pPr>
        <w:spacing w:after="0" w:line="176" w:lineRule="exact"/>
        <w:rPr>
          <w:sz w:val="20"/>
          <w:szCs w:val="20"/>
          <w:color w:val="auto"/>
        </w:rPr>
      </w:pPr>
    </w:p>
    <w:p>
      <w:pPr>
        <w:jc w:val="both"/>
        <w:ind w:left="4"/>
        <w:spacing w:after="0" w:line="262" w:lineRule="auto"/>
        <w:rPr>
          <w:sz w:val="20"/>
          <w:szCs w:val="20"/>
          <w:color w:val="auto"/>
        </w:rPr>
      </w:pPr>
      <w:r>
        <w:rPr>
          <w:rFonts w:ascii="Arial" w:cs="Arial" w:eastAsia="Arial" w:hAnsi="Arial"/>
          <w:sz w:val="16"/>
          <w:szCs w:val="16"/>
          <w:color w:val="333740"/>
        </w:rPr>
        <w:t>Additional information on the roles and responsibilities of the Compensation Committee is provided in the section “</w:t>
      </w:r>
      <w:r>
        <w:rPr>
          <w:rFonts w:ascii="Arial" w:cs="Arial" w:eastAsia="Arial" w:hAnsi="Arial"/>
          <w:sz w:val="16"/>
          <w:szCs w:val="16"/>
          <w:i w:val="1"/>
          <w:iCs w:val="1"/>
          <w:color w:val="333740"/>
        </w:rPr>
        <w:t>Corporate Governance—Committees of the Board of</w:t>
      </w:r>
      <w:r>
        <w:rPr>
          <w:rFonts w:ascii="Arial" w:cs="Arial" w:eastAsia="Arial" w:hAnsi="Arial"/>
          <w:sz w:val="16"/>
          <w:szCs w:val="16"/>
          <w:color w:val="333740"/>
        </w:rPr>
        <w:t xml:space="preserve"> </w:t>
      </w:r>
      <w:r>
        <w:rPr>
          <w:rFonts w:ascii="Arial" w:cs="Arial" w:eastAsia="Arial" w:hAnsi="Arial"/>
          <w:sz w:val="16"/>
          <w:szCs w:val="16"/>
          <w:i w:val="1"/>
          <w:iCs w:val="1"/>
          <w:color w:val="333740"/>
        </w:rPr>
        <w:t>Directors—Compensation Committee</w:t>
      </w:r>
      <w:r>
        <w:rPr>
          <w:rFonts w:ascii="Arial" w:cs="Arial" w:eastAsia="Arial" w:hAnsi="Arial"/>
          <w:sz w:val="16"/>
          <w:szCs w:val="16"/>
          <w:color w:val="333740"/>
        </w:rPr>
        <w:t>” and the charter of the Compensation Committee may be viewed on our website at</w:t>
      </w:r>
      <w:r>
        <w:rPr>
          <w:rFonts w:ascii="Arial" w:cs="Arial" w:eastAsia="Arial" w:hAnsi="Arial"/>
          <w:sz w:val="16"/>
          <w:szCs w:val="16"/>
          <w:i w:val="1"/>
          <w:iCs w:val="1"/>
          <w:color w:val="333740"/>
        </w:rPr>
        <w:t xml:space="preserve"> </w:t>
      </w:r>
      <w:r>
        <w:rPr>
          <w:rFonts w:ascii="Arial" w:cs="Arial" w:eastAsia="Arial" w:hAnsi="Arial"/>
          <w:sz w:val="16"/>
          <w:szCs w:val="16"/>
          <w:b w:val="1"/>
          <w:bCs w:val="1"/>
          <w:i w:val="1"/>
          <w:iCs w:val="1"/>
          <w:color w:val="481F6E"/>
        </w:rPr>
        <w:t>www.TechnipFMC.com</w:t>
      </w:r>
      <w:r>
        <w:rPr>
          <w:rFonts w:ascii="Arial" w:cs="Arial" w:eastAsia="Arial" w:hAnsi="Arial"/>
          <w:sz w:val="16"/>
          <w:szCs w:val="16"/>
          <w:i w:val="1"/>
          <w:iCs w:val="1"/>
          <w:color w:val="333740"/>
        </w:rPr>
        <w:t xml:space="preserve"> </w:t>
      </w:r>
      <w:r>
        <w:rPr>
          <w:rFonts w:ascii="Arial" w:cs="Arial" w:eastAsia="Arial" w:hAnsi="Arial"/>
          <w:sz w:val="16"/>
          <w:szCs w:val="16"/>
          <w:color w:val="333740"/>
        </w:rPr>
        <w:t>under the heading “</w:t>
      </w:r>
      <w:r>
        <w:rPr>
          <w:rFonts w:ascii="Arial" w:cs="Arial" w:eastAsia="Arial" w:hAnsi="Arial"/>
          <w:sz w:val="16"/>
          <w:szCs w:val="16"/>
          <w:i w:val="1"/>
          <w:iCs w:val="1"/>
          <w:color w:val="333740"/>
        </w:rPr>
        <w:t>Who we are &gt; Governance.</w:t>
      </w:r>
      <w:r>
        <w:rPr>
          <w:rFonts w:ascii="Arial" w:cs="Arial" w:eastAsia="Arial" w:hAnsi="Arial"/>
          <w:sz w:val="16"/>
          <w:szCs w:val="16"/>
          <w:color w:val="333740"/>
        </w:rPr>
        <w:t>”</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481F6E"/>
        </w:rPr>
        <w:t>Role of the Compensation Committee’s Independent Consultant</w:t>
      </w:r>
    </w:p>
    <w:p>
      <w:pPr>
        <w:spacing w:after="0" w:line="224" w:lineRule="exact"/>
        <w:rPr>
          <w:sz w:val="20"/>
          <w:szCs w:val="20"/>
          <w:color w:val="auto"/>
        </w:rPr>
      </w:pPr>
    </w:p>
    <w:p>
      <w:pPr>
        <w:ind w:left="4" w:right="240"/>
        <w:spacing w:after="0" w:line="258" w:lineRule="auto"/>
        <w:rPr>
          <w:sz w:val="20"/>
          <w:szCs w:val="20"/>
          <w:color w:val="auto"/>
        </w:rPr>
      </w:pPr>
      <w:r>
        <w:rPr>
          <w:rFonts w:ascii="Arial" w:cs="Arial" w:eastAsia="Arial" w:hAnsi="Arial"/>
          <w:sz w:val="16"/>
          <w:szCs w:val="16"/>
          <w:color w:val="333740"/>
        </w:rPr>
        <w:t>Under its charter, the Compensation Committee has the sole authority to retain and terminate any compensation consultant, outside counsel, or any other advisors engaged to assist in the evaluation of compensation of directors or executive officers, including the sole authority to approve the consultant’s fees and its terms. The Compensation Committee considers appropriate standards in selecting its compensation consultants consistent with NYSE rules, SEC rules, and requirements under the Dodd-Frank Wall Street Reform and Consumer Protection Act (the “</w:t>
      </w:r>
      <w:r>
        <w:rPr>
          <w:rFonts w:ascii="Arial" w:cs="Arial" w:eastAsia="Arial" w:hAnsi="Arial"/>
          <w:sz w:val="16"/>
          <w:szCs w:val="16"/>
          <w:b w:val="1"/>
          <w:bCs w:val="1"/>
          <w:color w:val="333740"/>
        </w:rPr>
        <w:t>Dodd-Frank Act</w:t>
      </w:r>
      <w:r>
        <w:rPr>
          <w:rFonts w:ascii="Arial" w:cs="Arial" w:eastAsia="Arial" w:hAnsi="Arial"/>
          <w:sz w:val="16"/>
          <w:szCs w:val="16"/>
          <w:color w:val="333740"/>
        </w:rPr>
        <w:t>”).</w:t>
      </w:r>
    </w:p>
    <w:p>
      <w:pPr>
        <w:spacing w:after="0" w:line="189" w:lineRule="exact"/>
        <w:rPr>
          <w:sz w:val="20"/>
          <w:szCs w:val="20"/>
          <w:color w:val="auto"/>
        </w:rPr>
      </w:pPr>
    </w:p>
    <w:p>
      <w:pPr>
        <w:ind w:left="4" w:right="20"/>
        <w:spacing w:after="0" w:line="301" w:lineRule="auto"/>
        <w:rPr>
          <w:sz w:val="20"/>
          <w:szCs w:val="20"/>
          <w:color w:val="auto"/>
        </w:rPr>
      </w:pPr>
      <w:r>
        <w:rPr>
          <w:rFonts w:ascii="Arial" w:cs="Arial" w:eastAsia="Arial" w:hAnsi="Arial"/>
          <w:sz w:val="14"/>
          <w:szCs w:val="14"/>
          <w:color w:val="333740"/>
        </w:rPr>
        <w:t>In 2019, the Compensation Committee retained Willis Towers Watson as its principal compensation consultant to provide information and advice to the Compensation Committee on executive and director compensation and related governance matters. This included evaluating our director and executive compensation programs against general market and peer data and providing updates on current executive compensation trends and applicable legislative and governance activity. In addition, Willis Towers Watson provided retirement benefit consultant services, health and group benefits consulting services, and corporate risk and broking services to management. In 2019, Willis Towers Watson was paid approximately $358,000 in fees related to executive compensation services and $1,960,000 related to non-executive compensation services.</w:t>
      </w:r>
    </w:p>
    <w:p>
      <w:pPr>
        <w:spacing w:after="0" w:line="162" w:lineRule="exact"/>
        <w:rPr>
          <w:sz w:val="20"/>
          <w:szCs w:val="20"/>
          <w:color w:val="auto"/>
        </w:rPr>
      </w:pPr>
    </w:p>
    <w:p>
      <w:pPr>
        <w:ind w:left="4"/>
        <w:spacing w:after="0" w:line="271" w:lineRule="auto"/>
        <w:rPr>
          <w:sz w:val="20"/>
          <w:szCs w:val="20"/>
          <w:color w:val="auto"/>
        </w:rPr>
      </w:pPr>
      <w:r>
        <w:rPr>
          <w:rFonts w:ascii="Arial" w:cs="Arial" w:eastAsia="Arial" w:hAnsi="Arial"/>
          <w:sz w:val="15"/>
          <w:szCs w:val="15"/>
          <w:color w:val="333740"/>
        </w:rPr>
        <w:t>In February 2020, the Compensation Committee considered the independence of Willis Towers Watson pursuant to SEC rules and NYSE listing standards. At the request of the Compensation Committee, Willis Towers Watson prepared a letter providing data on the following factors relevant to assessing independence: (a) other services provided to the Company by Willis Towers Watson; (b) fees paid by the Company as a percentage of Willis Towers Watson’s total revenue; (c) policies and procedures maintained by Willis Towers Watson that are designed to prevent a conflict of interest; (d) any business or personal relationships between the individual consultants involved in the engagement and a member of the Compensation Committee; (e) any Ordinary Shares owned by the individual consultants involved in the engagement or their immediate family members; and (f) any business or personal relationships between our executive officers and Willis Towers Watson or the individual consultants involved in the engagement. The Compensation Committee also considered that the Willis Towers Watson consultants advising the Compensation Committee derived no economic benefit from the fees paid for the non-executive compensation services. The Compensation Committee discussed these considerations and concluded that the work of Willis Towers Watson and the consultants involved in the engagement did not raise any conflict of interest.</w:t>
      </w:r>
    </w:p>
    <w:p>
      <w:pPr>
        <w:spacing w:after="0" w:line="367" w:lineRule="exact"/>
        <w:rPr>
          <w:sz w:val="20"/>
          <w:szCs w:val="20"/>
          <w:color w:val="auto"/>
        </w:rPr>
      </w:pPr>
    </w:p>
    <w:p>
      <w:pPr>
        <w:ind w:left="564" w:hanging="564"/>
        <w:spacing w:after="0"/>
        <w:tabs>
          <w:tab w:leader="none" w:pos="564" w:val="left"/>
        </w:tabs>
        <w:numPr>
          <w:ilvl w:val="0"/>
          <w:numId w:val="82"/>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68" w:name="page69"/>
    <w:bookmarkEnd w:id="68"/>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481F6E"/>
        </w:rPr>
        <w:t>The Annual Process</w:t>
      </w:r>
    </w:p>
    <w:p>
      <w:pPr>
        <w:spacing w:after="0" w:line="224"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333740"/>
        </w:rPr>
        <w:t>Each year the Compensation Committee approves an annual calendar which sets out the key activities in accordance with its charter. The key activities of the committee in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148195" cy="16465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8195" cy="1646555"/>
                    </a:xfrm>
                    <a:prstGeom prst="rect">
                      <a:avLst/>
                    </a:prstGeom>
                    <a:noFill/>
                  </pic:spPr>
                </pic:pic>
              </a:graphicData>
            </a:graphic>
          </wp:anchor>
        </w:drawing>
      </w:r>
    </w:p>
    <w:p>
      <w:pPr>
        <w:spacing w:after="0" w:line="168" w:lineRule="exact"/>
        <w:rPr>
          <w:sz w:val="20"/>
          <w:szCs w:val="20"/>
          <w:color w:val="auto"/>
        </w:rPr>
      </w:pPr>
    </w:p>
    <w:tbl>
      <w:tblPr>
        <w:tblLayout w:type="fixed"/>
        <w:tblInd w:w="4" w:type="dxa"/>
        <w:tblCellMar>
          <w:top w:w="0" w:type="dxa"/>
          <w:left w:w="0" w:type="dxa"/>
          <w:bottom w:w="0" w:type="dxa"/>
          <w:right w:w="0" w:type="dxa"/>
        </w:tblCellMar>
      </w:tblPr>
      <w:tr>
        <w:trPr>
          <w:trHeight w:val="279"/>
        </w:trPr>
        <w:tc>
          <w:tcPr>
            <w:tcW w:w="140" w:type="dxa"/>
            <w:vAlign w:val="bottom"/>
            <w:tcBorders>
              <w:bottom w:val="single" w:sz="8" w:color="481F6E"/>
            </w:tcBorders>
            <w:shd w:val="clear" w:color="auto" w:fill="481F6E"/>
          </w:tcPr>
          <w:p>
            <w:pPr>
              <w:spacing w:after="0"/>
              <w:rPr>
                <w:sz w:val="24"/>
                <w:szCs w:val="24"/>
                <w:color w:val="auto"/>
              </w:rPr>
            </w:pPr>
          </w:p>
        </w:tc>
        <w:tc>
          <w:tcPr>
            <w:tcW w:w="3560" w:type="dxa"/>
            <w:vAlign w:val="bottom"/>
            <w:tcBorders>
              <w:bottom w:val="single" w:sz="8" w:color="481F6E"/>
            </w:tcBorders>
            <w:shd w:val="clear" w:color="auto" w:fill="481F6E"/>
          </w:tcPr>
          <w:p>
            <w:pPr>
              <w:ind w:left="1680"/>
              <w:spacing w:after="0"/>
              <w:rPr>
                <w:sz w:val="20"/>
                <w:szCs w:val="20"/>
                <w:color w:val="auto"/>
              </w:rPr>
            </w:pPr>
            <w:r>
              <w:rPr>
                <w:rFonts w:ascii="Arial" w:cs="Arial" w:eastAsia="Arial" w:hAnsi="Arial"/>
                <w:sz w:val="16"/>
                <w:szCs w:val="16"/>
                <w:color w:val="FFFFFF"/>
              </w:rPr>
              <w:t>Q1</w:t>
            </w:r>
          </w:p>
        </w:tc>
        <w:tc>
          <w:tcPr>
            <w:tcW w:w="160" w:type="dxa"/>
            <w:vAlign w:val="bottom"/>
            <w:tcBorders>
              <w:bottom w:val="single" w:sz="8" w:color="00B2EC"/>
            </w:tcBorders>
            <w:shd w:val="clear" w:color="auto" w:fill="00B2EC"/>
          </w:tcPr>
          <w:p>
            <w:pPr>
              <w:spacing w:after="0"/>
              <w:rPr>
                <w:sz w:val="24"/>
                <w:szCs w:val="24"/>
                <w:color w:val="auto"/>
              </w:rPr>
            </w:pPr>
          </w:p>
        </w:tc>
        <w:tc>
          <w:tcPr>
            <w:tcW w:w="3660" w:type="dxa"/>
            <w:vAlign w:val="bottom"/>
            <w:tcBorders>
              <w:bottom w:val="single" w:sz="8" w:color="00B2EC"/>
            </w:tcBorders>
            <w:shd w:val="clear" w:color="auto" w:fill="00B2EC"/>
          </w:tcPr>
          <w:p>
            <w:pPr>
              <w:ind w:left="1600"/>
              <w:spacing w:after="0"/>
              <w:rPr>
                <w:sz w:val="20"/>
                <w:szCs w:val="20"/>
                <w:color w:val="auto"/>
              </w:rPr>
            </w:pPr>
            <w:r>
              <w:rPr>
                <w:rFonts w:ascii="Arial" w:cs="Arial" w:eastAsia="Arial" w:hAnsi="Arial"/>
                <w:sz w:val="16"/>
                <w:szCs w:val="16"/>
                <w:color w:val="FFFFFF"/>
              </w:rPr>
              <w:t>Q2–Q3</w:t>
            </w:r>
          </w:p>
        </w:tc>
        <w:tc>
          <w:tcPr>
            <w:tcW w:w="160" w:type="dxa"/>
            <w:vAlign w:val="bottom"/>
            <w:tcBorders>
              <w:bottom w:val="single" w:sz="8" w:color="D72930"/>
            </w:tcBorders>
            <w:shd w:val="clear" w:color="auto" w:fill="D72930"/>
          </w:tcPr>
          <w:p>
            <w:pPr>
              <w:spacing w:after="0"/>
              <w:rPr>
                <w:sz w:val="24"/>
                <w:szCs w:val="24"/>
                <w:color w:val="auto"/>
              </w:rPr>
            </w:pPr>
          </w:p>
        </w:tc>
        <w:tc>
          <w:tcPr>
            <w:tcW w:w="3580" w:type="dxa"/>
            <w:vAlign w:val="bottom"/>
            <w:tcBorders>
              <w:bottom w:val="single" w:sz="8" w:color="D72930"/>
            </w:tcBorders>
            <w:shd w:val="clear" w:color="auto" w:fill="D72930"/>
          </w:tcPr>
          <w:p>
            <w:pPr>
              <w:ind w:left="1680"/>
              <w:spacing w:after="0"/>
              <w:rPr>
                <w:sz w:val="20"/>
                <w:szCs w:val="20"/>
                <w:color w:val="auto"/>
              </w:rPr>
            </w:pPr>
            <w:r>
              <w:rPr>
                <w:rFonts w:ascii="Arial" w:cs="Arial" w:eastAsia="Arial" w:hAnsi="Arial"/>
                <w:sz w:val="16"/>
                <w:szCs w:val="16"/>
                <w:color w:val="FFFFFF"/>
              </w:rPr>
              <w:t>Q4</w:t>
            </w:r>
          </w:p>
        </w:tc>
        <w:tc>
          <w:tcPr>
            <w:tcW w:w="0" w:type="dxa"/>
            <w:vAlign w:val="bottom"/>
          </w:tcPr>
          <w:p>
            <w:pPr>
              <w:spacing w:after="0"/>
              <w:rPr>
                <w:sz w:val="1"/>
                <w:szCs w:val="1"/>
                <w:color w:val="auto"/>
              </w:rPr>
            </w:pPr>
          </w:p>
        </w:tc>
      </w:tr>
      <w:tr>
        <w:trPr>
          <w:trHeight w:val="226"/>
        </w:trPr>
        <w:tc>
          <w:tcPr>
            <w:tcW w:w="140" w:type="dxa"/>
            <w:vAlign w:val="bottom"/>
            <w:shd w:val="clear" w:color="auto" w:fill="D7D8D6"/>
          </w:tcPr>
          <w:p>
            <w:pPr>
              <w:spacing w:after="0"/>
              <w:rPr>
                <w:sz w:val="19"/>
                <w:szCs w:val="19"/>
                <w:color w:val="auto"/>
              </w:rPr>
            </w:pPr>
          </w:p>
        </w:tc>
        <w:tc>
          <w:tcPr>
            <w:tcW w:w="3560" w:type="dxa"/>
            <w:vAlign w:val="bottom"/>
            <w:vMerge w:val="restart"/>
            <w:shd w:val="clear" w:color="auto" w:fill="D7D8D6"/>
          </w:tcPr>
          <w:p>
            <w:pPr>
              <w:ind w:left="40"/>
              <w:spacing w:after="0"/>
              <w:rPr>
                <w:sz w:val="20"/>
                <w:szCs w:val="20"/>
                <w:color w:val="auto"/>
              </w:rPr>
            </w:pPr>
            <w:r>
              <w:rPr>
                <w:rFonts w:ascii="Arial" w:cs="Arial" w:eastAsia="Arial" w:hAnsi="Arial"/>
                <w:sz w:val="16"/>
                <w:szCs w:val="16"/>
                <w:color w:val="333740"/>
                <w:w w:val="94"/>
              </w:rPr>
              <w:t>Approve compensation decisions and equity awards</w:t>
            </w:r>
          </w:p>
        </w:tc>
        <w:tc>
          <w:tcPr>
            <w:tcW w:w="160" w:type="dxa"/>
            <w:vAlign w:val="bottom"/>
            <w:shd w:val="clear" w:color="auto" w:fill="D7D8D6"/>
          </w:tcPr>
          <w:p>
            <w:pPr>
              <w:spacing w:after="0"/>
              <w:rPr>
                <w:sz w:val="19"/>
                <w:szCs w:val="19"/>
                <w:color w:val="auto"/>
              </w:rPr>
            </w:pPr>
          </w:p>
        </w:tc>
        <w:tc>
          <w:tcPr>
            <w:tcW w:w="3660" w:type="dxa"/>
            <w:vAlign w:val="bottom"/>
            <w:vMerge w:val="restart"/>
            <w:shd w:val="clear" w:color="auto" w:fill="D7D8D6"/>
          </w:tcPr>
          <w:p>
            <w:pPr>
              <w:ind w:left="40"/>
              <w:spacing w:after="0"/>
              <w:rPr>
                <w:sz w:val="20"/>
                <w:szCs w:val="20"/>
                <w:color w:val="auto"/>
              </w:rPr>
            </w:pPr>
            <w:r>
              <w:rPr>
                <w:rFonts w:ascii="Arial" w:cs="Arial" w:eastAsia="Arial" w:hAnsi="Arial"/>
                <w:sz w:val="16"/>
                <w:szCs w:val="16"/>
                <w:color w:val="333740"/>
                <w:w w:val="97"/>
              </w:rPr>
              <w:t>Review executive officer share ownership guidelines</w:t>
            </w:r>
          </w:p>
        </w:tc>
        <w:tc>
          <w:tcPr>
            <w:tcW w:w="160" w:type="dxa"/>
            <w:vAlign w:val="bottom"/>
            <w:shd w:val="clear" w:color="auto" w:fill="D7D8D6"/>
          </w:tcPr>
          <w:p>
            <w:pPr>
              <w:spacing w:after="0"/>
              <w:rPr>
                <w:sz w:val="19"/>
                <w:szCs w:val="19"/>
                <w:color w:val="auto"/>
              </w:rPr>
            </w:pPr>
          </w:p>
        </w:tc>
        <w:tc>
          <w:tcPr>
            <w:tcW w:w="3580" w:type="dxa"/>
            <w:vAlign w:val="bottom"/>
            <w:shd w:val="clear" w:color="auto" w:fill="D7D8D6"/>
          </w:tcPr>
          <w:p>
            <w:pPr>
              <w:ind w:left="40"/>
              <w:spacing w:after="0"/>
              <w:rPr>
                <w:sz w:val="20"/>
                <w:szCs w:val="20"/>
                <w:color w:val="auto"/>
              </w:rPr>
            </w:pPr>
            <w:r>
              <w:rPr>
                <w:rFonts w:ascii="Arial" w:cs="Arial" w:eastAsia="Arial" w:hAnsi="Arial"/>
                <w:sz w:val="16"/>
                <w:szCs w:val="16"/>
                <w:color w:val="333740"/>
                <w:w w:val="94"/>
              </w:rPr>
              <w:t>Review internal governance policies (e.g., clawback,</w:t>
            </w:r>
          </w:p>
        </w:tc>
        <w:tc>
          <w:tcPr>
            <w:tcW w:w="0" w:type="dxa"/>
            <w:vAlign w:val="bottom"/>
          </w:tcPr>
          <w:p>
            <w:pPr>
              <w:spacing w:after="0"/>
              <w:rPr>
                <w:sz w:val="1"/>
                <w:szCs w:val="1"/>
                <w:color w:val="auto"/>
              </w:rPr>
            </w:pPr>
          </w:p>
        </w:tc>
      </w:tr>
      <w:tr>
        <w:trPr>
          <w:trHeight w:val="96"/>
        </w:trPr>
        <w:tc>
          <w:tcPr>
            <w:tcW w:w="140" w:type="dxa"/>
            <w:vAlign w:val="bottom"/>
            <w:shd w:val="clear" w:color="auto" w:fill="D7D8D6"/>
          </w:tcPr>
          <w:p>
            <w:pPr>
              <w:spacing w:after="0"/>
              <w:rPr>
                <w:sz w:val="8"/>
                <w:szCs w:val="8"/>
                <w:color w:val="auto"/>
              </w:rPr>
            </w:pPr>
          </w:p>
        </w:tc>
        <w:tc>
          <w:tcPr>
            <w:tcW w:w="3560" w:type="dxa"/>
            <w:vAlign w:val="bottom"/>
            <w:vMerge w:val="continue"/>
            <w:shd w:val="clear" w:color="auto" w:fill="D7D8D6"/>
          </w:tcPr>
          <w:p>
            <w:pPr>
              <w:spacing w:after="0"/>
              <w:rPr>
                <w:sz w:val="8"/>
                <w:szCs w:val="8"/>
                <w:color w:val="auto"/>
              </w:rPr>
            </w:pPr>
          </w:p>
        </w:tc>
        <w:tc>
          <w:tcPr>
            <w:tcW w:w="160" w:type="dxa"/>
            <w:vAlign w:val="bottom"/>
            <w:shd w:val="clear" w:color="auto" w:fill="D7D8D6"/>
          </w:tcPr>
          <w:p>
            <w:pPr>
              <w:spacing w:after="0"/>
              <w:rPr>
                <w:sz w:val="8"/>
                <w:szCs w:val="8"/>
                <w:color w:val="auto"/>
              </w:rPr>
            </w:pPr>
          </w:p>
        </w:tc>
        <w:tc>
          <w:tcPr>
            <w:tcW w:w="3660" w:type="dxa"/>
            <w:vAlign w:val="bottom"/>
            <w:vMerge w:val="continue"/>
            <w:shd w:val="clear" w:color="auto" w:fill="D7D8D6"/>
          </w:tcPr>
          <w:p>
            <w:pPr>
              <w:spacing w:after="0"/>
              <w:rPr>
                <w:sz w:val="8"/>
                <w:szCs w:val="8"/>
                <w:color w:val="auto"/>
              </w:rPr>
            </w:pPr>
          </w:p>
        </w:tc>
        <w:tc>
          <w:tcPr>
            <w:tcW w:w="160" w:type="dxa"/>
            <w:vAlign w:val="bottom"/>
            <w:shd w:val="clear" w:color="auto" w:fill="D7D8D6"/>
          </w:tcPr>
          <w:p>
            <w:pPr>
              <w:spacing w:after="0"/>
              <w:rPr>
                <w:sz w:val="8"/>
                <w:szCs w:val="8"/>
                <w:color w:val="auto"/>
              </w:rPr>
            </w:pPr>
          </w:p>
        </w:tc>
        <w:tc>
          <w:tcPr>
            <w:tcW w:w="3580" w:type="dxa"/>
            <w:vAlign w:val="bottom"/>
            <w:vMerge w:val="restart"/>
            <w:shd w:val="clear" w:color="auto" w:fill="D7D8D6"/>
          </w:tcPr>
          <w:p>
            <w:pPr>
              <w:ind w:left="40"/>
              <w:spacing w:after="0"/>
              <w:rPr>
                <w:sz w:val="20"/>
                <w:szCs w:val="20"/>
                <w:color w:val="auto"/>
              </w:rPr>
            </w:pPr>
            <w:r>
              <w:rPr>
                <w:rFonts w:ascii="Arial" w:cs="Arial" w:eastAsia="Arial" w:hAnsi="Arial"/>
                <w:sz w:val="16"/>
                <w:szCs w:val="16"/>
                <w:color w:val="333740"/>
              </w:rPr>
              <w:t>insider trading policy, anti-hedging, pledging) and</w:t>
            </w:r>
          </w:p>
        </w:tc>
        <w:tc>
          <w:tcPr>
            <w:tcW w:w="0" w:type="dxa"/>
            <w:vAlign w:val="bottom"/>
          </w:tcPr>
          <w:p>
            <w:pPr>
              <w:spacing w:after="0"/>
              <w:rPr>
                <w:sz w:val="1"/>
                <w:szCs w:val="1"/>
                <w:color w:val="auto"/>
              </w:rPr>
            </w:pPr>
          </w:p>
        </w:tc>
      </w:tr>
      <w:tr>
        <w:trPr>
          <w:trHeight w:val="96"/>
        </w:trPr>
        <w:tc>
          <w:tcPr>
            <w:tcW w:w="140" w:type="dxa"/>
            <w:vAlign w:val="bottom"/>
            <w:shd w:val="clear" w:color="auto" w:fill="D7D8D6"/>
          </w:tcPr>
          <w:p>
            <w:pPr>
              <w:spacing w:after="0"/>
              <w:rPr>
                <w:sz w:val="8"/>
                <w:szCs w:val="8"/>
                <w:color w:val="auto"/>
              </w:rPr>
            </w:pPr>
          </w:p>
        </w:tc>
        <w:tc>
          <w:tcPr>
            <w:tcW w:w="3560" w:type="dxa"/>
            <w:vAlign w:val="bottom"/>
            <w:vMerge w:val="restart"/>
            <w:shd w:val="clear" w:color="auto" w:fill="D7D8D6"/>
          </w:tcPr>
          <w:p>
            <w:pPr>
              <w:ind w:left="40"/>
              <w:spacing w:after="0"/>
              <w:rPr>
                <w:sz w:val="20"/>
                <w:szCs w:val="20"/>
                <w:color w:val="auto"/>
              </w:rPr>
            </w:pPr>
            <w:r>
              <w:rPr>
                <w:rFonts w:ascii="Arial" w:cs="Arial" w:eastAsia="Arial" w:hAnsi="Arial"/>
                <w:sz w:val="16"/>
                <w:szCs w:val="16"/>
                <w:color w:val="333740"/>
              </w:rPr>
              <w:t>for directors and officers</w:t>
            </w:r>
          </w:p>
        </w:tc>
        <w:tc>
          <w:tcPr>
            <w:tcW w:w="160" w:type="dxa"/>
            <w:vAlign w:val="bottom"/>
            <w:shd w:val="clear" w:color="auto" w:fill="D7D8D6"/>
          </w:tcPr>
          <w:p>
            <w:pPr>
              <w:spacing w:after="0"/>
              <w:rPr>
                <w:sz w:val="8"/>
                <w:szCs w:val="8"/>
                <w:color w:val="auto"/>
              </w:rPr>
            </w:pPr>
          </w:p>
        </w:tc>
        <w:tc>
          <w:tcPr>
            <w:tcW w:w="3660" w:type="dxa"/>
            <w:vAlign w:val="bottom"/>
            <w:vMerge w:val="restart"/>
            <w:shd w:val="clear" w:color="auto" w:fill="D7D8D6"/>
          </w:tcPr>
          <w:p>
            <w:pPr>
              <w:ind w:left="40"/>
              <w:spacing w:after="0"/>
              <w:rPr>
                <w:sz w:val="20"/>
                <w:szCs w:val="20"/>
                <w:color w:val="auto"/>
              </w:rPr>
            </w:pPr>
            <w:r>
              <w:rPr>
                <w:rFonts w:ascii="Arial" w:cs="Arial" w:eastAsia="Arial" w:hAnsi="Arial"/>
                <w:sz w:val="16"/>
                <w:szCs w:val="16"/>
                <w:color w:val="333740"/>
              </w:rPr>
              <w:t>and compliance</w:t>
            </w:r>
          </w:p>
        </w:tc>
        <w:tc>
          <w:tcPr>
            <w:tcW w:w="160" w:type="dxa"/>
            <w:vAlign w:val="bottom"/>
            <w:shd w:val="clear" w:color="auto" w:fill="D7D8D6"/>
          </w:tcPr>
          <w:p>
            <w:pPr>
              <w:spacing w:after="0"/>
              <w:rPr>
                <w:sz w:val="8"/>
                <w:szCs w:val="8"/>
                <w:color w:val="auto"/>
              </w:rPr>
            </w:pPr>
          </w:p>
        </w:tc>
        <w:tc>
          <w:tcPr>
            <w:tcW w:w="3580" w:type="dxa"/>
            <w:vAlign w:val="bottom"/>
            <w:vMerge w:val="continue"/>
            <w:shd w:val="clear" w:color="auto" w:fill="D7D8D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0" w:type="dxa"/>
            <w:vAlign w:val="bottom"/>
            <w:shd w:val="clear" w:color="auto" w:fill="D7D8D6"/>
          </w:tcPr>
          <w:p>
            <w:pPr>
              <w:spacing w:after="0"/>
              <w:rPr>
                <w:sz w:val="9"/>
                <w:szCs w:val="9"/>
                <w:color w:val="auto"/>
              </w:rPr>
            </w:pPr>
          </w:p>
        </w:tc>
        <w:tc>
          <w:tcPr>
            <w:tcW w:w="3560" w:type="dxa"/>
            <w:vAlign w:val="bottom"/>
            <w:vMerge w:val="continue"/>
            <w:shd w:val="clear" w:color="auto" w:fill="D7D8D6"/>
          </w:tcPr>
          <w:p>
            <w:pPr>
              <w:spacing w:after="0"/>
              <w:rPr>
                <w:sz w:val="9"/>
                <w:szCs w:val="9"/>
                <w:color w:val="auto"/>
              </w:rPr>
            </w:pPr>
          </w:p>
        </w:tc>
        <w:tc>
          <w:tcPr>
            <w:tcW w:w="160" w:type="dxa"/>
            <w:vAlign w:val="bottom"/>
            <w:shd w:val="clear" w:color="auto" w:fill="D7D8D6"/>
          </w:tcPr>
          <w:p>
            <w:pPr>
              <w:spacing w:after="0"/>
              <w:rPr>
                <w:sz w:val="9"/>
                <w:szCs w:val="9"/>
                <w:color w:val="auto"/>
              </w:rPr>
            </w:pPr>
          </w:p>
        </w:tc>
        <w:tc>
          <w:tcPr>
            <w:tcW w:w="3660" w:type="dxa"/>
            <w:vAlign w:val="bottom"/>
            <w:vMerge w:val="continue"/>
            <w:shd w:val="clear" w:color="auto" w:fill="D7D8D6"/>
          </w:tcPr>
          <w:p>
            <w:pPr>
              <w:spacing w:after="0"/>
              <w:rPr>
                <w:sz w:val="9"/>
                <w:szCs w:val="9"/>
                <w:color w:val="auto"/>
              </w:rPr>
            </w:pPr>
          </w:p>
        </w:tc>
        <w:tc>
          <w:tcPr>
            <w:tcW w:w="160" w:type="dxa"/>
            <w:vAlign w:val="bottom"/>
            <w:shd w:val="clear" w:color="auto" w:fill="D7D8D6"/>
          </w:tcPr>
          <w:p>
            <w:pPr>
              <w:spacing w:after="0"/>
              <w:rPr>
                <w:sz w:val="9"/>
                <w:szCs w:val="9"/>
                <w:color w:val="auto"/>
              </w:rPr>
            </w:pPr>
          </w:p>
        </w:tc>
        <w:tc>
          <w:tcPr>
            <w:tcW w:w="3580" w:type="dxa"/>
            <w:vAlign w:val="bottom"/>
            <w:vMerge w:val="restart"/>
            <w:shd w:val="clear" w:color="auto" w:fill="D7D8D6"/>
          </w:tcPr>
          <w:p>
            <w:pPr>
              <w:ind w:left="40"/>
              <w:spacing w:after="0"/>
              <w:rPr>
                <w:sz w:val="20"/>
                <w:szCs w:val="20"/>
                <w:color w:val="auto"/>
              </w:rPr>
            </w:pPr>
            <w:r>
              <w:rPr>
                <w:rFonts w:ascii="Arial" w:cs="Arial" w:eastAsia="Arial" w:hAnsi="Arial"/>
                <w:sz w:val="16"/>
                <w:szCs w:val="16"/>
                <w:color w:val="333740"/>
              </w:rPr>
              <w:t>compliance</w:t>
            </w:r>
          </w:p>
        </w:tc>
        <w:tc>
          <w:tcPr>
            <w:tcW w:w="0" w:type="dxa"/>
            <w:vAlign w:val="bottom"/>
          </w:tcPr>
          <w:p>
            <w:pPr>
              <w:spacing w:after="0"/>
              <w:rPr>
                <w:sz w:val="1"/>
                <w:szCs w:val="1"/>
                <w:color w:val="auto"/>
              </w:rPr>
            </w:pPr>
          </w:p>
        </w:tc>
      </w:tr>
      <w:tr>
        <w:trPr>
          <w:trHeight w:val="96"/>
        </w:trPr>
        <w:tc>
          <w:tcPr>
            <w:tcW w:w="140" w:type="dxa"/>
            <w:vAlign w:val="bottom"/>
            <w:shd w:val="clear" w:color="auto" w:fill="D7D8D6"/>
          </w:tcPr>
          <w:p>
            <w:pPr>
              <w:spacing w:after="0"/>
              <w:rPr>
                <w:sz w:val="8"/>
                <w:szCs w:val="8"/>
                <w:color w:val="auto"/>
              </w:rPr>
            </w:pPr>
          </w:p>
        </w:tc>
        <w:tc>
          <w:tcPr>
            <w:tcW w:w="3560" w:type="dxa"/>
            <w:vAlign w:val="bottom"/>
            <w:shd w:val="clear" w:color="auto" w:fill="D7D8D6"/>
          </w:tcPr>
          <w:p>
            <w:pPr>
              <w:spacing w:after="0"/>
              <w:rPr>
                <w:sz w:val="8"/>
                <w:szCs w:val="8"/>
                <w:color w:val="auto"/>
              </w:rPr>
            </w:pPr>
          </w:p>
        </w:tc>
        <w:tc>
          <w:tcPr>
            <w:tcW w:w="160" w:type="dxa"/>
            <w:vAlign w:val="bottom"/>
            <w:shd w:val="clear" w:color="auto" w:fill="D7D8D6"/>
          </w:tcPr>
          <w:p>
            <w:pPr>
              <w:spacing w:after="0"/>
              <w:rPr>
                <w:sz w:val="8"/>
                <w:szCs w:val="8"/>
                <w:color w:val="auto"/>
              </w:rPr>
            </w:pPr>
          </w:p>
        </w:tc>
        <w:tc>
          <w:tcPr>
            <w:tcW w:w="3660" w:type="dxa"/>
            <w:vAlign w:val="bottom"/>
            <w:shd w:val="clear" w:color="auto" w:fill="D7D8D6"/>
          </w:tcPr>
          <w:p>
            <w:pPr>
              <w:spacing w:after="0"/>
              <w:rPr>
                <w:sz w:val="8"/>
                <w:szCs w:val="8"/>
                <w:color w:val="auto"/>
              </w:rPr>
            </w:pPr>
          </w:p>
        </w:tc>
        <w:tc>
          <w:tcPr>
            <w:tcW w:w="160" w:type="dxa"/>
            <w:vAlign w:val="bottom"/>
            <w:shd w:val="clear" w:color="auto" w:fill="D7D8D6"/>
          </w:tcPr>
          <w:p>
            <w:pPr>
              <w:spacing w:after="0"/>
              <w:rPr>
                <w:sz w:val="8"/>
                <w:szCs w:val="8"/>
                <w:color w:val="auto"/>
              </w:rPr>
            </w:pPr>
          </w:p>
        </w:tc>
        <w:tc>
          <w:tcPr>
            <w:tcW w:w="3580" w:type="dxa"/>
            <w:vAlign w:val="bottom"/>
            <w:vMerge w:val="continue"/>
            <w:shd w:val="clear" w:color="auto" w:fill="D7D8D6"/>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140" w:type="dxa"/>
            <w:vAlign w:val="bottom"/>
            <w:shd w:val="clear" w:color="auto" w:fill="D7D8D6"/>
          </w:tcPr>
          <w:p>
            <w:pPr>
              <w:spacing w:after="0"/>
              <w:rPr>
                <w:sz w:val="23"/>
                <w:szCs w:val="23"/>
                <w:color w:val="auto"/>
              </w:rPr>
            </w:pPr>
          </w:p>
        </w:tc>
        <w:tc>
          <w:tcPr>
            <w:tcW w:w="3560" w:type="dxa"/>
            <w:vAlign w:val="bottom"/>
            <w:shd w:val="clear" w:color="auto" w:fill="D7D8D6"/>
          </w:tcPr>
          <w:p>
            <w:pPr>
              <w:ind w:left="40"/>
              <w:spacing w:after="0"/>
              <w:rPr>
                <w:sz w:val="20"/>
                <w:szCs w:val="20"/>
                <w:color w:val="auto"/>
              </w:rPr>
            </w:pPr>
            <w:r>
              <w:rPr>
                <w:rFonts w:ascii="Arial" w:cs="Arial" w:eastAsia="Arial" w:hAnsi="Arial"/>
                <w:sz w:val="16"/>
                <w:szCs w:val="16"/>
                <w:color w:val="333740"/>
                <w:w w:val="99"/>
              </w:rPr>
              <w:t>Approve Company performance achievements for</w:t>
            </w:r>
          </w:p>
        </w:tc>
        <w:tc>
          <w:tcPr>
            <w:tcW w:w="160" w:type="dxa"/>
            <w:vAlign w:val="bottom"/>
            <w:shd w:val="clear" w:color="auto" w:fill="D7D8D6"/>
          </w:tcPr>
          <w:p>
            <w:pPr>
              <w:spacing w:after="0"/>
              <w:rPr>
                <w:sz w:val="23"/>
                <w:szCs w:val="23"/>
                <w:color w:val="auto"/>
              </w:rPr>
            </w:pPr>
          </w:p>
        </w:tc>
        <w:tc>
          <w:tcPr>
            <w:tcW w:w="3660" w:type="dxa"/>
            <w:vAlign w:val="bottom"/>
            <w:vMerge w:val="restart"/>
            <w:shd w:val="clear" w:color="auto" w:fill="D7D8D6"/>
          </w:tcPr>
          <w:p>
            <w:pPr>
              <w:ind w:left="40"/>
              <w:spacing w:after="0"/>
              <w:rPr>
                <w:sz w:val="20"/>
                <w:szCs w:val="20"/>
                <w:color w:val="auto"/>
              </w:rPr>
            </w:pPr>
            <w:r>
              <w:rPr>
                <w:rFonts w:ascii="Arial" w:cs="Arial" w:eastAsia="Arial" w:hAnsi="Arial"/>
                <w:sz w:val="16"/>
                <w:szCs w:val="16"/>
                <w:color w:val="333740"/>
                <w:w w:val="91"/>
              </w:rPr>
              <w:t>Discuss shareholder engagement outcomes and review</w:t>
            </w:r>
          </w:p>
        </w:tc>
        <w:tc>
          <w:tcPr>
            <w:tcW w:w="160" w:type="dxa"/>
            <w:vAlign w:val="bottom"/>
            <w:shd w:val="clear" w:color="auto" w:fill="D7D8D6"/>
          </w:tcPr>
          <w:p>
            <w:pPr>
              <w:spacing w:after="0"/>
              <w:rPr>
                <w:sz w:val="23"/>
                <w:szCs w:val="23"/>
                <w:color w:val="auto"/>
              </w:rPr>
            </w:pPr>
          </w:p>
        </w:tc>
        <w:tc>
          <w:tcPr>
            <w:tcW w:w="3580" w:type="dxa"/>
            <w:vAlign w:val="bottom"/>
            <w:vMerge w:val="restart"/>
            <w:shd w:val="clear" w:color="auto" w:fill="D7D8D6"/>
          </w:tcPr>
          <w:p>
            <w:pPr>
              <w:ind w:left="40"/>
              <w:spacing w:after="0"/>
              <w:rPr>
                <w:sz w:val="20"/>
                <w:szCs w:val="20"/>
                <w:color w:val="auto"/>
              </w:rPr>
            </w:pPr>
            <w:r>
              <w:rPr>
                <w:rFonts w:ascii="Arial" w:cs="Arial" w:eastAsia="Arial" w:hAnsi="Arial"/>
                <w:sz w:val="16"/>
                <w:szCs w:val="16"/>
                <w:color w:val="333740"/>
                <w:w w:val="97"/>
              </w:rPr>
              <w:t>Approve equity programs, annual equity budget for</w:t>
            </w:r>
          </w:p>
        </w:tc>
        <w:tc>
          <w:tcPr>
            <w:tcW w:w="0" w:type="dxa"/>
            <w:vAlign w:val="bottom"/>
          </w:tcPr>
          <w:p>
            <w:pPr>
              <w:spacing w:after="0"/>
              <w:rPr>
                <w:sz w:val="1"/>
                <w:szCs w:val="1"/>
                <w:color w:val="auto"/>
              </w:rPr>
            </w:pPr>
          </w:p>
        </w:tc>
      </w:tr>
      <w:tr>
        <w:trPr>
          <w:trHeight w:val="96"/>
        </w:trPr>
        <w:tc>
          <w:tcPr>
            <w:tcW w:w="140" w:type="dxa"/>
            <w:vAlign w:val="bottom"/>
            <w:shd w:val="clear" w:color="auto" w:fill="D7D8D6"/>
          </w:tcPr>
          <w:p>
            <w:pPr>
              <w:spacing w:after="0"/>
              <w:rPr>
                <w:sz w:val="8"/>
                <w:szCs w:val="8"/>
                <w:color w:val="auto"/>
              </w:rPr>
            </w:pPr>
          </w:p>
        </w:tc>
        <w:tc>
          <w:tcPr>
            <w:tcW w:w="3560" w:type="dxa"/>
            <w:vAlign w:val="bottom"/>
            <w:vMerge w:val="restart"/>
            <w:shd w:val="clear" w:color="auto" w:fill="D7D8D6"/>
          </w:tcPr>
          <w:p>
            <w:pPr>
              <w:ind w:left="40"/>
              <w:spacing w:after="0"/>
              <w:rPr>
                <w:sz w:val="20"/>
                <w:szCs w:val="20"/>
                <w:color w:val="auto"/>
              </w:rPr>
            </w:pPr>
            <w:r>
              <w:rPr>
                <w:rFonts w:ascii="Arial" w:cs="Arial" w:eastAsia="Arial" w:hAnsi="Arial"/>
                <w:sz w:val="16"/>
                <w:szCs w:val="16"/>
                <w:color w:val="333740"/>
              </w:rPr>
              <w:t>prior year in relation to annual and long-term</w:t>
            </w:r>
          </w:p>
        </w:tc>
        <w:tc>
          <w:tcPr>
            <w:tcW w:w="160" w:type="dxa"/>
            <w:vAlign w:val="bottom"/>
            <w:shd w:val="clear" w:color="auto" w:fill="D7D8D6"/>
          </w:tcPr>
          <w:p>
            <w:pPr>
              <w:spacing w:after="0"/>
              <w:rPr>
                <w:sz w:val="8"/>
                <w:szCs w:val="8"/>
                <w:color w:val="auto"/>
              </w:rPr>
            </w:pPr>
          </w:p>
        </w:tc>
        <w:tc>
          <w:tcPr>
            <w:tcW w:w="3660" w:type="dxa"/>
            <w:vAlign w:val="bottom"/>
            <w:vMerge w:val="continue"/>
            <w:shd w:val="clear" w:color="auto" w:fill="D7D8D6"/>
          </w:tcPr>
          <w:p>
            <w:pPr>
              <w:spacing w:after="0"/>
              <w:rPr>
                <w:sz w:val="8"/>
                <w:szCs w:val="8"/>
                <w:color w:val="auto"/>
              </w:rPr>
            </w:pPr>
          </w:p>
        </w:tc>
        <w:tc>
          <w:tcPr>
            <w:tcW w:w="160" w:type="dxa"/>
            <w:vAlign w:val="bottom"/>
            <w:shd w:val="clear" w:color="auto" w:fill="D7D8D6"/>
          </w:tcPr>
          <w:p>
            <w:pPr>
              <w:spacing w:after="0"/>
              <w:rPr>
                <w:sz w:val="8"/>
                <w:szCs w:val="8"/>
                <w:color w:val="auto"/>
              </w:rPr>
            </w:pPr>
          </w:p>
        </w:tc>
        <w:tc>
          <w:tcPr>
            <w:tcW w:w="3580" w:type="dxa"/>
            <w:vAlign w:val="bottom"/>
            <w:vMerge w:val="continue"/>
            <w:shd w:val="clear" w:color="auto" w:fill="D7D8D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0" w:type="dxa"/>
            <w:vAlign w:val="bottom"/>
            <w:shd w:val="clear" w:color="auto" w:fill="D7D8D6"/>
          </w:tcPr>
          <w:p>
            <w:pPr>
              <w:spacing w:after="0"/>
              <w:rPr>
                <w:sz w:val="8"/>
                <w:szCs w:val="8"/>
                <w:color w:val="auto"/>
              </w:rPr>
            </w:pPr>
          </w:p>
        </w:tc>
        <w:tc>
          <w:tcPr>
            <w:tcW w:w="3560" w:type="dxa"/>
            <w:vAlign w:val="bottom"/>
            <w:vMerge w:val="continue"/>
            <w:shd w:val="clear" w:color="auto" w:fill="D7D8D6"/>
          </w:tcPr>
          <w:p>
            <w:pPr>
              <w:spacing w:after="0"/>
              <w:rPr>
                <w:sz w:val="8"/>
                <w:szCs w:val="8"/>
                <w:color w:val="auto"/>
              </w:rPr>
            </w:pPr>
          </w:p>
        </w:tc>
        <w:tc>
          <w:tcPr>
            <w:tcW w:w="160" w:type="dxa"/>
            <w:vAlign w:val="bottom"/>
            <w:shd w:val="clear" w:color="auto" w:fill="D7D8D6"/>
          </w:tcPr>
          <w:p>
            <w:pPr>
              <w:spacing w:after="0"/>
              <w:rPr>
                <w:sz w:val="8"/>
                <w:szCs w:val="8"/>
                <w:color w:val="auto"/>
              </w:rPr>
            </w:pPr>
          </w:p>
        </w:tc>
        <w:tc>
          <w:tcPr>
            <w:tcW w:w="3660" w:type="dxa"/>
            <w:vAlign w:val="bottom"/>
            <w:vMerge w:val="restart"/>
            <w:shd w:val="clear" w:color="auto" w:fill="D7D8D6"/>
          </w:tcPr>
          <w:p>
            <w:pPr>
              <w:ind w:left="40"/>
              <w:spacing w:after="0"/>
              <w:rPr>
                <w:sz w:val="20"/>
                <w:szCs w:val="20"/>
                <w:color w:val="auto"/>
              </w:rPr>
            </w:pPr>
            <w:r>
              <w:rPr>
                <w:rFonts w:ascii="Arial" w:cs="Arial" w:eastAsia="Arial" w:hAnsi="Arial"/>
                <w:sz w:val="16"/>
                <w:szCs w:val="16"/>
                <w:color w:val="333740"/>
              </w:rPr>
              <w:t>proxy voting results</w:t>
            </w:r>
          </w:p>
        </w:tc>
        <w:tc>
          <w:tcPr>
            <w:tcW w:w="160" w:type="dxa"/>
            <w:vAlign w:val="bottom"/>
            <w:shd w:val="clear" w:color="auto" w:fill="D7D8D6"/>
          </w:tcPr>
          <w:p>
            <w:pPr>
              <w:spacing w:after="0"/>
              <w:rPr>
                <w:sz w:val="8"/>
                <w:szCs w:val="8"/>
                <w:color w:val="auto"/>
              </w:rPr>
            </w:pPr>
          </w:p>
        </w:tc>
        <w:tc>
          <w:tcPr>
            <w:tcW w:w="3580" w:type="dxa"/>
            <w:vAlign w:val="bottom"/>
            <w:vMerge w:val="restart"/>
            <w:shd w:val="clear" w:color="auto" w:fill="D7D8D6"/>
          </w:tcPr>
          <w:p>
            <w:pPr>
              <w:ind w:left="40"/>
              <w:spacing w:after="0"/>
              <w:rPr>
                <w:sz w:val="20"/>
                <w:szCs w:val="20"/>
                <w:color w:val="auto"/>
              </w:rPr>
            </w:pPr>
            <w:r>
              <w:rPr>
                <w:rFonts w:ascii="Arial" w:cs="Arial" w:eastAsia="Arial" w:hAnsi="Arial"/>
                <w:sz w:val="16"/>
                <w:szCs w:val="16"/>
                <w:color w:val="333740"/>
                <w:w w:val="97"/>
              </w:rPr>
              <w:t>non-executives, and impact on shareholder dilution</w:t>
            </w:r>
          </w:p>
        </w:tc>
        <w:tc>
          <w:tcPr>
            <w:tcW w:w="0" w:type="dxa"/>
            <w:vAlign w:val="bottom"/>
          </w:tcPr>
          <w:p>
            <w:pPr>
              <w:spacing w:after="0"/>
              <w:rPr>
                <w:sz w:val="1"/>
                <w:szCs w:val="1"/>
                <w:color w:val="auto"/>
              </w:rPr>
            </w:pPr>
          </w:p>
        </w:tc>
      </w:tr>
      <w:tr>
        <w:trPr>
          <w:trHeight w:val="108"/>
        </w:trPr>
        <w:tc>
          <w:tcPr>
            <w:tcW w:w="140" w:type="dxa"/>
            <w:vAlign w:val="bottom"/>
            <w:shd w:val="clear" w:color="auto" w:fill="D7D8D6"/>
          </w:tcPr>
          <w:p>
            <w:pPr>
              <w:spacing w:after="0"/>
              <w:rPr>
                <w:sz w:val="9"/>
                <w:szCs w:val="9"/>
                <w:color w:val="auto"/>
              </w:rPr>
            </w:pPr>
          </w:p>
        </w:tc>
        <w:tc>
          <w:tcPr>
            <w:tcW w:w="3560" w:type="dxa"/>
            <w:vAlign w:val="bottom"/>
            <w:vMerge w:val="restart"/>
            <w:shd w:val="clear" w:color="auto" w:fill="D7D8D6"/>
          </w:tcPr>
          <w:p>
            <w:pPr>
              <w:ind w:left="40"/>
              <w:spacing w:after="0"/>
              <w:rPr>
                <w:sz w:val="20"/>
                <w:szCs w:val="20"/>
                <w:color w:val="auto"/>
              </w:rPr>
            </w:pPr>
            <w:r>
              <w:rPr>
                <w:rFonts w:ascii="Arial" w:cs="Arial" w:eastAsia="Arial" w:hAnsi="Arial"/>
                <w:sz w:val="16"/>
                <w:szCs w:val="16"/>
                <w:color w:val="333740"/>
              </w:rPr>
              <w:t>incentive plans</w:t>
            </w:r>
          </w:p>
        </w:tc>
        <w:tc>
          <w:tcPr>
            <w:tcW w:w="160" w:type="dxa"/>
            <w:vAlign w:val="bottom"/>
            <w:shd w:val="clear" w:color="auto" w:fill="D7D8D6"/>
          </w:tcPr>
          <w:p>
            <w:pPr>
              <w:spacing w:after="0"/>
              <w:rPr>
                <w:sz w:val="9"/>
                <w:szCs w:val="9"/>
                <w:color w:val="auto"/>
              </w:rPr>
            </w:pPr>
          </w:p>
        </w:tc>
        <w:tc>
          <w:tcPr>
            <w:tcW w:w="3660" w:type="dxa"/>
            <w:vAlign w:val="bottom"/>
            <w:vMerge w:val="continue"/>
            <w:shd w:val="clear" w:color="auto" w:fill="D7D8D6"/>
          </w:tcPr>
          <w:p>
            <w:pPr>
              <w:spacing w:after="0"/>
              <w:rPr>
                <w:sz w:val="9"/>
                <w:szCs w:val="9"/>
                <w:color w:val="auto"/>
              </w:rPr>
            </w:pPr>
          </w:p>
        </w:tc>
        <w:tc>
          <w:tcPr>
            <w:tcW w:w="160" w:type="dxa"/>
            <w:vAlign w:val="bottom"/>
            <w:shd w:val="clear" w:color="auto" w:fill="D7D8D6"/>
          </w:tcPr>
          <w:p>
            <w:pPr>
              <w:spacing w:after="0"/>
              <w:rPr>
                <w:sz w:val="9"/>
                <w:szCs w:val="9"/>
                <w:color w:val="auto"/>
              </w:rPr>
            </w:pPr>
          </w:p>
        </w:tc>
        <w:tc>
          <w:tcPr>
            <w:tcW w:w="3580" w:type="dxa"/>
            <w:vAlign w:val="bottom"/>
            <w:vMerge w:val="continue"/>
            <w:shd w:val="clear" w:color="auto" w:fill="D7D8D6"/>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40" w:type="dxa"/>
            <w:vAlign w:val="bottom"/>
            <w:shd w:val="clear" w:color="auto" w:fill="D7D8D6"/>
          </w:tcPr>
          <w:p>
            <w:pPr>
              <w:spacing w:after="0"/>
              <w:rPr>
                <w:sz w:val="8"/>
                <w:szCs w:val="8"/>
                <w:color w:val="auto"/>
              </w:rPr>
            </w:pPr>
          </w:p>
        </w:tc>
        <w:tc>
          <w:tcPr>
            <w:tcW w:w="3560" w:type="dxa"/>
            <w:vAlign w:val="bottom"/>
            <w:vMerge w:val="continue"/>
            <w:shd w:val="clear" w:color="auto" w:fill="D7D8D6"/>
          </w:tcPr>
          <w:p>
            <w:pPr>
              <w:spacing w:after="0"/>
              <w:rPr>
                <w:sz w:val="8"/>
                <w:szCs w:val="8"/>
                <w:color w:val="auto"/>
              </w:rPr>
            </w:pPr>
          </w:p>
        </w:tc>
        <w:tc>
          <w:tcPr>
            <w:tcW w:w="160" w:type="dxa"/>
            <w:vAlign w:val="bottom"/>
            <w:shd w:val="clear" w:color="auto" w:fill="D7D8D6"/>
          </w:tcPr>
          <w:p>
            <w:pPr>
              <w:spacing w:after="0"/>
              <w:rPr>
                <w:sz w:val="8"/>
                <w:szCs w:val="8"/>
                <w:color w:val="auto"/>
              </w:rPr>
            </w:pPr>
          </w:p>
        </w:tc>
        <w:tc>
          <w:tcPr>
            <w:tcW w:w="3660" w:type="dxa"/>
            <w:vAlign w:val="bottom"/>
            <w:shd w:val="clear" w:color="auto" w:fill="D7D8D6"/>
          </w:tcPr>
          <w:p>
            <w:pPr>
              <w:spacing w:after="0"/>
              <w:rPr>
                <w:sz w:val="8"/>
                <w:szCs w:val="8"/>
                <w:color w:val="auto"/>
              </w:rPr>
            </w:pPr>
          </w:p>
        </w:tc>
        <w:tc>
          <w:tcPr>
            <w:tcW w:w="160" w:type="dxa"/>
            <w:vAlign w:val="bottom"/>
            <w:shd w:val="clear" w:color="auto" w:fill="D7D8D6"/>
          </w:tcPr>
          <w:p>
            <w:pPr>
              <w:spacing w:after="0"/>
              <w:rPr>
                <w:sz w:val="8"/>
                <w:szCs w:val="8"/>
                <w:color w:val="auto"/>
              </w:rPr>
            </w:pPr>
          </w:p>
        </w:tc>
        <w:tc>
          <w:tcPr>
            <w:tcW w:w="3580" w:type="dxa"/>
            <w:vAlign w:val="bottom"/>
            <w:shd w:val="clear" w:color="auto" w:fill="D7D8D6"/>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140" w:type="dxa"/>
            <w:vAlign w:val="bottom"/>
            <w:shd w:val="clear" w:color="auto" w:fill="D7D8D6"/>
          </w:tcPr>
          <w:p>
            <w:pPr>
              <w:spacing w:after="0"/>
              <w:rPr>
                <w:sz w:val="23"/>
                <w:szCs w:val="23"/>
                <w:color w:val="auto"/>
              </w:rPr>
            </w:pPr>
          </w:p>
        </w:tc>
        <w:tc>
          <w:tcPr>
            <w:tcW w:w="3560" w:type="dxa"/>
            <w:vAlign w:val="bottom"/>
            <w:shd w:val="clear" w:color="auto" w:fill="D7D8D6"/>
          </w:tcPr>
          <w:p>
            <w:pPr>
              <w:ind w:left="40"/>
              <w:spacing w:after="0"/>
              <w:rPr>
                <w:sz w:val="20"/>
                <w:szCs w:val="20"/>
                <w:color w:val="auto"/>
              </w:rPr>
            </w:pPr>
            <w:r>
              <w:rPr>
                <w:rFonts w:ascii="Arial" w:cs="Arial" w:eastAsia="Arial" w:hAnsi="Arial"/>
                <w:sz w:val="16"/>
                <w:szCs w:val="16"/>
                <w:color w:val="333740"/>
                <w:w w:val="92"/>
              </w:rPr>
              <w:t>Review and discuss executive compensation strategy</w:t>
            </w:r>
          </w:p>
        </w:tc>
        <w:tc>
          <w:tcPr>
            <w:tcW w:w="160" w:type="dxa"/>
            <w:vAlign w:val="bottom"/>
            <w:shd w:val="clear" w:color="auto" w:fill="D7D8D6"/>
          </w:tcPr>
          <w:p>
            <w:pPr>
              <w:spacing w:after="0"/>
              <w:rPr>
                <w:sz w:val="23"/>
                <w:szCs w:val="23"/>
                <w:color w:val="auto"/>
              </w:rPr>
            </w:pPr>
          </w:p>
        </w:tc>
        <w:tc>
          <w:tcPr>
            <w:tcW w:w="3660" w:type="dxa"/>
            <w:vAlign w:val="bottom"/>
            <w:shd w:val="clear" w:color="auto" w:fill="D7D8D6"/>
          </w:tcPr>
          <w:p>
            <w:pPr>
              <w:spacing w:after="0"/>
              <w:rPr>
                <w:sz w:val="23"/>
                <w:szCs w:val="23"/>
                <w:color w:val="auto"/>
              </w:rPr>
            </w:pPr>
          </w:p>
        </w:tc>
        <w:tc>
          <w:tcPr>
            <w:tcW w:w="160" w:type="dxa"/>
            <w:vAlign w:val="bottom"/>
            <w:shd w:val="clear" w:color="auto" w:fill="D7D8D6"/>
          </w:tcPr>
          <w:p>
            <w:pPr>
              <w:spacing w:after="0"/>
              <w:rPr>
                <w:sz w:val="23"/>
                <w:szCs w:val="23"/>
                <w:color w:val="auto"/>
              </w:rPr>
            </w:pPr>
          </w:p>
        </w:tc>
        <w:tc>
          <w:tcPr>
            <w:tcW w:w="3580" w:type="dxa"/>
            <w:vAlign w:val="bottom"/>
            <w:vMerge w:val="restart"/>
            <w:shd w:val="clear" w:color="auto" w:fill="D7D8D6"/>
          </w:tcPr>
          <w:p>
            <w:pPr>
              <w:ind w:left="40"/>
              <w:spacing w:after="0"/>
              <w:rPr>
                <w:sz w:val="20"/>
                <w:szCs w:val="20"/>
                <w:color w:val="auto"/>
              </w:rPr>
            </w:pPr>
            <w:r>
              <w:rPr>
                <w:rFonts w:ascii="Arial" w:cs="Arial" w:eastAsia="Arial" w:hAnsi="Arial"/>
                <w:sz w:val="16"/>
                <w:szCs w:val="16"/>
                <w:color w:val="333740"/>
              </w:rPr>
              <w:t>Review of peer compensation practices</w:t>
            </w:r>
          </w:p>
        </w:tc>
        <w:tc>
          <w:tcPr>
            <w:tcW w:w="0" w:type="dxa"/>
            <w:vAlign w:val="bottom"/>
          </w:tcPr>
          <w:p>
            <w:pPr>
              <w:spacing w:after="0"/>
              <w:rPr>
                <w:sz w:val="1"/>
                <w:szCs w:val="1"/>
                <w:color w:val="auto"/>
              </w:rPr>
            </w:pPr>
          </w:p>
        </w:tc>
      </w:tr>
      <w:tr>
        <w:trPr>
          <w:trHeight w:val="108"/>
        </w:trPr>
        <w:tc>
          <w:tcPr>
            <w:tcW w:w="140" w:type="dxa"/>
            <w:vAlign w:val="bottom"/>
            <w:shd w:val="clear" w:color="auto" w:fill="D7D8D6"/>
          </w:tcPr>
          <w:p>
            <w:pPr>
              <w:spacing w:after="0"/>
              <w:rPr>
                <w:sz w:val="9"/>
                <w:szCs w:val="9"/>
                <w:color w:val="auto"/>
              </w:rPr>
            </w:pPr>
          </w:p>
        </w:tc>
        <w:tc>
          <w:tcPr>
            <w:tcW w:w="3560" w:type="dxa"/>
            <w:vAlign w:val="bottom"/>
            <w:vMerge w:val="restart"/>
            <w:shd w:val="clear" w:color="auto" w:fill="D7D8D6"/>
          </w:tcPr>
          <w:p>
            <w:pPr>
              <w:ind w:left="40"/>
              <w:spacing w:after="0"/>
              <w:rPr>
                <w:sz w:val="20"/>
                <w:szCs w:val="20"/>
                <w:color w:val="auto"/>
              </w:rPr>
            </w:pPr>
            <w:r>
              <w:rPr>
                <w:rFonts w:ascii="Arial" w:cs="Arial" w:eastAsia="Arial" w:hAnsi="Arial"/>
                <w:sz w:val="16"/>
                <w:szCs w:val="16"/>
                <w:color w:val="333740"/>
              </w:rPr>
              <w:t>structure and programs</w:t>
            </w:r>
          </w:p>
        </w:tc>
        <w:tc>
          <w:tcPr>
            <w:tcW w:w="160" w:type="dxa"/>
            <w:vAlign w:val="bottom"/>
            <w:shd w:val="clear" w:color="auto" w:fill="D7D8D6"/>
          </w:tcPr>
          <w:p>
            <w:pPr>
              <w:spacing w:after="0"/>
              <w:rPr>
                <w:sz w:val="9"/>
                <w:szCs w:val="9"/>
                <w:color w:val="auto"/>
              </w:rPr>
            </w:pPr>
          </w:p>
        </w:tc>
        <w:tc>
          <w:tcPr>
            <w:tcW w:w="3660" w:type="dxa"/>
            <w:vAlign w:val="bottom"/>
            <w:shd w:val="clear" w:color="auto" w:fill="D7D8D6"/>
          </w:tcPr>
          <w:p>
            <w:pPr>
              <w:spacing w:after="0"/>
              <w:rPr>
                <w:sz w:val="9"/>
                <w:szCs w:val="9"/>
                <w:color w:val="auto"/>
              </w:rPr>
            </w:pPr>
          </w:p>
        </w:tc>
        <w:tc>
          <w:tcPr>
            <w:tcW w:w="160" w:type="dxa"/>
            <w:vAlign w:val="bottom"/>
            <w:shd w:val="clear" w:color="auto" w:fill="D7D8D6"/>
          </w:tcPr>
          <w:p>
            <w:pPr>
              <w:spacing w:after="0"/>
              <w:rPr>
                <w:sz w:val="9"/>
                <w:szCs w:val="9"/>
                <w:color w:val="auto"/>
              </w:rPr>
            </w:pPr>
          </w:p>
        </w:tc>
        <w:tc>
          <w:tcPr>
            <w:tcW w:w="3580" w:type="dxa"/>
            <w:vAlign w:val="bottom"/>
            <w:vMerge w:val="continue"/>
            <w:shd w:val="clear" w:color="auto" w:fill="D7D8D6"/>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40" w:type="dxa"/>
            <w:vAlign w:val="bottom"/>
            <w:shd w:val="clear" w:color="auto" w:fill="D7D8D6"/>
          </w:tcPr>
          <w:p>
            <w:pPr>
              <w:spacing w:after="0"/>
              <w:rPr>
                <w:sz w:val="8"/>
                <w:szCs w:val="8"/>
                <w:color w:val="auto"/>
              </w:rPr>
            </w:pPr>
          </w:p>
        </w:tc>
        <w:tc>
          <w:tcPr>
            <w:tcW w:w="3560" w:type="dxa"/>
            <w:vAlign w:val="bottom"/>
            <w:vMerge w:val="continue"/>
            <w:shd w:val="clear" w:color="auto" w:fill="D7D8D6"/>
          </w:tcPr>
          <w:p>
            <w:pPr>
              <w:spacing w:after="0"/>
              <w:rPr>
                <w:sz w:val="8"/>
                <w:szCs w:val="8"/>
                <w:color w:val="auto"/>
              </w:rPr>
            </w:pPr>
          </w:p>
        </w:tc>
        <w:tc>
          <w:tcPr>
            <w:tcW w:w="160" w:type="dxa"/>
            <w:vAlign w:val="bottom"/>
            <w:shd w:val="clear" w:color="auto" w:fill="D7D8D6"/>
          </w:tcPr>
          <w:p>
            <w:pPr>
              <w:spacing w:after="0"/>
              <w:rPr>
                <w:sz w:val="8"/>
                <w:szCs w:val="8"/>
                <w:color w:val="auto"/>
              </w:rPr>
            </w:pPr>
          </w:p>
        </w:tc>
        <w:tc>
          <w:tcPr>
            <w:tcW w:w="3660" w:type="dxa"/>
            <w:vAlign w:val="bottom"/>
            <w:shd w:val="clear" w:color="auto" w:fill="D7D8D6"/>
          </w:tcPr>
          <w:p>
            <w:pPr>
              <w:spacing w:after="0"/>
              <w:rPr>
                <w:sz w:val="8"/>
                <w:szCs w:val="8"/>
                <w:color w:val="auto"/>
              </w:rPr>
            </w:pPr>
          </w:p>
        </w:tc>
        <w:tc>
          <w:tcPr>
            <w:tcW w:w="160" w:type="dxa"/>
            <w:vAlign w:val="bottom"/>
            <w:shd w:val="clear" w:color="auto" w:fill="D7D8D6"/>
          </w:tcPr>
          <w:p>
            <w:pPr>
              <w:spacing w:after="0"/>
              <w:rPr>
                <w:sz w:val="8"/>
                <w:szCs w:val="8"/>
                <w:color w:val="auto"/>
              </w:rPr>
            </w:pPr>
          </w:p>
        </w:tc>
        <w:tc>
          <w:tcPr>
            <w:tcW w:w="3580" w:type="dxa"/>
            <w:vAlign w:val="bottom"/>
            <w:shd w:val="clear" w:color="auto" w:fill="D7D8D6"/>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140" w:type="dxa"/>
            <w:vAlign w:val="bottom"/>
            <w:shd w:val="clear" w:color="auto" w:fill="D7D8D6"/>
          </w:tcPr>
          <w:p>
            <w:pPr>
              <w:spacing w:after="0"/>
              <w:rPr>
                <w:sz w:val="23"/>
                <w:szCs w:val="23"/>
                <w:color w:val="auto"/>
              </w:rPr>
            </w:pPr>
          </w:p>
        </w:tc>
        <w:tc>
          <w:tcPr>
            <w:tcW w:w="3560" w:type="dxa"/>
            <w:vAlign w:val="bottom"/>
            <w:shd w:val="clear" w:color="auto" w:fill="D7D8D6"/>
          </w:tcPr>
          <w:p>
            <w:pPr>
              <w:ind w:left="40"/>
              <w:spacing w:after="0"/>
              <w:rPr>
                <w:sz w:val="20"/>
                <w:szCs w:val="20"/>
                <w:color w:val="auto"/>
              </w:rPr>
            </w:pPr>
            <w:r>
              <w:rPr>
                <w:rFonts w:ascii="Arial" w:cs="Arial" w:eastAsia="Arial" w:hAnsi="Arial"/>
                <w:sz w:val="16"/>
                <w:szCs w:val="16"/>
                <w:color w:val="333740"/>
              </w:rPr>
              <w:t>Approve annual compensation disclosures in</w:t>
            </w:r>
          </w:p>
        </w:tc>
        <w:tc>
          <w:tcPr>
            <w:tcW w:w="160" w:type="dxa"/>
            <w:vAlign w:val="bottom"/>
            <w:shd w:val="clear" w:color="auto" w:fill="D7D8D6"/>
          </w:tcPr>
          <w:p>
            <w:pPr>
              <w:spacing w:after="0"/>
              <w:rPr>
                <w:sz w:val="23"/>
                <w:szCs w:val="23"/>
                <w:color w:val="auto"/>
              </w:rPr>
            </w:pPr>
          </w:p>
        </w:tc>
        <w:tc>
          <w:tcPr>
            <w:tcW w:w="3660" w:type="dxa"/>
            <w:vAlign w:val="bottom"/>
            <w:shd w:val="clear" w:color="auto" w:fill="D7D8D6"/>
          </w:tcPr>
          <w:p>
            <w:pPr>
              <w:spacing w:after="0"/>
              <w:rPr>
                <w:sz w:val="23"/>
                <w:szCs w:val="23"/>
                <w:color w:val="auto"/>
              </w:rPr>
            </w:pPr>
          </w:p>
        </w:tc>
        <w:tc>
          <w:tcPr>
            <w:tcW w:w="160" w:type="dxa"/>
            <w:vAlign w:val="bottom"/>
            <w:shd w:val="clear" w:color="auto" w:fill="D7D8D6"/>
          </w:tcPr>
          <w:p>
            <w:pPr>
              <w:spacing w:after="0"/>
              <w:rPr>
                <w:sz w:val="23"/>
                <w:szCs w:val="23"/>
                <w:color w:val="auto"/>
              </w:rPr>
            </w:pPr>
          </w:p>
        </w:tc>
        <w:tc>
          <w:tcPr>
            <w:tcW w:w="3580" w:type="dxa"/>
            <w:vAlign w:val="bottom"/>
            <w:shd w:val="clear" w:color="auto" w:fill="D7D8D6"/>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40" w:type="dxa"/>
            <w:vAlign w:val="bottom"/>
            <w:shd w:val="clear" w:color="auto" w:fill="D7D8D6"/>
          </w:tcPr>
          <w:p>
            <w:pPr>
              <w:spacing w:after="0"/>
              <w:rPr>
                <w:sz w:val="17"/>
                <w:szCs w:val="17"/>
                <w:color w:val="auto"/>
              </w:rPr>
            </w:pPr>
          </w:p>
        </w:tc>
        <w:tc>
          <w:tcPr>
            <w:tcW w:w="3560" w:type="dxa"/>
            <w:vAlign w:val="bottom"/>
            <w:shd w:val="clear" w:color="auto" w:fill="D7D8D6"/>
          </w:tcPr>
          <w:p>
            <w:pPr>
              <w:ind w:left="40"/>
              <w:spacing w:after="0"/>
              <w:rPr>
                <w:sz w:val="20"/>
                <w:szCs w:val="20"/>
                <w:color w:val="auto"/>
              </w:rPr>
            </w:pPr>
            <w:r>
              <w:rPr>
                <w:rFonts w:ascii="Arial" w:cs="Arial" w:eastAsia="Arial" w:hAnsi="Arial"/>
                <w:sz w:val="16"/>
                <w:szCs w:val="16"/>
                <w:color w:val="333740"/>
                <w:w w:val="95"/>
              </w:rPr>
              <w:t>Company Proxy Statement and U.K. Annual Report</w:t>
            </w:r>
          </w:p>
        </w:tc>
        <w:tc>
          <w:tcPr>
            <w:tcW w:w="160" w:type="dxa"/>
            <w:vAlign w:val="bottom"/>
            <w:shd w:val="clear" w:color="auto" w:fill="D7D8D6"/>
          </w:tcPr>
          <w:p>
            <w:pPr>
              <w:spacing w:after="0"/>
              <w:rPr>
                <w:sz w:val="17"/>
                <w:szCs w:val="17"/>
                <w:color w:val="auto"/>
              </w:rPr>
            </w:pPr>
          </w:p>
        </w:tc>
        <w:tc>
          <w:tcPr>
            <w:tcW w:w="3660" w:type="dxa"/>
            <w:vAlign w:val="bottom"/>
            <w:shd w:val="clear" w:color="auto" w:fill="D7D8D6"/>
          </w:tcPr>
          <w:p>
            <w:pPr>
              <w:spacing w:after="0"/>
              <w:rPr>
                <w:sz w:val="17"/>
                <w:szCs w:val="17"/>
                <w:color w:val="auto"/>
              </w:rPr>
            </w:pPr>
          </w:p>
        </w:tc>
        <w:tc>
          <w:tcPr>
            <w:tcW w:w="160" w:type="dxa"/>
            <w:vAlign w:val="bottom"/>
            <w:shd w:val="clear" w:color="auto" w:fill="D7D8D6"/>
          </w:tcPr>
          <w:p>
            <w:pPr>
              <w:spacing w:after="0"/>
              <w:rPr>
                <w:sz w:val="17"/>
                <w:szCs w:val="17"/>
                <w:color w:val="auto"/>
              </w:rPr>
            </w:pPr>
          </w:p>
        </w:tc>
        <w:tc>
          <w:tcPr>
            <w:tcW w:w="3580" w:type="dxa"/>
            <w:vAlign w:val="bottom"/>
            <w:shd w:val="clear" w:color="auto" w:fill="D7D8D6"/>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40" w:type="dxa"/>
            <w:vAlign w:val="bottom"/>
            <w:shd w:val="clear" w:color="auto" w:fill="D7D8D6"/>
          </w:tcPr>
          <w:p>
            <w:pPr>
              <w:spacing w:after="0"/>
              <w:rPr>
                <w:sz w:val="4"/>
                <w:szCs w:val="4"/>
                <w:color w:val="auto"/>
              </w:rPr>
            </w:pPr>
          </w:p>
        </w:tc>
        <w:tc>
          <w:tcPr>
            <w:tcW w:w="3560" w:type="dxa"/>
            <w:vAlign w:val="bottom"/>
            <w:shd w:val="clear" w:color="auto" w:fill="D7D8D6"/>
          </w:tcPr>
          <w:p>
            <w:pPr>
              <w:spacing w:after="0"/>
              <w:rPr>
                <w:sz w:val="4"/>
                <w:szCs w:val="4"/>
                <w:color w:val="auto"/>
              </w:rPr>
            </w:pPr>
          </w:p>
        </w:tc>
        <w:tc>
          <w:tcPr>
            <w:tcW w:w="160" w:type="dxa"/>
            <w:vAlign w:val="bottom"/>
            <w:shd w:val="clear" w:color="auto" w:fill="D7D8D6"/>
          </w:tcPr>
          <w:p>
            <w:pPr>
              <w:spacing w:after="0"/>
              <w:rPr>
                <w:sz w:val="4"/>
                <w:szCs w:val="4"/>
                <w:color w:val="auto"/>
              </w:rPr>
            </w:pPr>
          </w:p>
        </w:tc>
        <w:tc>
          <w:tcPr>
            <w:tcW w:w="3660" w:type="dxa"/>
            <w:vAlign w:val="bottom"/>
            <w:shd w:val="clear" w:color="auto" w:fill="D7D8D6"/>
          </w:tcPr>
          <w:p>
            <w:pPr>
              <w:spacing w:after="0"/>
              <w:rPr>
                <w:sz w:val="4"/>
                <w:szCs w:val="4"/>
                <w:color w:val="auto"/>
              </w:rPr>
            </w:pPr>
          </w:p>
        </w:tc>
        <w:tc>
          <w:tcPr>
            <w:tcW w:w="160" w:type="dxa"/>
            <w:vAlign w:val="bottom"/>
            <w:shd w:val="clear" w:color="auto" w:fill="D7D8D6"/>
          </w:tcPr>
          <w:p>
            <w:pPr>
              <w:spacing w:after="0"/>
              <w:rPr>
                <w:sz w:val="4"/>
                <w:szCs w:val="4"/>
                <w:color w:val="auto"/>
              </w:rPr>
            </w:pPr>
          </w:p>
        </w:tc>
        <w:tc>
          <w:tcPr>
            <w:tcW w:w="3580" w:type="dxa"/>
            <w:vAlign w:val="bottom"/>
            <w:shd w:val="clear" w:color="auto" w:fill="D7D8D6"/>
          </w:tcPr>
          <w:p>
            <w:pPr>
              <w:spacing w:after="0"/>
              <w:rPr>
                <w:sz w:val="4"/>
                <w:szCs w:val="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481F6E"/>
        </w:rPr>
        <w:t>Compensation Decisions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Compensation Peer Groups</w:t>
      </w:r>
    </w:p>
    <w:p>
      <w:pPr>
        <w:spacing w:after="0" w:line="24" w:lineRule="exact"/>
        <w:rPr>
          <w:sz w:val="20"/>
          <w:szCs w:val="20"/>
          <w:color w:val="auto"/>
        </w:rPr>
      </w:pPr>
    </w:p>
    <w:p>
      <w:pPr>
        <w:ind w:left="4" w:right="80"/>
        <w:spacing w:after="0" w:line="254" w:lineRule="auto"/>
        <w:rPr>
          <w:sz w:val="20"/>
          <w:szCs w:val="20"/>
          <w:color w:val="auto"/>
        </w:rPr>
      </w:pPr>
      <w:r>
        <w:rPr>
          <w:rFonts w:ascii="Arial" w:cs="Arial" w:eastAsia="Arial" w:hAnsi="Arial"/>
          <w:sz w:val="16"/>
          <w:szCs w:val="16"/>
          <w:color w:val="333740"/>
        </w:rPr>
        <w:t>In making decisions about target compensation levels, the Compensation Committee references data from two distinct peer groups. We believe that it is important to look at both global companies of similar size, complexity, and capital- intensive nature, as well as companies within the same industry with significant U.S. operations in order to get a comprehensive view of who we compete with for talent.</w:t>
      </w:r>
    </w:p>
    <w:p>
      <w:pPr>
        <w:spacing w:after="0" w:line="192" w:lineRule="exact"/>
        <w:rPr>
          <w:sz w:val="20"/>
          <w:szCs w:val="20"/>
          <w:color w:val="auto"/>
        </w:rPr>
      </w:pPr>
    </w:p>
    <w:p>
      <w:pPr>
        <w:ind w:left="4" w:right="500"/>
        <w:spacing w:after="0" w:line="275" w:lineRule="auto"/>
        <w:rPr>
          <w:sz w:val="20"/>
          <w:szCs w:val="20"/>
          <w:color w:val="auto"/>
        </w:rPr>
      </w:pPr>
      <w:r>
        <w:rPr>
          <w:rFonts w:ascii="Arial" w:cs="Arial" w:eastAsia="Arial" w:hAnsi="Arial"/>
          <w:sz w:val="16"/>
          <w:szCs w:val="16"/>
          <w:color w:val="333740"/>
        </w:rPr>
        <w:t>These two peer groups are combined to provide a holistic view for compensation benchmarking. In addition, the Compensation Committee also looks at each peer group separately in order to gain insight into variations between the two groups.</w:t>
      </w:r>
    </w:p>
    <w:p>
      <w:pPr>
        <w:spacing w:after="0" w:line="176" w:lineRule="exact"/>
        <w:rPr>
          <w:sz w:val="20"/>
          <w:szCs w:val="20"/>
          <w:color w:val="auto"/>
        </w:rPr>
      </w:pPr>
    </w:p>
    <w:p>
      <w:pPr>
        <w:ind w:left="344" w:right="240"/>
        <w:spacing w:after="0" w:line="262" w:lineRule="auto"/>
        <w:rPr>
          <w:sz w:val="20"/>
          <w:szCs w:val="20"/>
          <w:color w:val="auto"/>
        </w:rPr>
      </w:pPr>
      <w:r>
        <w:rPr>
          <w:rFonts w:ascii="Arial" w:cs="Arial" w:eastAsia="Arial" w:hAnsi="Arial"/>
          <w:sz w:val="16"/>
          <w:szCs w:val="16"/>
          <w:color w:val="333740"/>
        </w:rPr>
        <w:t>The Global Peer Group comprises a broadly equal weighting of U.S. and European headquartered companies, of similar size to the Company (in terms of revenue) who compete for executive talent in capital intensive industries similar to the Company including the oil and gas industry, construction and engineering, and industrial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-374015</wp:posOffset>
            </wp:positionV>
            <wp:extent cx="38100" cy="755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66" w:lineRule="exact"/>
        <w:rPr>
          <w:sz w:val="20"/>
          <w:szCs w:val="20"/>
          <w:color w:val="auto"/>
        </w:rPr>
      </w:pPr>
    </w:p>
    <w:p>
      <w:pPr>
        <w:ind w:left="344" w:right="200"/>
        <w:spacing w:after="0" w:line="275" w:lineRule="auto"/>
        <w:rPr>
          <w:sz w:val="20"/>
          <w:szCs w:val="20"/>
          <w:color w:val="auto"/>
        </w:rPr>
      </w:pPr>
      <w:r>
        <w:rPr>
          <w:rFonts w:ascii="Arial" w:cs="Arial" w:eastAsia="Arial" w:hAnsi="Arial"/>
          <w:sz w:val="16"/>
          <w:szCs w:val="16"/>
          <w:color w:val="333740"/>
        </w:rPr>
        <w:t>The Industry Peer Group is focused more closely on our sub-industry and is drawn from companies in the oilfield services and oil exploration and production sectors, as well as heavy engineering organizations with greater (but not exclusive) focus on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-259080</wp:posOffset>
            </wp:positionV>
            <wp:extent cx="38100" cy="755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56" w:lineRule="exact"/>
        <w:rPr>
          <w:sz w:val="20"/>
          <w:szCs w:val="20"/>
          <w:color w:val="auto"/>
        </w:rPr>
      </w:pPr>
    </w:p>
    <w:p>
      <w:pPr>
        <w:ind w:left="4" w:right="460"/>
        <w:spacing w:after="0" w:line="275" w:lineRule="auto"/>
        <w:rPr>
          <w:sz w:val="20"/>
          <w:szCs w:val="20"/>
          <w:color w:val="auto"/>
        </w:rPr>
      </w:pPr>
      <w:r>
        <w:rPr>
          <w:rFonts w:ascii="Arial" w:cs="Arial" w:eastAsia="Arial" w:hAnsi="Arial"/>
          <w:sz w:val="16"/>
          <w:szCs w:val="16"/>
          <w:color w:val="333740"/>
        </w:rPr>
        <w:t>The Compensation Committee does not place a specific weight on the data from either peer group, but considers the data in light of all the circumstances relevant to each executive under review, as well as the Company’s compensation philosophy.</w:t>
      </w:r>
    </w:p>
    <w:p>
      <w:pPr>
        <w:spacing w:after="0" w:line="152" w:lineRule="exact"/>
        <w:rPr>
          <w:sz w:val="20"/>
          <w:szCs w:val="20"/>
          <w:color w:val="auto"/>
        </w:rPr>
      </w:pPr>
    </w:p>
    <w:p>
      <w:pPr>
        <w:ind w:left="4" w:right="720"/>
        <w:spacing w:after="0" w:line="275" w:lineRule="auto"/>
        <w:rPr>
          <w:sz w:val="20"/>
          <w:szCs w:val="20"/>
          <w:color w:val="auto"/>
        </w:rPr>
      </w:pPr>
      <w:r>
        <w:rPr>
          <w:rFonts w:ascii="Arial" w:cs="Arial" w:eastAsia="Arial" w:hAnsi="Arial"/>
          <w:sz w:val="16"/>
          <w:szCs w:val="16"/>
          <w:color w:val="333740"/>
        </w:rPr>
        <w:t>For both sets of peers, we use a range of selection criteria that include, among other factors, financial indicators such as revenue and market capitalization, number of employees, company size, industry, end markets, complexity, geographic footprint, and headquarters location.</w:t>
      </w:r>
    </w:p>
    <w:p>
      <w:pPr>
        <w:spacing w:after="0" w:line="360" w:lineRule="exact"/>
        <w:rPr>
          <w:sz w:val="20"/>
          <w:szCs w:val="20"/>
          <w:color w:val="auto"/>
        </w:rPr>
      </w:pPr>
    </w:p>
    <w:p>
      <w:pPr>
        <w:ind w:left="564" w:hanging="564"/>
        <w:spacing w:after="0"/>
        <w:tabs>
          <w:tab w:leader="none" w:pos="564" w:val="left"/>
        </w:tabs>
        <w:numPr>
          <w:ilvl w:val="0"/>
          <w:numId w:val="83"/>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69" w:name="page70"/>
    <w:bookmarkEnd w:id="69"/>
    <w:tbl>
      <w:tblPr>
        <w:tblLayout w:type="fixed"/>
        <w:tblInd w:w="4" w:type="dxa"/>
        <w:tblCellMar>
          <w:top w:w="0" w:type="dxa"/>
          <w:left w:w="0" w:type="dxa"/>
          <w:bottom w:w="0" w:type="dxa"/>
          <w:right w:w="0" w:type="dxa"/>
        </w:tblCellMar>
      </w:tblPr>
      <w:tr>
        <w:trPr>
          <w:trHeight w:val="169"/>
        </w:trPr>
        <w:tc>
          <w:tcPr>
            <w:tcW w:w="2900" w:type="dxa"/>
            <w:vAlign w:val="bottom"/>
          </w:tcPr>
          <w:p>
            <w:pPr>
              <w:ind w:left="20"/>
              <w:spacing w:after="0"/>
              <w:rPr>
                <w:sz w:val="20"/>
                <w:szCs w:val="20"/>
                <w:color w:val="auto"/>
              </w:rPr>
            </w:pPr>
            <w:r>
              <w:rPr>
                <w:rFonts w:ascii="Arial" w:cs="Arial" w:eastAsia="Arial" w:hAnsi="Arial"/>
                <w:sz w:val="13"/>
                <w:szCs w:val="13"/>
                <w:b w:val="1"/>
                <w:bCs w:val="1"/>
                <w:color w:val="481F6E"/>
              </w:rPr>
              <w:t>TechnipFMC Proxy Statement 2020</w:t>
            </w:r>
          </w:p>
        </w:tc>
        <w:tc>
          <w:tcPr>
            <w:tcW w:w="8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90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900" w:type="dxa"/>
            <w:vAlign w:val="bottom"/>
            <w:tcBorders>
              <w:bottom w:val="single" w:sz="8" w:color="481F6E"/>
            </w:tcBorders>
            <w:shd w:val="clear" w:color="auto" w:fill="481F6E"/>
          </w:tcPr>
          <w:p>
            <w:pPr>
              <w:ind w:left="180"/>
              <w:spacing w:after="0"/>
              <w:rPr>
                <w:sz w:val="20"/>
                <w:szCs w:val="20"/>
                <w:color w:val="auto"/>
              </w:rPr>
            </w:pPr>
            <w:r>
              <w:rPr>
                <w:rFonts w:ascii="Arial" w:cs="Arial" w:eastAsia="Arial" w:hAnsi="Arial"/>
                <w:sz w:val="16"/>
                <w:szCs w:val="16"/>
                <w:color w:val="FFFFFF"/>
              </w:rPr>
              <w:t>Peer Group</w:t>
            </w:r>
          </w:p>
        </w:tc>
        <w:tc>
          <w:tcPr>
            <w:tcW w:w="8360" w:type="dxa"/>
            <w:vAlign w:val="bottom"/>
            <w:tcBorders>
              <w:bottom w:val="single" w:sz="8" w:color="481F6E"/>
            </w:tcBorders>
            <w:shd w:val="clear" w:color="auto" w:fill="481F6E"/>
          </w:tcPr>
          <w:p>
            <w:pPr>
              <w:ind w:left="780"/>
              <w:spacing w:after="0"/>
              <w:rPr>
                <w:sz w:val="20"/>
                <w:szCs w:val="20"/>
                <w:color w:val="auto"/>
              </w:rPr>
            </w:pPr>
            <w:r>
              <w:rPr>
                <w:rFonts w:ascii="Arial" w:cs="Arial" w:eastAsia="Arial" w:hAnsi="Arial"/>
                <w:sz w:val="16"/>
                <w:szCs w:val="16"/>
                <w:color w:val="FFFFFF"/>
              </w:rPr>
              <w:t>Purpose</w:t>
            </w:r>
          </w:p>
        </w:tc>
        <w:tc>
          <w:tcPr>
            <w:tcW w:w="0" w:type="dxa"/>
            <w:vAlign w:val="bottom"/>
          </w:tcPr>
          <w:p>
            <w:pPr>
              <w:spacing w:after="0"/>
              <w:rPr>
                <w:sz w:val="1"/>
                <w:szCs w:val="1"/>
                <w:color w:val="auto"/>
              </w:rPr>
            </w:pPr>
          </w:p>
        </w:tc>
      </w:tr>
      <w:tr>
        <w:trPr>
          <w:trHeight w:val="226"/>
        </w:trPr>
        <w:tc>
          <w:tcPr>
            <w:tcW w:w="2900" w:type="dxa"/>
            <w:vAlign w:val="bottom"/>
            <w:vMerge w:val="restart"/>
            <w:shd w:val="clear" w:color="auto" w:fill="D7D8D6"/>
          </w:tcPr>
          <w:p>
            <w:pPr>
              <w:ind w:left="180"/>
              <w:spacing w:after="0"/>
              <w:rPr>
                <w:sz w:val="20"/>
                <w:szCs w:val="20"/>
                <w:color w:val="auto"/>
              </w:rPr>
            </w:pPr>
            <w:r>
              <w:rPr>
                <w:rFonts w:ascii="Arial" w:cs="Arial" w:eastAsia="Arial" w:hAnsi="Arial"/>
                <w:sz w:val="16"/>
                <w:szCs w:val="16"/>
                <w:color w:val="333740"/>
              </w:rPr>
              <w:t>Global Peer Group</w:t>
            </w:r>
          </w:p>
        </w:tc>
        <w:tc>
          <w:tcPr>
            <w:tcW w:w="8360" w:type="dxa"/>
            <w:vAlign w:val="bottom"/>
            <w:shd w:val="clear" w:color="auto" w:fill="D7D8D6"/>
          </w:tcPr>
          <w:p>
            <w:pPr>
              <w:ind w:left="780"/>
              <w:spacing w:after="0"/>
              <w:rPr>
                <w:sz w:val="20"/>
                <w:szCs w:val="20"/>
                <w:color w:val="auto"/>
              </w:rPr>
            </w:pPr>
            <w:r>
              <w:rPr>
                <w:rFonts w:ascii="Arial" w:cs="Arial" w:eastAsia="Arial" w:hAnsi="Arial"/>
                <w:sz w:val="16"/>
                <w:szCs w:val="16"/>
                <w:color w:val="333740"/>
              </w:rPr>
              <w:t>Similarly sized, complex, and capital-intensive global companies, including those</w:t>
            </w:r>
          </w:p>
        </w:tc>
        <w:tc>
          <w:tcPr>
            <w:tcW w:w="0" w:type="dxa"/>
            <w:vAlign w:val="bottom"/>
          </w:tcPr>
          <w:p>
            <w:pPr>
              <w:spacing w:after="0"/>
              <w:rPr>
                <w:sz w:val="1"/>
                <w:szCs w:val="1"/>
                <w:color w:val="auto"/>
              </w:rPr>
            </w:pPr>
          </w:p>
        </w:tc>
      </w:tr>
      <w:tr>
        <w:trPr>
          <w:trHeight w:val="108"/>
        </w:trPr>
        <w:tc>
          <w:tcPr>
            <w:tcW w:w="2900" w:type="dxa"/>
            <w:vAlign w:val="bottom"/>
            <w:vMerge w:val="continue"/>
            <w:shd w:val="clear" w:color="auto" w:fill="D7D8D6"/>
          </w:tcPr>
          <w:p>
            <w:pPr>
              <w:spacing w:after="0"/>
              <w:rPr>
                <w:sz w:val="9"/>
                <w:szCs w:val="9"/>
                <w:color w:val="auto"/>
              </w:rPr>
            </w:pPr>
          </w:p>
        </w:tc>
        <w:tc>
          <w:tcPr>
            <w:tcW w:w="8360" w:type="dxa"/>
            <w:vAlign w:val="bottom"/>
            <w:vMerge w:val="restart"/>
            <w:shd w:val="clear" w:color="auto" w:fill="D7D8D6"/>
          </w:tcPr>
          <w:p>
            <w:pPr>
              <w:ind w:left="780"/>
              <w:spacing w:after="0"/>
              <w:rPr>
                <w:sz w:val="20"/>
                <w:szCs w:val="20"/>
                <w:color w:val="auto"/>
              </w:rPr>
            </w:pPr>
            <w:r>
              <w:rPr>
                <w:rFonts w:ascii="Arial" w:cs="Arial" w:eastAsia="Arial" w:hAnsi="Arial"/>
                <w:sz w:val="16"/>
                <w:szCs w:val="16"/>
                <w:color w:val="333740"/>
              </w:rPr>
              <w:t>based outside the United States.</w:t>
            </w:r>
          </w:p>
        </w:tc>
        <w:tc>
          <w:tcPr>
            <w:tcW w:w="0" w:type="dxa"/>
            <w:vAlign w:val="bottom"/>
          </w:tcPr>
          <w:p>
            <w:pPr>
              <w:spacing w:after="0"/>
              <w:rPr>
                <w:sz w:val="1"/>
                <w:szCs w:val="1"/>
                <w:color w:val="auto"/>
              </w:rPr>
            </w:pPr>
          </w:p>
        </w:tc>
      </w:tr>
      <w:tr>
        <w:trPr>
          <w:trHeight w:val="96"/>
        </w:trPr>
        <w:tc>
          <w:tcPr>
            <w:tcW w:w="2900" w:type="dxa"/>
            <w:vAlign w:val="bottom"/>
            <w:shd w:val="clear" w:color="auto" w:fill="D7D8D6"/>
          </w:tcPr>
          <w:p>
            <w:pPr>
              <w:spacing w:after="0"/>
              <w:rPr>
                <w:sz w:val="8"/>
                <w:szCs w:val="8"/>
                <w:color w:val="auto"/>
              </w:rPr>
            </w:pPr>
          </w:p>
        </w:tc>
        <w:tc>
          <w:tcPr>
            <w:tcW w:w="8360" w:type="dxa"/>
            <w:vAlign w:val="bottom"/>
            <w:vMerge w:val="continue"/>
            <w:shd w:val="clear" w:color="auto" w:fill="D7D8D6"/>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900" w:type="dxa"/>
            <w:vAlign w:val="bottom"/>
            <w:vMerge w:val="restart"/>
            <w:shd w:val="clear" w:color="auto" w:fill="D7D8D6"/>
          </w:tcPr>
          <w:p>
            <w:pPr>
              <w:ind w:left="180"/>
              <w:spacing w:after="0"/>
              <w:rPr>
                <w:sz w:val="20"/>
                <w:szCs w:val="20"/>
                <w:color w:val="auto"/>
              </w:rPr>
            </w:pPr>
            <w:r>
              <w:rPr>
                <w:rFonts w:ascii="Arial" w:cs="Arial" w:eastAsia="Arial" w:hAnsi="Arial"/>
                <w:sz w:val="16"/>
                <w:szCs w:val="16"/>
                <w:color w:val="00B2EC"/>
              </w:rPr>
              <w:t>Industry Peer Group</w:t>
            </w:r>
          </w:p>
        </w:tc>
        <w:tc>
          <w:tcPr>
            <w:tcW w:w="8360" w:type="dxa"/>
            <w:vAlign w:val="bottom"/>
            <w:shd w:val="clear" w:color="auto" w:fill="D7D8D6"/>
          </w:tcPr>
          <w:p>
            <w:pPr>
              <w:ind w:left="780"/>
              <w:spacing w:after="0"/>
              <w:rPr>
                <w:sz w:val="20"/>
                <w:szCs w:val="20"/>
                <w:color w:val="auto"/>
              </w:rPr>
            </w:pPr>
            <w:r>
              <w:rPr>
                <w:rFonts w:ascii="Arial" w:cs="Arial" w:eastAsia="Arial" w:hAnsi="Arial"/>
                <w:sz w:val="16"/>
                <w:szCs w:val="16"/>
                <w:color w:val="333740"/>
              </w:rPr>
              <w:t>Companies with significant U.S. operations, reflecting competitors for critical U.S.</w:t>
            </w:r>
          </w:p>
        </w:tc>
        <w:tc>
          <w:tcPr>
            <w:tcW w:w="0" w:type="dxa"/>
            <w:vAlign w:val="bottom"/>
          </w:tcPr>
          <w:p>
            <w:pPr>
              <w:spacing w:after="0"/>
              <w:rPr>
                <w:sz w:val="1"/>
                <w:szCs w:val="1"/>
                <w:color w:val="auto"/>
              </w:rPr>
            </w:pPr>
          </w:p>
        </w:tc>
      </w:tr>
      <w:tr>
        <w:trPr>
          <w:trHeight w:val="108"/>
        </w:trPr>
        <w:tc>
          <w:tcPr>
            <w:tcW w:w="2900" w:type="dxa"/>
            <w:vAlign w:val="bottom"/>
            <w:vMerge w:val="continue"/>
            <w:shd w:val="clear" w:color="auto" w:fill="D7D8D6"/>
          </w:tcPr>
          <w:p>
            <w:pPr>
              <w:spacing w:after="0"/>
              <w:rPr>
                <w:sz w:val="9"/>
                <w:szCs w:val="9"/>
                <w:color w:val="auto"/>
              </w:rPr>
            </w:pPr>
          </w:p>
        </w:tc>
        <w:tc>
          <w:tcPr>
            <w:tcW w:w="8360" w:type="dxa"/>
            <w:vAlign w:val="bottom"/>
            <w:vMerge w:val="restart"/>
            <w:shd w:val="clear" w:color="auto" w:fill="D7D8D6"/>
          </w:tcPr>
          <w:p>
            <w:pPr>
              <w:ind w:left="780"/>
              <w:spacing w:after="0"/>
              <w:rPr>
                <w:sz w:val="20"/>
                <w:szCs w:val="20"/>
                <w:color w:val="auto"/>
              </w:rPr>
            </w:pPr>
            <w:r>
              <w:rPr>
                <w:rFonts w:ascii="Arial" w:cs="Arial" w:eastAsia="Arial" w:hAnsi="Arial"/>
                <w:sz w:val="16"/>
                <w:szCs w:val="16"/>
                <w:color w:val="333740"/>
              </w:rPr>
              <w:t>executive talent.</w:t>
            </w:r>
          </w:p>
        </w:tc>
        <w:tc>
          <w:tcPr>
            <w:tcW w:w="0" w:type="dxa"/>
            <w:vAlign w:val="bottom"/>
          </w:tcPr>
          <w:p>
            <w:pPr>
              <w:spacing w:after="0"/>
              <w:rPr>
                <w:sz w:val="1"/>
                <w:szCs w:val="1"/>
                <w:color w:val="auto"/>
              </w:rPr>
            </w:pPr>
          </w:p>
        </w:tc>
      </w:tr>
      <w:tr>
        <w:trPr>
          <w:trHeight w:val="96"/>
        </w:trPr>
        <w:tc>
          <w:tcPr>
            <w:tcW w:w="2900" w:type="dxa"/>
            <w:vAlign w:val="bottom"/>
            <w:shd w:val="clear" w:color="auto" w:fill="D7D8D6"/>
          </w:tcPr>
          <w:p>
            <w:pPr>
              <w:spacing w:after="0"/>
              <w:rPr>
                <w:sz w:val="8"/>
                <w:szCs w:val="8"/>
                <w:color w:val="auto"/>
              </w:rPr>
            </w:pPr>
          </w:p>
        </w:tc>
        <w:tc>
          <w:tcPr>
            <w:tcW w:w="8360" w:type="dxa"/>
            <w:vAlign w:val="bottom"/>
            <w:vMerge w:val="continue"/>
            <w:shd w:val="clear" w:color="auto" w:fill="D7D8D6"/>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900" w:type="dxa"/>
            <w:vAlign w:val="bottom"/>
            <w:shd w:val="clear" w:color="auto" w:fill="D7D8D6"/>
          </w:tcPr>
          <w:p>
            <w:pPr>
              <w:spacing w:after="0"/>
              <w:rPr>
                <w:sz w:val="4"/>
                <w:szCs w:val="4"/>
                <w:color w:val="auto"/>
              </w:rPr>
            </w:pPr>
          </w:p>
        </w:tc>
        <w:tc>
          <w:tcPr>
            <w:tcW w:w="8360" w:type="dxa"/>
            <w:vAlign w:val="bottom"/>
            <w:shd w:val="clear" w:color="auto" w:fill="D7D8D6"/>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-796290</wp:posOffset>
            </wp:positionV>
            <wp:extent cx="7148195" cy="7969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8195" cy="796925"/>
                    </a:xfrm>
                    <a:prstGeom prst="rect">
                      <a:avLst/>
                    </a:prstGeom>
                    <a:noFill/>
                  </pic:spPr>
                </pic:pic>
              </a:graphicData>
            </a:graphic>
          </wp:anchor>
        </w:drawing>
      </w:r>
    </w:p>
    <w:p>
      <w:pPr>
        <w:spacing w:after="0" w:line="183" w:lineRule="exact"/>
        <w:rPr>
          <w:sz w:val="20"/>
          <w:szCs w:val="20"/>
          <w:color w:val="auto"/>
        </w:rPr>
      </w:pPr>
    </w:p>
    <w:p>
      <w:pPr>
        <w:ind w:left="4"/>
        <w:spacing w:after="0"/>
        <w:rPr>
          <w:sz w:val="20"/>
          <w:szCs w:val="20"/>
          <w:color w:val="auto"/>
        </w:rPr>
      </w:pPr>
      <w:r>
        <w:rPr>
          <w:rFonts w:ascii="Arial" w:cs="Arial" w:eastAsia="Arial" w:hAnsi="Arial"/>
          <w:sz w:val="16"/>
          <w:szCs w:val="16"/>
          <w:color w:val="333740"/>
        </w:rPr>
        <w:t>Below are the companies that comprised the 2019 Compensation Peer Group. The companies below include both global peers and industry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7148195" cy="1822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8195" cy="182245"/>
                    </a:xfrm>
                    <a:prstGeom prst="rect">
                      <a:avLst/>
                    </a:prstGeom>
                    <a:noFill/>
                  </pic:spPr>
                </pic:pic>
              </a:graphicData>
            </a:graphic>
          </wp:anchor>
        </w:drawing>
      </w:r>
    </w:p>
    <w:p>
      <w:pPr>
        <w:spacing w:after="0" w:line="250" w:lineRule="exact"/>
        <w:rPr>
          <w:sz w:val="20"/>
          <w:szCs w:val="20"/>
          <w:color w:val="auto"/>
        </w:rPr>
      </w:pPr>
    </w:p>
    <w:p>
      <w:pPr>
        <w:ind w:left="184"/>
        <w:spacing w:after="0"/>
        <w:rPr>
          <w:sz w:val="20"/>
          <w:szCs w:val="20"/>
          <w:color w:val="auto"/>
        </w:rPr>
      </w:pPr>
      <w:r>
        <w:rPr>
          <w:rFonts w:ascii="Arial" w:cs="Arial" w:eastAsia="Arial" w:hAnsi="Arial"/>
          <w:sz w:val="16"/>
          <w:szCs w:val="16"/>
          <w:color w:val="FFFFFF"/>
        </w:rPr>
        <w:t>2019 Combined Compensation Peer Group Constituents</w:t>
      </w:r>
    </w:p>
    <w:p>
      <w:pPr>
        <w:spacing w:after="0" w:line="68" w:lineRule="exact"/>
        <w:rPr>
          <w:sz w:val="20"/>
          <w:szCs w:val="20"/>
          <w:color w:val="auto"/>
        </w:rPr>
      </w:pPr>
    </w:p>
    <w:tbl>
      <w:tblPr>
        <w:tblLayout w:type="fixed"/>
        <w:tblInd w:w="4" w:type="dxa"/>
        <w:tblCellMar>
          <w:top w:w="0" w:type="dxa"/>
          <w:left w:w="0" w:type="dxa"/>
          <w:bottom w:w="0" w:type="dxa"/>
          <w:right w:w="0" w:type="dxa"/>
        </w:tblCellMar>
      </w:tblPr>
      <w:tr>
        <w:trPr>
          <w:trHeight w:val="239"/>
        </w:trPr>
        <w:tc>
          <w:tcPr>
            <w:tcW w:w="630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Air Liquide S.A</w:t>
            </w:r>
          </w:p>
        </w:tc>
        <w:tc>
          <w:tcPr>
            <w:tcW w:w="4960" w:type="dxa"/>
            <w:vAlign w:val="bottom"/>
            <w:shd w:val="clear" w:color="auto" w:fill="D7D8D6"/>
          </w:tcPr>
          <w:p>
            <w:pPr>
              <w:ind w:left="60"/>
              <w:spacing w:after="0"/>
              <w:rPr>
                <w:sz w:val="20"/>
                <w:szCs w:val="20"/>
                <w:color w:val="auto"/>
              </w:rPr>
            </w:pPr>
            <w:r>
              <w:rPr>
                <w:rFonts w:ascii="Arial" w:cs="Arial" w:eastAsia="Arial" w:hAnsi="Arial"/>
                <w:sz w:val="16"/>
                <w:szCs w:val="16"/>
                <w:color w:val="333740"/>
              </w:rPr>
              <w:t>Ingersoll-Rand plc</w:t>
            </w:r>
          </w:p>
        </w:tc>
      </w:tr>
      <w:tr>
        <w:trPr>
          <w:trHeight w:val="287"/>
        </w:trPr>
        <w:tc>
          <w:tcPr>
            <w:tcW w:w="630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Alstom S.A.</w:t>
            </w:r>
          </w:p>
        </w:tc>
        <w:tc>
          <w:tcPr>
            <w:tcW w:w="4960" w:type="dxa"/>
            <w:vAlign w:val="bottom"/>
            <w:shd w:val="clear" w:color="auto" w:fill="D7D8D6"/>
          </w:tcPr>
          <w:p>
            <w:pPr>
              <w:ind w:left="60"/>
              <w:spacing w:after="0"/>
              <w:rPr>
                <w:sz w:val="20"/>
                <w:szCs w:val="20"/>
                <w:color w:val="auto"/>
              </w:rPr>
            </w:pPr>
            <w:r>
              <w:rPr>
                <w:rFonts w:ascii="Arial" w:cs="Arial" w:eastAsia="Arial" w:hAnsi="Arial"/>
                <w:sz w:val="16"/>
                <w:szCs w:val="16"/>
                <w:b w:val="1"/>
                <w:bCs w:val="1"/>
                <w:color w:val="00B2EC"/>
              </w:rPr>
              <w:t>Jacobs Engineering Group Inc.</w:t>
            </w:r>
          </w:p>
        </w:tc>
      </w:tr>
      <w:tr>
        <w:trPr>
          <w:trHeight w:val="287"/>
        </w:trPr>
        <w:tc>
          <w:tcPr>
            <w:tcW w:w="630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00B2EC"/>
              </w:rPr>
              <w:t>Anadarko Petroleum Corporation</w:t>
            </w:r>
          </w:p>
        </w:tc>
        <w:tc>
          <w:tcPr>
            <w:tcW w:w="4960" w:type="dxa"/>
            <w:vAlign w:val="bottom"/>
            <w:shd w:val="clear" w:color="auto" w:fill="D7D8D6"/>
          </w:tcPr>
          <w:p>
            <w:pPr>
              <w:ind w:left="60"/>
              <w:spacing w:after="0"/>
              <w:rPr>
                <w:sz w:val="20"/>
                <w:szCs w:val="20"/>
                <w:color w:val="auto"/>
              </w:rPr>
            </w:pPr>
            <w:r>
              <w:rPr>
                <w:rFonts w:ascii="Arial" w:cs="Arial" w:eastAsia="Arial" w:hAnsi="Arial"/>
                <w:sz w:val="16"/>
                <w:szCs w:val="16"/>
                <w:b w:val="1"/>
                <w:bCs w:val="1"/>
                <w:color w:val="00B2EC"/>
              </w:rPr>
              <w:t>John Wood Group plc</w:t>
            </w:r>
          </w:p>
        </w:tc>
      </w:tr>
      <w:tr>
        <w:trPr>
          <w:trHeight w:val="287"/>
        </w:trPr>
        <w:tc>
          <w:tcPr>
            <w:tcW w:w="630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00B2EC"/>
              </w:rPr>
              <w:t>Apache Corporation</w:t>
            </w:r>
          </w:p>
        </w:tc>
        <w:tc>
          <w:tcPr>
            <w:tcW w:w="4960" w:type="dxa"/>
            <w:vAlign w:val="bottom"/>
            <w:shd w:val="clear" w:color="auto" w:fill="D7D8D6"/>
          </w:tcPr>
          <w:p>
            <w:pPr>
              <w:ind w:left="60"/>
              <w:spacing w:after="0"/>
              <w:rPr>
                <w:sz w:val="20"/>
                <w:szCs w:val="20"/>
                <w:color w:val="auto"/>
              </w:rPr>
            </w:pPr>
            <w:r>
              <w:rPr>
                <w:rFonts w:ascii="Arial" w:cs="Arial" w:eastAsia="Arial" w:hAnsi="Arial"/>
                <w:sz w:val="16"/>
                <w:szCs w:val="16"/>
                <w:b w:val="1"/>
                <w:bCs w:val="1"/>
                <w:color w:val="00B2EC"/>
              </w:rPr>
              <w:t>McDermott International, Inc.</w:t>
            </w:r>
          </w:p>
        </w:tc>
      </w:tr>
      <w:tr>
        <w:trPr>
          <w:trHeight w:val="287"/>
        </w:trPr>
        <w:tc>
          <w:tcPr>
            <w:tcW w:w="630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00B2EC"/>
              </w:rPr>
              <w:t>Baker Hughes Company</w:t>
            </w:r>
          </w:p>
        </w:tc>
        <w:tc>
          <w:tcPr>
            <w:tcW w:w="4960" w:type="dxa"/>
            <w:vAlign w:val="bottom"/>
            <w:shd w:val="clear" w:color="auto" w:fill="D7D8D6"/>
          </w:tcPr>
          <w:p>
            <w:pPr>
              <w:ind w:left="60"/>
              <w:spacing w:after="0"/>
              <w:rPr>
                <w:sz w:val="20"/>
                <w:szCs w:val="20"/>
                <w:color w:val="auto"/>
              </w:rPr>
            </w:pPr>
            <w:r>
              <w:rPr>
                <w:rFonts w:ascii="Arial" w:cs="Arial" w:eastAsia="Arial" w:hAnsi="Arial"/>
                <w:sz w:val="16"/>
                <w:szCs w:val="16"/>
                <w:b w:val="1"/>
                <w:bCs w:val="1"/>
                <w:color w:val="00B2EC"/>
              </w:rPr>
              <w:t>National Oilwell Varco, Inc.</w:t>
            </w:r>
          </w:p>
        </w:tc>
      </w:tr>
      <w:tr>
        <w:trPr>
          <w:trHeight w:val="287"/>
        </w:trPr>
        <w:tc>
          <w:tcPr>
            <w:tcW w:w="630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Caterpillar Inc.</w:t>
            </w:r>
          </w:p>
        </w:tc>
        <w:tc>
          <w:tcPr>
            <w:tcW w:w="4960" w:type="dxa"/>
            <w:vAlign w:val="bottom"/>
            <w:shd w:val="clear" w:color="auto" w:fill="D7D8D6"/>
          </w:tcPr>
          <w:p>
            <w:pPr>
              <w:ind w:left="60"/>
              <w:spacing w:after="0"/>
              <w:rPr>
                <w:sz w:val="20"/>
                <w:szCs w:val="20"/>
                <w:color w:val="auto"/>
              </w:rPr>
            </w:pPr>
            <w:r>
              <w:rPr>
                <w:rFonts w:ascii="Arial" w:cs="Arial" w:eastAsia="Arial" w:hAnsi="Arial"/>
                <w:sz w:val="16"/>
                <w:szCs w:val="16"/>
                <w:color w:val="333740"/>
              </w:rPr>
              <w:t>Petrofac Limited</w:t>
            </w:r>
          </w:p>
        </w:tc>
      </w:tr>
      <w:tr>
        <w:trPr>
          <w:trHeight w:val="287"/>
        </w:trPr>
        <w:tc>
          <w:tcPr>
            <w:tcW w:w="630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00B2EC"/>
              </w:rPr>
              <w:t>Chicago Bridge &amp; Iron</w:t>
            </w:r>
          </w:p>
        </w:tc>
        <w:tc>
          <w:tcPr>
            <w:tcW w:w="4960" w:type="dxa"/>
            <w:vAlign w:val="bottom"/>
            <w:shd w:val="clear" w:color="auto" w:fill="D7D8D6"/>
          </w:tcPr>
          <w:p>
            <w:pPr>
              <w:ind w:left="60"/>
              <w:spacing w:after="0"/>
              <w:rPr>
                <w:sz w:val="20"/>
                <w:szCs w:val="20"/>
                <w:color w:val="auto"/>
              </w:rPr>
            </w:pPr>
            <w:r>
              <w:rPr>
                <w:rFonts w:ascii="Arial" w:cs="Arial" w:eastAsia="Arial" w:hAnsi="Arial"/>
                <w:sz w:val="16"/>
                <w:szCs w:val="16"/>
                <w:color w:val="333740"/>
              </w:rPr>
              <w:t>Repsol, S.A.</w:t>
            </w:r>
          </w:p>
        </w:tc>
      </w:tr>
      <w:tr>
        <w:trPr>
          <w:trHeight w:val="287"/>
        </w:trPr>
        <w:tc>
          <w:tcPr>
            <w:tcW w:w="630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00B2EC"/>
              </w:rPr>
              <w:t>Cummins Inc.</w:t>
            </w:r>
          </w:p>
        </w:tc>
        <w:tc>
          <w:tcPr>
            <w:tcW w:w="4960" w:type="dxa"/>
            <w:vAlign w:val="bottom"/>
            <w:shd w:val="clear" w:color="auto" w:fill="D7D8D6"/>
          </w:tcPr>
          <w:p>
            <w:pPr>
              <w:ind w:left="60"/>
              <w:spacing w:after="0"/>
              <w:rPr>
                <w:sz w:val="20"/>
                <w:szCs w:val="20"/>
                <w:color w:val="auto"/>
              </w:rPr>
            </w:pPr>
            <w:r>
              <w:rPr>
                <w:rFonts w:ascii="Arial" w:cs="Arial" w:eastAsia="Arial" w:hAnsi="Arial"/>
                <w:sz w:val="16"/>
                <w:szCs w:val="16"/>
                <w:b w:val="1"/>
                <w:bCs w:val="1"/>
                <w:color w:val="00B2EC"/>
              </w:rPr>
              <w:t>Saipem S.p.A.</w:t>
            </w:r>
          </w:p>
        </w:tc>
      </w:tr>
      <w:tr>
        <w:trPr>
          <w:trHeight w:val="287"/>
        </w:trPr>
        <w:tc>
          <w:tcPr>
            <w:tcW w:w="630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00B2EC"/>
              </w:rPr>
              <w:t>ConocoPhillips</w:t>
            </w:r>
          </w:p>
        </w:tc>
        <w:tc>
          <w:tcPr>
            <w:tcW w:w="4960" w:type="dxa"/>
            <w:vAlign w:val="bottom"/>
            <w:shd w:val="clear" w:color="auto" w:fill="D7D8D6"/>
          </w:tcPr>
          <w:p>
            <w:pPr>
              <w:ind w:left="60"/>
              <w:spacing w:after="0"/>
              <w:rPr>
                <w:sz w:val="20"/>
                <w:szCs w:val="20"/>
                <w:color w:val="auto"/>
              </w:rPr>
            </w:pPr>
            <w:r>
              <w:rPr>
                <w:rFonts w:ascii="Arial" w:cs="Arial" w:eastAsia="Arial" w:hAnsi="Arial"/>
                <w:sz w:val="16"/>
                <w:szCs w:val="16"/>
                <w:b w:val="1"/>
                <w:bCs w:val="1"/>
                <w:color w:val="00B2EC"/>
              </w:rPr>
              <w:t>Schlumberger Limited</w:t>
            </w:r>
          </w:p>
        </w:tc>
      </w:tr>
      <w:tr>
        <w:trPr>
          <w:trHeight w:val="287"/>
        </w:trPr>
        <w:tc>
          <w:tcPr>
            <w:tcW w:w="630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00B2EC"/>
              </w:rPr>
              <w:t>Devon Energy Corporation</w:t>
            </w:r>
          </w:p>
        </w:tc>
        <w:tc>
          <w:tcPr>
            <w:tcW w:w="4960" w:type="dxa"/>
            <w:vAlign w:val="bottom"/>
            <w:shd w:val="clear" w:color="auto" w:fill="D7D8D6"/>
          </w:tcPr>
          <w:p>
            <w:pPr>
              <w:ind w:left="60"/>
              <w:spacing w:after="0"/>
              <w:rPr>
                <w:sz w:val="20"/>
                <w:szCs w:val="20"/>
                <w:color w:val="auto"/>
              </w:rPr>
            </w:pPr>
            <w:r>
              <w:rPr>
                <w:rFonts w:ascii="Arial" w:cs="Arial" w:eastAsia="Arial" w:hAnsi="Arial"/>
                <w:sz w:val="16"/>
                <w:szCs w:val="16"/>
                <w:b w:val="1"/>
                <w:bCs w:val="1"/>
                <w:color w:val="00B2EC"/>
              </w:rPr>
              <w:t>Subsea 7 S.A.</w:t>
            </w:r>
          </w:p>
        </w:tc>
      </w:tr>
      <w:tr>
        <w:trPr>
          <w:trHeight w:val="287"/>
        </w:trPr>
        <w:tc>
          <w:tcPr>
            <w:tcW w:w="630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00B2EC"/>
              </w:rPr>
              <w:t>Dover Corporation</w:t>
            </w:r>
          </w:p>
        </w:tc>
        <w:tc>
          <w:tcPr>
            <w:tcW w:w="4960" w:type="dxa"/>
            <w:vAlign w:val="bottom"/>
            <w:shd w:val="clear" w:color="auto" w:fill="D7D8D6"/>
          </w:tcPr>
          <w:p>
            <w:pPr>
              <w:ind w:left="60"/>
              <w:spacing w:after="0"/>
              <w:rPr>
                <w:sz w:val="20"/>
                <w:szCs w:val="20"/>
                <w:color w:val="auto"/>
              </w:rPr>
            </w:pPr>
            <w:r>
              <w:rPr>
                <w:rFonts w:ascii="Arial" w:cs="Arial" w:eastAsia="Arial" w:hAnsi="Arial"/>
                <w:sz w:val="16"/>
                <w:szCs w:val="16"/>
                <w:b w:val="1"/>
                <w:bCs w:val="1"/>
                <w:color w:val="00B2EC"/>
              </w:rPr>
              <w:t>Transocean Ltd.</w:t>
            </w:r>
          </w:p>
        </w:tc>
      </w:tr>
      <w:tr>
        <w:trPr>
          <w:trHeight w:val="287"/>
        </w:trPr>
        <w:tc>
          <w:tcPr>
            <w:tcW w:w="630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Enbridge, Inc.</w:t>
            </w:r>
          </w:p>
        </w:tc>
        <w:tc>
          <w:tcPr>
            <w:tcW w:w="4960" w:type="dxa"/>
            <w:vAlign w:val="bottom"/>
            <w:shd w:val="clear" w:color="auto" w:fill="D7D8D6"/>
          </w:tcPr>
          <w:p>
            <w:pPr>
              <w:ind w:left="60"/>
              <w:spacing w:after="0"/>
              <w:rPr>
                <w:sz w:val="20"/>
                <w:szCs w:val="20"/>
                <w:color w:val="auto"/>
              </w:rPr>
            </w:pPr>
            <w:r>
              <w:rPr>
                <w:rFonts w:ascii="Arial" w:cs="Arial" w:eastAsia="Arial" w:hAnsi="Arial"/>
                <w:sz w:val="16"/>
                <w:szCs w:val="16"/>
                <w:color w:val="333740"/>
              </w:rPr>
              <w:t>VINCI S.A.</w:t>
            </w:r>
          </w:p>
        </w:tc>
      </w:tr>
      <w:tr>
        <w:trPr>
          <w:trHeight w:val="287"/>
        </w:trPr>
        <w:tc>
          <w:tcPr>
            <w:tcW w:w="630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00B2EC"/>
              </w:rPr>
              <w:t>Fluor Corporation</w:t>
            </w:r>
          </w:p>
        </w:tc>
        <w:tc>
          <w:tcPr>
            <w:tcW w:w="4960" w:type="dxa"/>
            <w:vAlign w:val="bottom"/>
            <w:shd w:val="clear" w:color="auto" w:fill="D7D8D6"/>
          </w:tcPr>
          <w:p>
            <w:pPr>
              <w:ind w:left="60"/>
              <w:spacing w:after="0"/>
              <w:rPr>
                <w:sz w:val="20"/>
                <w:szCs w:val="20"/>
                <w:color w:val="auto"/>
              </w:rPr>
            </w:pPr>
            <w:r>
              <w:rPr>
                <w:rFonts w:ascii="Arial" w:cs="Arial" w:eastAsia="Arial" w:hAnsi="Arial"/>
                <w:sz w:val="16"/>
                <w:szCs w:val="16"/>
                <w:b w:val="1"/>
                <w:bCs w:val="1"/>
                <w:color w:val="00B2EC"/>
              </w:rPr>
              <w:t>Weatherford International plc</w:t>
            </w:r>
          </w:p>
        </w:tc>
      </w:tr>
      <w:tr>
        <w:trPr>
          <w:trHeight w:val="287"/>
        </w:trPr>
        <w:tc>
          <w:tcPr>
            <w:tcW w:w="630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00B2EC"/>
              </w:rPr>
              <w:t>Halliburton Company</w:t>
            </w:r>
          </w:p>
        </w:tc>
        <w:tc>
          <w:tcPr>
            <w:tcW w:w="4960" w:type="dxa"/>
            <w:vAlign w:val="bottom"/>
            <w:shd w:val="clear" w:color="auto" w:fill="D7D8D6"/>
          </w:tcPr>
          <w:p>
            <w:pPr>
              <w:spacing w:after="0"/>
              <w:rPr>
                <w:sz w:val="24"/>
                <w:szCs w:val="24"/>
                <w:color w:val="auto"/>
              </w:rPr>
            </w:pPr>
          </w:p>
        </w:tc>
      </w:tr>
      <w:tr>
        <w:trPr>
          <w:trHeight w:val="48"/>
        </w:trPr>
        <w:tc>
          <w:tcPr>
            <w:tcW w:w="6300" w:type="dxa"/>
            <w:vAlign w:val="bottom"/>
            <w:shd w:val="clear" w:color="auto" w:fill="D7D8D6"/>
          </w:tcPr>
          <w:p>
            <w:pPr>
              <w:spacing w:after="0"/>
              <w:rPr>
                <w:sz w:val="4"/>
                <w:szCs w:val="4"/>
                <w:color w:val="auto"/>
              </w:rPr>
            </w:pPr>
          </w:p>
        </w:tc>
        <w:tc>
          <w:tcPr>
            <w:tcW w:w="4960" w:type="dxa"/>
            <w:vAlign w:val="bottom"/>
            <w:shd w:val="clear" w:color="auto" w:fill="D7D8D6"/>
          </w:tcPr>
          <w:p>
            <w:pPr>
              <w:spacing w:after="0"/>
              <w:rPr>
                <w:sz w:val="4"/>
                <w:szCs w:val="4"/>
                <w:color w:val="auto"/>
              </w:rPr>
            </w:pPr>
          </w:p>
        </w:tc>
      </w:tr>
    </w:tbl>
    <w:p>
      <w:pPr>
        <w:spacing w:after="0" w:line="199" w:lineRule="exact"/>
        <w:rPr>
          <w:sz w:val="20"/>
          <w:szCs w:val="20"/>
          <w:color w:val="auto"/>
        </w:rPr>
      </w:pPr>
    </w:p>
    <w:p>
      <w:pPr>
        <w:ind w:left="4"/>
        <w:spacing w:after="0"/>
        <w:rPr>
          <w:sz w:val="20"/>
          <w:szCs w:val="20"/>
          <w:color w:val="auto"/>
        </w:rPr>
      </w:pPr>
      <w:r>
        <w:rPr>
          <w:rFonts w:ascii="Arial" w:cs="Arial" w:eastAsia="Arial" w:hAnsi="Arial"/>
          <w:sz w:val="13"/>
          <w:szCs w:val="13"/>
          <w:color w:val="333740"/>
        </w:rPr>
        <w:t xml:space="preserve">Companies in </w:t>
      </w:r>
      <w:r>
        <w:rPr>
          <w:rFonts w:ascii="Arial" w:cs="Arial" w:eastAsia="Arial" w:hAnsi="Arial"/>
          <w:sz w:val="13"/>
          <w:szCs w:val="13"/>
          <w:color w:val="00B2EC"/>
        </w:rPr>
        <w:t>blue bold</w:t>
      </w:r>
      <w:r>
        <w:rPr>
          <w:rFonts w:ascii="Arial" w:cs="Arial" w:eastAsia="Arial" w:hAnsi="Arial"/>
          <w:sz w:val="13"/>
          <w:szCs w:val="13"/>
          <w:color w:val="333740"/>
        </w:rPr>
        <w:t xml:space="preserve"> comprise the Industry Peer Group.</w:t>
      </w:r>
    </w:p>
    <w:p>
      <w:pPr>
        <w:spacing w:after="0" w:line="200" w:lineRule="exact"/>
        <w:rPr>
          <w:sz w:val="20"/>
          <w:szCs w:val="20"/>
          <w:color w:val="auto"/>
        </w:rPr>
      </w:pPr>
    </w:p>
    <w:p>
      <w:pPr>
        <w:jc w:val="both"/>
        <w:ind w:left="4"/>
        <w:spacing w:after="0" w:line="275" w:lineRule="auto"/>
        <w:rPr>
          <w:sz w:val="20"/>
          <w:szCs w:val="20"/>
          <w:color w:val="auto"/>
        </w:rPr>
      </w:pPr>
      <w:r>
        <w:rPr>
          <w:rFonts w:ascii="Arial" w:cs="Arial" w:eastAsia="Arial" w:hAnsi="Arial"/>
          <w:sz w:val="16"/>
          <w:szCs w:val="16"/>
          <w:color w:val="333740"/>
        </w:rPr>
        <w:t>The Compensation Committee reviews the composition of the Company’s peer groups on a periodic basis. For 2019 compensation decisions, the companies noted below were included; however, we anticipate these companies will be removed from our peer groups for 2020 compensation decisions.</w:t>
      </w:r>
    </w:p>
    <w:p>
      <w:pPr>
        <w:spacing w:after="0" w:line="176" w:lineRule="exact"/>
        <w:rPr>
          <w:sz w:val="20"/>
          <w:szCs w:val="20"/>
          <w:color w:val="auto"/>
        </w:rPr>
      </w:pPr>
    </w:p>
    <w:p>
      <w:pPr>
        <w:ind w:left="344"/>
        <w:spacing w:after="0"/>
        <w:rPr>
          <w:sz w:val="20"/>
          <w:szCs w:val="20"/>
          <w:color w:val="auto"/>
        </w:rPr>
      </w:pPr>
      <w:r>
        <w:rPr>
          <w:rFonts w:ascii="Arial" w:cs="Arial" w:eastAsia="Arial" w:hAnsi="Arial"/>
          <w:sz w:val="16"/>
          <w:szCs w:val="16"/>
          <w:color w:val="333740"/>
        </w:rPr>
        <w:t>Chicago Bridge &amp; Iron merged with McDermott International, Inc. in May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-107950</wp:posOffset>
            </wp:positionV>
            <wp:extent cx="38100" cy="755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02" w:lineRule="exact"/>
        <w:rPr>
          <w:sz w:val="20"/>
          <w:szCs w:val="20"/>
          <w:color w:val="auto"/>
        </w:rPr>
      </w:pPr>
    </w:p>
    <w:p>
      <w:pPr>
        <w:ind w:left="344"/>
        <w:spacing w:after="0"/>
        <w:rPr>
          <w:sz w:val="20"/>
          <w:szCs w:val="20"/>
          <w:color w:val="auto"/>
        </w:rPr>
      </w:pPr>
      <w:r>
        <w:rPr>
          <w:rFonts w:ascii="Arial" w:cs="Arial" w:eastAsia="Arial" w:hAnsi="Arial"/>
          <w:sz w:val="16"/>
          <w:szCs w:val="16"/>
          <w:color w:val="333740"/>
        </w:rPr>
        <w:t>Anadarko Petroleum Corporation was acquired by Occidental Petroleum Corporation in August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-107950</wp:posOffset>
            </wp:positionV>
            <wp:extent cx="38100" cy="755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02" w:lineRule="exact"/>
        <w:rPr>
          <w:sz w:val="20"/>
          <w:szCs w:val="20"/>
          <w:color w:val="auto"/>
        </w:rPr>
      </w:pPr>
    </w:p>
    <w:p>
      <w:pPr>
        <w:ind w:left="344"/>
        <w:spacing w:after="0"/>
        <w:rPr>
          <w:sz w:val="20"/>
          <w:szCs w:val="20"/>
          <w:color w:val="auto"/>
        </w:rPr>
      </w:pPr>
      <w:r>
        <w:rPr>
          <w:rFonts w:ascii="Arial" w:cs="Arial" w:eastAsia="Arial" w:hAnsi="Arial"/>
          <w:sz w:val="16"/>
          <w:szCs w:val="16"/>
          <w:color w:val="333740"/>
        </w:rPr>
        <w:t>Weatherford International plc filed for bankruptcy under Chapter 11 in July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-107950</wp:posOffset>
            </wp:positionV>
            <wp:extent cx="38100" cy="755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02" w:lineRule="exact"/>
        <w:rPr>
          <w:sz w:val="20"/>
          <w:szCs w:val="20"/>
          <w:color w:val="auto"/>
        </w:rPr>
      </w:pPr>
    </w:p>
    <w:p>
      <w:pPr>
        <w:ind w:left="344"/>
        <w:spacing w:after="0"/>
        <w:rPr>
          <w:sz w:val="20"/>
          <w:szCs w:val="20"/>
          <w:color w:val="auto"/>
        </w:rPr>
      </w:pPr>
      <w:r>
        <w:rPr>
          <w:rFonts w:ascii="Arial" w:cs="Arial" w:eastAsia="Arial" w:hAnsi="Arial"/>
          <w:sz w:val="16"/>
          <w:szCs w:val="16"/>
          <w:color w:val="333740"/>
        </w:rPr>
        <w:t>McDermott International, Inc. filed for bankruptcy under Chapter 11 in January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-107950</wp:posOffset>
            </wp:positionV>
            <wp:extent cx="38100" cy="755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86" w:lineRule="exact"/>
        <w:rPr>
          <w:sz w:val="20"/>
          <w:szCs w:val="20"/>
          <w:color w:val="auto"/>
        </w:rPr>
      </w:pPr>
    </w:p>
    <w:p>
      <w:pPr>
        <w:ind w:left="564" w:hanging="564"/>
        <w:spacing w:after="0"/>
        <w:tabs>
          <w:tab w:leader="none" w:pos="564" w:val="left"/>
        </w:tabs>
        <w:numPr>
          <w:ilvl w:val="0"/>
          <w:numId w:val="8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70" w:name="page71"/>
    <w:bookmarkEnd w:id="70"/>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9" w:lineRule="exact"/>
        <w:rPr>
          <w:sz w:val="20"/>
          <w:szCs w:val="20"/>
          <w:color w:val="auto"/>
        </w:rPr>
      </w:pPr>
    </w:p>
    <w:p>
      <w:pPr>
        <w:ind w:left="4" w:right="120"/>
        <w:spacing w:after="0" w:line="275" w:lineRule="auto"/>
        <w:rPr>
          <w:sz w:val="20"/>
          <w:szCs w:val="20"/>
          <w:color w:val="auto"/>
        </w:rPr>
      </w:pPr>
      <w:r>
        <w:rPr>
          <w:rFonts w:ascii="Arial" w:cs="Arial" w:eastAsia="Arial" w:hAnsi="Arial"/>
          <w:sz w:val="16"/>
          <w:szCs w:val="16"/>
          <w:color w:val="333740"/>
        </w:rPr>
        <w:t>When 2019 compensation decisions were made, the median revenue and median market capitalization for each of the peer groups used and the Company’s relative ranking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119380</wp:posOffset>
            </wp:positionV>
            <wp:extent cx="7620" cy="4476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20" cy="44767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119380</wp:posOffset>
            </wp:positionV>
            <wp:extent cx="7620" cy="4476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20" cy="447675"/>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119380</wp:posOffset>
            </wp:positionV>
            <wp:extent cx="7620" cy="4476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20" cy="447675"/>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119380</wp:posOffset>
            </wp:positionV>
            <wp:extent cx="7620" cy="4476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20" cy="447675"/>
                    </a:xfrm>
                    <a:prstGeom prst="rect">
                      <a:avLst/>
                    </a:prstGeom>
                    <a:noFill/>
                  </pic:spPr>
                </pic:pic>
              </a:graphicData>
            </a:graphic>
          </wp:anchor>
        </w:drawing>
      </w:r>
    </w:p>
    <w:p>
      <w:pPr>
        <w:spacing w:after="0" w:line="168" w:lineRule="exact"/>
        <w:rPr>
          <w:sz w:val="20"/>
          <w:szCs w:val="20"/>
          <w:color w:val="auto"/>
        </w:rPr>
      </w:pPr>
    </w:p>
    <w:tbl>
      <w:tblPr>
        <w:tblLayout w:type="fixed"/>
        <w:tblInd w:w="4" w:type="dxa"/>
        <w:tblCellMar>
          <w:top w:w="0" w:type="dxa"/>
          <w:left w:w="0" w:type="dxa"/>
          <w:bottom w:w="0" w:type="dxa"/>
          <w:right w:w="0" w:type="dxa"/>
        </w:tblCellMar>
      </w:tblPr>
      <w:tr>
        <w:trPr>
          <w:trHeight w:val="346"/>
        </w:trPr>
        <w:tc>
          <w:tcPr>
            <w:tcW w:w="2380" w:type="dxa"/>
            <w:vAlign w:val="bottom"/>
            <w:shd w:val="clear" w:color="auto" w:fill="481F6E"/>
          </w:tcPr>
          <w:p>
            <w:pPr>
              <w:ind w:left="60"/>
              <w:spacing w:after="0"/>
              <w:rPr>
                <w:sz w:val="20"/>
                <w:szCs w:val="20"/>
                <w:color w:val="auto"/>
              </w:rPr>
            </w:pPr>
            <w:r>
              <w:rPr>
                <w:rFonts w:ascii="Arial" w:cs="Arial" w:eastAsia="Arial" w:hAnsi="Arial"/>
                <w:sz w:val="16"/>
                <w:szCs w:val="16"/>
                <w:color w:val="FFFFFF"/>
              </w:rPr>
              <w:t>Peer Group</w:t>
            </w:r>
          </w:p>
        </w:tc>
        <w:tc>
          <w:tcPr>
            <w:tcW w:w="2620" w:type="dxa"/>
            <w:vAlign w:val="bottom"/>
            <w:shd w:val="clear" w:color="auto" w:fill="481F6E"/>
          </w:tcPr>
          <w:p>
            <w:pPr>
              <w:jc w:val="right"/>
              <w:ind w:right="700"/>
              <w:spacing w:after="0"/>
              <w:rPr>
                <w:sz w:val="20"/>
                <w:szCs w:val="20"/>
                <w:color w:val="auto"/>
              </w:rPr>
            </w:pPr>
            <w:r>
              <w:rPr>
                <w:rFonts w:ascii="Arial" w:cs="Arial" w:eastAsia="Arial" w:hAnsi="Arial"/>
                <w:sz w:val="16"/>
                <w:szCs w:val="16"/>
                <w:color w:val="FFFFFF"/>
              </w:rPr>
              <w:t>Median Revenue</w:t>
            </w:r>
          </w:p>
        </w:tc>
        <w:tc>
          <w:tcPr>
            <w:tcW w:w="2260" w:type="dxa"/>
            <w:vAlign w:val="bottom"/>
            <w:shd w:val="clear" w:color="auto" w:fill="481F6E"/>
          </w:tcPr>
          <w:p>
            <w:pPr>
              <w:jc w:val="right"/>
              <w:ind w:right="500"/>
              <w:spacing w:after="0"/>
              <w:rPr>
                <w:sz w:val="20"/>
                <w:szCs w:val="20"/>
                <w:color w:val="auto"/>
              </w:rPr>
            </w:pPr>
            <w:r>
              <w:rPr>
                <w:rFonts w:ascii="Arial" w:cs="Arial" w:eastAsia="Arial" w:hAnsi="Arial"/>
                <w:sz w:val="16"/>
                <w:szCs w:val="16"/>
                <w:color w:val="FFFFFF"/>
              </w:rPr>
              <w:t>TechnipFMC</w:t>
            </w:r>
          </w:p>
        </w:tc>
        <w:tc>
          <w:tcPr>
            <w:tcW w:w="2060" w:type="dxa"/>
            <w:vAlign w:val="bottom"/>
            <w:shd w:val="clear" w:color="auto" w:fill="481F6E"/>
          </w:tcPr>
          <w:p>
            <w:pPr>
              <w:jc w:val="right"/>
              <w:ind w:right="440"/>
              <w:spacing w:after="0"/>
              <w:rPr>
                <w:sz w:val="20"/>
                <w:szCs w:val="20"/>
                <w:color w:val="auto"/>
              </w:rPr>
            </w:pPr>
            <w:r>
              <w:rPr>
                <w:rFonts w:ascii="Arial" w:cs="Arial" w:eastAsia="Arial" w:hAnsi="Arial"/>
                <w:sz w:val="16"/>
                <w:szCs w:val="16"/>
                <w:color w:val="FFFFFF"/>
              </w:rPr>
              <w:t>Median Market</w:t>
            </w:r>
          </w:p>
        </w:tc>
        <w:tc>
          <w:tcPr>
            <w:tcW w:w="1940" w:type="dxa"/>
            <w:vAlign w:val="bottom"/>
            <w:shd w:val="clear" w:color="auto" w:fill="481F6E"/>
          </w:tcPr>
          <w:p>
            <w:pPr>
              <w:jc w:val="right"/>
              <w:spacing w:after="0"/>
              <w:rPr>
                <w:sz w:val="20"/>
                <w:szCs w:val="20"/>
                <w:color w:val="auto"/>
              </w:rPr>
            </w:pPr>
            <w:r>
              <w:rPr>
                <w:rFonts w:ascii="Arial" w:cs="Arial" w:eastAsia="Arial" w:hAnsi="Arial"/>
                <w:sz w:val="16"/>
                <w:szCs w:val="16"/>
                <w:color w:val="FFFFFF"/>
              </w:rPr>
              <w:t>TechnipFMC Market</w:t>
            </w:r>
          </w:p>
        </w:tc>
      </w:tr>
      <w:tr>
        <w:trPr>
          <w:trHeight w:val="204"/>
        </w:trPr>
        <w:tc>
          <w:tcPr>
            <w:tcW w:w="2380" w:type="dxa"/>
            <w:vAlign w:val="bottom"/>
            <w:shd w:val="clear" w:color="auto" w:fill="481F6E"/>
          </w:tcPr>
          <w:p>
            <w:pPr>
              <w:spacing w:after="0"/>
              <w:rPr>
                <w:sz w:val="17"/>
                <w:szCs w:val="17"/>
                <w:color w:val="auto"/>
              </w:rPr>
            </w:pPr>
          </w:p>
        </w:tc>
        <w:tc>
          <w:tcPr>
            <w:tcW w:w="2620" w:type="dxa"/>
            <w:vAlign w:val="bottom"/>
            <w:shd w:val="clear" w:color="auto" w:fill="481F6E"/>
          </w:tcPr>
          <w:p>
            <w:pPr>
              <w:spacing w:after="0"/>
              <w:rPr>
                <w:sz w:val="17"/>
                <w:szCs w:val="17"/>
                <w:color w:val="auto"/>
              </w:rPr>
            </w:pPr>
          </w:p>
        </w:tc>
        <w:tc>
          <w:tcPr>
            <w:tcW w:w="2260" w:type="dxa"/>
            <w:vAlign w:val="bottom"/>
            <w:shd w:val="clear" w:color="auto" w:fill="481F6E"/>
          </w:tcPr>
          <w:p>
            <w:pPr>
              <w:jc w:val="right"/>
              <w:ind w:right="500"/>
              <w:spacing w:after="0"/>
              <w:rPr>
                <w:sz w:val="20"/>
                <w:szCs w:val="20"/>
                <w:color w:val="auto"/>
              </w:rPr>
            </w:pPr>
            <w:r>
              <w:rPr>
                <w:rFonts w:ascii="Arial" w:cs="Arial" w:eastAsia="Arial" w:hAnsi="Arial"/>
                <w:sz w:val="16"/>
                <w:szCs w:val="16"/>
                <w:color w:val="FFFFFF"/>
              </w:rPr>
              <w:t>Revenue Ranking</w:t>
            </w:r>
          </w:p>
        </w:tc>
        <w:tc>
          <w:tcPr>
            <w:tcW w:w="2060" w:type="dxa"/>
            <w:vAlign w:val="bottom"/>
            <w:shd w:val="clear" w:color="auto" w:fill="481F6E"/>
          </w:tcPr>
          <w:p>
            <w:pPr>
              <w:jc w:val="right"/>
              <w:ind w:right="440"/>
              <w:spacing w:after="0"/>
              <w:rPr>
                <w:sz w:val="20"/>
                <w:szCs w:val="20"/>
                <w:color w:val="auto"/>
              </w:rPr>
            </w:pPr>
            <w:r>
              <w:rPr>
                <w:rFonts w:ascii="Arial" w:cs="Arial" w:eastAsia="Arial" w:hAnsi="Arial"/>
                <w:sz w:val="16"/>
                <w:szCs w:val="16"/>
                <w:color w:val="FFFFFF"/>
              </w:rPr>
              <w:t>Capitalization</w:t>
            </w:r>
          </w:p>
        </w:tc>
        <w:tc>
          <w:tcPr>
            <w:tcW w:w="1940" w:type="dxa"/>
            <w:vAlign w:val="bottom"/>
            <w:shd w:val="clear" w:color="auto" w:fill="481F6E"/>
          </w:tcPr>
          <w:p>
            <w:pPr>
              <w:jc w:val="right"/>
              <w:spacing w:after="0"/>
              <w:rPr>
                <w:sz w:val="20"/>
                <w:szCs w:val="20"/>
                <w:color w:val="auto"/>
              </w:rPr>
            </w:pPr>
            <w:r>
              <w:rPr>
                <w:rFonts w:ascii="Arial" w:cs="Arial" w:eastAsia="Arial" w:hAnsi="Arial"/>
                <w:sz w:val="16"/>
                <w:szCs w:val="16"/>
                <w:color w:val="FFFFFF"/>
              </w:rPr>
              <w:t>Capitalization Ranking</w:t>
            </w:r>
          </w:p>
        </w:tc>
      </w:tr>
      <w:tr>
        <w:trPr>
          <w:trHeight w:val="155"/>
        </w:trPr>
        <w:tc>
          <w:tcPr>
            <w:tcW w:w="2380" w:type="dxa"/>
            <w:vAlign w:val="bottom"/>
            <w:shd w:val="clear" w:color="auto" w:fill="481F6E"/>
          </w:tcPr>
          <w:p>
            <w:pPr>
              <w:spacing w:after="0"/>
              <w:rPr>
                <w:sz w:val="13"/>
                <w:szCs w:val="13"/>
                <w:color w:val="auto"/>
              </w:rPr>
            </w:pPr>
          </w:p>
        </w:tc>
        <w:tc>
          <w:tcPr>
            <w:tcW w:w="2620" w:type="dxa"/>
            <w:vAlign w:val="bottom"/>
            <w:shd w:val="clear" w:color="auto" w:fill="481F6E"/>
          </w:tcPr>
          <w:p>
            <w:pPr>
              <w:spacing w:after="0"/>
              <w:rPr>
                <w:sz w:val="13"/>
                <w:szCs w:val="13"/>
                <w:color w:val="auto"/>
              </w:rPr>
            </w:pPr>
          </w:p>
        </w:tc>
        <w:tc>
          <w:tcPr>
            <w:tcW w:w="2260" w:type="dxa"/>
            <w:vAlign w:val="bottom"/>
            <w:shd w:val="clear" w:color="auto" w:fill="481F6E"/>
          </w:tcPr>
          <w:p>
            <w:pPr>
              <w:spacing w:after="0"/>
              <w:rPr>
                <w:sz w:val="13"/>
                <w:szCs w:val="13"/>
                <w:color w:val="auto"/>
              </w:rPr>
            </w:pPr>
          </w:p>
        </w:tc>
        <w:tc>
          <w:tcPr>
            <w:tcW w:w="2060" w:type="dxa"/>
            <w:vAlign w:val="bottom"/>
            <w:shd w:val="clear" w:color="auto" w:fill="481F6E"/>
          </w:tcPr>
          <w:p>
            <w:pPr>
              <w:spacing w:after="0"/>
              <w:rPr>
                <w:sz w:val="13"/>
                <w:szCs w:val="13"/>
                <w:color w:val="auto"/>
              </w:rPr>
            </w:pPr>
          </w:p>
        </w:tc>
        <w:tc>
          <w:tcPr>
            <w:tcW w:w="1940" w:type="dxa"/>
            <w:vAlign w:val="bottom"/>
            <w:shd w:val="clear" w:color="auto" w:fill="481F6E"/>
          </w:tcPr>
          <w:p>
            <w:pPr>
              <w:spacing w:after="0"/>
              <w:rPr>
                <w:sz w:val="13"/>
                <w:szCs w:val="13"/>
                <w:color w:val="auto"/>
              </w:rPr>
            </w:pPr>
          </w:p>
        </w:tc>
      </w:tr>
      <w:tr>
        <w:trPr>
          <w:trHeight w:val="263"/>
        </w:trPr>
        <w:tc>
          <w:tcPr>
            <w:tcW w:w="2380" w:type="dxa"/>
            <w:vAlign w:val="bottom"/>
          </w:tcPr>
          <w:p>
            <w:pPr>
              <w:ind w:left="60"/>
              <w:spacing w:after="0"/>
              <w:rPr>
                <w:sz w:val="20"/>
                <w:szCs w:val="20"/>
                <w:color w:val="auto"/>
              </w:rPr>
            </w:pPr>
            <w:r>
              <w:rPr>
                <w:rFonts w:ascii="Arial" w:cs="Arial" w:eastAsia="Arial" w:hAnsi="Arial"/>
                <w:sz w:val="16"/>
                <w:szCs w:val="16"/>
                <w:b w:val="1"/>
                <w:bCs w:val="1"/>
                <w:color w:val="333740"/>
              </w:rPr>
              <w:t>Global Peer Group</w:t>
            </w:r>
          </w:p>
        </w:tc>
        <w:tc>
          <w:tcPr>
            <w:tcW w:w="2620" w:type="dxa"/>
            <w:vAlign w:val="bottom"/>
          </w:tcPr>
          <w:p>
            <w:pPr>
              <w:jc w:val="right"/>
              <w:ind w:right="480"/>
              <w:spacing w:after="0"/>
              <w:rPr>
                <w:sz w:val="20"/>
                <w:szCs w:val="20"/>
                <w:color w:val="auto"/>
              </w:rPr>
            </w:pPr>
            <w:r>
              <w:rPr>
                <w:rFonts w:ascii="Arial" w:cs="Arial" w:eastAsia="Arial" w:hAnsi="Arial"/>
                <w:sz w:val="16"/>
                <w:szCs w:val="16"/>
                <w:color w:val="333740"/>
              </w:rPr>
              <w:t>$15.7 billion</w:t>
            </w:r>
          </w:p>
        </w:tc>
        <w:tc>
          <w:tcPr>
            <w:tcW w:w="2260" w:type="dxa"/>
            <w:vAlign w:val="bottom"/>
          </w:tcPr>
          <w:p>
            <w:pPr>
              <w:jc w:val="right"/>
              <w:ind w:right="500"/>
              <w:spacing w:after="0"/>
              <w:rPr>
                <w:sz w:val="20"/>
                <w:szCs w:val="20"/>
                <w:color w:val="auto"/>
              </w:rPr>
            </w:pPr>
            <w:r>
              <w:rPr>
                <w:rFonts w:ascii="Arial" w:cs="Arial" w:eastAsia="Arial" w:hAnsi="Arial"/>
                <w:sz w:val="16"/>
                <w:szCs w:val="16"/>
                <w:color w:val="333740"/>
              </w:rPr>
              <w:t>46th percentile</w:t>
            </w:r>
          </w:p>
        </w:tc>
        <w:tc>
          <w:tcPr>
            <w:tcW w:w="2060" w:type="dxa"/>
            <w:vAlign w:val="bottom"/>
          </w:tcPr>
          <w:p>
            <w:pPr>
              <w:ind w:left="860"/>
              <w:spacing w:after="0"/>
              <w:rPr>
                <w:sz w:val="20"/>
                <w:szCs w:val="20"/>
                <w:color w:val="auto"/>
              </w:rPr>
            </w:pPr>
            <w:r>
              <w:rPr>
                <w:rFonts w:ascii="Arial" w:cs="Arial" w:eastAsia="Arial" w:hAnsi="Arial"/>
                <w:sz w:val="16"/>
                <w:szCs w:val="16"/>
                <w:color w:val="333740"/>
              </w:rPr>
              <w:t>$17.7 billion</w:t>
            </w:r>
          </w:p>
        </w:tc>
        <w:tc>
          <w:tcPr>
            <w:tcW w:w="1940" w:type="dxa"/>
            <w:vAlign w:val="bottom"/>
          </w:tcPr>
          <w:p>
            <w:pPr>
              <w:jc w:val="right"/>
              <w:spacing w:after="0"/>
              <w:rPr>
                <w:sz w:val="20"/>
                <w:szCs w:val="20"/>
                <w:color w:val="auto"/>
              </w:rPr>
            </w:pPr>
            <w:r>
              <w:rPr>
                <w:rFonts w:ascii="Arial" w:cs="Arial" w:eastAsia="Arial" w:hAnsi="Arial"/>
                <w:sz w:val="16"/>
                <w:szCs w:val="16"/>
                <w:color w:val="333740"/>
              </w:rPr>
              <w:t>48th percentile</w:t>
            </w:r>
          </w:p>
        </w:tc>
      </w:tr>
      <w:tr>
        <w:trPr>
          <w:trHeight w:val="335"/>
        </w:trPr>
        <w:tc>
          <w:tcPr>
            <w:tcW w:w="2380" w:type="dxa"/>
            <w:vAlign w:val="bottom"/>
          </w:tcPr>
          <w:p>
            <w:pPr>
              <w:ind w:left="60"/>
              <w:spacing w:after="0"/>
              <w:rPr>
                <w:sz w:val="20"/>
                <w:szCs w:val="20"/>
                <w:color w:val="auto"/>
              </w:rPr>
            </w:pPr>
            <w:r>
              <w:rPr>
                <w:rFonts w:ascii="Arial" w:cs="Arial" w:eastAsia="Arial" w:hAnsi="Arial"/>
                <w:sz w:val="16"/>
                <w:szCs w:val="16"/>
                <w:b w:val="1"/>
                <w:bCs w:val="1"/>
                <w:color w:val="333740"/>
              </w:rPr>
              <w:t>Industry Peer Group</w:t>
            </w:r>
          </w:p>
        </w:tc>
        <w:tc>
          <w:tcPr>
            <w:tcW w:w="2620" w:type="dxa"/>
            <w:vAlign w:val="bottom"/>
          </w:tcPr>
          <w:p>
            <w:pPr>
              <w:jc w:val="right"/>
              <w:ind w:right="480"/>
              <w:spacing w:after="0"/>
              <w:rPr>
                <w:sz w:val="20"/>
                <w:szCs w:val="20"/>
                <w:color w:val="auto"/>
              </w:rPr>
            </w:pPr>
            <w:r>
              <w:rPr>
                <w:rFonts w:ascii="Arial" w:cs="Arial" w:eastAsia="Arial" w:hAnsi="Arial"/>
                <w:sz w:val="16"/>
                <w:szCs w:val="16"/>
                <w:color w:val="333740"/>
              </w:rPr>
              <w:t>$9.5 billion</w:t>
            </w:r>
          </w:p>
        </w:tc>
        <w:tc>
          <w:tcPr>
            <w:tcW w:w="2260" w:type="dxa"/>
            <w:vAlign w:val="bottom"/>
          </w:tcPr>
          <w:p>
            <w:pPr>
              <w:jc w:val="right"/>
              <w:ind w:right="500"/>
              <w:spacing w:after="0"/>
              <w:rPr>
                <w:sz w:val="20"/>
                <w:szCs w:val="20"/>
                <w:color w:val="auto"/>
              </w:rPr>
            </w:pPr>
            <w:r>
              <w:rPr>
                <w:rFonts w:ascii="Arial" w:cs="Arial" w:eastAsia="Arial" w:hAnsi="Arial"/>
                <w:sz w:val="16"/>
                <w:szCs w:val="16"/>
                <w:color w:val="333740"/>
              </w:rPr>
              <w:t>67th percentile</w:t>
            </w:r>
          </w:p>
        </w:tc>
        <w:tc>
          <w:tcPr>
            <w:tcW w:w="2060" w:type="dxa"/>
            <w:vAlign w:val="bottom"/>
          </w:tcPr>
          <w:p>
            <w:pPr>
              <w:ind w:left="860"/>
              <w:spacing w:after="0"/>
              <w:rPr>
                <w:sz w:val="20"/>
                <w:szCs w:val="20"/>
                <w:color w:val="auto"/>
              </w:rPr>
            </w:pPr>
            <w:r>
              <w:rPr>
                <w:rFonts w:ascii="Arial" w:cs="Arial" w:eastAsia="Arial" w:hAnsi="Arial"/>
                <w:sz w:val="16"/>
                <w:szCs w:val="16"/>
                <w:color w:val="333740"/>
              </w:rPr>
              <w:t>$13.6 billion</w:t>
            </w:r>
          </w:p>
        </w:tc>
        <w:tc>
          <w:tcPr>
            <w:tcW w:w="1940" w:type="dxa"/>
            <w:vAlign w:val="bottom"/>
          </w:tcPr>
          <w:p>
            <w:pPr>
              <w:jc w:val="right"/>
              <w:spacing w:after="0"/>
              <w:rPr>
                <w:sz w:val="20"/>
                <w:szCs w:val="20"/>
                <w:color w:val="auto"/>
              </w:rPr>
            </w:pPr>
            <w:r>
              <w:rPr>
                <w:rFonts w:ascii="Arial" w:cs="Arial" w:eastAsia="Arial" w:hAnsi="Arial"/>
                <w:sz w:val="16"/>
                <w:szCs w:val="16"/>
                <w:color w:val="333740"/>
              </w:rPr>
              <w:t>57th percentile</w:t>
            </w:r>
          </w:p>
        </w:tc>
      </w:tr>
      <w:tr>
        <w:trPr>
          <w:trHeight w:val="335"/>
        </w:trPr>
        <w:tc>
          <w:tcPr>
            <w:tcW w:w="2380" w:type="dxa"/>
            <w:vAlign w:val="bottom"/>
          </w:tcPr>
          <w:p>
            <w:pPr>
              <w:ind w:left="60"/>
              <w:spacing w:after="0"/>
              <w:rPr>
                <w:sz w:val="20"/>
                <w:szCs w:val="20"/>
                <w:color w:val="auto"/>
              </w:rPr>
            </w:pPr>
            <w:r>
              <w:rPr>
                <w:rFonts w:ascii="Arial" w:cs="Arial" w:eastAsia="Arial" w:hAnsi="Arial"/>
                <w:sz w:val="16"/>
                <w:szCs w:val="16"/>
                <w:b w:val="1"/>
                <w:bCs w:val="1"/>
                <w:color w:val="333740"/>
              </w:rPr>
              <w:t>Combined Peer Group</w:t>
            </w:r>
          </w:p>
        </w:tc>
        <w:tc>
          <w:tcPr>
            <w:tcW w:w="2620" w:type="dxa"/>
            <w:vAlign w:val="bottom"/>
          </w:tcPr>
          <w:p>
            <w:pPr>
              <w:jc w:val="right"/>
              <w:ind w:right="480"/>
              <w:spacing w:after="0"/>
              <w:rPr>
                <w:sz w:val="20"/>
                <w:szCs w:val="20"/>
                <w:color w:val="auto"/>
              </w:rPr>
            </w:pPr>
            <w:r>
              <w:rPr>
                <w:rFonts w:ascii="Arial" w:cs="Arial" w:eastAsia="Arial" w:hAnsi="Arial"/>
                <w:sz w:val="16"/>
                <w:szCs w:val="16"/>
                <w:color w:val="333740"/>
              </w:rPr>
              <w:t>$15.1 billion</w:t>
            </w:r>
          </w:p>
        </w:tc>
        <w:tc>
          <w:tcPr>
            <w:tcW w:w="2260" w:type="dxa"/>
            <w:vAlign w:val="bottom"/>
          </w:tcPr>
          <w:p>
            <w:pPr>
              <w:jc w:val="right"/>
              <w:ind w:right="500"/>
              <w:spacing w:after="0"/>
              <w:rPr>
                <w:sz w:val="20"/>
                <w:szCs w:val="20"/>
                <w:color w:val="auto"/>
              </w:rPr>
            </w:pPr>
            <w:r>
              <w:rPr>
                <w:rFonts w:ascii="Arial" w:cs="Arial" w:eastAsia="Arial" w:hAnsi="Arial"/>
                <w:sz w:val="16"/>
                <w:szCs w:val="16"/>
                <w:color w:val="333740"/>
              </w:rPr>
              <w:t>57th percentile</w:t>
            </w:r>
          </w:p>
        </w:tc>
        <w:tc>
          <w:tcPr>
            <w:tcW w:w="2060" w:type="dxa"/>
            <w:vAlign w:val="bottom"/>
          </w:tcPr>
          <w:p>
            <w:pPr>
              <w:ind w:left="860"/>
              <w:spacing w:after="0"/>
              <w:rPr>
                <w:sz w:val="20"/>
                <w:szCs w:val="20"/>
                <w:color w:val="auto"/>
              </w:rPr>
            </w:pPr>
            <w:r>
              <w:rPr>
                <w:rFonts w:ascii="Arial" w:cs="Arial" w:eastAsia="Arial" w:hAnsi="Arial"/>
                <w:sz w:val="16"/>
                <w:szCs w:val="16"/>
                <w:color w:val="333740"/>
              </w:rPr>
              <w:t>$15.1 billion</w:t>
            </w:r>
          </w:p>
        </w:tc>
        <w:tc>
          <w:tcPr>
            <w:tcW w:w="1940" w:type="dxa"/>
            <w:vAlign w:val="bottom"/>
          </w:tcPr>
          <w:p>
            <w:pPr>
              <w:jc w:val="right"/>
              <w:spacing w:after="0"/>
              <w:rPr>
                <w:sz w:val="20"/>
                <w:szCs w:val="20"/>
                <w:color w:val="auto"/>
              </w:rPr>
            </w:pPr>
            <w:r>
              <w:rPr>
                <w:rFonts w:ascii="Arial" w:cs="Arial" w:eastAsia="Arial" w:hAnsi="Arial"/>
                <w:sz w:val="16"/>
                <w:szCs w:val="16"/>
                <w:color w:val="333740"/>
              </w:rPr>
              <w:t>46th percentile</w:t>
            </w:r>
          </w:p>
        </w:tc>
      </w:tr>
    </w:tbl>
    <w:p>
      <w:pPr>
        <w:spacing w:after="0" w:line="250" w:lineRule="exact"/>
        <w:rPr>
          <w:sz w:val="20"/>
          <w:szCs w:val="20"/>
          <w:color w:val="auto"/>
        </w:rPr>
      </w:pPr>
    </w:p>
    <w:p>
      <w:pPr>
        <w:ind w:left="4" w:right="760"/>
        <w:spacing w:after="0" w:line="349" w:lineRule="auto"/>
        <w:rPr>
          <w:sz w:val="20"/>
          <w:szCs w:val="20"/>
          <w:color w:val="auto"/>
        </w:rPr>
      </w:pPr>
      <w:r>
        <w:rPr>
          <w:rFonts w:ascii="Arial" w:cs="Arial" w:eastAsia="Arial" w:hAnsi="Arial"/>
          <w:sz w:val="14"/>
          <w:szCs w:val="14"/>
          <w:color w:val="333740"/>
        </w:rPr>
        <w:t>Accordingly, the Compensation Committee agreed that this group of companies was reasonable in terms of size for market median comparisons. Where possible, the Compensation Committee’s consultant size-adjusts data to account for differences in size between the Company and the Compensation Peer Group.</w:t>
      </w:r>
    </w:p>
    <w:p>
      <w:pPr>
        <w:spacing w:after="0" w:line="10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Setting Target Executive Compensation</w:t>
      </w:r>
    </w:p>
    <w:p>
      <w:pPr>
        <w:spacing w:after="0" w:line="24" w:lineRule="exact"/>
        <w:rPr>
          <w:sz w:val="20"/>
          <w:szCs w:val="20"/>
          <w:color w:val="auto"/>
        </w:rPr>
      </w:pPr>
    </w:p>
    <w:p>
      <w:pPr>
        <w:jc w:val="both"/>
        <w:ind w:left="4" w:right="60"/>
        <w:spacing w:after="0" w:line="254" w:lineRule="auto"/>
        <w:rPr>
          <w:sz w:val="20"/>
          <w:szCs w:val="20"/>
          <w:color w:val="auto"/>
        </w:rPr>
      </w:pPr>
      <w:r>
        <w:rPr>
          <w:rFonts w:ascii="Arial" w:cs="Arial" w:eastAsia="Arial" w:hAnsi="Arial"/>
          <w:sz w:val="16"/>
          <w:szCs w:val="16"/>
          <w:color w:val="333740"/>
        </w:rPr>
        <w:t>In determining the target compensation package for each NEO, the Compensation Committee compares each element and combined total of an NEO’s compensation to data for relevant roles within the Compensation Peer Group. To provide additional perspectives, the Compensation Committee also considers internal relativities between the CEO and the NEOs.</w:t>
      </w:r>
    </w:p>
    <w:p>
      <w:pPr>
        <w:spacing w:after="0" w:line="168"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333740"/>
        </w:rPr>
        <w:t>In setting target compensation, the Compensation Committee also considers market median data, as well as other factors including the experience, tenure, role criticality, and performance of the incumbent NEOs. In addition, any changes to Mr. Pferdehirt’s target compensation are in accordance with the shareholder-approved Director Remuneration Policy.</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color w:val="333740"/>
        </w:rPr>
        <w:t>No executive participates in any discussion that relates to his or her own compensation.</w:t>
      </w:r>
    </w:p>
    <w:p>
      <w:pPr>
        <w:spacing w:after="0" w:line="198" w:lineRule="exact"/>
        <w:rPr>
          <w:sz w:val="20"/>
          <w:szCs w:val="20"/>
          <w:color w:val="auto"/>
        </w:rPr>
      </w:pPr>
    </w:p>
    <w:p>
      <w:pPr>
        <w:ind w:left="344" w:right="20"/>
        <w:spacing w:after="0" w:line="275" w:lineRule="auto"/>
        <w:rPr>
          <w:sz w:val="20"/>
          <w:szCs w:val="20"/>
          <w:color w:val="auto"/>
        </w:rPr>
      </w:pPr>
      <w:r>
        <w:rPr>
          <w:rFonts w:ascii="Arial" w:cs="Arial" w:eastAsia="Arial" w:hAnsi="Arial"/>
          <w:sz w:val="16"/>
          <w:szCs w:val="16"/>
          <w:color w:val="333740"/>
        </w:rPr>
        <w:t>The Compensation Committee, in partnership with its independent advisor, determines and approves any changes to compensation for the Chairman and CEO, who is not present during these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-259080</wp:posOffset>
            </wp:positionV>
            <wp:extent cx="38100" cy="755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32" w:lineRule="exact"/>
        <w:rPr>
          <w:sz w:val="20"/>
          <w:szCs w:val="20"/>
          <w:color w:val="auto"/>
        </w:rPr>
      </w:pPr>
    </w:p>
    <w:p>
      <w:pPr>
        <w:ind w:left="344" w:right="20"/>
        <w:spacing w:after="0" w:line="275" w:lineRule="auto"/>
        <w:rPr>
          <w:sz w:val="20"/>
          <w:szCs w:val="20"/>
          <w:color w:val="auto"/>
        </w:rPr>
      </w:pPr>
      <w:r>
        <w:rPr>
          <w:rFonts w:ascii="Arial" w:cs="Arial" w:eastAsia="Arial" w:hAnsi="Arial"/>
          <w:sz w:val="16"/>
          <w:szCs w:val="16"/>
          <w:color w:val="333740"/>
        </w:rPr>
        <w:t>The CEO recommends changes to compensation for the other NEOs without them present, which are approved by the Compensation Committee with input from its independent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-259080</wp:posOffset>
            </wp:positionV>
            <wp:extent cx="38100" cy="755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Use of Compensation Tally Sheets</w:t>
      </w:r>
    </w:p>
    <w:p>
      <w:pPr>
        <w:spacing w:after="0" w:line="24" w:lineRule="exact"/>
        <w:rPr>
          <w:sz w:val="20"/>
          <w:szCs w:val="20"/>
          <w:color w:val="auto"/>
        </w:rPr>
      </w:pPr>
    </w:p>
    <w:p>
      <w:pPr>
        <w:ind w:left="4" w:right="260"/>
        <w:spacing w:after="0" w:line="300" w:lineRule="auto"/>
        <w:rPr>
          <w:sz w:val="20"/>
          <w:szCs w:val="20"/>
          <w:color w:val="auto"/>
        </w:rPr>
      </w:pPr>
      <w:r>
        <w:rPr>
          <w:rFonts w:ascii="Arial" w:cs="Arial" w:eastAsia="Arial" w:hAnsi="Arial"/>
          <w:sz w:val="14"/>
          <w:szCs w:val="14"/>
          <w:color w:val="333740"/>
        </w:rPr>
        <w:t>The Compensation Committee uses tally sheets to ensure they receive the information necessary to evaluate the total compensation of an NEO. Tally sheets list each component of an executive’s compensation throughout a range of alternative scenarios (e.g., termination, change-in-control transaction, etc.). The compensatory amounts include cash compensation, accumulated deferred compensation balances, outstanding equity awards, benefits, perquisites, and any other item, as well as projected values of equity awards under various performance and termination scenarios, realized stock option and stock gains, and total wealth accumulation.</w:t>
      </w:r>
    </w:p>
    <w:p>
      <w:pPr>
        <w:spacing w:after="0" w:line="322" w:lineRule="exact"/>
        <w:rPr>
          <w:sz w:val="20"/>
          <w:szCs w:val="20"/>
          <w:color w:val="auto"/>
        </w:rPr>
      </w:pPr>
    </w:p>
    <w:p>
      <w:pPr>
        <w:ind w:left="564" w:hanging="564"/>
        <w:spacing w:after="0"/>
        <w:tabs>
          <w:tab w:leader="none" w:pos="564" w:val="left"/>
        </w:tabs>
        <w:numPr>
          <w:ilvl w:val="0"/>
          <w:numId w:val="85"/>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71" w:name="page72"/>
    <w:bookmarkEnd w:id="71"/>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Establishing Performance Metrics and Goals</w:t>
      </w:r>
    </w:p>
    <w:p>
      <w:pPr>
        <w:spacing w:after="0" w:line="24" w:lineRule="exact"/>
        <w:rPr>
          <w:sz w:val="20"/>
          <w:szCs w:val="20"/>
          <w:color w:val="auto"/>
        </w:rPr>
      </w:pPr>
    </w:p>
    <w:p>
      <w:pPr>
        <w:ind w:left="4" w:right="180"/>
        <w:spacing w:after="0" w:line="258" w:lineRule="auto"/>
        <w:rPr>
          <w:sz w:val="20"/>
          <w:szCs w:val="20"/>
          <w:color w:val="auto"/>
        </w:rPr>
      </w:pPr>
      <w:r>
        <w:rPr>
          <w:rFonts w:ascii="Arial" w:cs="Arial" w:eastAsia="Arial" w:hAnsi="Arial"/>
          <w:sz w:val="16"/>
          <w:szCs w:val="16"/>
          <w:color w:val="333740"/>
        </w:rPr>
        <w:t>In setting performance goals, the Compensation Committee considers the Company’s annual financial plans, strategic initiatives, and projections, which are impacted by the following factors:</w:t>
      </w:r>
    </w:p>
    <w:p>
      <w:pPr>
        <w:spacing w:after="0" w:line="189" w:lineRule="exact"/>
        <w:rPr>
          <w:sz w:val="20"/>
          <w:szCs w:val="20"/>
          <w:color w:val="auto"/>
        </w:rPr>
      </w:pPr>
    </w:p>
    <w:p>
      <w:pPr>
        <w:ind w:left="344"/>
        <w:spacing w:after="0"/>
        <w:rPr>
          <w:sz w:val="20"/>
          <w:szCs w:val="20"/>
          <w:color w:val="auto"/>
        </w:rPr>
      </w:pPr>
      <w:r>
        <w:rPr>
          <w:rFonts w:ascii="Arial" w:cs="Arial" w:eastAsia="Arial" w:hAnsi="Arial"/>
          <w:sz w:val="16"/>
          <w:szCs w:val="16"/>
          <w:color w:val="333740"/>
        </w:rPr>
        <w:t>The overall business climate and the cyclical nature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-107950</wp:posOffset>
            </wp:positionV>
            <wp:extent cx="38100" cy="755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02" w:lineRule="exact"/>
        <w:rPr>
          <w:sz w:val="20"/>
          <w:szCs w:val="20"/>
          <w:color w:val="auto"/>
        </w:rPr>
      </w:pPr>
    </w:p>
    <w:p>
      <w:pPr>
        <w:ind w:left="344"/>
        <w:spacing w:after="0"/>
        <w:rPr>
          <w:sz w:val="20"/>
          <w:szCs w:val="20"/>
          <w:color w:val="auto"/>
        </w:rPr>
      </w:pPr>
      <w:r>
        <w:rPr>
          <w:rFonts w:ascii="Arial" w:cs="Arial" w:eastAsia="Arial" w:hAnsi="Arial"/>
          <w:sz w:val="16"/>
          <w:szCs w:val="16"/>
          <w:color w:val="333740"/>
        </w:rPr>
        <w:t>Underlying market conditions for our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-107950</wp:posOffset>
            </wp:positionV>
            <wp:extent cx="38100" cy="755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02" w:lineRule="exact"/>
        <w:rPr>
          <w:sz w:val="20"/>
          <w:szCs w:val="20"/>
          <w:color w:val="auto"/>
        </w:rPr>
      </w:pPr>
    </w:p>
    <w:p>
      <w:pPr>
        <w:ind w:left="344"/>
        <w:spacing w:after="0"/>
        <w:rPr>
          <w:sz w:val="20"/>
          <w:szCs w:val="20"/>
          <w:color w:val="auto"/>
        </w:rPr>
      </w:pPr>
      <w:r>
        <w:rPr>
          <w:rFonts w:ascii="Arial" w:cs="Arial" w:eastAsia="Arial" w:hAnsi="Arial"/>
          <w:sz w:val="16"/>
          <w:szCs w:val="16"/>
          <w:color w:val="333740"/>
        </w:rPr>
        <w:t>Volatility in commodity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-107950</wp:posOffset>
            </wp:positionV>
            <wp:extent cx="38100" cy="755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02" w:lineRule="exact"/>
        <w:rPr>
          <w:sz w:val="20"/>
          <w:szCs w:val="20"/>
          <w:color w:val="auto"/>
        </w:rPr>
      </w:pPr>
    </w:p>
    <w:p>
      <w:pPr>
        <w:ind w:left="344"/>
        <w:spacing w:after="0"/>
        <w:rPr>
          <w:sz w:val="20"/>
          <w:szCs w:val="20"/>
          <w:color w:val="auto"/>
        </w:rPr>
      </w:pPr>
      <w:r>
        <w:rPr>
          <w:rFonts w:ascii="Arial" w:cs="Arial" w:eastAsia="Arial" w:hAnsi="Arial"/>
          <w:sz w:val="16"/>
          <w:szCs w:val="16"/>
          <w:color w:val="333740"/>
        </w:rPr>
        <w:t>Our competitors’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-107950</wp:posOffset>
            </wp:positionV>
            <wp:extent cx="38100" cy="755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02" w:lineRule="exact"/>
        <w:rPr>
          <w:sz w:val="20"/>
          <w:szCs w:val="20"/>
          <w:color w:val="auto"/>
        </w:rPr>
      </w:pPr>
    </w:p>
    <w:p>
      <w:pPr>
        <w:ind w:left="344"/>
        <w:spacing w:after="0"/>
        <w:rPr>
          <w:sz w:val="20"/>
          <w:szCs w:val="20"/>
          <w:color w:val="auto"/>
        </w:rPr>
      </w:pPr>
      <w:r>
        <w:rPr>
          <w:rFonts w:ascii="Arial" w:cs="Arial" w:eastAsia="Arial" w:hAnsi="Arial"/>
          <w:sz w:val="16"/>
          <w:szCs w:val="16"/>
          <w:color w:val="333740"/>
        </w:rPr>
        <w:t>Anticipated changes in customer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-107950</wp:posOffset>
            </wp:positionV>
            <wp:extent cx="38100" cy="755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02" w:lineRule="exact"/>
        <w:rPr>
          <w:sz w:val="20"/>
          <w:szCs w:val="20"/>
          <w:color w:val="auto"/>
        </w:rPr>
      </w:pPr>
    </w:p>
    <w:p>
      <w:pPr>
        <w:ind w:left="344"/>
        <w:spacing w:after="0"/>
        <w:rPr>
          <w:sz w:val="20"/>
          <w:szCs w:val="20"/>
          <w:color w:val="auto"/>
        </w:rPr>
      </w:pPr>
      <w:r>
        <w:rPr>
          <w:rFonts w:ascii="Arial" w:cs="Arial" w:eastAsia="Arial" w:hAnsi="Arial"/>
          <w:sz w:val="16"/>
          <w:szCs w:val="16"/>
          <w:color w:val="333740"/>
        </w:rPr>
        <w:t>Our prior-year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-107950</wp:posOffset>
            </wp:positionV>
            <wp:extent cx="38100" cy="755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02" w:lineRule="exact"/>
        <w:rPr>
          <w:sz w:val="20"/>
          <w:szCs w:val="20"/>
          <w:color w:val="auto"/>
        </w:rPr>
      </w:pPr>
    </w:p>
    <w:p>
      <w:pPr>
        <w:ind w:left="4"/>
        <w:spacing w:after="0" w:line="275" w:lineRule="auto"/>
        <w:rPr>
          <w:sz w:val="20"/>
          <w:szCs w:val="20"/>
          <w:color w:val="auto"/>
        </w:rPr>
      </w:pPr>
      <w:r>
        <w:rPr>
          <w:rFonts w:ascii="Arial" w:cs="Arial" w:eastAsia="Arial" w:hAnsi="Arial"/>
          <w:sz w:val="16"/>
          <w:szCs w:val="16"/>
          <w:color w:val="333740"/>
        </w:rPr>
        <w:t>These inputs inform discussions regarding both the targets, and the ranges around the target to ensure the goals are sufficiently difficult without incentivizing inappropriate risk taking.</w:t>
      </w:r>
    </w:p>
    <w:p>
      <w:pPr>
        <w:spacing w:after="0" w:line="176" w:lineRule="exact"/>
        <w:rPr>
          <w:sz w:val="20"/>
          <w:szCs w:val="20"/>
          <w:color w:val="auto"/>
        </w:rPr>
      </w:pPr>
    </w:p>
    <w:p>
      <w:pPr>
        <w:ind w:left="4" w:right="140"/>
        <w:spacing w:after="0" w:line="275" w:lineRule="auto"/>
        <w:rPr>
          <w:sz w:val="20"/>
          <w:szCs w:val="20"/>
          <w:color w:val="auto"/>
        </w:rPr>
      </w:pPr>
      <w:r>
        <w:rPr>
          <w:rFonts w:ascii="Arial" w:cs="Arial" w:eastAsia="Arial" w:hAnsi="Arial"/>
          <w:sz w:val="16"/>
          <w:szCs w:val="16"/>
          <w:color w:val="333740"/>
        </w:rPr>
        <w:t>Individual strategic goals are established at the start of the year. The Compensation Committee establishes and approves the objectives for the CEO, who is not present when these are being discussed. The CEO recommends and the Compensation Committee approves the objectives for the other NEOs.</w:t>
      </w:r>
    </w:p>
    <w:p>
      <w:pPr>
        <w:spacing w:after="0" w:line="336" w:lineRule="exact"/>
        <w:rPr>
          <w:sz w:val="20"/>
          <w:szCs w:val="20"/>
          <w:color w:val="auto"/>
        </w:rPr>
      </w:pPr>
    </w:p>
    <w:p>
      <w:pPr>
        <w:ind w:left="564" w:hanging="564"/>
        <w:spacing w:after="0"/>
        <w:tabs>
          <w:tab w:leader="none" w:pos="564" w:val="left"/>
        </w:tabs>
        <w:numPr>
          <w:ilvl w:val="0"/>
          <w:numId w:val="8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64"/>
          </w:cols>
          <w:pgMar w:left="316" w:top="128" w:right="419" w:bottom="1440" w:gutter="0" w:footer="0" w:header="0"/>
        </w:sectPr>
      </w:pPr>
    </w:p>
    <w:bookmarkStart w:id="72" w:name="page73"/>
    <w:bookmarkEnd w:id="72"/>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9"/>
          <w:szCs w:val="29"/>
          <w:color w:val="481F6E"/>
        </w:rPr>
        <w:t>Elements of 2019 Executive Compensation</w:t>
      </w:r>
    </w:p>
    <w:p>
      <w:pPr>
        <w:spacing w:after="0" w:line="19" w:lineRule="exact"/>
        <w:rPr>
          <w:sz w:val="20"/>
          <w:szCs w:val="20"/>
          <w:color w:val="auto"/>
        </w:rPr>
      </w:pPr>
    </w:p>
    <w:p>
      <w:pPr>
        <w:ind w:left="4" w:right="180"/>
        <w:spacing w:after="0" w:line="253" w:lineRule="auto"/>
        <w:rPr>
          <w:sz w:val="20"/>
          <w:szCs w:val="20"/>
          <w:color w:val="auto"/>
        </w:rPr>
      </w:pPr>
      <w:r>
        <w:rPr>
          <w:rFonts w:ascii="Arial" w:cs="Arial" w:eastAsia="Arial" w:hAnsi="Arial"/>
          <w:sz w:val="16"/>
          <w:szCs w:val="16"/>
          <w:color w:val="333740"/>
        </w:rPr>
        <w:t>Our executive compensation program comprises three primary elements of base salary, annual cash incentive bonus, and long-term equity awards, along with the provision of market competitive benefits and perquisites. The table below summarizes these elements, along with their purpose and key characteristics. However, a more detailed explanation is available in further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148195" cy="21323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8195" cy="2132330"/>
                    </a:xfrm>
                    <a:prstGeom prst="rect">
                      <a:avLst/>
                    </a:prstGeom>
                    <a:noFill/>
                  </pic:spPr>
                </pic:pic>
              </a:graphicData>
            </a:graphic>
          </wp:anchor>
        </w:drawing>
      </w:r>
    </w:p>
    <w:p>
      <w:pPr>
        <w:spacing w:after="0" w:line="185" w:lineRule="exact"/>
        <w:rPr>
          <w:sz w:val="20"/>
          <w:szCs w:val="20"/>
          <w:color w:val="auto"/>
        </w:rPr>
      </w:pPr>
    </w:p>
    <w:tbl>
      <w:tblPr>
        <w:tblLayout w:type="fixed"/>
        <w:tblInd w:w="4" w:type="dxa"/>
        <w:tblCellMar>
          <w:top w:w="0" w:type="dxa"/>
          <w:left w:w="0" w:type="dxa"/>
          <w:bottom w:w="0" w:type="dxa"/>
          <w:right w:w="0" w:type="dxa"/>
        </w:tblCellMar>
      </w:tblPr>
      <w:tr>
        <w:trPr>
          <w:trHeight w:val="267"/>
        </w:trPr>
        <w:tc>
          <w:tcPr>
            <w:tcW w:w="2580" w:type="dxa"/>
            <w:vAlign w:val="bottom"/>
            <w:tcBorders>
              <w:bottom w:val="single" w:sz="8" w:color="481F6E"/>
            </w:tcBorders>
            <w:shd w:val="clear" w:color="auto" w:fill="481F6E"/>
          </w:tcPr>
          <w:p>
            <w:pPr>
              <w:ind w:left="180"/>
              <w:spacing w:after="0"/>
              <w:rPr>
                <w:sz w:val="20"/>
                <w:szCs w:val="20"/>
                <w:color w:val="auto"/>
              </w:rPr>
            </w:pPr>
            <w:r>
              <w:rPr>
                <w:rFonts w:ascii="Arial" w:cs="Arial" w:eastAsia="Arial" w:hAnsi="Arial"/>
                <w:sz w:val="16"/>
                <w:szCs w:val="16"/>
                <w:color w:val="FFFFFF"/>
              </w:rPr>
              <w:t>Element</w:t>
            </w:r>
          </w:p>
        </w:tc>
        <w:tc>
          <w:tcPr>
            <w:tcW w:w="4380" w:type="dxa"/>
            <w:vAlign w:val="bottom"/>
            <w:tcBorders>
              <w:bottom w:val="single" w:sz="8" w:color="00B2EC"/>
            </w:tcBorders>
            <w:shd w:val="clear" w:color="auto" w:fill="00B2EC"/>
          </w:tcPr>
          <w:p>
            <w:pPr>
              <w:ind w:left="200"/>
              <w:spacing w:after="0"/>
              <w:rPr>
                <w:sz w:val="20"/>
                <w:szCs w:val="20"/>
                <w:color w:val="auto"/>
              </w:rPr>
            </w:pPr>
            <w:r>
              <w:rPr>
                <w:rFonts w:ascii="Arial" w:cs="Arial" w:eastAsia="Arial" w:hAnsi="Arial"/>
                <w:sz w:val="16"/>
                <w:szCs w:val="16"/>
                <w:color w:val="FFFFFF"/>
              </w:rPr>
              <w:t>Purpose</w:t>
            </w:r>
          </w:p>
        </w:tc>
        <w:tc>
          <w:tcPr>
            <w:tcW w:w="4300" w:type="dxa"/>
            <w:vAlign w:val="bottom"/>
            <w:tcBorders>
              <w:bottom w:val="single" w:sz="8" w:color="D72930"/>
            </w:tcBorders>
            <w:shd w:val="clear" w:color="auto" w:fill="D72930"/>
          </w:tcPr>
          <w:p>
            <w:pPr>
              <w:ind w:left="200"/>
              <w:spacing w:after="0"/>
              <w:rPr>
                <w:sz w:val="20"/>
                <w:szCs w:val="20"/>
                <w:color w:val="auto"/>
              </w:rPr>
            </w:pPr>
            <w:r>
              <w:rPr>
                <w:rFonts w:ascii="Arial" w:cs="Arial" w:eastAsia="Arial" w:hAnsi="Arial"/>
                <w:sz w:val="16"/>
                <w:szCs w:val="16"/>
                <w:color w:val="FFFFFF"/>
              </w:rPr>
              <w:t>Key Characteristics</w:t>
            </w:r>
          </w:p>
        </w:tc>
      </w:tr>
      <w:tr>
        <w:trPr>
          <w:trHeight w:val="226"/>
        </w:trPr>
        <w:tc>
          <w:tcPr>
            <w:tcW w:w="258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Base Salary</w:t>
            </w:r>
          </w:p>
        </w:tc>
        <w:tc>
          <w:tcPr>
            <w:tcW w:w="438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To provide market competitive compensation for the role</w:t>
            </w: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Fixed cash compensation</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Reflects major responsibilities of an NEO’s role</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Set with reference to market median, based on</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rPr>
              <w:t>responsibility, experience, and performance</w:t>
            </w:r>
          </w:p>
        </w:tc>
      </w:tr>
      <w:tr>
        <w:trPr>
          <w:trHeight w:val="204"/>
        </w:trPr>
        <w:tc>
          <w:tcPr>
            <w:tcW w:w="2580" w:type="dxa"/>
            <w:vAlign w:val="bottom"/>
            <w:shd w:val="clear" w:color="auto" w:fill="D7D8D6"/>
          </w:tcPr>
          <w:p>
            <w:pPr>
              <w:spacing w:after="0"/>
              <w:rPr>
                <w:sz w:val="17"/>
                <w:szCs w:val="17"/>
                <w:color w:val="auto"/>
              </w:rPr>
            </w:pPr>
          </w:p>
        </w:tc>
        <w:tc>
          <w:tcPr>
            <w:tcW w:w="4380" w:type="dxa"/>
            <w:vAlign w:val="bottom"/>
            <w:shd w:val="clear" w:color="auto" w:fill="D7D8D6"/>
          </w:tcPr>
          <w:p>
            <w:pPr>
              <w:spacing w:after="0"/>
              <w:rPr>
                <w:sz w:val="17"/>
                <w:szCs w:val="17"/>
                <w:color w:val="auto"/>
              </w:rPr>
            </w:pP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Variable cash compensation</w:t>
            </w:r>
          </w:p>
        </w:tc>
      </w:tr>
      <w:tr>
        <w:trPr>
          <w:trHeight w:val="286"/>
        </w:trPr>
        <w:tc>
          <w:tcPr>
            <w:tcW w:w="258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Annual Cash</w:t>
            </w:r>
          </w:p>
        </w:tc>
        <w:tc>
          <w:tcPr>
            <w:tcW w:w="4380" w:type="dxa"/>
            <w:vAlign w:val="bottom"/>
            <w:shd w:val="clear" w:color="auto" w:fill="D7D8D6"/>
          </w:tcPr>
          <w:p>
            <w:pPr>
              <w:ind w:left="200"/>
              <w:spacing w:after="0"/>
              <w:rPr>
                <w:sz w:val="20"/>
                <w:szCs w:val="20"/>
                <w:color w:val="auto"/>
              </w:rPr>
            </w:pPr>
            <w:r>
              <w:rPr>
                <w:rFonts w:ascii="Arial" w:cs="Arial" w:eastAsia="Arial" w:hAnsi="Arial"/>
                <w:sz w:val="16"/>
                <w:szCs w:val="16"/>
                <w:color w:val="333740"/>
                <w:w w:val="96"/>
              </w:rPr>
              <w:t>To drive and reward the achievement of short-term Company</w:t>
            </w: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5"/>
              </w:rPr>
              <w:t>Target value based on role, set with reference to market</w:t>
            </w:r>
          </w:p>
        </w:tc>
      </w:tr>
      <w:tr>
        <w:trPr>
          <w:trHeight w:val="191"/>
        </w:trPr>
        <w:tc>
          <w:tcPr>
            <w:tcW w:w="258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Incentive Bonus</w:t>
            </w:r>
          </w:p>
        </w:tc>
        <w:tc>
          <w:tcPr>
            <w:tcW w:w="438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strategic goals and individual contributions</w:t>
            </w: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rPr>
              <w:t>median</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Actual payout can range from 0% to 200% of target</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Paid based on achievement of business performance</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w w:val="93"/>
              </w:rPr>
              <w:t>targets (75%) and achievement of individual performance</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rPr>
              <w:t>targets (25%)</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2019 shared business performance targets were:</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700"/>
              <w:spacing w:after="0"/>
              <w:rPr>
                <w:sz w:val="20"/>
                <w:szCs w:val="20"/>
                <w:color w:val="auto"/>
              </w:rPr>
            </w:pPr>
            <w:r>
              <w:rPr>
                <w:rFonts w:ascii="Arial" w:cs="Arial" w:eastAsia="Arial" w:hAnsi="Arial"/>
                <w:sz w:val="16"/>
                <w:szCs w:val="16"/>
                <w:color w:val="333740"/>
              </w:rPr>
              <w:t>25% - EBITDA</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700"/>
              <w:spacing w:after="0"/>
              <w:rPr>
                <w:sz w:val="20"/>
                <w:szCs w:val="20"/>
                <w:color w:val="auto"/>
              </w:rPr>
            </w:pPr>
            <w:r>
              <w:rPr>
                <w:rFonts w:ascii="Arial" w:cs="Arial" w:eastAsia="Arial" w:hAnsi="Arial"/>
                <w:sz w:val="16"/>
                <w:szCs w:val="16"/>
                <w:color w:val="333740"/>
              </w:rPr>
              <w:t>25% - EBITDA as a Percentage of Revenue</w:t>
            </w:r>
          </w:p>
        </w:tc>
      </w:tr>
      <w:tr>
        <w:trPr>
          <w:trHeight w:val="204"/>
        </w:trPr>
        <w:tc>
          <w:tcPr>
            <w:tcW w:w="2580" w:type="dxa"/>
            <w:vAlign w:val="bottom"/>
            <w:shd w:val="clear" w:color="auto" w:fill="D7D8D6"/>
          </w:tcPr>
          <w:p>
            <w:pPr>
              <w:spacing w:after="0"/>
              <w:rPr>
                <w:sz w:val="17"/>
                <w:szCs w:val="17"/>
                <w:color w:val="auto"/>
              </w:rPr>
            </w:pPr>
          </w:p>
        </w:tc>
        <w:tc>
          <w:tcPr>
            <w:tcW w:w="4380" w:type="dxa"/>
            <w:vAlign w:val="bottom"/>
            <w:shd w:val="clear" w:color="auto" w:fill="D7D8D6"/>
          </w:tcPr>
          <w:p>
            <w:pPr>
              <w:spacing w:after="0"/>
              <w:rPr>
                <w:sz w:val="17"/>
                <w:szCs w:val="17"/>
                <w:color w:val="auto"/>
              </w:rPr>
            </w:pPr>
          </w:p>
        </w:tc>
        <w:tc>
          <w:tcPr>
            <w:tcW w:w="4300" w:type="dxa"/>
            <w:vAlign w:val="bottom"/>
            <w:shd w:val="clear" w:color="auto" w:fill="D7D8D6"/>
          </w:tcPr>
          <w:p>
            <w:pPr>
              <w:ind w:left="700"/>
              <w:spacing w:after="0"/>
              <w:rPr>
                <w:sz w:val="20"/>
                <w:szCs w:val="20"/>
                <w:color w:val="auto"/>
              </w:rPr>
            </w:pPr>
            <w:r>
              <w:rPr>
                <w:rFonts w:ascii="Arial" w:cs="Arial" w:eastAsia="Arial" w:hAnsi="Arial"/>
                <w:sz w:val="16"/>
                <w:szCs w:val="16"/>
                <w:color w:val="333740"/>
              </w:rPr>
              <w:t>25% - Working Capital Days</w:t>
            </w:r>
          </w:p>
        </w:tc>
      </w:tr>
      <w:tr>
        <w:trPr>
          <w:trHeight w:val="48"/>
        </w:trPr>
        <w:tc>
          <w:tcPr>
            <w:tcW w:w="2580" w:type="dxa"/>
            <w:vAlign w:val="bottom"/>
            <w:shd w:val="clear" w:color="auto" w:fill="D7D8D6"/>
          </w:tcPr>
          <w:p>
            <w:pPr>
              <w:spacing w:after="0"/>
              <w:rPr>
                <w:sz w:val="4"/>
                <w:szCs w:val="4"/>
                <w:color w:val="auto"/>
              </w:rPr>
            </w:pPr>
          </w:p>
        </w:tc>
        <w:tc>
          <w:tcPr>
            <w:tcW w:w="4380" w:type="dxa"/>
            <w:vAlign w:val="bottom"/>
            <w:shd w:val="clear" w:color="auto" w:fill="D7D8D6"/>
          </w:tcPr>
          <w:p>
            <w:pPr>
              <w:spacing w:after="0"/>
              <w:rPr>
                <w:sz w:val="4"/>
                <w:szCs w:val="4"/>
                <w:color w:val="auto"/>
              </w:rPr>
            </w:pPr>
          </w:p>
        </w:tc>
        <w:tc>
          <w:tcPr>
            <w:tcW w:w="4300" w:type="dxa"/>
            <w:vAlign w:val="bottom"/>
            <w:shd w:val="clear" w:color="auto" w:fill="D7D8D6"/>
          </w:tcPr>
          <w:p>
            <w:pPr>
              <w:spacing w:after="0"/>
              <w:rPr>
                <w:sz w:val="4"/>
                <w:szCs w:val="4"/>
                <w:color w:val="auto"/>
              </w:rPr>
            </w:pPr>
          </w:p>
        </w:tc>
      </w:tr>
    </w:tbl>
    <w:p>
      <w:pPr>
        <w:spacing w:after="0" w:line="363" w:lineRule="exact"/>
        <w:rPr>
          <w:sz w:val="20"/>
          <w:szCs w:val="20"/>
          <w:color w:val="auto"/>
        </w:rPr>
      </w:pPr>
    </w:p>
    <w:p>
      <w:pPr>
        <w:ind w:left="564" w:hanging="564"/>
        <w:spacing w:after="0"/>
        <w:tabs>
          <w:tab w:leader="none" w:pos="564" w:val="left"/>
        </w:tabs>
        <w:numPr>
          <w:ilvl w:val="0"/>
          <w:numId w:val="87"/>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73" w:name="page74"/>
    <w:bookmarkEnd w:id="73"/>
    <w:tbl>
      <w:tblPr>
        <w:tblLayout w:type="fixed"/>
        <w:tblInd w:w="4" w:type="dxa"/>
        <w:tblCellMar>
          <w:top w:w="0" w:type="dxa"/>
          <w:left w:w="0" w:type="dxa"/>
          <w:bottom w:w="0" w:type="dxa"/>
          <w:right w:w="0" w:type="dxa"/>
        </w:tblCellMar>
      </w:tblPr>
      <w:tr>
        <w:trPr>
          <w:trHeight w:val="169"/>
        </w:trPr>
        <w:tc>
          <w:tcPr>
            <w:tcW w:w="2580" w:type="dxa"/>
            <w:vAlign w:val="bottom"/>
          </w:tcPr>
          <w:p>
            <w:pPr>
              <w:ind w:left="20"/>
              <w:spacing w:after="0"/>
              <w:rPr>
                <w:sz w:val="20"/>
                <w:szCs w:val="20"/>
                <w:color w:val="auto"/>
              </w:rPr>
            </w:pPr>
            <w:r>
              <w:rPr>
                <w:rFonts w:ascii="Arial" w:cs="Arial" w:eastAsia="Arial" w:hAnsi="Arial"/>
                <w:sz w:val="13"/>
                <w:szCs w:val="13"/>
                <w:b w:val="1"/>
                <w:bCs w:val="1"/>
                <w:color w:val="481F6E"/>
              </w:rPr>
              <w:t>TechnipFMC Proxy Statement 2020</w:t>
            </w:r>
          </w:p>
        </w:tc>
        <w:tc>
          <w:tcPr>
            <w:tcW w:w="4380" w:type="dxa"/>
            <w:vAlign w:val="bottom"/>
          </w:tcPr>
          <w:p>
            <w:pPr>
              <w:spacing w:after="0"/>
              <w:rPr>
                <w:sz w:val="14"/>
                <w:szCs w:val="14"/>
                <w:color w:val="auto"/>
              </w:rPr>
            </w:pPr>
          </w:p>
        </w:tc>
        <w:tc>
          <w:tcPr>
            <w:tcW w:w="4300" w:type="dxa"/>
            <w:vAlign w:val="bottom"/>
          </w:tcPr>
          <w:p>
            <w:pPr>
              <w:spacing w:after="0"/>
              <w:rPr>
                <w:sz w:val="14"/>
                <w:szCs w:val="14"/>
                <w:color w:val="auto"/>
              </w:rPr>
            </w:pPr>
          </w:p>
        </w:tc>
      </w:tr>
      <w:tr>
        <w:trPr>
          <w:trHeight w:val="141"/>
        </w:trPr>
        <w:tc>
          <w:tcPr>
            <w:tcW w:w="2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4300" w:type="dxa"/>
            <w:vAlign w:val="bottom"/>
          </w:tcPr>
          <w:p>
            <w:pPr>
              <w:spacing w:after="0"/>
              <w:rPr>
                <w:sz w:val="12"/>
                <w:szCs w:val="12"/>
                <w:color w:val="auto"/>
              </w:rPr>
            </w:pPr>
          </w:p>
        </w:tc>
      </w:tr>
      <w:tr>
        <w:trPr>
          <w:trHeight w:val="267"/>
        </w:trPr>
        <w:tc>
          <w:tcPr>
            <w:tcW w:w="2580" w:type="dxa"/>
            <w:vAlign w:val="bottom"/>
            <w:tcBorders>
              <w:bottom w:val="single" w:sz="8" w:color="481F6E"/>
            </w:tcBorders>
            <w:shd w:val="clear" w:color="auto" w:fill="481F6E"/>
          </w:tcPr>
          <w:p>
            <w:pPr>
              <w:ind w:left="180"/>
              <w:spacing w:after="0"/>
              <w:rPr>
                <w:sz w:val="20"/>
                <w:szCs w:val="20"/>
                <w:color w:val="auto"/>
              </w:rPr>
            </w:pPr>
            <w:r>
              <w:rPr>
                <w:rFonts w:ascii="Arial" w:cs="Arial" w:eastAsia="Arial" w:hAnsi="Arial"/>
                <w:sz w:val="16"/>
                <w:szCs w:val="16"/>
                <w:color w:val="FFFFFF"/>
              </w:rPr>
              <w:t>Element</w:t>
            </w:r>
          </w:p>
        </w:tc>
        <w:tc>
          <w:tcPr>
            <w:tcW w:w="4380" w:type="dxa"/>
            <w:vAlign w:val="bottom"/>
            <w:tcBorders>
              <w:bottom w:val="single" w:sz="8" w:color="00B2EC"/>
            </w:tcBorders>
            <w:shd w:val="clear" w:color="auto" w:fill="00B2EC"/>
          </w:tcPr>
          <w:p>
            <w:pPr>
              <w:ind w:left="200"/>
              <w:spacing w:after="0"/>
              <w:rPr>
                <w:sz w:val="20"/>
                <w:szCs w:val="20"/>
                <w:color w:val="auto"/>
              </w:rPr>
            </w:pPr>
            <w:r>
              <w:rPr>
                <w:rFonts w:ascii="Arial" w:cs="Arial" w:eastAsia="Arial" w:hAnsi="Arial"/>
                <w:sz w:val="16"/>
                <w:szCs w:val="16"/>
                <w:color w:val="FFFFFF"/>
              </w:rPr>
              <w:t>Purpose</w:t>
            </w:r>
          </w:p>
        </w:tc>
        <w:tc>
          <w:tcPr>
            <w:tcW w:w="4300" w:type="dxa"/>
            <w:vAlign w:val="bottom"/>
            <w:tcBorders>
              <w:bottom w:val="single" w:sz="8" w:color="D72930"/>
            </w:tcBorders>
            <w:shd w:val="clear" w:color="auto" w:fill="D72930"/>
          </w:tcPr>
          <w:p>
            <w:pPr>
              <w:ind w:left="200"/>
              <w:spacing w:after="0"/>
              <w:rPr>
                <w:sz w:val="20"/>
                <w:szCs w:val="20"/>
                <w:color w:val="auto"/>
              </w:rPr>
            </w:pPr>
            <w:r>
              <w:rPr>
                <w:rFonts w:ascii="Arial" w:cs="Arial" w:eastAsia="Arial" w:hAnsi="Arial"/>
                <w:sz w:val="16"/>
                <w:szCs w:val="16"/>
                <w:color w:val="FFFFFF"/>
              </w:rPr>
              <w:t>Key Characteristics</w:t>
            </w:r>
          </w:p>
        </w:tc>
      </w:tr>
      <w:tr>
        <w:trPr>
          <w:trHeight w:val="226"/>
        </w:trPr>
        <w:tc>
          <w:tcPr>
            <w:tcW w:w="258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Long-Term Equity</w:t>
            </w:r>
          </w:p>
        </w:tc>
        <w:tc>
          <w:tcPr>
            <w:tcW w:w="4380" w:type="dxa"/>
            <w:vAlign w:val="bottom"/>
            <w:shd w:val="clear" w:color="auto" w:fill="D7D8D6"/>
          </w:tcPr>
          <w:p>
            <w:pPr>
              <w:ind w:left="200"/>
              <w:spacing w:after="0"/>
              <w:rPr>
                <w:sz w:val="20"/>
                <w:szCs w:val="20"/>
                <w:color w:val="auto"/>
              </w:rPr>
            </w:pPr>
            <w:r>
              <w:rPr>
                <w:rFonts w:ascii="Arial" w:cs="Arial" w:eastAsia="Arial" w:hAnsi="Arial"/>
                <w:sz w:val="16"/>
                <w:szCs w:val="16"/>
                <w:color w:val="333740"/>
                <w:w w:val="95"/>
              </w:rPr>
              <w:t>To drive and reward the achievement of long-term results and</w:t>
            </w: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6"/>
              </w:rPr>
              <w:t>Granted as combination of three vehicles: PSUs (60%),</w:t>
            </w:r>
          </w:p>
        </w:tc>
      </w:tr>
      <w:tr>
        <w:trPr>
          <w:trHeight w:val="191"/>
        </w:trPr>
        <w:tc>
          <w:tcPr>
            <w:tcW w:w="258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Incentives</w:t>
            </w:r>
          </w:p>
        </w:tc>
        <w:tc>
          <w:tcPr>
            <w:tcW w:w="438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shareholder value creation while encouraging retention</w:t>
            </w: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rPr>
              <w:t>stock options (20%)</w:t>
            </w:r>
            <w:r>
              <w:rPr>
                <w:rFonts w:ascii="Arial" w:cs="Arial" w:eastAsia="Arial" w:hAnsi="Arial"/>
                <w:sz w:val="12"/>
                <w:szCs w:val="12"/>
                <w:color w:val="333740"/>
              </w:rPr>
              <w:t>1</w:t>
            </w:r>
            <w:r>
              <w:rPr>
                <w:rFonts w:ascii="Arial" w:cs="Arial" w:eastAsia="Arial" w:hAnsi="Arial"/>
                <w:sz w:val="16"/>
                <w:szCs w:val="16"/>
                <w:color w:val="333740"/>
              </w:rPr>
              <w:t>, and RSUs (20%)</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5"/>
              </w:rPr>
              <w:t>Target value based on role, set with reference to market</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rPr>
              <w:t>median</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4"/>
              </w:rPr>
              <w:t>PSUs (60% of total long-term equity grant) subject to two</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w w:val="92"/>
              </w:rPr>
              <w:t>performance conditions measured over three years: ROIC</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w w:val="99"/>
              </w:rPr>
              <w:t>(30% of total long-term equity grant) and relative TSR</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rPr>
              <w:t>(30% of total long-term equity grant)</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6"/>
              </w:rPr>
              <w:t>50% of after-tax RSUs must be retained for at least one</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rPr>
              <w:t>year following vesting</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7"/>
              </w:rPr>
              <w:t>All long-term incentive awards are subject to three-year</w:t>
            </w:r>
          </w:p>
        </w:tc>
      </w:tr>
      <w:tr>
        <w:trPr>
          <w:trHeight w:val="204"/>
        </w:trPr>
        <w:tc>
          <w:tcPr>
            <w:tcW w:w="2580" w:type="dxa"/>
            <w:vAlign w:val="bottom"/>
            <w:shd w:val="clear" w:color="auto" w:fill="D7D8D6"/>
          </w:tcPr>
          <w:p>
            <w:pPr>
              <w:spacing w:after="0"/>
              <w:rPr>
                <w:sz w:val="17"/>
                <w:szCs w:val="17"/>
                <w:color w:val="auto"/>
              </w:rPr>
            </w:pPr>
          </w:p>
        </w:tc>
        <w:tc>
          <w:tcPr>
            <w:tcW w:w="4380" w:type="dxa"/>
            <w:vAlign w:val="bottom"/>
            <w:shd w:val="clear" w:color="auto" w:fill="D7D8D6"/>
          </w:tcPr>
          <w:p>
            <w:pPr>
              <w:spacing w:after="0"/>
              <w:rPr>
                <w:sz w:val="17"/>
                <w:szCs w:val="17"/>
                <w:color w:val="auto"/>
              </w:rPr>
            </w:pP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rPr>
              <w:t>cliff vesting</w:t>
            </w:r>
          </w:p>
        </w:tc>
      </w:tr>
      <w:tr>
        <w:trPr>
          <w:trHeight w:val="286"/>
        </w:trPr>
        <w:tc>
          <w:tcPr>
            <w:tcW w:w="258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Health and Welfare</w:t>
            </w:r>
          </w:p>
        </w:tc>
        <w:tc>
          <w:tcPr>
            <w:tcW w:w="4380" w:type="dxa"/>
            <w:vAlign w:val="bottom"/>
            <w:shd w:val="clear" w:color="auto" w:fill="D7D8D6"/>
          </w:tcPr>
          <w:p>
            <w:pPr>
              <w:ind w:left="200"/>
              <w:spacing w:after="0"/>
              <w:rPr>
                <w:sz w:val="20"/>
                <w:szCs w:val="20"/>
                <w:color w:val="auto"/>
              </w:rPr>
            </w:pPr>
            <w:r>
              <w:rPr>
                <w:rFonts w:ascii="Arial" w:cs="Arial" w:eastAsia="Arial" w:hAnsi="Arial"/>
                <w:sz w:val="16"/>
                <w:szCs w:val="16"/>
                <w:color w:val="333740"/>
                <w:w w:val="96"/>
              </w:rPr>
              <w:t>To facilitate the performance of the role and ensure a market</w:t>
            </w:r>
          </w:p>
        </w:tc>
        <w:tc>
          <w:tcPr>
            <w:tcW w:w="4300" w:type="dxa"/>
            <w:vAlign w:val="bottom"/>
            <w:shd w:val="clear" w:color="auto" w:fill="D7D8D6"/>
          </w:tcPr>
          <w:p>
            <w:pPr>
              <w:ind w:left="200"/>
              <w:spacing w:after="0"/>
              <w:rPr>
                <w:sz w:val="20"/>
                <w:szCs w:val="20"/>
                <w:color w:val="auto"/>
              </w:rPr>
            </w:pPr>
            <w:r>
              <w:rPr>
                <w:rFonts w:ascii="Arial" w:cs="Arial" w:eastAsia="Arial" w:hAnsi="Arial"/>
                <w:sz w:val="16"/>
                <w:szCs w:val="16"/>
                <w:color w:val="333740"/>
                <w:w w:val="94"/>
              </w:rPr>
              <w:t>Health and welfare benefits, similar to what is offered to other</w:t>
            </w:r>
          </w:p>
        </w:tc>
      </w:tr>
      <w:tr>
        <w:trPr>
          <w:trHeight w:val="191"/>
        </w:trPr>
        <w:tc>
          <w:tcPr>
            <w:tcW w:w="258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Benefits, Retirement</w:t>
            </w:r>
          </w:p>
        </w:tc>
        <w:tc>
          <w:tcPr>
            <w:tcW w:w="438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competitive total compensation package</w:t>
            </w:r>
          </w:p>
        </w:tc>
        <w:tc>
          <w:tcPr>
            <w:tcW w:w="430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employees of the Company in the respective countries</w:t>
            </w:r>
          </w:p>
        </w:tc>
      </w:tr>
      <w:tr>
        <w:trPr>
          <w:trHeight w:val="191"/>
        </w:trPr>
        <w:tc>
          <w:tcPr>
            <w:tcW w:w="258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Benefits and</w:t>
            </w: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8"/>
              </w:rPr>
              <w:t>Retirement savings offered through participation in our</w:t>
            </w:r>
          </w:p>
        </w:tc>
      </w:tr>
      <w:tr>
        <w:trPr>
          <w:trHeight w:val="191"/>
        </w:trPr>
        <w:tc>
          <w:tcPr>
            <w:tcW w:w="258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Perquisites</w:t>
            </w: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w w:val="97"/>
              </w:rPr>
              <w:t>401(k) and non- qualified defined contribution plans for</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w w:val="95"/>
              </w:rPr>
              <w:t>eligible U.S. NEOs, similar to plans offered to other U.S.</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rPr>
              <w:t>employees</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Limited perquisites including financial planning, tax</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rPr>
              <w:t>assistance, use of company cars, club memberships,</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w w:val="89"/>
              </w:rPr>
              <w:t>executive physicals, and security services where necessary</w:t>
            </w:r>
          </w:p>
        </w:tc>
      </w:tr>
      <w:tr>
        <w:trPr>
          <w:trHeight w:val="191"/>
        </w:trPr>
        <w:tc>
          <w:tcPr>
            <w:tcW w:w="2580" w:type="dxa"/>
            <w:vAlign w:val="bottom"/>
            <w:shd w:val="clear" w:color="auto" w:fill="D7D8D6"/>
          </w:tcPr>
          <w:p>
            <w:pPr>
              <w:spacing w:after="0"/>
              <w:rPr>
                <w:sz w:val="16"/>
                <w:szCs w:val="16"/>
                <w:color w:val="auto"/>
              </w:rPr>
            </w:pPr>
          </w:p>
        </w:tc>
        <w:tc>
          <w:tcPr>
            <w:tcW w:w="4380" w:type="dxa"/>
            <w:vAlign w:val="bottom"/>
            <w:shd w:val="clear" w:color="auto" w:fill="D7D8D6"/>
          </w:tcPr>
          <w:p>
            <w:pPr>
              <w:spacing w:after="0"/>
              <w:rPr>
                <w:sz w:val="16"/>
                <w:szCs w:val="16"/>
                <w:color w:val="auto"/>
              </w:rPr>
            </w:pPr>
          </w:p>
        </w:tc>
        <w:tc>
          <w:tcPr>
            <w:tcW w:w="430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Limited participation in other programs dependent on</w:t>
            </w:r>
          </w:p>
        </w:tc>
      </w:tr>
      <w:tr>
        <w:trPr>
          <w:trHeight w:val="204"/>
        </w:trPr>
        <w:tc>
          <w:tcPr>
            <w:tcW w:w="2580" w:type="dxa"/>
            <w:vAlign w:val="bottom"/>
            <w:shd w:val="clear" w:color="auto" w:fill="D7D8D6"/>
          </w:tcPr>
          <w:p>
            <w:pPr>
              <w:spacing w:after="0"/>
              <w:rPr>
                <w:sz w:val="17"/>
                <w:szCs w:val="17"/>
                <w:color w:val="auto"/>
              </w:rPr>
            </w:pPr>
          </w:p>
        </w:tc>
        <w:tc>
          <w:tcPr>
            <w:tcW w:w="4380" w:type="dxa"/>
            <w:vAlign w:val="bottom"/>
            <w:shd w:val="clear" w:color="auto" w:fill="D7D8D6"/>
          </w:tcPr>
          <w:p>
            <w:pPr>
              <w:spacing w:after="0"/>
              <w:rPr>
                <w:sz w:val="17"/>
                <w:szCs w:val="17"/>
                <w:color w:val="auto"/>
              </w:rPr>
            </w:pPr>
          </w:p>
        </w:tc>
        <w:tc>
          <w:tcPr>
            <w:tcW w:w="4300" w:type="dxa"/>
            <w:vAlign w:val="bottom"/>
            <w:shd w:val="clear" w:color="auto" w:fill="D7D8D6"/>
          </w:tcPr>
          <w:p>
            <w:pPr>
              <w:ind w:left="500"/>
              <w:spacing w:after="0"/>
              <w:rPr>
                <w:sz w:val="20"/>
                <w:szCs w:val="20"/>
                <w:color w:val="auto"/>
              </w:rPr>
            </w:pPr>
            <w:r>
              <w:rPr>
                <w:rFonts w:ascii="Arial" w:cs="Arial" w:eastAsia="Arial" w:hAnsi="Arial"/>
                <w:sz w:val="16"/>
                <w:szCs w:val="16"/>
                <w:color w:val="333740"/>
              </w:rPr>
              <w:t>geography and tenure (non- U.S.-based NEO)</w:t>
            </w:r>
          </w:p>
        </w:tc>
      </w:tr>
      <w:tr>
        <w:trPr>
          <w:trHeight w:val="48"/>
        </w:trPr>
        <w:tc>
          <w:tcPr>
            <w:tcW w:w="2580" w:type="dxa"/>
            <w:vAlign w:val="bottom"/>
            <w:shd w:val="clear" w:color="auto" w:fill="D7D8D6"/>
          </w:tcPr>
          <w:p>
            <w:pPr>
              <w:spacing w:after="0"/>
              <w:rPr>
                <w:sz w:val="4"/>
                <w:szCs w:val="4"/>
                <w:color w:val="auto"/>
              </w:rPr>
            </w:pPr>
          </w:p>
        </w:tc>
        <w:tc>
          <w:tcPr>
            <w:tcW w:w="4380" w:type="dxa"/>
            <w:vAlign w:val="bottom"/>
            <w:shd w:val="clear" w:color="auto" w:fill="D7D8D6"/>
          </w:tcPr>
          <w:p>
            <w:pPr>
              <w:spacing w:after="0"/>
              <w:rPr>
                <w:sz w:val="4"/>
                <w:szCs w:val="4"/>
                <w:color w:val="auto"/>
              </w:rPr>
            </w:pPr>
          </w:p>
        </w:tc>
        <w:tc>
          <w:tcPr>
            <w:tcW w:w="4300" w:type="dxa"/>
            <w:vAlign w:val="bottom"/>
            <w:shd w:val="clear" w:color="auto" w:fill="D7D8D6"/>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-3103245</wp:posOffset>
            </wp:positionV>
            <wp:extent cx="7148195" cy="31038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8195" cy="3103880"/>
                    </a:xfrm>
                    <a:prstGeom prst="rect">
                      <a:avLst/>
                    </a:prstGeom>
                    <a:noFill/>
                  </pic:spPr>
                </pic:pic>
              </a:graphicData>
            </a:graphic>
          </wp:anchor>
        </w:drawing>
      </w:r>
    </w:p>
    <w:p>
      <w:pPr>
        <w:spacing w:after="0" w:line="191" w:lineRule="exact"/>
        <w:rPr>
          <w:sz w:val="20"/>
          <w:szCs w:val="20"/>
          <w:color w:val="auto"/>
        </w:rPr>
      </w:pPr>
    </w:p>
    <w:p>
      <w:pPr>
        <w:ind w:left="264" w:hanging="264"/>
        <w:spacing w:after="0"/>
        <w:tabs>
          <w:tab w:leader="none" w:pos="264" w:val="left"/>
        </w:tabs>
        <w:numPr>
          <w:ilvl w:val="0"/>
          <w:numId w:val="88"/>
        </w:numPr>
        <w:rPr>
          <w:rFonts w:ascii="Arial" w:cs="Arial" w:eastAsia="Arial" w:hAnsi="Arial"/>
          <w:sz w:val="13"/>
          <w:szCs w:val="13"/>
          <w:color w:val="333740"/>
        </w:rPr>
      </w:pPr>
      <w:r>
        <w:rPr>
          <w:rFonts w:ascii="Arial" w:cs="Arial" w:eastAsia="Arial" w:hAnsi="Arial"/>
          <w:sz w:val="13"/>
          <w:szCs w:val="13"/>
          <w:color w:val="333740"/>
        </w:rPr>
        <w:t>In 2019, the Board decided to remove stock options; beginning in 2020, equity awards will be a combination of only PSUs (70%) and RSUs (30%).</w:t>
      </w:r>
    </w:p>
    <w:p>
      <w:pPr>
        <w:spacing w:after="0" w:line="200" w:lineRule="exact"/>
        <w:rPr>
          <w:rFonts w:ascii="Arial" w:cs="Arial" w:eastAsia="Arial" w:hAnsi="Arial"/>
          <w:sz w:val="13"/>
          <w:szCs w:val="13"/>
          <w:color w:val="333740"/>
        </w:rPr>
      </w:pPr>
    </w:p>
    <w:p>
      <w:pPr>
        <w:spacing w:after="0" w:line="355" w:lineRule="exact"/>
        <w:rPr>
          <w:rFonts w:ascii="Arial" w:cs="Arial" w:eastAsia="Arial" w:hAnsi="Arial"/>
          <w:sz w:val="13"/>
          <w:szCs w:val="13"/>
          <w:color w:val="333740"/>
        </w:rPr>
      </w:pPr>
    </w:p>
    <w:p>
      <w:pPr>
        <w:ind w:left="4"/>
        <w:spacing w:after="0"/>
        <w:rPr>
          <w:rFonts w:ascii="Arial" w:cs="Arial" w:eastAsia="Arial" w:hAnsi="Arial"/>
          <w:sz w:val="13"/>
          <w:szCs w:val="13"/>
          <w:color w:val="333740"/>
        </w:rPr>
      </w:pPr>
      <w:r>
        <w:rPr>
          <w:rFonts w:ascii="Arial" w:cs="Arial" w:eastAsia="Arial" w:hAnsi="Arial"/>
          <w:sz w:val="13"/>
          <w:szCs w:val="13"/>
          <w:color w:val="auto"/>
        </w:rPr>
        <w:t>73</w:t>
      </w:r>
      <w:r>
        <w:rPr>
          <w:rFonts w:ascii="Arial" w:cs="Arial" w:eastAsia="Arial" w:hAnsi="Arial"/>
          <w:sz w:val="12"/>
          <w:szCs w:val="12"/>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148195" cy="152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74" w:name="page75"/>
    <w:bookmarkEnd w:id="74"/>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481F6E"/>
        </w:rPr>
        <w:t>Base Salary</w:t>
      </w:r>
    </w:p>
    <w:p>
      <w:pPr>
        <w:spacing w:after="0" w:line="105" w:lineRule="exact"/>
        <w:rPr>
          <w:sz w:val="20"/>
          <w:szCs w:val="20"/>
          <w:color w:val="auto"/>
        </w:rPr>
      </w:pPr>
    </w:p>
    <w:p>
      <w:pPr>
        <w:ind w:left="4" w:right="40"/>
        <w:spacing w:after="0" w:line="262" w:lineRule="auto"/>
        <w:rPr>
          <w:sz w:val="20"/>
          <w:szCs w:val="20"/>
          <w:color w:val="auto"/>
        </w:rPr>
      </w:pPr>
      <w:r>
        <w:rPr>
          <w:rFonts w:ascii="Arial" w:cs="Arial" w:eastAsia="Arial" w:hAnsi="Arial"/>
          <w:sz w:val="16"/>
          <w:szCs w:val="16"/>
          <w:color w:val="333740"/>
        </w:rPr>
        <w:t>We provide our NEOs with a market competitive base salary to compensate them for services performed during the year. We set base salary by referencing market median total target compensation. When setting an individual NEO’s base salary, we consider factors such as individual performance, experience, and contributions to the business, while staying within an appropriate range of the market median for the role.</w:t>
      </w:r>
    </w:p>
    <w:p>
      <w:pPr>
        <w:spacing w:after="0" w:line="162" w:lineRule="exact"/>
        <w:rPr>
          <w:sz w:val="20"/>
          <w:szCs w:val="20"/>
          <w:color w:val="auto"/>
        </w:rPr>
      </w:pPr>
    </w:p>
    <w:p>
      <w:pPr>
        <w:ind w:left="4" w:right="60"/>
        <w:spacing w:after="0" w:line="258" w:lineRule="auto"/>
        <w:rPr>
          <w:sz w:val="20"/>
          <w:szCs w:val="20"/>
          <w:color w:val="auto"/>
        </w:rPr>
      </w:pPr>
      <w:r>
        <w:rPr>
          <w:rFonts w:ascii="Arial" w:cs="Arial" w:eastAsia="Arial" w:hAnsi="Arial"/>
          <w:sz w:val="16"/>
          <w:szCs w:val="16"/>
          <w:color w:val="333740"/>
        </w:rPr>
        <w:t>The Compensation Committee reviews base salary for NEOs on an annual basis. For the CEO, the Compensation Committee determines and approves any changes, with input from the committee’s independent compensation consultant. For the other NEOs, the CEO recommends changes to the Compensation Committee with the support of the committee’s compensation consultant, and the Compensation Committee approves the changes. The NEOs do not participate in discussions or decisions relating to their own or the other NEOs’ compensation.</w:t>
      </w:r>
    </w:p>
    <w:p>
      <w:pPr>
        <w:spacing w:after="0" w:line="165" w:lineRule="exact"/>
        <w:rPr>
          <w:sz w:val="20"/>
          <w:szCs w:val="20"/>
          <w:color w:val="auto"/>
        </w:rPr>
      </w:pPr>
    </w:p>
    <w:p>
      <w:pPr>
        <w:ind w:left="4" w:right="60"/>
        <w:spacing w:after="0" w:line="317" w:lineRule="auto"/>
        <w:rPr>
          <w:sz w:val="20"/>
          <w:szCs w:val="20"/>
          <w:color w:val="auto"/>
        </w:rPr>
      </w:pPr>
      <w:r>
        <w:rPr>
          <w:rFonts w:ascii="Arial" w:cs="Arial" w:eastAsia="Arial" w:hAnsi="Arial"/>
          <w:sz w:val="14"/>
          <w:szCs w:val="14"/>
          <w:color w:val="333740"/>
        </w:rPr>
        <w:t>In 2019, the Compensation Committee approved base salary increases for Ms. Mannen, Ms. Ralston, and Mr. Uccelletti as provided below, based on a review of market median total target compensation data for the Global Peer Group as well as the Industry Peer Group. There was no increase in 2019 for Mr. Pferdehirt and Mr. Rounce — the market median total target compensation for each of them was assessed to be within the desired range. In addition, Mr. Rounce was recently hired in September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88265</wp:posOffset>
            </wp:positionV>
            <wp:extent cx="7620" cy="4171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20" cy="41719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88265</wp:posOffset>
            </wp:positionV>
            <wp:extent cx="7620" cy="4171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20" cy="417195"/>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88265</wp:posOffset>
            </wp:positionV>
            <wp:extent cx="7620" cy="4171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20" cy="417195"/>
                    </a:xfrm>
                    <a:prstGeom prst="rect">
                      <a:avLst/>
                    </a:prstGeom>
                    <a:noFill/>
                  </pic:spPr>
                </pic:pic>
              </a:graphicData>
            </a:graphic>
          </wp:anchor>
        </w:drawing>
      </w:r>
    </w:p>
    <w:p>
      <w:pPr>
        <w:spacing w:after="0" w:line="119" w:lineRule="exact"/>
        <w:rPr>
          <w:sz w:val="20"/>
          <w:szCs w:val="20"/>
          <w:color w:val="auto"/>
        </w:rPr>
      </w:pPr>
    </w:p>
    <w:tbl>
      <w:tblPr>
        <w:tblLayout w:type="fixed"/>
        <w:tblInd w:w="4" w:type="dxa"/>
        <w:tblCellMar>
          <w:top w:w="0" w:type="dxa"/>
          <w:left w:w="0" w:type="dxa"/>
          <w:bottom w:w="0" w:type="dxa"/>
          <w:right w:w="0" w:type="dxa"/>
        </w:tblCellMar>
      </w:tblPr>
      <w:tr>
        <w:trPr>
          <w:trHeight w:val="310"/>
        </w:trPr>
        <w:tc>
          <w:tcPr>
            <w:tcW w:w="3120" w:type="dxa"/>
            <w:vAlign w:val="bottom"/>
            <w:vMerge w:val="restart"/>
            <w:shd w:val="clear" w:color="auto" w:fill="481F6E"/>
          </w:tcPr>
          <w:p>
            <w:pPr>
              <w:ind w:left="40"/>
              <w:spacing w:after="0"/>
              <w:rPr>
                <w:sz w:val="20"/>
                <w:szCs w:val="20"/>
                <w:color w:val="auto"/>
              </w:rPr>
            </w:pPr>
            <w:r>
              <w:rPr>
                <w:rFonts w:ascii="Arial" w:cs="Arial" w:eastAsia="Arial" w:hAnsi="Arial"/>
                <w:sz w:val="16"/>
                <w:szCs w:val="16"/>
                <w:color w:val="FFFFFF"/>
              </w:rPr>
              <w:t>Named Executive Officer</w:t>
            </w:r>
          </w:p>
        </w:tc>
        <w:tc>
          <w:tcPr>
            <w:tcW w:w="3640" w:type="dxa"/>
            <w:vAlign w:val="bottom"/>
            <w:shd w:val="clear" w:color="auto" w:fill="481F6E"/>
          </w:tcPr>
          <w:p>
            <w:pPr>
              <w:jc w:val="right"/>
              <w:ind w:right="760"/>
              <w:spacing w:after="0"/>
              <w:rPr>
                <w:sz w:val="20"/>
                <w:szCs w:val="20"/>
                <w:color w:val="auto"/>
              </w:rPr>
            </w:pPr>
            <w:r>
              <w:rPr>
                <w:rFonts w:ascii="Arial" w:cs="Arial" w:eastAsia="Arial" w:hAnsi="Arial"/>
                <w:sz w:val="16"/>
                <w:szCs w:val="16"/>
                <w:color w:val="FFFFFF"/>
              </w:rPr>
              <w:t>Base Salary</w:t>
            </w:r>
          </w:p>
        </w:tc>
        <w:tc>
          <w:tcPr>
            <w:tcW w:w="3060" w:type="dxa"/>
            <w:vAlign w:val="bottom"/>
            <w:shd w:val="clear" w:color="auto" w:fill="481F6E"/>
          </w:tcPr>
          <w:p>
            <w:pPr>
              <w:jc w:val="right"/>
              <w:ind w:right="780"/>
              <w:spacing w:after="0"/>
              <w:rPr>
                <w:sz w:val="20"/>
                <w:szCs w:val="20"/>
                <w:color w:val="auto"/>
              </w:rPr>
            </w:pPr>
            <w:r>
              <w:rPr>
                <w:rFonts w:ascii="Arial" w:cs="Arial" w:eastAsia="Arial" w:hAnsi="Arial"/>
                <w:sz w:val="16"/>
                <w:szCs w:val="16"/>
                <w:color w:val="FFFFFF"/>
              </w:rPr>
              <w:t>Base Salary</w:t>
            </w:r>
          </w:p>
        </w:tc>
        <w:tc>
          <w:tcPr>
            <w:tcW w:w="1440" w:type="dxa"/>
            <w:vAlign w:val="bottom"/>
            <w:vMerge w:val="restart"/>
            <w:shd w:val="clear" w:color="auto" w:fill="481F6E"/>
          </w:tcPr>
          <w:p>
            <w:pPr>
              <w:jc w:val="right"/>
              <w:spacing w:after="0"/>
              <w:rPr>
                <w:sz w:val="20"/>
                <w:szCs w:val="20"/>
                <w:color w:val="auto"/>
              </w:rPr>
            </w:pPr>
            <w:r>
              <w:rPr>
                <w:rFonts w:ascii="Arial" w:cs="Arial" w:eastAsia="Arial" w:hAnsi="Arial"/>
                <w:sz w:val="16"/>
                <w:szCs w:val="16"/>
                <w:color w:val="FFFFFF"/>
              </w:rPr>
              <w:t>Increase</w:t>
            </w:r>
          </w:p>
        </w:tc>
        <w:tc>
          <w:tcPr>
            <w:tcW w:w="0" w:type="dxa"/>
            <w:vAlign w:val="bottom"/>
          </w:tcPr>
          <w:p>
            <w:pPr>
              <w:spacing w:after="0"/>
              <w:rPr>
                <w:sz w:val="1"/>
                <w:szCs w:val="1"/>
                <w:color w:val="auto"/>
              </w:rPr>
            </w:pPr>
          </w:p>
        </w:tc>
      </w:tr>
      <w:tr>
        <w:trPr>
          <w:trHeight w:val="120"/>
        </w:trPr>
        <w:tc>
          <w:tcPr>
            <w:tcW w:w="3120" w:type="dxa"/>
            <w:vAlign w:val="bottom"/>
            <w:vMerge w:val="continue"/>
            <w:shd w:val="clear" w:color="auto" w:fill="481F6E"/>
          </w:tcPr>
          <w:p>
            <w:pPr>
              <w:spacing w:after="0"/>
              <w:rPr>
                <w:sz w:val="10"/>
                <w:szCs w:val="10"/>
                <w:color w:val="auto"/>
              </w:rPr>
            </w:pPr>
          </w:p>
        </w:tc>
        <w:tc>
          <w:tcPr>
            <w:tcW w:w="3640" w:type="dxa"/>
            <w:vAlign w:val="bottom"/>
            <w:vMerge w:val="restart"/>
            <w:shd w:val="clear" w:color="auto" w:fill="481F6E"/>
          </w:tcPr>
          <w:p>
            <w:pPr>
              <w:jc w:val="right"/>
              <w:ind w:right="760"/>
              <w:spacing w:after="0"/>
              <w:rPr>
                <w:sz w:val="20"/>
                <w:szCs w:val="20"/>
                <w:color w:val="auto"/>
              </w:rPr>
            </w:pPr>
            <w:r>
              <w:rPr>
                <w:rFonts w:ascii="Arial" w:cs="Arial" w:eastAsia="Arial" w:hAnsi="Arial"/>
                <w:sz w:val="16"/>
                <w:szCs w:val="16"/>
                <w:color w:val="FFFFFF"/>
              </w:rPr>
              <w:t>(December 31, 2018)</w:t>
            </w:r>
          </w:p>
        </w:tc>
        <w:tc>
          <w:tcPr>
            <w:tcW w:w="3060" w:type="dxa"/>
            <w:vAlign w:val="bottom"/>
            <w:vMerge w:val="restart"/>
            <w:shd w:val="clear" w:color="auto" w:fill="481F6E"/>
          </w:tcPr>
          <w:p>
            <w:pPr>
              <w:jc w:val="right"/>
              <w:ind w:right="780"/>
              <w:spacing w:after="0"/>
              <w:rPr>
                <w:sz w:val="20"/>
                <w:szCs w:val="20"/>
                <w:color w:val="auto"/>
              </w:rPr>
            </w:pPr>
            <w:r>
              <w:rPr>
                <w:rFonts w:ascii="Arial" w:cs="Arial" w:eastAsia="Arial" w:hAnsi="Arial"/>
                <w:sz w:val="16"/>
                <w:szCs w:val="16"/>
                <w:color w:val="FFFFFF"/>
              </w:rPr>
              <w:t>(December 31, 2019)</w:t>
            </w:r>
          </w:p>
        </w:tc>
        <w:tc>
          <w:tcPr>
            <w:tcW w:w="1440" w:type="dxa"/>
            <w:vAlign w:val="bottom"/>
            <w:vMerge w:val="continue"/>
            <w:shd w:val="clear" w:color="auto" w:fill="481F6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120" w:type="dxa"/>
            <w:vAlign w:val="bottom"/>
            <w:shd w:val="clear" w:color="auto" w:fill="481F6E"/>
          </w:tcPr>
          <w:p>
            <w:pPr>
              <w:spacing w:after="0"/>
              <w:rPr>
                <w:sz w:val="8"/>
                <w:szCs w:val="8"/>
                <w:color w:val="auto"/>
              </w:rPr>
            </w:pPr>
          </w:p>
        </w:tc>
        <w:tc>
          <w:tcPr>
            <w:tcW w:w="3640" w:type="dxa"/>
            <w:vAlign w:val="bottom"/>
            <w:vMerge w:val="continue"/>
            <w:shd w:val="clear" w:color="auto" w:fill="481F6E"/>
          </w:tcPr>
          <w:p>
            <w:pPr>
              <w:spacing w:after="0"/>
              <w:rPr>
                <w:sz w:val="8"/>
                <w:szCs w:val="8"/>
                <w:color w:val="auto"/>
              </w:rPr>
            </w:pPr>
          </w:p>
        </w:tc>
        <w:tc>
          <w:tcPr>
            <w:tcW w:w="3060" w:type="dxa"/>
            <w:vAlign w:val="bottom"/>
            <w:vMerge w:val="continue"/>
            <w:shd w:val="clear" w:color="auto" w:fill="481F6E"/>
          </w:tcPr>
          <w:p>
            <w:pPr>
              <w:spacing w:after="0"/>
              <w:rPr>
                <w:sz w:val="8"/>
                <w:szCs w:val="8"/>
                <w:color w:val="auto"/>
              </w:rPr>
            </w:pPr>
          </w:p>
        </w:tc>
        <w:tc>
          <w:tcPr>
            <w:tcW w:w="1440" w:type="dxa"/>
            <w:vAlign w:val="bottom"/>
            <w:shd w:val="clear" w:color="auto" w:fill="481F6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120" w:type="dxa"/>
            <w:vAlign w:val="bottom"/>
            <w:shd w:val="clear" w:color="auto" w:fill="481F6E"/>
          </w:tcPr>
          <w:p>
            <w:pPr>
              <w:spacing w:after="0"/>
              <w:rPr>
                <w:sz w:val="11"/>
                <w:szCs w:val="11"/>
                <w:color w:val="auto"/>
              </w:rPr>
            </w:pPr>
          </w:p>
        </w:tc>
        <w:tc>
          <w:tcPr>
            <w:tcW w:w="3640" w:type="dxa"/>
            <w:vAlign w:val="bottom"/>
            <w:shd w:val="clear" w:color="auto" w:fill="481F6E"/>
          </w:tcPr>
          <w:p>
            <w:pPr>
              <w:spacing w:after="0"/>
              <w:rPr>
                <w:sz w:val="11"/>
                <w:szCs w:val="11"/>
                <w:color w:val="auto"/>
              </w:rPr>
            </w:pPr>
          </w:p>
        </w:tc>
        <w:tc>
          <w:tcPr>
            <w:tcW w:w="3060" w:type="dxa"/>
            <w:vAlign w:val="bottom"/>
            <w:shd w:val="clear" w:color="auto" w:fill="481F6E"/>
          </w:tcPr>
          <w:p>
            <w:pPr>
              <w:spacing w:after="0"/>
              <w:rPr>
                <w:sz w:val="11"/>
                <w:szCs w:val="11"/>
                <w:color w:val="auto"/>
              </w:rPr>
            </w:pPr>
          </w:p>
        </w:tc>
        <w:tc>
          <w:tcPr>
            <w:tcW w:w="1440" w:type="dxa"/>
            <w:vAlign w:val="bottom"/>
            <w:shd w:val="clear" w:color="auto" w:fill="481F6E"/>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40"/>
              <w:spacing w:after="0"/>
              <w:rPr>
                <w:sz w:val="20"/>
                <w:szCs w:val="20"/>
                <w:color w:val="auto"/>
              </w:rPr>
            </w:pPr>
            <w:r>
              <w:rPr>
                <w:rFonts w:ascii="Arial" w:cs="Arial" w:eastAsia="Arial" w:hAnsi="Arial"/>
                <w:sz w:val="16"/>
                <w:szCs w:val="16"/>
                <w:b w:val="1"/>
                <w:bCs w:val="1"/>
                <w:color w:val="333740"/>
              </w:rPr>
              <w:t>Douglas J. Pferdehirt</w:t>
            </w:r>
          </w:p>
        </w:tc>
        <w:tc>
          <w:tcPr>
            <w:tcW w:w="3640" w:type="dxa"/>
            <w:vAlign w:val="bottom"/>
          </w:tcPr>
          <w:p>
            <w:pPr>
              <w:jc w:val="right"/>
              <w:ind w:right="760"/>
              <w:spacing w:after="0"/>
              <w:rPr>
                <w:sz w:val="20"/>
                <w:szCs w:val="20"/>
                <w:color w:val="auto"/>
              </w:rPr>
            </w:pPr>
            <w:r>
              <w:rPr>
                <w:rFonts w:ascii="Arial" w:cs="Arial" w:eastAsia="Arial" w:hAnsi="Arial"/>
                <w:sz w:val="16"/>
                <w:szCs w:val="16"/>
                <w:color w:val="333740"/>
              </w:rPr>
              <w:t>$1,236,000</w:t>
            </w:r>
          </w:p>
        </w:tc>
        <w:tc>
          <w:tcPr>
            <w:tcW w:w="3060" w:type="dxa"/>
            <w:vAlign w:val="bottom"/>
          </w:tcPr>
          <w:p>
            <w:pPr>
              <w:jc w:val="right"/>
              <w:ind w:right="780"/>
              <w:spacing w:after="0"/>
              <w:rPr>
                <w:sz w:val="20"/>
                <w:szCs w:val="20"/>
                <w:color w:val="auto"/>
              </w:rPr>
            </w:pPr>
            <w:r>
              <w:rPr>
                <w:rFonts w:ascii="Arial" w:cs="Arial" w:eastAsia="Arial" w:hAnsi="Arial"/>
                <w:sz w:val="16"/>
                <w:szCs w:val="16"/>
                <w:color w:val="333740"/>
              </w:rPr>
              <w:t>$1,236,000</w:t>
            </w:r>
          </w:p>
        </w:tc>
        <w:tc>
          <w:tcPr>
            <w:tcW w:w="1440" w:type="dxa"/>
            <w:vAlign w:val="bottom"/>
          </w:tcPr>
          <w:p>
            <w:pPr>
              <w:jc w:val="right"/>
              <w:spacing w:after="0"/>
              <w:rPr>
                <w:sz w:val="20"/>
                <w:szCs w:val="20"/>
                <w:color w:val="auto"/>
              </w:rPr>
            </w:pPr>
            <w:r>
              <w:rPr>
                <w:rFonts w:ascii="Arial" w:cs="Arial" w:eastAsia="Arial" w:hAnsi="Arial"/>
                <w:sz w:val="16"/>
                <w:szCs w:val="16"/>
                <w:color w:val="333740"/>
              </w:rPr>
              <w:t>0%</w:t>
            </w:r>
          </w:p>
        </w:tc>
        <w:tc>
          <w:tcPr>
            <w:tcW w:w="0" w:type="dxa"/>
            <w:vAlign w:val="bottom"/>
          </w:tcPr>
          <w:p>
            <w:pPr>
              <w:spacing w:after="0"/>
              <w:rPr>
                <w:sz w:val="1"/>
                <w:szCs w:val="1"/>
                <w:color w:val="auto"/>
              </w:rPr>
            </w:pPr>
          </w:p>
        </w:tc>
      </w:tr>
      <w:tr>
        <w:trPr>
          <w:trHeight w:val="287"/>
        </w:trPr>
        <w:tc>
          <w:tcPr>
            <w:tcW w:w="3120" w:type="dxa"/>
            <w:vAlign w:val="bottom"/>
          </w:tcPr>
          <w:p>
            <w:pPr>
              <w:ind w:left="40"/>
              <w:spacing w:after="0"/>
              <w:rPr>
                <w:sz w:val="20"/>
                <w:szCs w:val="20"/>
                <w:color w:val="auto"/>
              </w:rPr>
            </w:pPr>
            <w:r>
              <w:rPr>
                <w:rFonts w:ascii="Arial" w:cs="Arial" w:eastAsia="Arial" w:hAnsi="Arial"/>
                <w:sz w:val="16"/>
                <w:szCs w:val="16"/>
                <w:b w:val="1"/>
                <w:bCs w:val="1"/>
                <w:color w:val="333740"/>
              </w:rPr>
              <w:t>Maryann T. Mannen</w:t>
            </w:r>
          </w:p>
        </w:tc>
        <w:tc>
          <w:tcPr>
            <w:tcW w:w="3640" w:type="dxa"/>
            <w:vAlign w:val="bottom"/>
          </w:tcPr>
          <w:p>
            <w:pPr>
              <w:jc w:val="right"/>
              <w:ind w:right="760"/>
              <w:spacing w:after="0"/>
              <w:rPr>
                <w:sz w:val="20"/>
                <w:szCs w:val="20"/>
                <w:color w:val="auto"/>
              </w:rPr>
            </w:pPr>
            <w:r>
              <w:rPr>
                <w:rFonts w:ascii="Arial" w:cs="Arial" w:eastAsia="Arial" w:hAnsi="Arial"/>
                <w:sz w:val="16"/>
                <w:szCs w:val="16"/>
                <w:color w:val="333740"/>
              </w:rPr>
              <w:t>$772,500</w:t>
            </w:r>
          </w:p>
        </w:tc>
        <w:tc>
          <w:tcPr>
            <w:tcW w:w="3060" w:type="dxa"/>
            <w:vAlign w:val="bottom"/>
          </w:tcPr>
          <w:p>
            <w:pPr>
              <w:jc w:val="right"/>
              <w:ind w:right="780"/>
              <w:spacing w:after="0"/>
              <w:rPr>
                <w:sz w:val="20"/>
                <w:szCs w:val="20"/>
                <w:color w:val="auto"/>
              </w:rPr>
            </w:pPr>
            <w:r>
              <w:rPr>
                <w:rFonts w:ascii="Arial" w:cs="Arial" w:eastAsia="Arial" w:hAnsi="Arial"/>
                <w:sz w:val="16"/>
                <w:szCs w:val="16"/>
                <w:color w:val="333740"/>
              </w:rPr>
              <w:t>$803,000</w:t>
            </w:r>
          </w:p>
        </w:tc>
        <w:tc>
          <w:tcPr>
            <w:tcW w:w="1440" w:type="dxa"/>
            <w:vAlign w:val="bottom"/>
          </w:tcPr>
          <w:p>
            <w:pPr>
              <w:jc w:val="right"/>
              <w:spacing w:after="0"/>
              <w:rPr>
                <w:sz w:val="20"/>
                <w:szCs w:val="20"/>
                <w:color w:val="auto"/>
              </w:rPr>
            </w:pPr>
            <w:r>
              <w:rPr>
                <w:rFonts w:ascii="Arial" w:cs="Arial" w:eastAsia="Arial" w:hAnsi="Arial"/>
                <w:sz w:val="16"/>
                <w:szCs w:val="16"/>
                <w:color w:val="333740"/>
              </w:rPr>
              <w:t>4%</w:t>
            </w:r>
          </w:p>
        </w:tc>
        <w:tc>
          <w:tcPr>
            <w:tcW w:w="0" w:type="dxa"/>
            <w:vAlign w:val="bottom"/>
          </w:tcPr>
          <w:p>
            <w:pPr>
              <w:spacing w:after="0"/>
              <w:rPr>
                <w:sz w:val="1"/>
                <w:szCs w:val="1"/>
                <w:color w:val="auto"/>
              </w:rPr>
            </w:pPr>
          </w:p>
        </w:tc>
      </w:tr>
      <w:tr>
        <w:trPr>
          <w:trHeight w:val="287"/>
        </w:trPr>
        <w:tc>
          <w:tcPr>
            <w:tcW w:w="3120" w:type="dxa"/>
            <w:vAlign w:val="bottom"/>
          </w:tcPr>
          <w:p>
            <w:pPr>
              <w:ind w:left="40"/>
              <w:spacing w:after="0"/>
              <w:rPr>
                <w:sz w:val="20"/>
                <w:szCs w:val="20"/>
                <w:color w:val="auto"/>
              </w:rPr>
            </w:pPr>
            <w:r>
              <w:rPr>
                <w:rFonts w:ascii="Arial" w:cs="Arial" w:eastAsia="Arial" w:hAnsi="Arial"/>
                <w:sz w:val="16"/>
                <w:szCs w:val="16"/>
                <w:b w:val="1"/>
                <w:bCs w:val="1"/>
                <w:color w:val="333740"/>
              </w:rPr>
              <w:t>Dianne B. Ralston</w:t>
            </w:r>
          </w:p>
        </w:tc>
        <w:tc>
          <w:tcPr>
            <w:tcW w:w="3640" w:type="dxa"/>
            <w:vAlign w:val="bottom"/>
          </w:tcPr>
          <w:p>
            <w:pPr>
              <w:jc w:val="right"/>
              <w:ind w:right="760"/>
              <w:spacing w:after="0"/>
              <w:rPr>
                <w:sz w:val="20"/>
                <w:szCs w:val="20"/>
                <w:color w:val="auto"/>
              </w:rPr>
            </w:pPr>
            <w:r>
              <w:rPr>
                <w:rFonts w:ascii="Arial" w:cs="Arial" w:eastAsia="Arial" w:hAnsi="Arial"/>
                <w:sz w:val="16"/>
                <w:szCs w:val="16"/>
                <w:color w:val="333740"/>
              </w:rPr>
              <w:t>$618,000</w:t>
            </w:r>
          </w:p>
        </w:tc>
        <w:tc>
          <w:tcPr>
            <w:tcW w:w="3060" w:type="dxa"/>
            <w:vAlign w:val="bottom"/>
          </w:tcPr>
          <w:p>
            <w:pPr>
              <w:jc w:val="right"/>
              <w:ind w:right="780"/>
              <w:spacing w:after="0"/>
              <w:rPr>
                <w:sz w:val="20"/>
                <w:szCs w:val="20"/>
                <w:color w:val="auto"/>
              </w:rPr>
            </w:pPr>
            <w:r>
              <w:rPr>
                <w:rFonts w:ascii="Arial" w:cs="Arial" w:eastAsia="Arial" w:hAnsi="Arial"/>
                <w:sz w:val="16"/>
                <w:szCs w:val="16"/>
                <w:color w:val="333740"/>
              </w:rPr>
              <w:t>$643,000</w:t>
            </w:r>
          </w:p>
        </w:tc>
        <w:tc>
          <w:tcPr>
            <w:tcW w:w="1440" w:type="dxa"/>
            <w:vAlign w:val="bottom"/>
          </w:tcPr>
          <w:p>
            <w:pPr>
              <w:jc w:val="right"/>
              <w:spacing w:after="0"/>
              <w:rPr>
                <w:sz w:val="20"/>
                <w:szCs w:val="20"/>
                <w:color w:val="auto"/>
              </w:rPr>
            </w:pPr>
            <w:r>
              <w:rPr>
                <w:rFonts w:ascii="Arial" w:cs="Arial" w:eastAsia="Arial" w:hAnsi="Arial"/>
                <w:sz w:val="16"/>
                <w:szCs w:val="16"/>
                <w:color w:val="333740"/>
              </w:rPr>
              <w:t>4%</w:t>
            </w:r>
          </w:p>
        </w:tc>
        <w:tc>
          <w:tcPr>
            <w:tcW w:w="0" w:type="dxa"/>
            <w:vAlign w:val="bottom"/>
          </w:tcPr>
          <w:p>
            <w:pPr>
              <w:spacing w:after="0"/>
              <w:rPr>
                <w:sz w:val="1"/>
                <w:szCs w:val="1"/>
                <w:color w:val="auto"/>
              </w:rPr>
            </w:pPr>
          </w:p>
        </w:tc>
      </w:tr>
      <w:tr>
        <w:trPr>
          <w:trHeight w:val="287"/>
        </w:trPr>
        <w:tc>
          <w:tcPr>
            <w:tcW w:w="3120" w:type="dxa"/>
            <w:vAlign w:val="bottom"/>
          </w:tcPr>
          <w:p>
            <w:pPr>
              <w:ind w:left="40"/>
              <w:spacing w:after="0"/>
              <w:rPr>
                <w:sz w:val="20"/>
                <w:szCs w:val="20"/>
                <w:color w:val="auto"/>
              </w:rPr>
            </w:pPr>
            <w:r>
              <w:rPr>
                <w:rFonts w:ascii="Arial" w:cs="Arial" w:eastAsia="Arial" w:hAnsi="Arial"/>
                <w:sz w:val="16"/>
                <w:szCs w:val="16"/>
                <w:b w:val="1"/>
                <w:bCs w:val="1"/>
                <w:color w:val="333740"/>
              </w:rPr>
              <w:t>Justin Rounce</w:t>
            </w:r>
          </w:p>
        </w:tc>
        <w:tc>
          <w:tcPr>
            <w:tcW w:w="3640" w:type="dxa"/>
            <w:vAlign w:val="bottom"/>
          </w:tcPr>
          <w:p>
            <w:pPr>
              <w:jc w:val="right"/>
              <w:ind w:right="760"/>
              <w:spacing w:after="0"/>
              <w:rPr>
                <w:sz w:val="20"/>
                <w:szCs w:val="20"/>
                <w:color w:val="auto"/>
              </w:rPr>
            </w:pPr>
            <w:r>
              <w:rPr>
                <w:rFonts w:ascii="Arial" w:cs="Arial" w:eastAsia="Arial" w:hAnsi="Arial"/>
                <w:sz w:val="16"/>
                <w:szCs w:val="16"/>
                <w:color w:val="333740"/>
              </w:rPr>
              <w:t>$600,000</w:t>
            </w:r>
          </w:p>
        </w:tc>
        <w:tc>
          <w:tcPr>
            <w:tcW w:w="3060" w:type="dxa"/>
            <w:vAlign w:val="bottom"/>
          </w:tcPr>
          <w:p>
            <w:pPr>
              <w:jc w:val="right"/>
              <w:ind w:right="780"/>
              <w:spacing w:after="0"/>
              <w:rPr>
                <w:sz w:val="20"/>
                <w:szCs w:val="20"/>
                <w:color w:val="auto"/>
              </w:rPr>
            </w:pPr>
            <w:r>
              <w:rPr>
                <w:rFonts w:ascii="Arial" w:cs="Arial" w:eastAsia="Arial" w:hAnsi="Arial"/>
                <w:sz w:val="16"/>
                <w:szCs w:val="16"/>
                <w:color w:val="333740"/>
              </w:rPr>
              <w:t>$600,000</w:t>
            </w:r>
          </w:p>
        </w:tc>
        <w:tc>
          <w:tcPr>
            <w:tcW w:w="1440" w:type="dxa"/>
            <w:vAlign w:val="bottom"/>
          </w:tcPr>
          <w:p>
            <w:pPr>
              <w:jc w:val="right"/>
              <w:spacing w:after="0"/>
              <w:rPr>
                <w:sz w:val="20"/>
                <w:szCs w:val="20"/>
                <w:color w:val="auto"/>
              </w:rPr>
            </w:pPr>
            <w:r>
              <w:rPr>
                <w:rFonts w:ascii="Arial" w:cs="Arial" w:eastAsia="Arial" w:hAnsi="Arial"/>
                <w:sz w:val="16"/>
                <w:szCs w:val="16"/>
                <w:color w:val="333740"/>
              </w:rPr>
              <w:t>0%</w:t>
            </w:r>
          </w:p>
        </w:tc>
        <w:tc>
          <w:tcPr>
            <w:tcW w:w="0" w:type="dxa"/>
            <w:vAlign w:val="bottom"/>
          </w:tcPr>
          <w:p>
            <w:pPr>
              <w:spacing w:after="0"/>
              <w:rPr>
                <w:sz w:val="1"/>
                <w:szCs w:val="1"/>
                <w:color w:val="auto"/>
              </w:rPr>
            </w:pPr>
          </w:p>
        </w:tc>
      </w:tr>
      <w:tr>
        <w:trPr>
          <w:trHeight w:val="287"/>
        </w:trPr>
        <w:tc>
          <w:tcPr>
            <w:tcW w:w="3120" w:type="dxa"/>
            <w:vAlign w:val="bottom"/>
          </w:tcPr>
          <w:p>
            <w:pPr>
              <w:ind w:left="40"/>
              <w:spacing w:after="0"/>
              <w:rPr>
                <w:sz w:val="20"/>
                <w:szCs w:val="20"/>
                <w:color w:val="auto"/>
              </w:rPr>
            </w:pPr>
            <w:r>
              <w:rPr>
                <w:rFonts w:ascii="Arial" w:cs="Arial" w:eastAsia="Arial" w:hAnsi="Arial"/>
                <w:sz w:val="16"/>
                <w:szCs w:val="16"/>
                <w:b w:val="1"/>
                <w:bCs w:val="1"/>
                <w:color w:val="333740"/>
              </w:rPr>
              <w:t>Nello Uccelletti</w:t>
            </w:r>
          </w:p>
        </w:tc>
        <w:tc>
          <w:tcPr>
            <w:tcW w:w="3640" w:type="dxa"/>
            <w:vAlign w:val="bottom"/>
          </w:tcPr>
          <w:p>
            <w:pPr>
              <w:jc w:val="right"/>
              <w:ind w:right="760"/>
              <w:spacing w:after="0"/>
              <w:rPr>
                <w:sz w:val="20"/>
                <w:szCs w:val="20"/>
                <w:color w:val="auto"/>
              </w:rPr>
            </w:pPr>
            <w:r>
              <w:rPr>
                <w:rFonts w:ascii="Arial" w:cs="Arial" w:eastAsia="Arial" w:hAnsi="Arial"/>
                <w:sz w:val="16"/>
                <w:szCs w:val="16"/>
                <w:color w:val="333740"/>
              </w:rPr>
              <w:t>$543,513</w:t>
            </w:r>
          </w:p>
        </w:tc>
        <w:tc>
          <w:tcPr>
            <w:tcW w:w="3060" w:type="dxa"/>
            <w:vAlign w:val="bottom"/>
          </w:tcPr>
          <w:p>
            <w:pPr>
              <w:jc w:val="right"/>
              <w:ind w:right="780"/>
              <w:spacing w:after="0"/>
              <w:rPr>
                <w:sz w:val="20"/>
                <w:szCs w:val="20"/>
                <w:color w:val="auto"/>
              </w:rPr>
            </w:pPr>
            <w:r>
              <w:rPr>
                <w:rFonts w:ascii="Arial" w:cs="Arial" w:eastAsia="Arial" w:hAnsi="Arial"/>
                <w:sz w:val="16"/>
                <w:szCs w:val="16"/>
                <w:color w:val="333740"/>
              </w:rPr>
              <w:t>$565,693</w:t>
            </w:r>
          </w:p>
        </w:tc>
        <w:tc>
          <w:tcPr>
            <w:tcW w:w="1440" w:type="dxa"/>
            <w:vAlign w:val="bottom"/>
          </w:tcPr>
          <w:p>
            <w:pPr>
              <w:jc w:val="right"/>
              <w:spacing w:after="0"/>
              <w:rPr>
                <w:sz w:val="20"/>
                <w:szCs w:val="20"/>
                <w:color w:val="auto"/>
              </w:rPr>
            </w:pPr>
            <w:r>
              <w:rPr>
                <w:rFonts w:ascii="Arial" w:cs="Arial" w:eastAsia="Arial" w:hAnsi="Arial"/>
                <w:sz w:val="16"/>
                <w:szCs w:val="16"/>
                <w:color w:val="333740"/>
              </w:rPr>
              <w:t>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481F6E"/>
        </w:rPr>
        <w:t>Annual Cash Incentive Bonus</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2019 Annual Cash Incentive Bonus Targets</w:t>
      </w:r>
    </w:p>
    <w:p>
      <w:pPr>
        <w:spacing w:after="0" w:line="107" w:lineRule="exact"/>
        <w:rPr>
          <w:sz w:val="20"/>
          <w:szCs w:val="20"/>
          <w:color w:val="auto"/>
        </w:rPr>
      </w:pPr>
    </w:p>
    <w:p>
      <w:pPr>
        <w:ind w:left="4" w:right="200"/>
        <w:spacing w:after="0" w:line="262" w:lineRule="auto"/>
        <w:rPr>
          <w:sz w:val="20"/>
          <w:szCs w:val="20"/>
          <w:color w:val="auto"/>
        </w:rPr>
      </w:pPr>
      <w:r>
        <w:rPr>
          <w:rFonts w:ascii="Arial" w:cs="Arial" w:eastAsia="Arial" w:hAnsi="Arial"/>
          <w:sz w:val="16"/>
          <w:szCs w:val="16"/>
          <w:color w:val="333740"/>
        </w:rPr>
        <w:t>We provide our NEOs with an annual cash incentive bonus, in order to drive and reward the achievement of short-term Company strategic goals and individual contributions. Each NEO has an annual cash incentive bonus target, set as a percentage of base salary. The NEO can earn from 0%-200% of their annual cash incentive bonus target, depending on performance.</w:t>
      </w:r>
    </w:p>
    <w:p>
      <w:pPr>
        <w:spacing w:after="0" w:line="162" w:lineRule="exact"/>
        <w:rPr>
          <w:sz w:val="20"/>
          <w:szCs w:val="20"/>
          <w:color w:val="auto"/>
        </w:rPr>
      </w:pPr>
    </w:p>
    <w:p>
      <w:pPr>
        <w:ind w:left="4" w:right="20"/>
        <w:spacing w:after="0" w:line="262" w:lineRule="auto"/>
        <w:rPr>
          <w:sz w:val="20"/>
          <w:szCs w:val="20"/>
          <w:color w:val="auto"/>
        </w:rPr>
      </w:pPr>
      <w:r>
        <w:rPr>
          <w:rFonts w:ascii="Arial" w:cs="Arial" w:eastAsia="Arial" w:hAnsi="Arial"/>
          <w:sz w:val="16"/>
          <w:szCs w:val="16"/>
          <w:color w:val="333740"/>
        </w:rPr>
        <w:t>The Compensation Committee reviews and approves target annual cash incentive bonus percentages for the NEOs on an annual basis, based on a review of market median total compensation data for our peers. The targets are set at appropriate levels to incentivize executive officers to achieve the short-term financial and operational goals for the Company, as well as to provide executive officers with market-competitive levels of total compensation.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color w:val="333740"/>
        </w:rPr>
        <w:t>The following were the 2019 annual cash incentive bonus targets for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133985</wp:posOffset>
            </wp:positionV>
            <wp:extent cx="7620" cy="2959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20" cy="295910"/>
                    </a:xfrm>
                    <a:prstGeom prst="rect">
                      <a:avLst/>
                    </a:prstGeom>
                    <a:noFill/>
                  </pic:spPr>
                </pic:pic>
              </a:graphicData>
            </a:graphic>
          </wp:anchor>
        </w:drawing>
        <w:drawing>
          <wp:anchor simplePos="0" relativeHeight="251657728" behindDoc="1" locked="0" layoutInCell="0" allowOverlap="1">
            <wp:simplePos x="0" y="0"/>
            <wp:positionH relativeFrom="column">
              <wp:posOffset>4234180</wp:posOffset>
            </wp:positionH>
            <wp:positionV relativeFrom="paragraph">
              <wp:posOffset>133985</wp:posOffset>
            </wp:positionV>
            <wp:extent cx="7620" cy="2959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20" cy="295910"/>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133985</wp:posOffset>
            </wp:positionV>
            <wp:extent cx="7620" cy="2959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20" cy="295910"/>
                    </a:xfrm>
                    <a:prstGeom prst="rect">
                      <a:avLst/>
                    </a:prstGeom>
                    <a:noFill/>
                  </pic:spPr>
                </pic:pic>
              </a:graphicData>
            </a:graphic>
          </wp:anchor>
        </w:drawing>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335"/>
        </w:trPr>
        <w:tc>
          <w:tcPr>
            <w:tcW w:w="3960" w:type="dxa"/>
            <w:vAlign w:val="bottom"/>
            <w:shd w:val="clear" w:color="auto" w:fill="481F6E"/>
          </w:tcPr>
          <w:p>
            <w:pPr>
              <w:ind w:left="40"/>
              <w:spacing w:after="0"/>
              <w:rPr>
                <w:sz w:val="20"/>
                <w:szCs w:val="20"/>
                <w:color w:val="auto"/>
              </w:rPr>
            </w:pPr>
            <w:r>
              <w:rPr>
                <w:rFonts w:ascii="Arial" w:cs="Arial" w:eastAsia="Arial" w:hAnsi="Arial"/>
                <w:sz w:val="16"/>
                <w:szCs w:val="16"/>
                <w:color w:val="FFFFFF"/>
              </w:rPr>
              <w:t>Named Executive Officer</w:t>
            </w:r>
          </w:p>
        </w:tc>
        <w:tc>
          <w:tcPr>
            <w:tcW w:w="3800" w:type="dxa"/>
            <w:vAlign w:val="bottom"/>
            <w:shd w:val="clear" w:color="auto" w:fill="481F6E"/>
          </w:tcPr>
          <w:p>
            <w:pPr>
              <w:jc w:val="right"/>
              <w:ind w:right="1060"/>
              <w:spacing w:after="0"/>
              <w:rPr>
                <w:sz w:val="20"/>
                <w:szCs w:val="20"/>
                <w:color w:val="auto"/>
              </w:rPr>
            </w:pPr>
            <w:r>
              <w:rPr>
                <w:rFonts w:ascii="Arial" w:cs="Arial" w:eastAsia="Arial" w:hAnsi="Arial"/>
                <w:sz w:val="16"/>
                <w:szCs w:val="16"/>
                <w:color w:val="FFFFFF"/>
              </w:rPr>
              <w:t>2018</w:t>
            </w:r>
          </w:p>
        </w:tc>
        <w:tc>
          <w:tcPr>
            <w:tcW w:w="2220" w:type="dxa"/>
            <w:vAlign w:val="bottom"/>
            <w:shd w:val="clear" w:color="auto" w:fill="481F6E"/>
          </w:tcPr>
          <w:p>
            <w:pPr>
              <w:jc w:val="right"/>
              <w:ind w:right="640"/>
              <w:spacing w:after="0"/>
              <w:rPr>
                <w:sz w:val="20"/>
                <w:szCs w:val="20"/>
                <w:color w:val="auto"/>
              </w:rPr>
            </w:pPr>
            <w:r>
              <w:rPr>
                <w:rFonts w:ascii="Arial" w:cs="Arial" w:eastAsia="Arial" w:hAnsi="Arial"/>
                <w:sz w:val="16"/>
                <w:szCs w:val="16"/>
                <w:color w:val="FFFFFF"/>
              </w:rPr>
              <w:t>2019</w:t>
            </w:r>
          </w:p>
        </w:tc>
        <w:tc>
          <w:tcPr>
            <w:tcW w:w="1280" w:type="dxa"/>
            <w:vAlign w:val="bottom"/>
            <w:shd w:val="clear" w:color="auto" w:fill="481F6E"/>
          </w:tcPr>
          <w:p>
            <w:pPr>
              <w:jc w:val="right"/>
              <w:spacing w:after="0"/>
              <w:rPr>
                <w:sz w:val="20"/>
                <w:szCs w:val="20"/>
                <w:color w:val="auto"/>
              </w:rPr>
            </w:pPr>
            <w:r>
              <w:rPr>
                <w:rFonts w:ascii="Arial" w:cs="Arial" w:eastAsia="Arial" w:hAnsi="Arial"/>
                <w:sz w:val="16"/>
                <w:szCs w:val="16"/>
                <w:color w:val="FFFFFF"/>
              </w:rPr>
              <w:t>Increase</w:t>
            </w:r>
          </w:p>
        </w:tc>
      </w:tr>
      <w:tr>
        <w:trPr>
          <w:trHeight w:val="131"/>
        </w:trPr>
        <w:tc>
          <w:tcPr>
            <w:tcW w:w="3960" w:type="dxa"/>
            <w:vAlign w:val="bottom"/>
            <w:shd w:val="clear" w:color="auto" w:fill="481F6E"/>
          </w:tcPr>
          <w:p>
            <w:pPr>
              <w:spacing w:after="0"/>
              <w:rPr>
                <w:sz w:val="11"/>
                <w:szCs w:val="11"/>
                <w:color w:val="auto"/>
              </w:rPr>
            </w:pPr>
          </w:p>
        </w:tc>
        <w:tc>
          <w:tcPr>
            <w:tcW w:w="3800" w:type="dxa"/>
            <w:vAlign w:val="bottom"/>
            <w:shd w:val="clear" w:color="auto" w:fill="481F6E"/>
          </w:tcPr>
          <w:p>
            <w:pPr>
              <w:spacing w:after="0"/>
              <w:rPr>
                <w:sz w:val="11"/>
                <w:szCs w:val="11"/>
                <w:color w:val="auto"/>
              </w:rPr>
            </w:pPr>
          </w:p>
        </w:tc>
        <w:tc>
          <w:tcPr>
            <w:tcW w:w="2220" w:type="dxa"/>
            <w:vAlign w:val="bottom"/>
            <w:shd w:val="clear" w:color="auto" w:fill="481F6E"/>
          </w:tcPr>
          <w:p>
            <w:pPr>
              <w:spacing w:after="0"/>
              <w:rPr>
                <w:sz w:val="11"/>
                <w:szCs w:val="11"/>
                <w:color w:val="auto"/>
              </w:rPr>
            </w:pPr>
          </w:p>
        </w:tc>
        <w:tc>
          <w:tcPr>
            <w:tcW w:w="1280" w:type="dxa"/>
            <w:vAlign w:val="bottom"/>
            <w:shd w:val="clear" w:color="auto" w:fill="481F6E"/>
          </w:tcPr>
          <w:p>
            <w:pPr>
              <w:spacing w:after="0"/>
              <w:rPr>
                <w:sz w:val="11"/>
                <w:szCs w:val="11"/>
                <w:color w:val="auto"/>
              </w:rPr>
            </w:pPr>
          </w:p>
        </w:tc>
      </w:tr>
      <w:tr>
        <w:trPr>
          <w:trHeight w:val="239"/>
        </w:trPr>
        <w:tc>
          <w:tcPr>
            <w:tcW w:w="3960" w:type="dxa"/>
            <w:vAlign w:val="bottom"/>
          </w:tcPr>
          <w:p>
            <w:pPr>
              <w:ind w:left="40"/>
              <w:spacing w:after="0"/>
              <w:rPr>
                <w:sz w:val="20"/>
                <w:szCs w:val="20"/>
                <w:color w:val="auto"/>
              </w:rPr>
            </w:pPr>
            <w:r>
              <w:rPr>
                <w:rFonts w:ascii="Arial" w:cs="Arial" w:eastAsia="Arial" w:hAnsi="Arial"/>
                <w:sz w:val="16"/>
                <w:szCs w:val="16"/>
                <w:b w:val="1"/>
                <w:bCs w:val="1"/>
                <w:color w:val="333740"/>
              </w:rPr>
              <w:t>Douglas J. Pferdehirt</w:t>
            </w:r>
          </w:p>
        </w:tc>
        <w:tc>
          <w:tcPr>
            <w:tcW w:w="3800" w:type="dxa"/>
            <w:vAlign w:val="bottom"/>
          </w:tcPr>
          <w:p>
            <w:pPr>
              <w:jc w:val="right"/>
              <w:ind w:right="1060"/>
              <w:spacing w:after="0"/>
              <w:rPr>
                <w:sz w:val="20"/>
                <w:szCs w:val="20"/>
                <w:color w:val="auto"/>
              </w:rPr>
            </w:pPr>
            <w:r>
              <w:rPr>
                <w:rFonts w:ascii="Arial" w:cs="Arial" w:eastAsia="Arial" w:hAnsi="Arial"/>
                <w:sz w:val="16"/>
                <w:szCs w:val="16"/>
                <w:color w:val="333740"/>
              </w:rPr>
              <w:t>135%</w:t>
            </w:r>
          </w:p>
        </w:tc>
        <w:tc>
          <w:tcPr>
            <w:tcW w:w="2220" w:type="dxa"/>
            <w:vAlign w:val="bottom"/>
          </w:tcPr>
          <w:p>
            <w:pPr>
              <w:jc w:val="right"/>
              <w:ind w:right="640"/>
              <w:spacing w:after="0"/>
              <w:rPr>
                <w:sz w:val="20"/>
                <w:szCs w:val="20"/>
                <w:color w:val="auto"/>
              </w:rPr>
            </w:pPr>
            <w:r>
              <w:rPr>
                <w:rFonts w:ascii="Arial" w:cs="Arial" w:eastAsia="Arial" w:hAnsi="Arial"/>
                <w:sz w:val="16"/>
                <w:szCs w:val="16"/>
                <w:color w:val="333740"/>
              </w:rPr>
              <w:t>135%</w:t>
            </w:r>
          </w:p>
        </w:tc>
        <w:tc>
          <w:tcPr>
            <w:tcW w:w="1280" w:type="dxa"/>
            <w:vAlign w:val="bottom"/>
          </w:tcPr>
          <w:p>
            <w:pPr>
              <w:jc w:val="right"/>
              <w:spacing w:after="0"/>
              <w:rPr>
                <w:sz w:val="20"/>
                <w:szCs w:val="20"/>
                <w:color w:val="auto"/>
              </w:rPr>
            </w:pPr>
            <w:r>
              <w:rPr>
                <w:rFonts w:ascii="Arial" w:cs="Arial" w:eastAsia="Arial" w:hAnsi="Arial"/>
                <w:sz w:val="16"/>
                <w:szCs w:val="16"/>
                <w:color w:val="333740"/>
              </w:rPr>
              <w:t>0%</w:t>
            </w:r>
          </w:p>
        </w:tc>
      </w:tr>
      <w:tr>
        <w:trPr>
          <w:trHeight w:val="287"/>
        </w:trPr>
        <w:tc>
          <w:tcPr>
            <w:tcW w:w="3960" w:type="dxa"/>
            <w:vAlign w:val="bottom"/>
          </w:tcPr>
          <w:p>
            <w:pPr>
              <w:ind w:left="40"/>
              <w:spacing w:after="0"/>
              <w:rPr>
                <w:sz w:val="20"/>
                <w:szCs w:val="20"/>
                <w:color w:val="auto"/>
              </w:rPr>
            </w:pPr>
            <w:r>
              <w:rPr>
                <w:rFonts w:ascii="Arial" w:cs="Arial" w:eastAsia="Arial" w:hAnsi="Arial"/>
                <w:sz w:val="16"/>
                <w:szCs w:val="16"/>
                <w:b w:val="1"/>
                <w:bCs w:val="1"/>
                <w:color w:val="333740"/>
              </w:rPr>
              <w:t>Maryann T. Mannen</w:t>
            </w:r>
          </w:p>
        </w:tc>
        <w:tc>
          <w:tcPr>
            <w:tcW w:w="3800" w:type="dxa"/>
            <w:vAlign w:val="bottom"/>
          </w:tcPr>
          <w:p>
            <w:pPr>
              <w:jc w:val="right"/>
              <w:ind w:right="1060"/>
              <w:spacing w:after="0"/>
              <w:rPr>
                <w:sz w:val="20"/>
                <w:szCs w:val="20"/>
                <w:color w:val="auto"/>
              </w:rPr>
            </w:pPr>
            <w:r>
              <w:rPr>
                <w:rFonts w:ascii="Arial" w:cs="Arial" w:eastAsia="Arial" w:hAnsi="Arial"/>
                <w:sz w:val="16"/>
                <w:szCs w:val="16"/>
                <w:color w:val="333740"/>
              </w:rPr>
              <w:t>100%</w:t>
            </w:r>
          </w:p>
        </w:tc>
        <w:tc>
          <w:tcPr>
            <w:tcW w:w="2220" w:type="dxa"/>
            <w:vAlign w:val="bottom"/>
          </w:tcPr>
          <w:p>
            <w:pPr>
              <w:jc w:val="right"/>
              <w:ind w:right="640"/>
              <w:spacing w:after="0"/>
              <w:rPr>
                <w:sz w:val="20"/>
                <w:szCs w:val="20"/>
                <w:color w:val="auto"/>
              </w:rPr>
            </w:pPr>
            <w:r>
              <w:rPr>
                <w:rFonts w:ascii="Arial" w:cs="Arial" w:eastAsia="Arial" w:hAnsi="Arial"/>
                <w:sz w:val="16"/>
                <w:szCs w:val="16"/>
                <w:color w:val="333740"/>
              </w:rPr>
              <w:t>100%</w:t>
            </w:r>
          </w:p>
        </w:tc>
        <w:tc>
          <w:tcPr>
            <w:tcW w:w="1280" w:type="dxa"/>
            <w:vAlign w:val="bottom"/>
          </w:tcPr>
          <w:p>
            <w:pPr>
              <w:jc w:val="right"/>
              <w:spacing w:after="0"/>
              <w:rPr>
                <w:sz w:val="20"/>
                <w:szCs w:val="20"/>
                <w:color w:val="auto"/>
              </w:rPr>
            </w:pPr>
            <w:r>
              <w:rPr>
                <w:rFonts w:ascii="Arial" w:cs="Arial" w:eastAsia="Arial" w:hAnsi="Arial"/>
                <w:sz w:val="16"/>
                <w:szCs w:val="16"/>
                <w:color w:val="333740"/>
              </w:rPr>
              <w:t>0%</w:t>
            </w:r>
          </w:p>
        </w:tc>
      </w:tr>
      <w:tr>
        <w:trPr>
          <w:trHeight w:val="287"/>
        </w:trPr>
        <w:tc>
          <w:tcPr>
            <w:tcW w:w="3960" w:type="dxa"/>
            <w:vAlign w:val="bottom"/>
          </w:tcPr>
          <w:p>
            <w:pPr>
              <w:ind w:left="40"/>
              <w:spacing w:after="0"/>
              <w:rPr>
                <w:sz w:val="20"/>
                <w:szCs w:val="20"/>
                <w:color w:val="auto"/>
              </w:rPr>
            </w:pPr>
            <w:r>
              <w:rPr>
                <w:rFonts w:ascii="Arial" w:cs="Arial" w:eastAsia="Arial" w:hAnsi="Arial"/>
                <w:sz w:val="16"/>
                <w:szCs w:val="16"/>
                <w:b w:val="1"/>
                <w:bCs w:val="1"/>
                <w:color w:val="333740"/>
              </w:rPr>
              <w:t>Dianne B. Ralston</w:t>
            </w:r>
          </w:p>
        </w:tc>
        <w:tc>
          <w:tcPr>
            <w:tcW w:w="3800" w:type="dxa"/>
            <w:vAlign w:val="bottom"/>
          </w:tcPr>
          <w:p>
            <w:pPr>
              <w:jc w:val="right"/>
              <w:ind w:right="1060"/>
              <w:spacing w:after="0"/>
              <w:rPr>
                <w:sz w:val="20"/>
                <w:szCs w:val="20"/>
                <w:color w:val="auto"/>
              </w:rPr>
            </w:pPr>
            <w:r>
              <w:rPr>
                <w:rFonts w:ascii="Arial" w:cs="Arial" w:eastAsia="Arial" w:hAnsi="Arial"/>
                <w:sz w:val="16"/>
                <w:szCs w:val="16"/>
                <w:color w:val="333740"/>
              </w:rPr>
              <w:t>100%</w:t>
            </w:r>
          </w:p>
        </w:tc>
        <w:tc>
          <w:tcPr>
            <w:tcW w:w="2220" w:type="dxa"/>
            <w:vAlign w:val="bottom"/>
          </w:tcPr>
          <w:p>
            <w:pPr>
              <w:jc w:val="right"/>
              <w:ind w:right="640"/>
              <w:spacing w:after="0"/>
              <w:rPr>
                <w:sz w:val="20"/>
                <w:szCs w:val="20"/>
                <w:color w:val="auto"/>
              </w:rPr>
            </w:pPr>
            <w:r>
              <w:rPr>
                <w:rFonts w:ascii="Arial" w:cs="Arial" w:eastAsia="Arial" w:hAnsi="Arial"/>
                <w:sz w:val="16"/>
                <w:szCs w:val="16"/>
                <w:color w:val="333740"/>
              </w:rPr>
              <w:t>100%</w:t>
            </w:r>
          </w:p>
        </w:tc>
        <w:tc>
          <w:tcPr>
            <w:tcW w:w="1280" w:type="dxa"/>
            <w:vAlign w:val="bottom"/>
          </w:tcPr>
          <w:p>
            <w:pPr>
              <w:jc w:val="right"/>
              <w:spacing w:after="0"/>
              <w:rPr>
                <w:sz w:val="20"/>
                <w:szCs w:val="20"/>
                <w:color w:val="auto"/>
              </w:rPr>
            </w:pPr>
            <w:r>
              <w:rPr>
                <w:rFonts w:ascii="Arial" w:cs="Arial" w:eastAsia="Arial" w:hAnsi="Arial"/>
                <w:sz w:val="16"/>
                <w:szCs w:val="16"/>
                <w:color w:val="333740"/>
              </w:rPr>
              <w:t>0%</w:t>
            </w:r>
          </w:p>
        </w:tc>
      </w:tr>
      <w:tr>
        <w:trPr>
          <w:trHeight w:val="287"/>
        </w:trPr>
        <w:tc>
          <w:tcPr>
            <w:tcW w:w="3960" w:type="dxa"/>
            <w:vAlign w:val="bottom"/>
          </w:tcPr>
          <w:p>
            <w:pPr>
              <w:ind w:left="40"/>
              <w:spacing w:after="0"/>
              <w:rPr>
                <w:sz w:val="20"/>
                <w:szCs w:val="20"/>
                <w:color w:val="auto"/>
              </w:rPr>
            </w:pPr>
            <w:r>
              <w:rPr>
                <w:rFonts w:ascii="Arial" w:cs="Arial" w:eastAsia="Arial" w:hAnsi="Arial"/>
                <w:sz w:val="16"/>
                <w:szCs w:val="16"/>
                <w:b w:val="1"/>
                <w:bCs w:val="1"/>
                <w:color w:val="333740"/>
              </w:rPr>
              <w:t>Justin Rounce</w:t>
            </w:r>
          </w:p>
        </w:tc>
        <w:tc>
          <w:tcPr>
            <w:tcW w:w="3800" w:type="dxa"/>
            <w:vAlign w:val="bottom"/>
          </w:tcPr>
          <w:p>
            <w:pPr>
              <w:jc w:val="right"/>
              <w:ind w:right="1060"/>
              <w:spacing w:after="0"/>
              <w:rPr>
                <w:sz w:val="20"/>
                <w:szCs w:val="20"/>
                <w:color w:val="auto"/>
              </w:rPr>
            </w:pPr>
            <w:r>
              <w:rPr>
                <w:rFonts w:ascii="Arial" w:cs="Arial" w:eastAsia="Arial" w:hAnsi="Arial"/>
                <w:sz w:val="16"/>
                <w:szCs w:val="16"/>
                <w:color w:val="333740"/>
              </w:rPr>
              <w:t>100%</w:t>
            </w:r>
          </w:p>
        </w:tc>
        <w:tc>
          <w:tcPr>
            <w:tcW w:w="2220" w:type="dxa"/>
            <w:vAlign w:val="bottom"/>
          </w:tcPr>
          <w:p>
            <w:pPr>
              <w:jc w:val="right"/>
              <w:ind w:right="640"/>
              <w:spacing w:after="0"/>
              <w:rPr>
                <w:sz w:val="20"/>
                <w:szCs w:val="20"/>
                <w:color w:val="auto"/>
              </w:rPr>
            </w:pPr>
            <w:r>
              <w:rPr>
                <w:rFonts w:ascii="Arial" w:cs="Arial" w:eastAsia="Arial" w:hAnsi="Arial"/>
                <w:sz w:val="16"/>
                <w:szCs w:val="16"/>
                <w:color w:val="333740"/>
              </w:rPr>
              <w:t>100%</w:t>
            </w:r>
          </w:p>
        </w:tc>
        <w:tc>
          <w:tcPr>
            <w:tcW w:w="1280" w:type="dxa"/>
            <w:vAlign w:val="bottom"/>
          </w:tcPr>
          <w:p>
            <w:pPr>
              <w:jc w:val="right"/>
              <w:spacing w:after="0"/>
              <w:rPr>
                <w:sz w:val="20"/>
                <w:szCs w:val="20"/>
                <w:color w:val="auto"/>
              </w:rPr>
            </w:pPr>
            <w:r>
              <w:rPr>
                <w:rFonts w:ascii="Arial" w:cs="Arial" w:eastAsia="Arial" w:hAnsi="Arial"/>
                <w:sz w:val="16"/>
                <w:szCs w:val="16"/>
                <w:color w:val="333740"/>
              </w:rPr>
              <w:t>0%</w:t>
            </w:r>
          </w:p>
        </w:tc>
      </w:tr>
      <w:tr>
        <w:trPr>
          <w:trHeight w:val="287"/>
        </w:trPr>
        <w:tc>
          <w:tcPr>
            <w:tcW w:w="3960" w:type="dxa"/>
            <w:vAlign w:val="bottom"/>
          </w:tcPr>
          <w:p>
            <w:pPr>
              <w:ind w:left="40"/>
              <w:spacing w:after="0"/>
              <w:rPr>
                <w:sz w:val="20"/>
                <w:szCs w:val="20"/>
                <w:color w:val="auto"/>
              </w:rPr>
            </w:pPr>
            <w:r>
              <w:rPr>
                <w:rFonts w:ascii="Arial" w:cs="Arial" w:eastAsia="Arial" w:hAnsi="Arial"/>
                <w:sz w:val="16"/>
                <w:szCs w:val="16"/>
                <w:b w:val="1"/>
                <w:bCs w:val="1"/>
                <w:color w:val="333740"/>
              </w:rPr>
              <w:t>Nello Uccelletti</w:t>
            </w:r>
          </w:p>
        </w:tc>
        <w:tc>
          <w:tcPr>
            <w:tcW w:w="3800" w:type="dxa"/>
            <w:vAlign w:val="bottom"/>
          </w:tcPr>
          <w:p>
            <w:pPr>
              <w:jc w:val="right"/>
              <w:ind w:right="1060"/>
              <w:spacing w:after="0"/>
              <w:rPr>
                <w:sz w:val="20"/>
                <w:szCs w:val="20"/>
                <w:color w:val="auto"/>
              </w:rPr>
            </w:pPr>
            <w:r>
              <w:rPr>
                <w:rFonts w:ascii="Arial" w:cs="Arial" w:eastAsia="Arial" w:hAnsi="Arial"/>
                <w:sz w:val="16"/>
                <w:szCs w:val="16"/>
                <w:color w:val="333740"/>
              </w:rPr>
              <w:t>100%</w:t>
            </w:r>
          </w:p>
        </w:tc>
        <w:tc>
          <w:tcPr>
            <w:tcW w:w="2220" w:type="dxa"/>
            <w:vAlign w:val="bottom"/>
          </w:tcPr>
          <w:p>
            <w:pPr>
              <w:jc w:val="right"/>
              <w:ind w:right="640"/>
              <w:spacing w:after="0"/>
              <w:rPr>
                <w:sz w:val="20"/>
                <w:szCs w:val="20"/>
                <w:color w:val="auto"/>
              </w:rPr>
            </w:pPr>
            <w:r>
              <w:rPr>
                <w:rFonts w:ascii="Arial" w:cs="Arial" w:eastAsia="Arial" w:hAnsi="Arial"/>
                <w:sz w:val="16"/>
                <w:szCs w:val="16"/>
                <w:color w:val="333740"/>
              </w:rPr>
              <w:t>100%</w:t>
            </w:r>
          </w:p>
        </w:tc>
        <w:tc>
          <w:tcPr>
            <w:tcW w:w="1280" w:type="dxa"/>
            <w:vAlign w:val="bottom"/>
          </w:tcPr>
          <w:p>
            <w:pPr>
              <w:jc w:val="right"/>
              <w:spacing w:after="0"/>
              <w:rPr>
                <w:sz w:val="20"/>
                <w:szCs w:val="20"/>
                <w:color w:val="auto"/>
              </w:rPr>
            </w:pPr>
            <w:r>
              <w:rPr>
                <w:rFonts w:ascii="Arial" w:cs="Arial" w:eastAsia="Arial" w:hAnsi="Arial"/>
                <w:sz w:val="16"/>
                <w:szCs w:val="16"/>
                <w:color w:val="333740"/>
              </w:rPr>
              <w:t>0%</w:t>
            </w:r>
          </w:p>
        </w:tc>
      </w:tr>
    </w:tbl>
    <w:p>
      <w:pPr>
        <w:spacing w:after="0" w:line="200" w:lineRule="exact"/>
        <w:rPr>
          <w:sz w:val="20"/>
          <w:szCs w:val="20"/>
          <w:color w:val="auto"/>
        </w:rPr>
      </w:pPr>
    </w:p>
    <w:p>
      <w:pPr>
        <w:spacing w:after="0" w:line="210" w:lineRule="exact"/>
        <w:rPr>
          <w:sz w:val="20"/>
          <w:szCs w:val="20"/>
          <w:color w:val="auto"/>
        </w:rPr>
      </w:pPr>
    </w:p>
    <w:p>
      <w:pPr>
        <w:ind w:left="564" w:hanging="564"/>
        <w:spacing w:after="0"/>
        <w:tabs>
          <w:tab w:leader="none" w:pos="564" w:val="left"/>
        </w:tabs>
        <w:numPr>
          <w:ilvl w:val="0"/>
          <w:numId w:val="89"/>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75" w:name="page76"/>
    <w:bookmarkEnd w:id="75"/>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2019 Annual Cash Incentive Bonus Performance Indicators</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5"/>
          <w:szCs w:val="15"/>
          <w:color w:val="333740"/>
        </w:rPr>
        <w:t>75% of the annual cash incentive bonus is based on business performance indicators (“</w:t>
      </w:r>
      <w:r>
        <w:rPr>
          <w:rFonts w:ascii="Arial" w:cs="Arial" w:eastAsia="Arial" w:hAnsi="Arial"/>
          <w:sz w:val="15"/>
          <w:szCs w:val="15"/>
          <w:b w:val="1"/>
          <w:bCs w:val="1"/>
          <w:color w:val="333740"/>
        </w:rPr>
        <w:t>BPI</w:t>
      </w:r>
      <w:r>
        <w:rPr>
          <w:rFonts w:ascii="Arial" w:cs="Arial" w:eastAsia="Arial" w:hAnsi="Arial"/>
          <w:sz w:val="15"/>
          <w:szCs w:val="15"/>
          <w:color w:val="333740"/>
        </w:rPr>
        <w:t>”), and 25% is based on individual annual performance indicators (“</w:t>
      </w:r>
      <w:r>
        <w:rPr>
          <w:rFonts w:ascii="Arial" w:cs="Arial" w:eastAsia="Arial" w:hAnsi="Arial"/>
          <w:sz w:val="15"/>
          <w:szCs w:val="15"/>
          <w:b w:val="1"/>
          <w:bCs w:val="1"/>
          <w:color w:val="333740"/>
        </w:rPr>
        <w:t>API</w:t>
      </w:r>
      <w:r>
        <w:rPr>
          <w:rFonts w:ascii="Arial" w:cs="Arial" w:eastAsia="Arial" w:hAnsi="Arial"/>
          <w:sz w:val="15"/>
          <w:szCs w:val="15"/>
          <w:color w:val="333740"/>
        </w:rPr>
        <w:t>”).</w:t>
      </w: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226"/>
        </w:trPr>
        <w:tc>
          <w:tcPr>
            <w:tcW w:w="5280" w:type="dxa"/>
            <w:vAlign w:val="bottom"/>
            <w:shd w:val="clear" w:color="auto" w:fill="481F6E"/>
          </w:tcPr>
          <w:p>
            <w:pPr>
              <w:jc w:val="center"/>
              <w:spacing w:after="0"/>
              <w:rPr>
                <w:sz w:val="20"/>
                <w:szCs w:val="20"/>
                <w:color w:val="auto"/>
              </w:rPr>
            </w:pPr>
            <w:r>
              <w:rPr>
                <w:rFonts w:ascii="Arial" w:cs="Arial" w:eastAsia="Arial" w:hAnsi="Arial"/>
                <w:sz w:val="16"/>
                <w:szCs w:val="16"/>
                <w:color w:val="FFFFFF"/>
                <w:w w:val="93"/>
              </w:rPr>
              <w:t>75% BPI</w:t>
            </w:r>
          </w:p>
        </w:tc>
        <w:tc>
          <w:tcPr>
            <w:tcW w:w="700" w:type="dxa"/>
            <w:vAlign w:val="bottom"/>
            <w:vMerge w:val="restart"/>
          </w:tcPr>
          <w:p>
            <w:pPr>
              <w:jc w:val="right"/>
              <w:ind w:right="49"/>
              <w:spacing w:after="0"/>
              <w:rPr>
                <w:sz w:val="20"/>
                <w:szCs w:val="20"/>
                <w:color w:val="auto"/>
              </w:rPr>
            </w:pPr>
            <w:r>
              <w:rPr>
                <w:rFonts w:ascii="Arial" w:cs="Arial" w:eastAsia="Arial" w:hAnsi="Arial"/>
                <w:sz w:val="38"/>
                <w:szCs w:val="38"/>
                <w:b w:val="1"/>
                <w:bCs w:val="1"/>
                <w:color w:val="333740"/>
              </w:rPr>
              <w:t>+</w:t>
            </w:r>
          </w:p>
        </w:tc>
        <w:tc>
          <w:tcPr>
            <w:tcW w:w="5280" w:type="dxa"/>
            <w:vAlign w:val="bottom"/>
            <w:shd w:val="clear" w:color="auto" w:fill="00B2EC"/>
          </w:tcPr>
          <w:p>
            <w:pPr>
              <w:jc w:val="center"/>
              <w:spacing w:after="0"/>
              <w:rPr>
                <w:sz w:val="20"/>
                <w:szCs w:val="20"/>
                <w:color w:val="auto"/>
              </w:rPr>
            </w:pPr>
            <w:r>
              <w:rPr>
                <w:rFonts w:ascii="Arial" w:cs="Arial" w:eastAsia="Arial" w:hAnsi="Arial"/>
                <w:sz w:val="16"/>
                <w:szCs w:val="16"/>
                <w:color w:val="FFFFFF"/>
                <w:w w:val="93"/>
              </w:rPr>
              <w:t>25% API</w:t>
            </w:r>
          </w:p>
        </w:tc>
        <w:tc>
          <w:tcPr>
            <w:tcW w:w="0" w:type="dxa"/>
            <w:vAlign w:val="bottom"/>
          </w:tcPr>
          <w:p>
            <w:pPr>
              <w:spacing w:after="0"/>
              <w:rPr>
                <w:sz w:val="1"/>
                <w:szCs w:val="1"/>
                <w:color w:val="auto"/>
              </w:rPr>
            </w:pPr>
          </w:p>
        </w:tc>
      </w:tr>
      <w:tr>
        <w:trPr>
          <w:trHeight w:val="191"/>
        </w:trPr>
        <w:tc>
          <w:tcPr>
            <w:tcW w:w="5280" w:type="dxa"/>
            <w:vAlign w:val="bottom"/>
            <w:shd w:val="clear" w:color="auto" w:fill="481F6E"/>
          </w:tcPr>
          <w:p>
            <w:pPr>
              <w:jc w:val="center"/>
              <w:spacing w:after="0"/>
              <w:rPr>
                <w:sz w:val="20"/>
                <w:szCs w:val="20"/>
                <w:color w:val="auto"/>
              </w:rPr>
            </w:pPr>
            <w:r>
              <w:rPr>
                <w:rFonts w:ascii="Arial" w:cs="Arial" w:eastAsia="Arial" w:hAnsi="Arial"/>
                <w:sz w:val="16"/>
                <w:szCs w:val="16"/>
                <w:color w:val="FFFFFF"/>
                <w:w w:val="90"/>
              </w:rPr>
              <w:t>Assessment of overall Company performance</w:t>
            </w:r>
          </w:p>
        </w:tc>
        <w:tc>
          <w:tcPr>
            <w:tcW w:w="700" w:type="dxa"/>
            <w:vAlign w:val="bottom"/>
            <w:vMerge w:val="continue"/>
          </w:tcPr>
          <w:p>
            <w:pPr>
              <w:spacing w:after="0"/>
              <w:rPr>
                <w:sz w:val="16"/>
                <w:szCs w:val="16"/>
                <w:color w:val="auto"/>
              </w:rPr>
            </w:pPr>
          </w:p>
        </w:tc>
        <w:tc>
          <w:tcPr>
            <w:tcW w:w="5280" w:type="dxa"/>
            <w:vAlign w:val="bottom"/>
            <w:shd w:val="clear" w:color="auto" w:fill="00B2EC"/>
          </w:tcPr>
          <w:p>
            <w:pPr>
              <w:jc w:val="center"/>
              <w:spacing w:after="0"/>
              <w:rPr>
                <w:sz w:val="20"/>
                <w:szCs w:val="20"/>
                <w:color w:val="auto"/>
              </w:rPr>
            </w:pPr>
            <w:r>
              <w:rPr>
                <w:rFonts w:ascii="Arial" w:cs="Arial" w:eastAsia="Arial" w:hAnsi="Arial"/>
                <w:sz w:val="16"/>
                <w:szCs w:val="16"/>
                <w:color w:val="FFFFFF"/>
                <w:w w:val="89"/>
              </w:rPr>
              <w:t>Assessment of individual performance based</w:t>
            </w:r>
          </w:p>
        </w:tc>
        <w:tc>
          <w:tcPr>
            <w:tcW w:w="0" w:type="dxa"/>
            <w:vAlign w:val="bottom"/>
          </w:tcPr>
          <w:p>
            <w:pPr>
              <w:spacing w:after="0"/>
              <w:rPr>
                <w:sz w:val="1"/>
                <w:szCs w:val="1"/>
                <w:color w:val="auto"/>
              </w:rPr>
            </w:pPr>
          </w:p>
        </w:tc>
      </w:tr>
      <w:tr>
        <w:trPr>
          <w:trHeight w:val="191"/>
        </w:trPr>
        <w:tc>
          <w:tcPr>
            <w:tcW w:w="5280" w:type="dxa"/>
            <w:vAlign w:val="bottom"/>
            <w:shd w:val="clear" w:color="auto" w:fill="481F6E"/>
          </w:tcPr>
          <w:p>
            <w:pPr>
              <w:jc w:val="center"/>
              <w:spacing w:after="0"/>
              <w:rPr>
                <w:sz w:val="20"/>
                <w:szCs w:val="20"/>
                <w:color w:val="auto"/>
              </w:rPr>
            </w:pPr>
            <w:r>
              <w:rPr>
                <w:rFonts w:ascii="Arial" w:cs="Arial" w:eastAsia="Arial" w:hAnsi="Arial"/>
                <w:sz w:val="16"/>
                <w:szCs w:val="16"/>
                <w:color w:val="FFFFFF"/>
                <w:w w:val="91"/>
              </w:rPr>
              <w:t>based on EBITDA. EBITDA as a Percentage of</w:t>
            </w:r>
          </w:p>
        </w:tc>
        <w:tc>
          <w:tcPr>
            <w:tcW w:w="700" w:type="dxa"/>
            <w:vAlign w:val="bottom"/>
            <w:vMerge w:val="continue"/>
          </w:tcPr>
          <w:p>
            <w:pPr>
              <w:spacing w:after="0"/>
              <w:rPr>
                <w:sz w:val="16"/>
                <w:szCs w:val="16"/>
                <w:color w:val="auto"/>
              </w:rPr>
            </w:pPr>
          </w:p>
        </w:tc>
        <w:tc>
          <w:tcPr>
            <w:tcW w:w="5280" w:type="dxa"/>
            <w:vAlign w:val="bottom"/>
            <w:shd w:val="clear" w:color="auto" w:fill="00B2EC"/>
          </w:tcPr>
          <w:p>
            <w:pPr>
              <w:jc w:val="center"/>
              <w:spacing w:after="0"/>
              <w:rPr>
                <w:sz w:val="20"/>
                <w:szCs w:val="20"/>
                <w:color w:val="auto"/>
              </w:rPr>
            </w:pPr>
            <w:r>
              <w:rPr>
                <w:rFonts w:ascii="Arial" w:cs="Arial" w:eastAsia="Arial" w:hAnsi="Arial"/>
                <w:sz w:val="16"/>
                <w:szCs w:val="16"/>
                <w:color w:val="FFFFFF"/>
                <w:w w:val="90"/>
              </w:rPr>
              <w:t>on qualitative factors reflected in each NEO’s</w:t>
            </w:r>
          </w:p>
        </w:tc>
        <w:tc>
          <w:tcPr>
            <w:tcW w:w="0" w:type="dxa"/>
            <w:vAlign w:val="bottom"/>
          </w:tcPr>
          <w:p>
            <w:pPr>
              <w:spacing w:after="0"/>
              <w:rPr>
                <w:sz w:val="1"/>
                <w:szCs w:val="1"/>
                <w:color w:val="auto"/>
              </w:rPr>
            </w:pPr>
          </w:p>
        </w:tc>
      </w:tr>
      <w:tr>
        <w:trPr>
          <w:trHeight w:val="204"/>
        </w:trPr>
        <w:tc>
          <w:tcPr>
            <w:tcW w:w="5280" w:type="dxa"/>
            <w:vAlign w:val="bottom"/>
            <w:shd w:val="clear" w:color="auto" w:fill="481F6E"/>
          </w:tcPr>
          <w:p>
            <w:pPr>
              <w:jc w:val="center"/>
              <w:spacing w:after="0"/>
              <w:rPr>
                <w:sz w:val="20"/>
                <w:szCs w:val="20"/>
                <w:color w:val="auto"/>
              </w:rPr>
            </w:pPr>
            <w:r>
              <w:rPr>
                <w:rFonts w:ascii="Arial" w:cs="Arial" w:eastAsia="Arial" w:hAnsi="Arial"/>
                <w:sz w:val="16"/>
                <w:szCs w:val="16"/>
                <w:color w:val="FFFFFF"/>
                <w:w w:val="89"/>
              </w:rPr>
              <w:t>Revenue, and Working Capital Days</w:t>
            </w:r>
          </w:p>
        </w:tc>
        <w:tc>
          <w:tcPr>
            <w:tcW w:w="700" w:type="dxa"/>
            <w:vAlign w:val="bottom"/>
          </w:tcPr>
          <w:p>
            <w:pPr>
              <w:spacing w:after="0"/>
              <w:rPr>
                <w:sz w:val="17"/>
                <w:szCs w:val="17"/>
                <w:color w:val="auto"/>
              </w:rPr>
            </w:pPr>
          </w:p>
        </w:tc>
        <w:tc>
          <w:tcPr>
            <w:tcW w:w="5280" w:type="dxa"/>
            <w:vAlign w:val="bottom"/>
            <w:shd w:val="clear" w:color="auto" w:fill="00B2EC"/>
          </w:tcPr>
          <w:p>
            <w:pPr>
              <w:jc w:val="center"/>
              <w:spacing w:after="0"/>
              <w:rPr>
                <w:sz w:val="20"/>
                <w:szCs w:val="20"/>
                <w:color w:val="auto"/>
              </w:rPr>
            </w:pPr>
            <w:r>
              <w:rPr>
                <w:rFonts w:ascii="Arial" w:cs="Arial" w:eastAsia="Arial" w:hAnsi="Arial"/>
                <w:sz w:val="16"/>
                <w:szCs w:val="16"/>
                <w:color w:val="FFFFFF"/>
                <w:w w:val="89"/>
              </w:rPr>
              <w:t>annual performance objectives</w:t>
            </w:r>
          </w:p>
        </w:tc>
        <w:tc>
          <w:tcPr>
            <w:tcW w:w="0" w:type="dxa"/>
            <w:vAlign w:val="bottom"/>
          </w:tcPr>
          <w:p>
            <w:pPr>
              <w:spacing w:after="0"/>
              <w:rPr>
                <w:sz w:val="1"/>
                <w:szCs w:val="1"/>
                <w:color w:val="auto"/>
              </w:rPr>
            </w:pPr>
          </w:p>
        </w:tc>
      </w:tr>
      <w:tr>
        <w:trPr>
          <w:trHeight w:val="48"/>
        </w:trPr>
        <w:tc>
          <w:tcPr>
            <w:tcW w:w="5280" w:type="dxa"/>
            <w:vAlign w:val="bottom"/>
            <w:shd w:val="clear" w:color="auto" w:fill="481F6E"/>
          </w:tcPr>
          <w:p>
            <w:pPr>
              <w:spacing w:after="0"/>
              <w:rPr>
                <w:sz w:val="4"/>
                <w:szCs w:val="4"/>
                <w:color w:val="auto"/>
              </w:rPr>
            </w:pPr>
          </w:p>
        </w:tc>
        <w:tc>
          <w:tcPr>
            <w:tcW w:w="700" w:type="dxa"/>
            <w:vAlign w:val="bottom"/>
          </w:tcPr>
          <w:p>
            <w:pPr>
              <w:spacing w:after="0"/>
              <w:rPr>
                <w:sz w:val="4"/>
                <w:szCs w:val="4"/>
                <w:color w:val="auto"/>
              </w:rPr>
            </w:pPr>
          </w:p>
        </w:tc>
        <w:tc>
          <w:tcPr>
            <w:tcW w:w="5280" w:type="dxa"/>
            <w:vAlign w:val="bottom"/>
            <w:shd w:val="clear" w:color="auto" w:fill="00B2EC"/>
          </w:tcPr>
          <w:p>
            <w:pPr>
              <w:spacing w:after="0"/>
              <w:rPr>
                <w:sz w:val="4"/>
                <w:szCs w:val="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color w:val="333740"/>
        </w:rPr>
        <w:t>The payout under both the BPI and API components may range from 0% to 200% of target depending on performance.</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BPI Component – 75% of Annual Cash Incentive Bonus</w:t>
      </w:r>
    </w:p>
    <w:p>
      <w:pPr>
        <w:spacing w:after="0" w:line="24" w:lineRule="exact"/>
        <w:rPr>
          <w:sz w:val="20"/>
          <w:szCs w:val="20"/>
          <w:color w:val="auto"/>
        </w:rPr>
      </w:pPr>
    </w:p>
    <w:p>
      <w:pPr>
        <w:ind w:left="4" w:right="100"/>
        <w:spacing w:after="0" w:line="330" w:lineRule="auto"/>
        <w:rPr>
          <w:sz w:val="20"/>
          <w:szCs w:val="20"/>
          <w:color w:val="auto"/>
        </w:rPr>
      </w:pPr>
      <w:r>
        <w:rPr>
          <w:rFonts w:ascii="Arial" w:cs="Arial" w:eastAsia="Arial" w:hAnsi="Arial"/>
          <w:sz w:val="14"/>
          <w:szCs w:val="14"/>
          <w:color w:val="333740"/>
        </w:rPr>
        <w:t>The Compensation Committee annually establishes BPI targets and reviews the performance measures at its February meeting. In 2019, the Compensation Committee selected three equally weighted measures, which reflected the Company’s strategic priorities: EBITDA, EBITDA as a Percentage of Revenue, and Working Capital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8195" cy="33464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8195" cy="3346450"/>
                    </a:xfrm>
                    <a:prstGeom prst="rect">
                      <a:avLst/>
                    </a:prstGeom>
                    <a:noFill/>
                  </pic:spPr>
                </pic:pic>
              </a:graphicData>
            </a:graphic>
          </wp:anchor>
        </w:drawing>
      </w:r>
    </w:p>
    <w:p>
      <w:pPr>
        <w:spacing w:after="0" w:line="111" w:lineRule="exact"/>
        <w:rPr>
          <w:sz w:val="20"/>
          <w:szCs w:val="20"/>
          <w:color w:val="auto"/>
        </w:rPr>
      </w:pPr>
    </w:p>
    <w:tbl>
      <w:tblPr>
        <w:tblLayout w:type="fixed"/>
        <w:tblInd w:w="4" w:type="dxa"/>
        <w:tblCellMar>
          <w:top w:w="0" w:type="dxa"/>
          <w:left w:w="0" w:type="dxa"/>
          <w:bottom w:w="0" w:type="dxa"/>
          <w:right w:w="0" w:type="dxa"/>
        </w:tblCellMar>
      </w:tblPr>
      <w:tr>
        <w:trPr>
          <w:trHeight w:val="322"/>
        </w:trPr>
        <w:tc>
          <w:tcPr>
            <w:tcW w:w="1860" w:type="dxa"/>
            <w:vAlign w:val="bottom"/>
            <w:shd w:val="clear" w:color="auto" w:fill="481F6E"/>
          </w:tcPr>
          <w:p>
            <w:pPr>
              <w:ind w:left="40"/>
              <w:spacing w:after="0"/>
              <w:rPr>
                <w:sz w:val="20"/>
                <w:szCs w:val="20"/>
                <w:color w:val="auto"/>
              </w:rPr>
            </w:pPr>
            <w:r>
              <w:rPr>
                <w:rFonts w:ascii="Arial" w:cs="Arial" w:eastAsia="Arial" w:hAnsi="Arial"/>
                <w:sz w:val="16"/>
                <w:szCs w:val="16"/>
                <w:color w:val="FFFFFF"/>
              </w:rPr>
              <w:t>BPI Measure</w:t>
            </w:r>
          </w:p>
        </w:tc>
        <w:tc>
          <w:tcPr>
            <w:tcW w:w="1360" w:type="dxa"/>
            <w:vAlign w:val="bottom"/>
            <w:vMerge w:val="restart"/>
            <w:shd w:val="clear" w:color="auto" w:fill="00B2EC"/>
          </w:tcPr>
          <w:p>
            <w:pPr>
              <w:jc w:val="center"/>
              <w:spacing w:after="0"/>
              <w:rPr>
                <w:sz w:val="20"/>
                <w:szCs w:val="20"/>
                <w:color w:val="auto"/>
              </w:rPr>
            </w:pPr>
            <w:r>
              <w:rPr>
                <w:rFonts w:ascii="Arial" w:cs="Arial" w:eastAsia="Arial" w:hAnsi="Arial"/>
                <w:sz w:val="16"/>
                <w:szCs w:val="16"/>
                <w:color w:val="FFFFFF"/>
                <w:w w:val="92"/>
              </w:rPr>
              <w:t>Weighting</w:t>
            </w:r>
          </w:p>
        </w:tc>
        <w:tc>
          <w:tcPr>
            <w:tcW w:w="1360" w:type="dxa"/>
            <w:vAlign w:val="bottom"/>
            <w:vMerge w:val="restart"/>
            <w:shd w:val="clear" w:color="auto" w:fill="00B2EC"/>
          </w:tcPr>
          <w:p>
            <w:pPr>
              <w:jc w:val="center"/>
              <w:spacing w:after="0"/>
              <w:rPr>
                <w:sz w:val="20"/>
                <w:szCs w:val="20"/>
                <w:color w:val="auto"/>
              </w:rPr>
            </w:pPr>
            <w:r>
              <w:rPr>
                <w:rFonts w:ascii="Arial" w:cs="Arial" w:eastAsia="Arial" w:hAnsi="Arial"/>
                <w:sz w:val="16"/>
                <w:szCs w:val="16"/>
                <w:color w:val="FFFFFF"/>
                <w:w w:val="92"/>
              </w:rPr>
              <w:t>2019 Goal</w:t>
            </w:r>
          </w:p>
        </w:tc>
        <w:tc>
          <w:tcPr>
            <w:tcW w:w="140" w:type="dxa"/>
            <w:vAlign w:val="bottom"/>
            <w:shd w:val="clear" w:color="auto" w:fill="00B2EC"/>
          </w:tcPr>
          <w:p>
            <w:pPr>
              <w:spacing w:after="0"/>
              <w:rPr>
                <w:sz w:val="24"/>
                <w:szCs w:val="24"/>
                <w:color w:val="auto"/>
              </w:rPr>
            </w:pPr>
          </w:p>
        </w:tc>
        <w:tc>
          <w:tcPr>
            <w:tcW w:w="2700" w:type="dxa"/>
            <w:vAlign w:val="bottom"/>
            <w:vMerge w:val="restart"/>
            <w:shd w:val="clear" w:color="auto" w:fill="00B2EC"/>
          </w:tcPr>
          <w:p>
            <w:pPr>
              <w:ind w:left="60"/>
              <w:spacing w:after="0"/>
              <w:rPr>
                <w:sz w:val="20"/>
                <w:szCs w:val="20"/>
                <w:color w:val="auto"/>
              </w:rPr>
            </w:pPr>
            <w:r>
              <w:rPr>
                <w:rFonts w:ascii="Arial" w:cs="Arial" w:eastAsia="Arial" w:hAnsi="Arial"/>
                <w:sz w:val="16"/>
                <w:szCs w:val="16"/>
                <w:color w:val="FFFFFF"/>
              </w:rPr>
              <w:t>Definition</w:t>
            </w:r>
          </w:p>
        </w:tc>
        <w:tc>
          <w:tcPr>
            <w:tcW w:w="3840" w:type="dxa"/>
            <w:vAlign w:val="bottom"/>
            <w:vMerge w:val="restart"/>
            <w:shd w:val="clear" w:color="auto" w:fill="D72930"/>
          </w:tcPr>
          <w:p>
            <w:pPr>
              <w:ind w:left="200"/>
              <w:spacing w:after="0"/>
              <w:rPr>
                <w:sz w:val="20"/>
                <w:szCs w:val="20"/>
                <w:color w:val="auto"/>
              </w:rPr>
            </w:pPr>
            <w:r>
              <w:rPr>
                <w:rFonts w:ascii="Arial" w:cs="Arial" w:eastAsia="Arial" w:hAnsi="Arial"/>
                <w:sz w:val="16"/>
                <w:szCs w:val="16"/>
                <w:color w:val="FFFFFF"/>
              </w:rPr>
              <w:t>Why It Matters</w:t>
            </w:r>
          </w:p>
        </w:tc>
        <w:tc>
          <w:tcPr>
            <w:tcW w:w="0" w:type="dxa"/>
            <w:vAlign w:val="bottom"/>
          </w:tcPr>
          <w:p>
            <w:pPr>
              <w:spacing w:after="0"/>
              <w:rPr>
                <w:sz w:val="1"/>
                <w:szCs w:val="1"/>
                <w:color w:val="auto"/>
              </w:rPr>
            </w:pPr>
          </w:p>
        </w:tc>
      </w:tr>
      <w:tr>
        <w:trPr>
          <w:trHeight w:val="108"/>
        </w:trPr>
        <w:tc>
          <w:tcPr>
            <w:tcW w:w="1860" w:type="dxa"/>
            <w:vAlign w:val="bottom"/>
            <w:vMerge w:val="restart"/>
            <w:shd w:val="clear" w:color="auto" w:fill="481F6E"/>
          </w:tcPr>
          <w:p>
            <w:pPr>
              <w:ind w:left="40"/>
              <w:spacing w:after="0"/>
              <w:rPr>
                <w:sz w:val="20"/>
                <w:szCs w:val="20"/>
                <w:color w:val="auto"/>
              </w:rPr>
            </w:pPr>
            <w:r>
              <w:rPr>
                <w:rFonts w:ascii="Arial" w:cs="Arial" w:eastAsia="Arial" w:hAnsi="Arial"/>
                <w:sz w:val="16"/>
                <w:szCs w:val="16"/>
                <w:color w:val="FFFFFF"/>
              </w:rPr>
              <w:t>(Weight)</w:t>
            </w:r>
          </w:p>
        </w:tc>
        <w:tc>
          <w:tcPr>
            <w:tcW w:w="1360" w:type="dxa"/>
            <w:vAlign w:val="bottom"/>
            <w:vMerge w:val="continue"/>
            <w:shd w:val="clear" w:color="auto" w:fill="00B2EC"/>
          </w:tcPr>
          <w:p>
            <w:pPr>
              <w:spacing w:after="0"/>
              <w:rPr>
                <w:sz w:val="9"/>
                <w:szCs w:val="9"/>
                <w:color w:val="auto"/>
              </w:rPr>
            </w:pPr>
          </w:p>
        </w:tc>
        <w:tc>
          <w:tcPr>
            <w:tcW w:w="1360" w:type="dxa"/>
            <w:vAlign w:val="bottom"/>
            <w:vMerge w:val="continue"/>
            <w:shd w:val="clear" w:color="auto" w:fill="00B2EC"/>
          </w:tcPr>
          <w:p>
            <w:pPr>
              <w:spacing w:after="0"/>
              <w:rPr>
                <w:sz w:val="9"/>
                <w:szCs w:val="9"/>
                <w:color w:val="auto"/>
              </w:rPr>
            </w:pPr>
          </w:p>
        </w:tc>
        <w:tc>
          <w:tcPr>
            <w:tcW w:w="140" w:type="dxa"/>
            <w:vAlign w:val="bottom"/>
            <w:shd w:val="clear" w:color="auto" w:fill="00B2EC"/>
          </w:tcPr>
          <w:p>
            <w:pPr>
              <w:spacing w:after="0"/>
              <w:rPr>
                <w:sz w:val="9"/>
                <w:szCs w:val="9"/>
                <w:color w:val="auto"/>
              </w:rPr>
            </w:pPr>
          </w:p>
        </w:tc>
        <w:tc>
          <w:tcPr>
            <w:tcW w:w="2700" w:type="dxa"/>
            <w:vAlign w:val="bottom"/>
            <w:vMerge w:val="continue"/>
            <w:shd w:val="clear" w:color="auto" w:fill="00B2EC"/>
          </w:tcPr>
          <w:p>
            <w:pPr>
              <w:spacing w:after="0"/>
              <w:rPr>
                <w:sz w:val="9"/>
                <w:szCs w:val="9"/>
                <w:color w:val="auto"/>
              </w:rPr>
            </w:pPr>
          </w:p>
        </w:tc>
        <w:tc>
          <w:tcPr>
            <w:tcW w:w="3840" w:type="dxa"/>
            <w:vAlign w:val="bottom"/>
            <w:vMerge w:val="continue"/>
            <w:shd w:val="clear" w:color="auto" w:fill="D72930"/>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860" w:type="dxa"/>
            <w:vAlign w:val="bottom"/>
            <w:vMerge w:val="continue"/>
            <w:shd w:val="clear" w:color="auto" w:fill="481F6E"/>
          </w:tcPr>
          <w:p>
            <w:pPr>
              <w:spacing w:after="0"/>
              <w:rPr>
                <w:sz w:val="8"/>
                <w:szCs w:val="8"/>
                <w:color w:val="auto"/>
              </w:rPr>
            </w:pPr>
          </w:p>
        </w:tc>
        <w:tc>
          <w:tcPr>
            <w:tcW w:w="1360" w:type="dxa"/>
            <w:vAlign w:val="bottom"/>
            <w:shd w:val="clear" w:color="auto" w:fill="00B2EC"/>
          </w:tcPr>
          <w:p>
            <w:pPr>
              <w:spacing w:after="0"/>
              <w:rPr>
                <w:sz w:val="8"/>
                <w:szCs w:val="8"/>
                <w:color w:val="auto"/>
              </w:rPr>
            </w:pPr>
          </w:p>
        </w:tc>
        <w:tc>
          <w:tcPr>
            <w:tcW w:w="1360" w:type="dxa"/>
            <w:vAlign w:val="bottom"/>
            <w:shd w:val="clear" w:color="auto" w:fill="00B2EC"/>
          </w:tcPr>
          <w:p>
            <w:pPr>
              <w:spacing w:after="0"/>
              <w:rPr>
                <w:sz w:val="8"/>
                <w:szCs w:val="8"/>
                <w:color w:val="auto"/>
              </w:rPr>
            </w:pPr>
          </w:p>
        </w:tc>
        <w:tc>
          <w:tcPr>
            <w:tcW w:w="140" w:type="dxa"/>
            <w:vAlign w:val="bottom"/>
            <w:shd w:val="clear" w:color="auto" w:fill="00B2EC"/>
          </w:tcPr>
          <w:p>
            <w:pPr>
              <w:spacing w:after="0"/>
              <w:rPr>
                <w:sz w:val="8"/>
                <w:szCs w:val="8"/>
                <w:color w:val="auto"/>
              </w:rPr>
            </w:pPr>
          </w:p>
        </w:tc>
        <w:tc>
          <w:tcPr>
            <w:tcW w:w="2700" w:type="dxa"/>
            <w:vAlign w:val="bottom"/>
            <w:shd w:val="clear" w:color="auto" w:fill="00B2EC"/>
          </w:tcPr>
          <w:p>
            <w:pPr>
              <w:spacing w:after="0"/>
              <w:rPr>
                <w:sz w:val="8"/>
                <w:szCs w:val="8"/>
                <w:color w:val="auto"/>
              </w:rPr>
            </w:pPr>
          </w:p>
        </w:tc>
        <w:tc>
          <w:tcPr>
            <w:tcW w:w="3840" w:type="dxa"/>
            <w:vAlign w:val="bottom"/>
            <w:shd w:val="clear" w:color="auto" w:fill="D72930"/>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860" w:type="dxa"/>
            <w:vAlign w:val="bottom"/>
            <w:shd w:val="clear" w:color="auto" w:fill="481F6E"/>
          </w:tcPr>
          <w:p>
            <w:pPr>
              <w:spacing w:after="0"/>
              <w:rPr>
                <w:sz w:val="11"/>
                <w:szCs w:val="11"/>
                <w:color w:val="auto"/>
              </w:rPr>
            </w:pPr>
          </w:p>
        </w:tc>
        <w:tc>
          <w:tcPr>
            <w:tcW w:w="1360" w:type="dxa"/>
            <w:vAlign w:val="bottom"/>
            <w:shd w:val="clear" w:color="auto" w:fill="00B2EC"/>
          </w:tcPr>
          <w:p>
            <w:pPr>
              <w:spacing w:after="0"/>
              <w:rPr>
                <w:sz w:val="11"/>
                <w:szCs w:val="11"/>
                <w:color w:val="auto"/>
              </w:rPr>
            </w:pPr>
          </w:p>
        </w:tc>
        <w:tc>
          <w:tcPr>
            <w:tcW w:w="1360" w:type="dxa"/>
            <w:vAlign w:val="bottom"/>
            <w:shd w:val="clear" w:color="auto" w:fill="00B2EC"/>
          </w:tcPr>
          <w:p>
            <w:pPr>
              <w:spacing w:after="0"/>
              <w:rPr>
                <w:sz w:val="11"/>
                <w:szCs w:val="11"/>
                <w:color w:val="auto"/>
              </w:rPr>
            </w:pPr>
          </w:p>
        </w:tc>
        <w:tc>
          <w:tcPr>
            <w:tcW w:w="140" w:type="dxa"/>
            <w:vAlign w:val="bottom"/>
            <w:shd w:val="clear" w:color="auto" w:fill="00B2EC"/>
          </w:tcPr>
          <w:p>
            <w:pPr>
              <w:spacing w:after="0"/>
              <w:rPr>
                <w:sz w:val="11"/>
                <w:szCs w:val="11"/>
                <w:color w:val="auto"/>
              </w:rPr>
            </w:pPr>
          </w:p>
        </w:tc>
        <w:tc>
          <w:tcPr>
            <w:tcW w:w="2700" w:type="dxa"/>
            <w:vAlign w:val="bottom"/>
            <w:shd w:val="clear" w:color="auto" w:fill="00B2EC"/>
          </w:tcPr>
          <w:p>
            <w:pPr>
              <w:spacing w:after="0"/>
              <w:rPr>
                <w:sz w:val="11"/>
                <w:szCs w:val="11"/>
                <w:color w:val="auto"/>
              </w:rPr>
            </w:pPr>
          </w:p>
        </w:tc>
        <w:tc>
          <w:tcPr>
            <w:tcW w:w="3840" w:type="dxa"/>
            <w:vAlign w:val="bottom"/>
            <w:shd w:val="clear" w:color="auto" w:fill="D72930"/>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1860" w:type="dxa"/>
            <w:vAlign w:val="bottom"/>
            <w:shd w:val="clear" w:color="auto" w:fill="D7D8D6"/>
          </w:tcPr>
          <w:p>
            <w:pPr>
              <w:ind w:left="40"/>
              <w:spacing w:after="0"/>
              <w:rPr>
                <w:sz w:val="20"/>
                <w:szCs w:val="20"/>
                <w:color w:val="auto"/>
              </w:rPr>
            </w:pPr>
            <w:r>
              <w:rPr>
                <w:rFonts w:ascii="Arial" w:cs="Arial" w:eastAsia="Arial" w:hAnsi="Arial"/>
                <w:sz w:val="16"/>
                <w:szCs w:val="16"/>
                <w:b w:val="1"/>
                <w:bCs w:val="1"/>
                <w:color w:val="333740"/>
              </w:rPr>
              <w:t>EBITDA ($M)</w:t>
            </w:r>
          </w:p>
        </w:tc>
        <w:tc>
          <w:tcPr>
            <w:tcW w:w="1360" w:type="dxa"/>
            <w:vAlign w:val="bottom"/>
            <w:shd w:val="clear" w:color="auto" w:fill="D7D8D6"/>
          </w:tcPr>
          <w:p>
            <w:pPr>
              <w:jc w:val="center"/>
              <w:spacing w:after="0"/>
              <w:rPr>
                <w:sz w:val="20"/>
                <w:szCs w:val="20"/>
                <w:color w:val="auto"/>
              </w:rPr>
            </w:pPr>
            <w:r>
              <w:rPr>
                <w:rFonts w:ascii="Arial" w:cs="Arial" w:eastAsia="Arial" w:hAnsi="Arial"/>
                <w:sz w:val="16"/>
                <w:szCs w:val="16"/>
                <w:color w:val="333740"/>
                <w:w w:val="87"/>
              </w:rPr>
              <w:t>25%</w:t>
            </w:r>
          </w:p>
        </w:tc>
        <w:tc>
          <w:tcPr>
            <w:tcW w:w="1360" w:type="dxa"/>
            <w:vAlign w:val="bottom"/>
            <w:shd w:val="clear" w:color="auto" w:fill="D7D8D6"/>
          </w:tcPr>
          <w:p>
            <w:pPr>
              <w:jc w:val="right"/>
              <w:ind w:right="380"/>
              <w:spacing w:after="0"/>
              <w:rPr>
                <w:sz w:val="20"/>
                <w:szCs w:val="20"/>
                <w:color w:val="auto"/>
              </w:rPr>
            </w:pPr>
            <w:r>
              <w:rPr>
                <w:rFonts w:ascii="Arial" w:cs="Arial" w:eastAsia="Arial" w:hAnsi="Arial"/>
                <w:sz w:val="16"/>
                <w:szCs w:val="16"/>
                <w:color w:val="333740"/>
              </w:rPr>
              <w:t>$1,531</w:t>
            </w:r>
          </w:p>
        </w:tc>
        <w:tc>
          <w:tcPr>
            <w:tcW w:w="140" w:type="dxa"/>
            <w:vAlign w:val="bottom"/>
            <w:shd w:val="clear" w:color="auto" w:fill="D7D8D6"/>
          </w:tcPr>
          <w:p>
            <w:pPr>
              <w:spacing w:after="0"/>
              <w:rPr>
                <w:sz w:val="19"/>
                <w:szCs w:val="19"/>
                <w:color w:val="auto"/>
              </w:rPr>
            </w:pPr>
          </w:p>
        </w:tc>
        <w:tc>
          <w:tcPr>
            <w:tcW w:w="2700" w:type="dxa"/>
            <w:vAlign w:val="bottom"/>
            <w:shd w:val="clear" w:color="auto" w:fill="D7D8D6"/>
          </w:tcPr>
          <w:p>
            <w:pPr>
              <w:ind w:left="60"/>
              <w:spacing w:after="0"/>
              <w:rPr>
                <w:sz w:val="20"/>
                <w:szCs w:val="20"/>
                <w:color w:val="auto"/>
              </w:rPr>
            </w:pPr>
            <w:r>
              <w:rPr>
                <w:rFonts w:ascii="Arial" w:cs="Arial" w:eastAsia="Arial" w:hAnsi="Arial"/>
                <w:sz w:val="16"/>
                <w:szCs w:val="16"/>
                <w:color w:val="333740"/>
              </w:rPr>
              <w:t>Earnings before interest,</w:t>
            </w: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Indicative of our operating</w:t>
            </w:r>
          </w:p>
        </w:tc>
        <w:tc>
          <w:tcPr>
            <w:tcW w:w="0" w:type="dxa"/>
            <w:vAlign w:val="bottom"/>
          </w:tcPr>
          <w:p>
            <w:pPr>
              <w:spacing w:after="0"/>
              <w:rPr>
                <w:sz w:val="1"/>
                <w:szCs w:val="1"/>
                <w:color w:val="auto"/>
              </w:rPr>
            </w:pPr>
          </w:p>
        </w:tc>
      </w:tr>
      <w:tr>
        <w:trPr>
          <w:trHeight w:val="191"/>
        </w:trPr>
        <w:tc>
          <w:tcPr>
            <w:tcW w:w="18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40" w:type="dxa"/>
            <w:vAlign w:val="bottom"/>
            <w:shd w:val="clear" w:color="auto" w:fill="D7D8D6"/>
          </w:tcPr>
          <w:p>
            <w:pPr>
              <w:spacing w:after="0"/>
              <w:rPr>
                <w:sz w:val="16"/>
                <w:szCs w:val="16"/>
                <w:color w:val="auto"/>
              </w:rPr>
            </w:pPr>
          </w:p>
        </w:tc>
        <w:tc>
          <w:tcPr>
            <w:tcW w:w="2700" w:type="dxa"/>
            <w:vAlign w:val="bottom"/>
            <w:shd w:val="clear" w:color="auto" w:fill="D7D8D6"/>
          </w:tcPr>
          <w:p>
            <w:pPr>
              <w:ind w:left="60"/>
              <w:spacing w:after="0"/>
              <w:rPr>
                <w:sz w:val="20"/>
                <w:szCs w:val="20"/>
                <w:color w:val="auto"/>
              </w:rPr>
            </w:pPr>
            <w:r>
              <w:rPr>
                <w:rFonts w:ascii="Arial" w:cs="Arial" w:eastAsia="Arial" w:hAnsi="Arial"/>
                <w:sz w:val="16"/>
                <w:szCs w:val="16"/>
                <w:color w:val="333740"/>
              </w:rPr>
              <w:t>taxes, depreciation, and</w:t>
            </w: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profitability and a driver of</w:t>
            </w:r>
          </w:p>
        </w:tc>
        <w:tc>
          <w:tcPr>
            <w:tcW w:w="0" w:type="dxa"/>
            <w:vAlign w:val="bottom"/>
          </w:tcPr>
          <w:p>
            <w:pPr>
              <w:spacing w:after="0"/>
              <w:rPr>
                <w:sz w:val="1"/>
                <w:szCs w:val="1"/>
                <w:color w:val="auto"/>
              </w:rPr>
            </w:pPr>
          </w:p>
        </w:tc>
      </w:tr>
      <w:tr>
        <w:trPr>
          <w:trHeight w:val="191"/>
        </w:trPr>
        <w:tc>
          <w:tcPr>
            <w:tcW w:w="18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40" w:type="dxa"/>
            <w:vAlign w:val="bottom"/>
            <w:shd w:val="clear" w:color="auto" w:fill="D7D8D6"/>
          </w:tcPr>
          <w:p>
            <w:pPr>
              <w:spacing w:after="0"/>
              <w:rPr>
                <w:sz w:val="16"/>
                <w:szCs w:val="16"/>
                <w:color w:val="auto"/>
              </w:rPr>
            </w:pPr>
          </w:p>
        </w:tc>
        <w:tc>
          <w:tcPr>
            <w:tcW w:w="2700" w:type="dxa"/>
            <w:vAlign w:val="bottom"/>
            <w:shd w:val="clear" w:color="auto" w:fill="D7D8D6"/>
          </w:tcPr>
          <w:p>
            <w:pPr>
              <w:ind w:left="60"/>
              <w:spacing w:after="0"/>
              <w:rPr>
                <w:sz w:val="20"/>
                <w:szCs w:val="20"/>
                <w:color w:val="auto"/>
              </w:rPr>
            </w:pPr>
            <w:r>
              <w:rPr>
                <w:rFonts w:ascii="Arial" w:cs="Arial" w:eastAsia="Arial" w:hAnsi="Arial"/>
                <w:sz w:val="16"/>
                <w:szCs w:val="16"/>
                <w:color w:val="333740"/>
              </w:rPr>
              <w:t>amortization</w:t>
            </w: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shareholder value creation; facilitates</w:t>
            </w:r>
          </w:p>
        </w:tc>
        <w:tc>
          <w:tcPr>
            <w:tcW w:w="0" w:type="dxa"/>
            <w:vAlign w:val="bottom"/>
          </w:tcPr>
          <w:p>
            <w:pPr>
              <w:spacing w:after="0"/>
              <w:rPr>
                <w:sz w:val="1"/>
                <w:szCs w:val="1"/>
                <w:color w:val="auto"/>
              </w:rPr>
            </w:pPr>
          </w:p>
        </w:tc>
      </w:tr>
      <w:tr>
        <w:trPr>
          <w:trHeight w:val="191"/>
        </w:trPr>
        <w:tc>
          <w:tcPr>
            <w:tcW w:w="18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40" w:type="dxa"/>
            <w:vAlign w:val="bottom"/>
            <w:shd w:val="clear" w:color="auto" w:fill="D7D8D6"/>
          </w:tcPr>
          <w:p>
            <w:pPr>
              <w:spacing w:after="0"/>
              <w:rPr>
                <w:sz w:val="16"/>
                <w:szCs w:val="16"/>
                <w:color w:val="auto"/>
              </w:rPr>
            </w:pPr>
          </w:p>
        </w:tc>
        <w:tc>
          <w:tcPr>
            <w:tcW w:w="2700" w:type="dxa"/>
            <w:vAlign w:val="bottom"/>
            <w:shd w:val="clear" w:color="auto" w:fill="D7D8D6"/>
          </w:tcPr>
          <w:p>
            <w:pPr>
              <w:spacing w:after="0"/>
              <w:rPr>
                <w:sz w:val="16"/>
                <w:szCs w:val="16"/>
                <w:color w:val="auto"/>
              </w:rPr>
            </w:pP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comparisons with peer companies</w:t>
            </w:r>
          </w:p>
        </w:tc>
        <w:tc>
          <w:tcPr>
            <w:tcW w:w="0" w:type="dxa"/>
            <w:vAlign w:val="bottom"/>
          </w:tcPr>
          <w:p>
            <w:pPr>
              <w:spacing w:after="0"/>
              <w:rPr>
                <w:sz w:val="1"/>
                <w:szCs w:val="1"/>
                <w:color w:val="auto"/>
              </w:rPr>
            </w:pPr>
          </w:p>
        </w:tc>
      </w:tr>
      <w:tr>
        <w:trPr>
          <w:trHeight w:val="191"/>
        </w:trPr>
        <w:tc>
          <w:tcPr>
            <w:tcW w:w="18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40" w:type="dxa"/>
            <w:vAlign w:val="bottom"/>
            <w:shd w:val="clear" w:color="auto" w:fill="D7D8D6"/>
          </w:tcPr>
          <w:p>
            <w:pPr>
              <w:spacing w:after="0"/>
              <w:rPr>
                <w:sz w:val="16"/>
                <w:szCs w:val="16"/>
                <w:color w:val="auto"/>
              </w:rPr>
            </w:pPr>
          </w:p>
        </w:tc>
        <w:tc>
          <w:tcPr>
            <w:tcW w:w="2700" w:type="dxa"/>
            <w:vAlign w:val="bottom"/>
            <w:shd w:val="clear" w:color="auto" w:fill="D7D8D6"/>
          </w:tcPr>
          <w:p>
            <w:pPr>
              <w:spacing w:after="0"/>
              <w:rPr>
                <w:sz w:val="16"/>
                <w:szCs w:val="16"/>
                <w:color w:val="auto"/>
              </w:rPr>
            </w:pP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by excluding the effect of different</w:t>
            </w:r>
          </w:p>
        </w:tc>
        <w:tc>
          <w:tcPr>
            <w:tcW w:w="0" w:type="dxa"/>
            <w:vAlign w:val="bottom"/>
          </w:tcPr>
          <w:p>
            <w:pPr>
              <w:spacing w:after="0"/>
              <w:rPr>
                <w:sz w:val="1"/>
                <w:szCs w:val="1"/>
                <w:color w:val="auto"/>
              </w:rPr>
            </w:pPr>
          </w:p>
        </w:tc>
      </w:tr>
      <w:tr>
        <w:trPr>
          <w:trHeight w:val="191"/>
        </w:trPr>
        <w:tc>
          <w:tcPr>
            <w:tcW w:w="18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40" w:type="dxa"/>
            <w:vAlign w:val="bottom"/>
            <w:shd w:val="clear" w:color="auto" w:fill="D7D8D6"/>
          </w:tcPr>
          <w:p>
            <w:pPr>
              <w:spacing w:after="0"/>
              <w:rPr>
                <w:sz w:val="16"/>
                <w:szCs w:val="16"/>
                <w:color w:val="auto"/>
              </w:rPr>
            </w:pPr>
          </w:p>
        </w:tc>
        <w:tc>
          <w:tcPr>
            <w:tcW w:w="2700" w:type="dxa"/>
            <w:vAlign w:val="bottom"/>
            <w:shd w:val="clear" w:color="auto" w:fill="D7D8D6"/>
          </w:tcPr>
          <w:p>
            <w:pPr>
              <w:spacing w:after="0"/>
              <w:rPr>
                <w:sz w:val="16"/>
                <w:szCs w:val="16"/>
                <w:color w:val="auto"/>
              </w:rPr>
            </w:pP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capital structures and financing</w:t>
            </w:r>
          </w:p>
        </w:tc>
        <w:tc>
          <w:tcPr>
            <w:tcW w:w="0" w:type="dxa"/>
            <w:vAlign w:val="bottom"/>
          </w:tcPr>
          <w:p>
            <w:pPr>
              <w:spacing w:after="0"/>
              <w:rPr>
                <w:sz w:val="1"/>
                <w:szCs w:val="1"/>
                <w:color w:val="auto"/>
              </w:rPr>
            </w:pPr>
          </w:p>
        </w:tc>
      </w:tr>
      <w:tr>
        <w:trPr>
          <w:trHeight w:val="204"/>
        </w:trPr>
        <w:tc>
          <w:tcPr>
            <w:tcW w:w="1860" w:type="dxa"/>
            <w:vAlign w:val="bottom"/>
            <w:shd w:val="clear" w:color="auto" w:fill="D7D8D6"/>
          </w:tcPr>
          <w:p>
            <w:pPr>
              <w:spacing w:after="0"/>
              <w:rPr>
                <w:sz w:val="17"/>
                <w:szCs w:val="17"/>
                <w:color w:val="auto"/>
              </w:rPr>
            </w:pPr>
          </w:p>
        </w:tc>
        <w:tc>
          <w:tcPr>
            <w:tcW w:w="1360" w:type="dxa"/>
            <w:vAlign w:val="bottom"/>
            <w:shd w:val="clear" w:color="auto" w:fill="D7D8D6"/>
          </w:tcPr>
          <w:p>
            <w:pPr>
              <w:spacing w:after="0"/>
              <w:rPr>
                <w:sz w:val="17"/>
                <w:szCs w:val="17"/>
                <w:color w:val="auto"/>
              </w:rPr>
            </w:pPr>
          </w:p>
        </w:tc>
        <w:tc>
          <w:tcPr>
            <w:tcW w:w="1360" w:type="dxa"/>
            <w:vAlign w:val="bottom"/>
            <w:shd w:val="clear" w:color="auto" w:fill="D7D8D6"/>
          </w:tcPr>
          <w:p>
            <w:pPr>
              <w:spacing w:after="0"/>
              <w:rPr>
                <w:sz w:val="17"/>
                <w:szCs w:val="17"/>
                <w:color w:val="auto"/>
              </w:rPr>
            </w:pPr>
          </w:p>
        </w:tc>
        <w:tc>
          <w:tcPr>
            <w:tcW w:w="140" w:type="dxa"/>
            <w:vAlign w:val="bottom"/>
            <w:shd w:val="clear" w:color="auto" w:fill="D7D8D6"/>
          </w:tcPr>
          <w:p>
            <w:pPr>
              <w:spacing w:after="0"/>
              <w:rPr>
                <w:sz w:val="17"/>
                <w:szCs w:val="17"/>
                <w:color w:val="auto"/>
              </w:rPr>
            </w:pPr>
          </w:p>
        </w:tc>
        <w:tc>
          <w:tcPr>
            <w:tcW w:w="2700" w:type="dxa"/>
            <w:vAlign w:val="bottom"/>
            <w:shd w:val="clear" w:color="auto" w:fill="D7D8D6"/>
          </w:tcPr>
          <w:p>
            <w:pPr>
              <w:spacing w:after="0"/>
              <w:rPr>
                <w:sz w:val="17"/>
                <w:szCs w:val="17"/>
                <w:color w:val="auto"/>
              </w:rPr>
            </w:pP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decisions</w:t>
            </w:r>
          </w:p>
        </w:tc>
        <w:tc>
          <w:tcPr>
            <w:tcW w:w="0" w:type="dxa"/>
            <w:vAlign w:val="bottom"/>
          </w:tcPr>
          <w:p>
            <w:pPr>
              <w:spacing w:after="0"/>
              <w:rPr>
                <w:sz w:val="1"/>
                <w:szCs w:val="1"/>
                <w:color w:val="auto"/>
              </w:rPr>
            </w:pPr>
          </w:p>
        </w:tc>
      </w:tr>
      <w:tr>
        <w:trPr>
          <w:trHeight w:val="569"/>
        </w:trPr>
        <w:tc>
          <w:tcPr>
            <w:tcW w:w="1860" w:type="dxa"/>
            <w:vAlign w:val="bottom"/>
            <w:shd w:val="clear" w:color="auto" w:fill="D7D8D6"/>
          </w:tcPr>
          <w:p>
            <w:pPr>
              <w:ind w:left="40"/>
              <w:spacing w:after="0"/>
              <w:rPr>
                <w:sz w:val="20"/>
                <w:szCs w:val="20"/>
                <w:color w:val="auto"/>
              </w:rPr>
            </w:pPr>
            <w:r>
              <w:rPr>
                <w:rFonts w:ascii="Arial" w:cs="Arial" w:eastAsia="Arial" w:hAnsi="Arial"/>
                <w:sz w:val="16"/>
                <w:szCs w:val="16"/>
                <w:b w:val="1"/>
                <w:bCs w:val="1"/>
                <w:color w:val="333740"/>
              </w:rPr>
              <w:t>EBITDA as a</w:t>
            </w:r>
          </w:p>
        </w:tc>
        <w:tc>
          <w:tcPr>
            <w:tcW w:w="1360" w:type="dxa"/>
            <w:vAlign w:val="bottom"/>
            <w:shd w:val="clear" w:color="auto" w:fill="D7D8D6"/>
          </w:tcPr>
          <w:p>
            <w:pPr>
              <w:jc w:val="center"/>
              <w:spacing w:after="0"/>
              <w:rPr>
                <w:sz w:val="20"/>
                <w:szCs w:val="20"/>
                <w:color w:val="auto"/>
              </w:rPr>
            </w:pPr>
            <w:r>
              <w:rPr>
                <w:rFonts w:ascii="Arial" w:cs="Arial" w:eastAsia="Arial" w:hAnsi="Arial"/>
                <w:sz w:val="16"/>
                <w:szCs w:val="16"/>
                <w:color w:val="333740"/>
                <w:w w:val="87"/>
              </w:rPr>
              <w:t>25%</w:t>
            </w:r>
          </w:p>
        </w:tc>
        <w:tc>
          <w:tcPr>
            <w:tcW w:w="1360" w:type="dxa"/>
            <w:vAlign w:val="bottom"/>
            <w:shd w:val="clear" w:color="auto" w:fill="D7D8D6"/>
          </w:tcPr>
          <w:p>
            <w:pPr>
              <w:jc w:val="right"/>
              <w:ind w:right="400"/>
              <w:spacing w:after="0"/>
              <w:rPr>
                <w:sz w:val="20"/>
                <w:szCs w:val="20"/>
                <w:color w:val="auto"/>
              </w:rPr>
            </w:pPr>
            <w:r>
              <w:rPr>
                <w:rFonts w:ascii="Arial" w:cs="Arial" w:eastAsia="Arial" w:hAnsi="Arial"/>
                <w:sz w:val="16"/>
                <w:szCs w:val="16"/>
                <w:color w:val="333740"/>
              </w:rPr>
              <w:t>11.4%</w:t>
            </w:r>
          </w:p>
        </w:tc>
        <w:tc>
          <w:tcPr>
            <w:tcW w:w="140" w:type="dxa"/>
            <w:vAlign w:val="bottom"/>
            <w:shd w:val="clear" w:color="auto" w:fill="D7D8D6"/>
          </w:tcPr>
          <w:p>
            <w:pPr>
              <w:spacing w:after="0"/>
              <w:rPr>
                <w:sz w:val="24"/>
                <w:szCs w:val="24"/>
                <w:color w:val="auto"/>
              </w:rPr>
            </w:pPr>
          </w:p>
        </w:tc>
        <w:tc>
          <w:tcPr>
            <w:tcW w:w="2700" w:type="dxa"/>
            <w:vAlign w:val="bottom"/>
            <w:shd w:val="clear" w:color="auto" w:fill="D7D8D6"/>
          </w:tcPr>
          <w:p>
            <w:pPr>
              <w:ind w:left="60"/>
              <w:spacing w:after="0"/>
              <w:rPr>
                <w:sz w:val="20"/>
                <w:szCs w:val="20"/>
                <w:color w:val="auto"/>
              </w:rPr>
            </w:pPr>
            <w:r>
              <w:rPr>
                <w:rFonts w:ascii="Arial" w:cs="Arial" w:eastAsia="Arial" w:hAnsi="Arial"/>
                <w:sz w:val="16"/>
                <w:szCs w:val="16"/>
                <w:color w:val="333740"/>
              </w:rPr>
              <w:t>Earnings before interest,</w:t>
            </w: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Reflects the performance and</w:t>
            </w:r>
          </w:p>
        </w:tc>
        <w:tc>
          <w:tcPr>
            <w:tcW w:w="0" w:type="dxa"/>
            <w:vAlign w:val="bottom"/>
          </w:tcPr>
          <w:p>
            <w:pPr>
              <w:spacing w:after="0"/>
              <w:rPr>
                <w:sz w:val="1"/>
                <w:szCs w:val="1"/>
                <w:color w:val="auto"/>
              </w:rPr>
            </w:pPr>
          </w:p>
        </w:tc>
      </w:tr>
      <w:tr>
        <w:trPr>
          <w:trHeight w:val="191"/>
        </w:trPr>
        <w:tc>
          <w:tcPr>
            <w:tcW w:w="1860" w:type="dxa"/>
            <w:vAlign w:val="bottom"/>
            <w:shd w:val="clear" w:color="auto" w:fill="D7D8D6"/>
          </w:tcPr>
          <w:p>
            <w:pPr>
              <w:ind w:left="40"/>
              <w:spacing w:after="0"/>
              <w:rPr>
                <w:sz w:val="20"/>
                <w:szCs w:val="20"/>
                <w:color w:val="auto"/>
              </w:rPr>
            </w:pPr>
            <w:r>
              <w:rPr>
                <w:rFonts w:ascii="Arial" w:cs="Arial" w:eastAsia="Arial" w:hAnsi="Arial"/>
                <w:sz w:val="16"/>
                <w:szCs w:val="16"/>
                <w:b w:val="1"/>
                <w:bCs w:val="1"/>
                <w:color w:val="333740"/>
              </w:rPr>
              <w:t>Percentage of</w:t>
            </w:r>
          </w:p>
        </w:tc>
        <w:tc>
          <w:tcPr>
            <w:tcW w:w="13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40" w:type="dxa"/>
            <w:vAlign w:val="bottom"/>
            <w:shd w:val="clear" w:color="auto" w:fill="D7D8D6"/>
          </w:tcPr>
          <w:p>
            <w:pPr>
              <w:spacing w:after="0"/>
              <w:rPr>
                <w:sz w:val="16"/>
                <w:szCs w:val="16"/>
                <w:color w:val="auto"/>
              </w:rPr>
            </w:pPr>
          </w:p>
        </w:tc>
        <w:tc>
          <w:tcPr>
            <w:tcW w:w="2700" w:type="dxa"/>
            <w:vAlign w:val="bottom"/>
            <w:shd w:val="clear" w:color="auto" w:fill="D7D8D6"/>
          </w:tcPr>
          <w:p>
            <w:pPr>
              <w:ind w:left="60"/>
              <w:spacing w:after="0"/>
              <w:rPr>
                <w:sz w:val="20"/>
                <w:szCs w:val="20"/>
                <w:color w:val="auto"/>
              </w:rPr>
            </w:pPr>
            <w:r>
              <w:rPr>
                <w:rFonts w:ascii="Arial" w:cs="Arial" w:eastAsia="Arial" w:hAnsi="Arial"/>
                <w:sz w:val="16"/>
                <w:szCs w:val="16"/>
                <w:color w:val="333740"/>
              </w:rPr>
              <w:t>taxes, depreciation, and</w:t>
            </w: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sustainability of the business,</w:t>
            </w:r>
          </w:p>
        </w:tc>
        <w:tc>
          <w:tcPr>
            <w:tcW w:w="0" w:type="dxa"/>
            <w:vAlign w:val="bottom"/>
          </w:tcPr>
          <w:p>
            <w:pPr>
              <w:spacing w:after="0"/>
              <w:rPr>
                <w:sz w:val="1"/>
                <w:szCs w:val="1"/>
                <w:color w:val="auto"/>
              </w:rPr>
            </w:pPr>
          </w:p>
        </w:tc>
      </w:tr>
      <w:tr>
        <w:trPr>
          <w:trHeight w:val="195"/>
        </w:trPr>
        <w:tc>
          <w:tcPr>
            <w:tcW w:w="1860" w:type="dxa"/>
            <w:vAlign w:val="bottom"/>
            <w:shd w:val="clear" w:color="auto" w:fill="D7D8D6"/>
          </w:tcPr>
          <w:p>
            <w:pPr>
              <w:ind w:left="40"/>
              <w:spacing w:after="0"/>
              <w:rPr>
                <w:sz w:val="20"/>
                <w:szCs w:val="20"/>
                <w:color w:val="auto"/>
              </w:rPr>
            </w:pPr>
            <w:r>
              <w:rPr>
                <w:rFonts w:ascii="Arial" w:cs="Arial" w:eastAsia="Arial" w:hAnsi="Arial"/>
                <w:sz w:val="16"/>
                <w:szCs w:val="16"/>
                <w:b w:val="1"/>
                <w:bCs w:val="1"/>
                <w:color w:val="333740"/>
              </w:rPr>
              <w:t>Revenue</w:t>
            </w:r>
          </w:p>
        </w:tc>
        <w:tc>
          <w:tcPr>
            <w:tcW w:w="13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40" w:type="dxa"/>
            <w:vAlign w:val="bottom"/>
            <w:shd w:val="clear" w:color="auto" w:fill="D7D8D6"/>
          </w:tcPr>
          <w:p>
            <w:pPr>
              <w:spacing w:after="0"/>
              <w:rPr>
                <w:sz w:val="16"/>
                <w:szCs w:val="16"/>
                <w:color w:val="auto"/>
              </w:rPr>
            </w:pPr>
          </w:p>
        </w:tc>
        <w:tc>
          <w:tcPr>
            <w:tcW w:w="2700" w:type="dxa"/>
            <w:vAlign w:val="bottom"/>
            <w:shd w:val="clear" w:color="auto" w:fill="D7D8D6"/>
          </w:tcPr>
          <w:p>
            <w:pPr>
              <w:ind w:left="60"/>
              <w:spacing w:after="0"/>
              <w:rPr>
                <w:sz w:val="20"/>
                <w:szCs w:val="20"/>
                <w:color w:val="auto"/>
              </w:rPr>
            </w:pPr>
            <w:r>
              <w:rPr>
                <w:rFonts w:ascii="Arial" w:cs="Arial" w:eastAsia="Arial" w:hAnsi="Arial"/>
                <w:sz w:val="16"/>
                <w:szCs w:val="16"/>
                <w:color w:val="333740"/>
              </w:rPr>
              <w:t>amortization, calculated</w:t>
            </w: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leveraging cost efficiencies and</w:t>
            </w:r>
          </w:p>
        </w:tc>
        <w:tc>
          <w:tcPr>
            <w:tcW w:w="0" w:type="dxa"/>
            <w:vAlign w:val="bottom"/>
          </w:tcPr>
          <w:p>
            <w:pPr>
              <w:spacing w:after="0"/>
              <w:rPr>
                <w:sz w:val="1"/>
                <w:szCs w:val="1"/>
                <w:color w:val="auto"/>
              </w:rPr>
            </w:pPr>
          </w:p>
        </w:tc>
      </w:tr>
      <w:tr>
        <w:trPr>
          <w:trHeight w:val="191"/>
        </w:trPr>
        <w:tc>
          <w:tcPr>
            <w:tcW w:w="18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40" w:type="dxa"/>
            <w:vAlign w:val="bottom"/>
            <w:shd w:val="clear" w:color="auto" w:fill="D7D8D6"/>
          </w:tcPr>
          <w:p>
            <w:pPr>
              <w:spacing w:after="0"/>
              <w:rPr>
                <w:sz w:val="16"/>
                <w:szCs w:val="16"/>
                <w:color w:val="auto"/>
              </w:rPr>
            </w:pPr>
          </w:p>
        </w:tc>
        <w:tc>
          <w:tcPr>
            <w:tcW w:w="2700" w:type="dxa"/>
            <w:vAlign w:val="bottom"/>
            <w:shd w:val="clear" w:color="auto" w:fill="D7D8D6"/>
          </w:tcPr>
          <w:p>
            <w:pPr>
              <w:ind w:left="60"/>
              <w:spacing w:after="0"/>
              <w:rPr>
                <w:sz w:val="20"/>
                <w:szCs w:val="20"/>
                <w:color w:val="auto"/>
              </w:rPr>
            </w:pPr>
            <w:r>
              <w:rPr>
                <w:rFonts w:ascii="Arial" w:cs="Arial" w:eastAsia="Arial" w:hAnsi="Arial"/>
                <w:sz w:val="16"/>
                <w:szCs w:val="16"/>
                <w:color w:val="333740"/>
              </w:rPr>
              <w:t>as a percentage of</w:t>
            </w: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driving profitability improvement</w:t>
            </w:r>
          </w:p>
        </w:tc>
        <w:tc>
          <w:tcPr>
            <w:tcW w:w="0" w:type="dxa"/>
            <w:vAlign w:val="bottom"/>
          </w:tcPr>
          <w:p>
            <w:pPr>
              <w:spacing w:after="0"/>
              <w:rPr>
                <w:sz w:val="1"/>
                <w:szCs w:val="1"/>
                <w:color w:val="auto"/>
              </w:rPr>
            </w:pPr>
          </w:p>
        </w:tc>
      </w:tr>
      <w:tr>
        <w:trPr>
          <w:trHeight w:val="204"/>
        </w:trPr>
        <w:tc>
          <w:tcPr>
            <w:tcW w:w="1860" w:type="dxa"/>
            <w:vAlign w:val="bottom"/>
            <w:shd w:val="clear" w:color="auto" w:fill="D7D8D6"/>
          </w:tcPr>
          <w:p>
            <w:pPr>
              <w:spacing w:after="0"/>
              <w:rPr>
                <w:sz w:val="17"/>
                <w:szCs w:val="17"/>
                <w:color w:val="auto"/>
              </w:rPr>
            </w:pPr>
          </w:p>
        </w:tc>
        <w:tc>
          <w:tcPr>
            <w:tcW w:w="1360" w:type="dxa"/>
            <w:vAlign w:val="bottom"/>
            <w:shd w:val="clear" w:color="auto" w:fill="D7D8D6"/>
          </w:tcPr>
          <w:p>
            <w:pPr>
              <w:spacing w:after="0"/>
              <w:rPr>
                <w:sz w:val="17"/>
                <w:szCs w:val="17"/>
                <w:color w:val="auto"/>
              </w:rPr>
            </w:pPr>
          </w:p>
        </w:tc>
        <w:tc>
          <w:tcPr>
            <w:tcW w:w="1360" w:type="dxa"/>
            <w:vAlign w:val="bottom"/>
            <w:shd w:val="clear" w:color="auto" w:fill="D7D8D6"/>
          </w:tcPr>
          <w:p>
            <w:pPr>
              <w:spacing w:after="0"/>
              <w:rPr>
                <w:sz w:val="17"/>
                <w:szCs w:val="17"/>
                <w:color w:val="auto"/>
              </w:rPr>
            </w:pPr>
          </w:p>
        </w:tc>
        <w:tc>
          <w:tcPr>
            <w:tcW w:w="140" w:type="dxa"/>
            <w:vAlign w:val="bottom"/>
            <w:shd w:val="clear" w:color="auto" w:fill="D7D8D6"/>
          </w:tcPr>
          <w:p>
            <w:pPr>
              <w:spacing w:after="0"/>
              <w:rPr>
                <w:sz w:val="17"/>
                <w:szCs w:val="17"/>
                <w:color w:val="auto"/>
              </w:rPr>
            </w:pPr>
          </w:p>
        </w:tc>
        <w:tc>
          <w:tcPr>
            <w:tcW w:w="2700" w:type="dxa"/>
            <w:vAlign w:val="bottom"/>
            <w:shd w:val="clear" w:color="auto" w:fill="D7D8D6"/>
          </w:tcPr>
          <w:p>
            <w:pPr>
              <w:ind w:left="60"/>
              <w:spacing w:after="0"/>
              <w:rPr>
                <w:sz w:val="20"/>
                <w:szCs w:val="20"/>
                <w:color w:val="auto"/>
              </w:rPr>
            </w:pPr>
            <w:r>
              <w:rPr>
                <w:rFonts w:ascii="Arial" w:cs="Arial" w:eastAsia="Arial" w:hAnsi="Arial"/>
                <w:sz w:val="16"/>
                <w:szCs w:val="16"/>
                <w:color w:val="333740"/>
              </w:rPr>
              <w:t>revenue</w:t>
            </w:r>
          </w:p>
        </w:tc>
        <w:tc>
          <w:tcPr>
            <w:tcW w:w="3840" w:type="dxa"/>
            <w:vAlign w:val="bottom"/>
            <w:shd w:val="clear" w:color="auto" w:fill="D7D8D6"/>
          </w:tcPr>
          <w:p>
            <w:pPr>
              <w:spacing w:after="0"/>
              <w:rPr>
                <w:sz w:val="17"/>
                <w:szCs w:val="17"/>
                <w:color w:val="auto"/>
              </w:rPr>
            </w:pPr>
          </w:p>
        </w:tc>
        <w:tc>
          <w:tcPr>
            <w:tcW w:w="0" w:type="dxa"/>
            <w:vAlign w:val="bottom"/>
          </w:tcPr>
          <w:p>
            <w:pPr>
              <w:spacing w:after="0"/>
              <w:rPr>
                <w:sz w:val="1"/>
                <w:szCs w:val="1"/>
                <w:color w:val="auto"/>
              </w:rPr>
            </w:pPr>
          </w:p>
        </w:tc>
      </w:tr>
      <w:tr>
        <w:trPr>
          <w:trHeight w:val="569"/>
        </w:trPr>
        <w:tc>
          <w:tcPr>
            <w:tcW w:w="1860" w:type="dxa"/>
            <w:vAlign w:val="bottom"/>
            <w:shd w:val="clear" w:color="auto" w:fill="D7D8D6"/>
          </w:tcPr>
          <w:p>
            <w:pPr>
              <w:ind w:left="40"/>
              <w:spacing w:after="0"/>
              <w:rPr>
                <w:sz w:val="20"/>
                <w:szCs w:val="20"/>
                <w:color w:val="auto"/>
              </w:rPr>
            </w:pPr>
            <w:r>
              <w:rPr>
                <w:rFonts w:ascii="Arial" w:cs="Arial" w:eastAsia="Arial" w:hAnsi="Arial"/>
                <w:sz w:val="16"/>
                <w:szCs w:val="16"/>
                <w:b w:val="1"/>
                <w:bCs w:val="1"/>
                <w:color w:val="333740"/>
              </w:rPr>
              <w:t>Working Capital</w:t>
            </w:r>
          </w:p>
        </w:tc>
        <w:tc>
          <w:tcPr>
            <w:tcW w:w="1360" w:type="dxa"/>
            <w:vAlign w:val="bottom"/>
            <w:shd w:val="clear" w:color="auto" w:fill="D7D8D6"/>
          </w:tcPr>
          <w:p>
            <w:pPr>
              <w:jc w:val="center"/>
              <w:spacing w:after="0"/>
              <w:rPr>
                <w:sz w:val="20"/>
                <w:szCs w:val="20"/>
                <w:color w:val="auto"/>
              </w:rPr>
            </w:pPr>
            <w:r>
              <w:rPr>
                <w:rFonts w:ascii="Arial" w:cs="Arial" w:eastAsia="Arial" w:hAnsi="Arial"/>
                <w:sz w:val="16"/>
                <w:szCs w:val="16"/>
                <w:color w:val="333740"/>
                <w:w w:val="87"/>
              </w:rPr>
              <w:t>25%</w:t>
            </w:r>
          </w:p>
        </w:tc>
        <w:tc>
          <w:tcPr>
            <w:tcW w:w="1360" w:type="dxa"/>
            <w:vAlign w:val="bottom"/>
            <w:shd w:val="clear" w:color="auto" w:fill="D7D8D6"/>
          </w:tcPr>
          <w:p>
            <w:pPr>
              <w:jc w:val="center"/>
              <w:spacing w:after="0"/>
              <w:rPr>
                <w:sz w:val="20"/>
                <w:szCs w:val="20"/>
                <w:color w:val="auto"/>
              </w:rPr>
            </w:pPr>
            <w:r>
              <w:rPr>
                <w:rFonts w:ascii="Arial" w:cs="Arial" w:eastAsia="Arial" w:hAnsi="Arial"/>
                <w:sz w:val="16"/>
                <w:szCs w:val="16"/>
                <w:color w:val="333740"/>
                <w:w w:val="85"/>
              </w:rPr>
              <w:t>55 days</w:t>
            </w:r>
          </w:p>
        </w:tc>
        <w:tc>
          <w:tcPr>
            <w:tcW w:w="140" w:type="dxa"/>
            <w:vAlign w:val="bottom"/>
            <w:shd w:val="clear" w:color="auto" w:fill="D7D8D6"/>
          </w:tcPr>
          <w:p>
            <w:pPr>
              <w:spacing w:after="0"/>
              <w:rPr>
                <w:sz w:val="24"/>
                <w:szCs w:val="24"/>
                <w:color w:val="auto"/>
              </w:rPr>
            </w:pPr>
          </w:p>
        </w:tc>
        <w:tc>
          <w:tcPr>
            <w:tcW w:w="2700" w:type="dxa"/>
            <w:vAlign w:val="bottom"/>
            <w:shd w:val="clear" w:color="auto" w:fill="D7D8D6"/>
          </w:tcPr>
          <w:p>
            <w:pPr>
              <w:ind w:left="60"/>
              <w:spacing w:after="0"/>
              <w:rPr>
                <w:sz w:val="20"/>
                <w:szCs w:val="20"/>
                <w:color w:val="auto"/>
              </w:rPr>
            </w:pPr>
            <w:r>
              <w:rPr>
                <w:rFonts w:ascii="Arial" w:cs="Arial" w:eastAsia="Arial" w:hAnsi="Arial"/>
                <w:sz w:val="16"/>
                <w:szCs w:val="16"/>
                <w:color w:val="333740"/>
              </w:rPr>
              <w:t>Average number of days</w:t>
            </w: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Measures our efficiency of using</w:t>
            </w:r>
          </w:p>
        </w:tc>
        <w:tc>
          <w:tcPr>
            <w:tcW w:w="0" w:type="dxa"/>
            <w:vAlign w:val="bottom"/>
          </w:tcPr>
          <w:p>
            <w:pPr>
              <w:spacing w:after="0"/>
              <w:rPr>
                <w:sz w:val="1"/>
                <w:szCs w:val="1"/>
                <w:color w:val="auto"/>
              </w:rPr>
            </w:pPr>
          </w:p>
        </w:tc>
      </w:tr>
      <w:tr>
        <w:trPr>
          <w:trHeight w:val="195"/>
        </w:trPr>
        <w:tc>
          <w:tcPr>
            <w:tcW w:w="1860" w:type="dxa"/>
            <w:vAlign w:val="bottom"/>
            <w:shd w:val="clear" w:color="auto" w:fill="D7D8D6"/>
          </w:tcPr>
          <w:p>
            <w:pPr>
              <w:ind w:left="40"/>
              <w:spacing w:after="0"/>
              <w:rPr>
                <w:sz w:val="20"/>
                <w:szCs w:val="20"/>
                <w:color w:val="auto"/>
              </w:rPr>
            </w:pPr>
            <w:r>
              <w:rPr>
                <w:rFonts w:ascii="Arial" w:cs="Arial" w:eastAsia="Arial" w:hAnsi="Arial"/>
                <w:sz w:val="16"/>
                <w:szCs w:val="16"/>
                <w:b w:val="1"/>
                <w:bCs w:val="1"/>
                <w:color w:val="333740"/>
              </w:rPr>
              <w:t>Days</w:t>
            </w:r>
          </w:p>
        </w:tc>
        <w:tc>
          <w:tcPr>
            <w:tcW w:w="13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40" w:type="dxa"/>
            <w:vAlign w:val="bottom"/>
            <w:shd w:val="clear" w:color="auto" w:fill="D7D8D6"/>
          </w:tcPr>
          <w:p>
            <w:pPr>
              <w:spacing w:after="0"/>
              <w:rPr>
                <w:sz w:val="16"/>
                <w:szCs w:val="16"/>
                <w:color w:val="auto"/>
              </w:rPr>
            </w:pPr>
          </w:p>
        </w:tc>
        <w:tc>
          <w:tcPr>
            <w:tcW w:w="2700" w:type="dxa"/>
            <w:vAlign w:val="bottom"/>
            <w:shd w:val="clear" w:color="auto" w:fill="D7D8D6"/>
          </w:tcPr>
          <w:p>
            <w:pPr>
              <w:ind w:left="60"/>
              <w:spacing w:after="0"/>
              <w:rPr>
                <w:sz w:val="20"/>
                <w:szCs w:val="20"/>
                <w:color w:val="auto"/>
              </w:rPr>
            </w:pPr>
            <w:r>
              <w:rPr>
                <w:rFonts w:ascii="Arial" w:cs="Arial" w:eastAsia="Arial" w:hAnsi="Arial"/>
                <w:sz w:val="16"/>
                <w:szCs w:val="16"/>
                <w:color w:val="333740"/>
              </w:rPr>
              <w:t>to convert working capital</w:t>
            </w: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operating capital to operate the</w:t>
            </w:r>
          </w:p>
        </w:tc>
        <w:tc>
          <w:tcPr>
            <w:tcW w:w="0" w:type="dxa"/>
            <w:vAlign w:val="bottom"/>
          </w:tcPr>
          <w:p>
            <w:pPr>
              <w:spacing w:after="0"/>
              <w:rPr>
                <w:sz w:val="1"/>
                <w:szCs w:val="1"/>
                <w:color w:val="auto"/>
              </w:rPr>
            </w:pPr>
          </w:p>
        </w:tc>
      </w:tr>
      <w:tr>
        <w:trPr>
          <w:trHeight w:val="191"/>
        </w:trPr>
        <w:tc>
          <w:tcPr>
            <w:tcW w:w="18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40" w:type="dxa"/>
            <w:vAlign w:val="bottom"/>
            <w:shd w:val="clear" w:color="auto" w:fill="D7D8D6"/>
          </w:tcPr>
          <w:p>
            <w:pPr>
              <w:spacing w:after="0"/>
              <w:rPr>
                <w:sz w:val="16"/>
                <w:szCs w:val="16"/>
                <w:color w:val="auto"/>
              </w:rPr>
            </w:pPr>
          </w:p>
        </w:tc>
        <w:tc>
          <w:tcPr>
            <w:tcW w:w="2700" w:type="dxa"/>
            <w:vAlign w:val="bottom"/>
            <w:shd w:val="clear" w:color="auto" w:fill="D7D8D6"/>
          </w:tcPr>
          <w:p>
            <w:pPr>
              <w:ind w:left="60"/>
              <w:spacing w:after="0"/>
              <w:rPr>
                <w:sz w:val="20"/>
                <w:szCs w:val="20"/>
                <w:color w:val="auto"/>
              </w:rPr>
            </w:pPr>
            <w:r>
              <w:rPr>
                <w:rFonts w:ascii="Arial" w:cs="Arial" w:eastAsia="Arial" w:hAnsi="Arial"/>
                <w:sz w:val="16"/>
                <w:szCs w:val="16"/>
                <w:color w:val="333740"/>
              </w:rPr>
              <w:t>into revenue</w:t>
            </w: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business; our contract arrangements</w:t>
            </w:r>
          </w:p>
        </w:tc>
        <w:tc>
          <w:tcPr>
            <w:tcW w:w="0" w:type="dxa"/>
            <w:vAlign w:val="bottom"/>
          </w:tcPr>
          <w:p>
            <w:pPr>
              <w:spacing w:after="0"/>
              <w:rPr>
                <w:sz w:val="1"/>
                <w:szCs w:val="1"/>
                <w:color w:val="auto"/>
              </w:rPr>
            </w:pPr>
          </w:p>
        </w:tc>
      </w:tr>
      <w:tr>
        <w:trPr>
          <w:trHeight w:val="191"/>
        </w:trPr>
        <w:tc>
          <w:tcPr>
            <w:tcW w:w="18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40" w:type="dxa"/>
            <w:vAlign w:val="bottom"/>
            <w:shd w:val="clear" w:color="auto" w:fill="D7D8D6"/>
          </w:tcPr>
          <w:p>
            <w:pPr>
              <w:spacing w:after="0"/>
              <w:rPr>
                <w:sz w:val="16"/>
                <w:szCs w:val="16"/>
                <w:color w:val="auto"/>
              </w:rPr>
            </w:pPr>
          </w:p>
        </w:tc>
        <w:tc>
          <w:tcPr>
            <w:tcW w:w="2700" w:type="dxa"/>
            <w:vAlign w:val="bottom"/>
            <w:shd w:val="clear" w:color="auto" w:fill="D7D8D6"/>
          </w:tcPr>
          <w:p>
            <w:pPr>
              <w:spacing w:after="0"/>
              <w:rPr>
                <w:sz w:val="16"/>
                <w:szCs w:val="16"/>
                <w:color w:val="auto"/>
              </w:rPr>
            </w:pP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typically result in negative working</w:t>
            </w:r>
          </w:p>
        </w:tc>
        <w:tc>
          <w:tcPr>
            <w:tcW w:w="0" w:type="dxa"/>
            <w:vAlign w:val="bottom"/>
          </w:tcPr>
          <w:p>
            <w:pPr>
              <w:spacing w:after="0"/>
              <w:rPr>
                <w:sz w:val="1"/>
                <w:szCs w:val="1"/>
                <w:color w:val="auto"/>
              </w:rPr>
            </w:pPr>
          </w:p>
        </w:tc>
      </w:tr>
      <w:tr>
        <w:trPr>
          <w:trHeight w:val="191"/>
        </w:trPr>
        <w:tc>
          <w:tcPr>
            <w:tcW w:w="18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360" w:type="dxa"/>
            <w:vAlign w:val="bottom"/>
            <w:shd w:val="clear" w:color="auto" w:fill="D7D8D6"/>
          </w:tcPr>
          <w:p>
            <w:pPr>
              <w:spacing w:after="0"/>
              <w:rPr>
                <w:sz w:val="16"/>
                <w:szCs w:val="16"/>
                <w:color w:val="auto"/>
              </w:rPr>
            </w:pPr>
          </w:p>
        </w:tc>
        <w:tc>
          <w:tcPr>
            <w:tcW w:w="140" w:type="dxa"/>
            <w:vAlign w:val="bottom"/>
            <w:shd w:val="clear" w:color="auto" w:fill="D7D8D6"/>
          </w:tcPr>
          <w:p>
            <w:pPr>
              <w:spacing w:after="0"/>
              <w:rPr>
                <w:sz w:val="16"/>
                <w:szCs w:val="16"/>
                <w:color w:val="auto"/>
              </w:rPr>
            </w:pPr>
          </w:p>
        </w:tc>
        <w:tc>
          <w:tcPr>
            <w:tcW w:w="2700" w:type="dxa"/>
            <w:vAlign w:val="bottom"/>
            <w:shd w:val="clear" w:color="auto" w:fill="D7D8D6"/>
          </w:tcPr>
          <w:p>
            <w:pPr>
              <w:spacing w:after="0"/>
              <w:rPr>
                <w:sz w:val="16"/>
                <w:szCs w:val="16"/>
                <w:color w:val="auto"/>
              </w:rPr>
            </w:pP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capital due to advance payments</w:t>
            </w:r>
          </w:p>
        </w:tc>
        <w:tc>
          <w:tcPr>
            <w:tcW w:w="0" w:type="dxa"/>
            <w:vAlign w:val="bottom"/>
          </w:tcPr>
          <w:p>
            <w:pPr>
              <w:spacing w:after="0"/>
              <w:rPr>
                <w:sz w:val="1"/>
                <w:szCs w:val="1"/>
                <w:color w:val="auto"/>
              </w:rPr>
            </w:pPr>
          </w:p>
        </w:tc>
      </w:tr>
      <w:tr>
        <w:trPr>
          <w:trHeight w:val="204"/>
        </w:trPr>
        <w:tc>
          <w:tcPr>
            <w:tcW w:w="1860" w:type="dxa"/>
            <w:vAlign w:val="bottom"/>
            <w:shd w:val="clear" w:color="auto" w:fill="D7D8D6"/>
          </w:tcPr>
          <w:p>
            <w:pPr>
              <w:spacing w:after="0"/>
              <w:rPr>
                <w:sz w:val="17"/>
                <w:szCs w:val="17"/>
                <w:color w:val="auto"/>
              </w:rPr>
            </w:pPr>
          </w:p>
        </w:tc>
        <w:tc>
          <w:tcPr>
            <w:tcW w:w="1360" w:type="dxa"/>
            <w:vAlign w:val="bottom"/>
            <w:shd w:val="clear" w:color="auto" w:fill="D7D8D6"/>
          </w:tcPr>
          <w:p>
            <w:pPr>
              <w:spacing w:after="0"/>
              <w:rPr>
                <w:sz w:val="17"/>
                <w:szCs w:val="17"/>
                <w:color w:val="auto"/>
              </w:rPr>
            </w:pPr>
          </w:p>
        </w:tc>
        <w:tc>
          <w:tcPr>
            <w:tcW w:w="1360" w:type="dxa"/>
            <w:vAlign w:val="bottom"/>
            <w:shd w:val="clear" w:color="auto" w:fill="D7D8D6"/>
          </w:tcPr>
          <w:p>
            <w:pPr>
              <w:spacing w:after="0"/>
              <w:rPr>
                <w:sz w:val="17"/>
                <w:szCs w:val="17"/>
                <w:color w:val="auto"/>
              </w:rPr>
            </w:pPr>
          </w:p>
        </w:tc>
        <w:tc>
          <w:tcPr>
            <w:tcW w:w="140" w:type="dxa"/>
            <w:vAlign w:val="bottom"/>
            <w:shd w:val="clear" w:color="auto" w:fill="D7D8D6"/>
          </w:tcPr>
          <w:p>
            <w:pPr>
              <w:spacing w:after="0"/>
              <w:rPr>
                <w:sz w:val="17"/>
                <w:szCs w:val="17"/>
                <w:color w:val="auto"/>
              </w:rPr>
            </w:pPr>
          </w:p>
        </w:tc>
        <w:tc>
          <w:tcPr>
            <w:tcW w:w="2700" w:type="dxa"/>
            <w:vAlign w:val="bottom"/>
            <w:shd w:val="clear" w:color="auto" w:fill="D7D8D6"/>
          </w:tcPr>
          <w:p>
            <w:pPr>
              <w:spacing w:after="0"/>
              <w:rPr>
                <w:sz w:val="17"/>
                <w:szCs w:val="17"/>
                <w:color w:val="auto"/>
              </w:rPr>
            </w:pPr>
          </w:p>
        </w:tc>
        <w:tc>
          <w:tcPr>
            <w:tcW w:w="384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and milestone payments</w:t>
            </w:r>
          </w:p>
        </w:tc>
        <w:tc>
          <w:tcPr>
            <w:tcW w:w="0" w:type="dxa"/>
            <w:vAlign w:val="bottom"/>
          </w:tcPr>
          <w:p>
            <w:pPr>
              <w:spacing w:after="0"/>
              <w:rPr>
                <w:sz w:val="1"/>
                <w:szCs w:val="1"/>
                <w:color w:val="auto"/>
              </w:rPr>
            </w:pPr>
          </w:p>
        </w:tc>
      </w:tr>
      <w:tr>
        <w:trPr>
          <w:trHeight w:val="334"/>
        </w:trPr>
        <w:tc>
          <w:tcPr>
            <w:tcW w:w="1860" w:type="dxa"/>
            <w:vAlign w:val="bottom"/>
            <w:shd w:val="clear" w:color="auto" w:fill="D7D8D6"/>
          </w:tcPr>
          <w:p>
            <w:pPr>
              <w:spacing w:after="0"/>
              <w:rPr>
                <w:sz w:val="24"/>
                <w:szCs w:val="24"/>
                <w:color w:val="auto"/>
              </w:rPr>
            </w:pPr>
          </w:p>
        </w:tc>
        <w:tc>
          <w:tcPr>
            <w:tcW w:w="1360" w:type="dxa"/>
            <w:vAlign w:val="bottom"/>
            <w:shd w:val="clear" w:color="auto" w:fill="D7D8D6"/>
          </w:tcPr>
          <w:p>
            <w:pPr>
              <w:spacing w:after="0"/>
              <w:rPr>
                <w:sz w:val="24"/>
                <w:szCs w:val="24"/>
                <w:color w:val="auto"/>
              </w:rPr>
            </w:pPr>
          </w:p>
        </w:tc>
        <w:tc>
          <w:tcPr>
            <w:tcW w:w="1360" w:type="dxa"/>
            <w:vAlign w:val="bottom"/>
            <w:shd w:val="clear" w:color="auto" w:fill="D7D8D6"/>
          </w:tcPr>
          <w:p>
            <w:pPr>
              <w:spacing w:after="0"/>
              <w:rPr>
                <w:sz w:val="24"/>
                <w:szCs w:val="24"/>
                <w:color w:val="auto"/>
              </w:rPr>
            </w:pPr>
          </w:p>
        </w:tc>
        <w:tc>
          <w:tcPr>
            <w:tcW w:w="140" w:type="dxa"/>
            <w:vAlign w:val="bottom"/>
            <w:shd w:val="clear" w:color="auto" w:fill="D7D8D6"/>
          </w:tcPr>
          <w:p>
            <w:pPr>
              <w:spacing w:after="0"/>
              <w:rPr>
                <w:sz w:val="24"/>
                <w:szCs w:val="24"/>
                <w:color w:val="auto"/>
              </w:rPr>
            </w:pPr>
          </w:p>
        </w:tc>
        <w:tc>
          <w:tcPr>
            <w:tcW w:w="2700" w:type="dxa"/>
            <w:vAlign w:val="bottom"/>
            <w:shd w:val="clear" w:color="auto" w:fill="D7D8D6"/>
          </w:tcPr>
          <w:p>
            <w:pPr>
              <w:spacing w:after="0"/>
              <w:rPr>
                <w:sz w:val="24"/>
                <w:szCs w:val="24"/>
                <w:color w:val="auto"/>
              </w:rPr>
            </w:pPr>
          </w:p>
        </w:tc>
        <w:tc>
          <w:tcPr>
            <w:tcW w:w="3840" w:type="dxa"/>
            <w:vAlign w:val="bottom"/>
            <w:shd w:val="clear" w:color="auto" w:fill="D7D8D6"/>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3220" w:type="dxa"/>
            <w:vAlign w:val="bottom"/>
            <w:gridSpan w:val="2"/>
          </w:tcPr>
          <w:p>
            <w:pPr>
              <w:spacing w:after="0"/>
              <w:rPr>
                <w:sz w:val="20"/>
                <w:szCs w:val="20"/>
                <w:color w:val="auto"/>
              </w:rPr>
            </w:pPr>
            <w:r>
              <w:rPr>
                <w:rFonts w:ascii="Arial" w:cs="Arial" w:eastAsia="Arial" w:hAnsi="Arial"/>
                <w:sz w:val="16"/>
                <w:szCs w:val="16"/>
                <w:color w:val="333740"/>
              </w:rPr>
              <w:t>The payout scale for 2019 is as follows:</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860" w:type="dxa"/>
            <w:vAlign w:val="bottom"/>
            <w:tcBorders>
              <w:bottom w:val="single" w:sz="8" w:color="481F6E"/>
            </w:tcBorders>
            <w:shd w:val="clear" w:color="auto" w:fill="481F6E"/>
          </w:tcPr>
          <w:p>
            <w:pPr>
              <w:ind w:left="140"/>
              <w:spacing w:after="0"/>
              <w:rPr>
                <w:sz w:val="20"/>
                <w:szCs w:val="20"/>
                <w:color w:val="auto"/>
              </w:rPr>
            </w:pPr>
            <w:r>
              <w:rPr>
                <w:rFonts w:ascii="Arial" w:cs="Arial" w:eastAsia="Arial" w:hAnsi="Arial"/>
                <w:sz w:val="16"/>
                <w:szCs w:val="16"/>
                <w:color w:val="FFFFFF"/>
              </w:rPr>
              <w:t>Performance Level</w:t>
            </w:r>
          </w:p>
        </w:tc>
        <w:tc>
          <w:tcPr>
            <w:tcW w:w="1360" w:type="dxa"/>
            <w:vAlign w:val="bottom"/>
            <w:tcBorders>
              <w:bottom w:val="single" w:sz="8" w:color="481F6E"/>
            </w:tcBorders>
            <w:shd w:val="clear" w:color="auto" w:fill="481F6E"/>
          </w:tcPr>
          <w:p>
            <w:pPr>
              <w:spacing w:after="0"/>
              <w:rPr>
                <w:sz w:val="23"/>
                <w:szCs w:val="23"/>
                <w:color w:val="auto"/>
              </w:rPr>
            </w:pPr>
          </w:p>
        </w:tc>
        <w:tc>
          <w:tcPr>
            <w:tcW w:w="1360" w:type="dxa"/>
            <w:vAlign w:val="bottom"/>
            <w:tcBorders>
              <w:bottom w:val="single" w:sz="8" w:color="481F6E"/>
            </w:tcBorders>
            <w:shd w:val="clear" w:color="auto" w:fill="481F6E"/>
          </w:tcPr>
          <w:p>
            <w:pPr>
              <w:spacing w:after="0"/>
              <w:rPr>
                <w:sz w:val="23"/>
                <w:szCs w:val="23"/>
                <w:color w:val="auto"/>
              </w:rPr>
            </w:pPr>
          </w:p>
        </w:tc>
        <w:tc>
          <w:tcPr>
            <w:tcW w:w="140" w:type="dxa"/>
            <w:vAlign w:val="bottom"/>
            <w:tcBorders>
              <w:bottom w:val="single" w:sz="8" w:color="481F6E"/>
            </w:tcBorders>
            <w:shd w:val="clear" w:color="auto" w:fill="481F6E"/>
          </w:tcPr>
          <w:p>
            <w:pPr>
              <w:spacing w:after="0"/>
              <w:rPr>
                <w:sz w:val="23"/>
                <w:szCs w:val="23"/>
                <w:color w:val="auto"/>
              </w:rPr>
            </w:pPr>
          </w:p>
        </w:tc>
        <w:tc>
          <w:tcPr>
            <w:tcW w:w="2700" w:type="dxa"/>
            <w:vAlign w:val="bottom"/>
            <w:tcBorders>
              <w:bottom w:val="single" w:sz="8" w:color="481F6E"/>
            </w:tcBorders>
            <w:shd w:val="clear" w:color="auto" w:fill="481F6E"/>
          </w:tcPr>
          <w:p>
            <w:pPr>
              <w:spacing w:after="0"/>
              <w:rPr>
                <w:sz w:val="23"/>
                <w:szCs w:val="23"/>
                <w:color w:val="auto"/>
              </w:rPr>
            </w:pPr>
          </w:p>
        </w:tc>
        <w:tc>
          <w:tcPr>
            <w:tcW w:w="3840" w:type="dxa"/>
            <w:vAlign w:val="bottom"/>
            <w:tcBorders>
              <w:bottom w:val="single" w:sz="8" w:color="481F6E"/>
            </w:tcBorders>
            <w:shd w:val="clear" w:color="auto" w:fill="481F6E"/>
          </w:tcPr>
          <w:p>
            <w:pPr>
              <w:ind w:left="1280"/>
              <w:spacing w:after="0"/>
              <w:rPr>
                <w:sz w:val="20"/>
                <w:szCs w:val="20"/>
                <w:color w:val="auto"/>
              </w:rPr>
            </w:pPr>
            <w:r>
              <w:rPr>
                <w:rFonts w:ascii="Arial" w:cs="Arial" w:eastAsia="Arial" w:hAnsi="Arial"/>
                <w:sz w:val="16"/>
                <w:szCs w:val="16"/>
                <w:color w:val="FFFFFF"/>
              </w:rPr>
              <w:t>Payout Percentage</w:t>
            </w:r>
          </w:p>
        </w:tc>
        <w:tc>
          <w:tcPr>
            <w:tcW w:w="0" w:type="dxa"/>
            <w:vAlign w:val="bottom"/>
          </w:tcPr>
          <w:p>
            <w:pPr>
              <w:spacing w:after="0"/>
              <w:rPr>
                <w:sz w:val="1"/>
                <w:szCs w:val="1"/>
                <w:color w:val="auto"/>
              </w:rPr>
            </w:pPr>
          </w:p>
        </w:tc>
      </w:tr>
      <w:tr>
        <w:trPr>
          <w:trHeight w:val="239"/>
        </w:trPr>
        <w:tc>
          <w:tcPr>
            <w:tcW w:w="1860" w:type="dxa"/>
            <w:vAlign w:val="bottom"/>
          </w:tcPr>
          <w:p>
            <w:pPr>
              <w:ind w:left="80"/>
              <w:spacing w:after="0"/>
              <w:rPr>
                <w:sz w:val="20"/>
                <w:szCs w:val="20"/>
                <w:color w:val="auto"/>
              </w:rPr>
            </w:pPr>
            <w:r>
              <w:rPr>
                <w:rFonts w:ascii="Arial" w:cs="Arial" w:eastAsia="Arial" w:hAnsi="Arial"/>
                <w:sz w:val="16"/>
                <w:szCs w:val="16"/>
                <w:color w:val="333740"/>
              </w:rPr>
              <w:t>Threshold</w:t>
            </w: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840" w:type="dxa"/>
            <w:vAlign w:val="bottom"/>
          </w:tcPr>
          <w:p>
            <w:pPr>
              <w:jc w:val="center"/>
              <w:ind w:right="20"/>
              <w:spacing w:after="0"/>
              <w:rPr>
                <w:sz w:val="20"/>
                <w:szCs w:val="20"/>
                <w:color w:val="auto"/>
              </w:rPr>
            </w:pPr>
            <w:r>
              <w:rPr>
                <w:rFonts w:ascii="Arial" w:cs="Arial" w:eastAsia="Arial" w:hAnsi="Arial"/>
                <w:sz w:val="16"/>
                <w:szCs w:val="16"/>
                <w:color w:val="333740"/>
                <w:w w:val="94"/>
              </w:rPr>
              <w:t>0%</w:t>
            </w:r>
          </w:p>
        </w:tc>
        <w:tc>
          <w:tcPr>
            <w:tcW w:w="0" w:type="dxa"/>
            <w:vAlign w:val="bottom"/>
          </w:tcPr>
          <w:p>
            <w:pPr>
              <w:spacing w:after="0"/>
              <w:rPr>
                <w:sz w:val="1"/>
                <w:szCs w:val="1"/>
                <w:color w:val="auto"/>
              </w:rPr>
            </w:pPr>
          </w:p>
        </w:tc>
      </w:tr>
      <w:tr>
        <w:trPr>
          <w:trHeight w:val="287"/>
        </w:trPr>
        <w:tc>
          <w:tcPr>
            <w:tcW w:w="1860" w:type="dxa"/>
            <w:vAlign w:val="bottom"/>
          </w:tcPr>
          <w:p>
            <w:pPr>
              <w:ind w:left="80"/>
              <w:spacing w:after="0"/>
              <w:rPr>
                <w:sz w:val="20"/>
                <w:szCs w:val="20"/>
                <w:color w:val="auto"/>
              </w:rPr>
            </w:pPr>
            <w:r>
              <w:rPr>
                <w:rFonts w:ascii="Arial" w:cs="Arial" w:eastAsia="Arial" w:hAnsi="Arial"/>
                <w:sz w:val="16"/>
                <w:szCs w:val="16"/>
                <w:color w:val="333740"/>
              </w:rPr>
              <w:t>Target</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840" w:type="dxa"/>
            <w:vAlign w:val="bottom"/>
          </w:tcPr>
          <w:p>
            <w:pPr>
              <w:jc w:val="center"/>
              <w:ind w:right="20"/>
              <w:spacing w:after="0"/>
              <w:rPr>
                <w:sz w:val="20"/>
                <w:szCs w:val="20"/>
                <w:color w:val="auto"/>
              </w:rPr>
            </w:pPr>
            <w:r>
              <w:rPr>
                <w:rFonts w:ascii="Arial" w:cs="Arial" w:eastAsia="Arial" w:hAnsi="Arial"/>
                <w:sz w:val="16"/>
                <w:szCs w:val="16"/>
                <w:color w:val="333740"/>
                <w:w w:val="92"/>
              </w:rPr>
              <w:t>100%</w:t>
            </w:r>
          </w:p>
        </w:tc>
        <w:tc>
          <w:tcPr>
            <w:tcW w:w="0" w:type="dxa"/>
            <w:vAlign w:val="bottom"/>
          </w:tcPr>
          <w:p>
            <w:pPr>
              <w:spacing w:after="0"/>
              <w:rPr>
                <w:sz w:val="1"/>
                <w:szCs w:val="1"/>
                <w:color w:val="auto"/>
              </w:rPr>
            </w:pPr>
          </w:p>
        </w:tc>
      </w:tr>
      <w:tr>
        <w:trPr>
          <w:trHeight w:val="287"/>
        </w:trPr>
        <w:tc>
          <w:tcPr>
            <w:tcW w:w="1860" w:type="dxa"/>
            <w:vAlign w:val="bottom"/>
          </w:tcPr>
          <w:p>
            <w:pPr>
              <w:ind w:left="80"/>
              <w:spacing w:after="0"/>
              <w:rPr>
                <w:sz w:val="20"/>
                <w:szCs w:val="20"/>
                <w:color w:val="auto"/>
              </w:rPr>
            </w:pPr>
            <w:r>
              <w:rPr>
                <w:rFonts w:ascii="Arial" w:cs="Arial" w:eastAsia="Arial" w:hAnsi="Arial"/>
                <w:sz w:val="16"/>
                <w:szCs w:val="16"/>
                <w:color w:val="333740"/>
              </w:rPr>
              <w:t>Maximum</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840" w:type="dxa"/>
            <w:vAlign w:val="bottom"/>
          </w:tcPr>
          <w:p>
            <w:pPr>
              <w:jc w:val="center"/>
              <w:ind w:right="20"/>
              <w:spacing w:after="0"/>
              <w:rPr>
                <w:sz w:val="20"/>
                <w:szCs w:val="20"/>
                <w:color w:val="auto"/>
              </w:rPr>
            </w:pPr>
            <w:r>
              <w:rPr>
                <w:rFonts w:ascii="Arial" w:cs="Arial" w:eastAsia="Arial" w:hAnsi="Arial"/>
                <w:sz w:val="16"/>
                <w:szCs w:val="16"/>
                <w:color w:val="333740"/>
                <w:w w:val="92"/>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-697865</wp:posOffset>
            </wp:positionV>
            <wp:extent cx="7620" cy="1822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20" cy="182245"/>
                    </a:xfrm>
                    <a:prstGeom prst="rect">
                      <a:avLst/>
                    </a:prstGeom>
                    <a:noFill/>
                  </pic:spPr>
                </pic:pic>
              </a:graphicData>
            </a:graphic>
          </wp:anchor>
        </w:drawing>
      </w:r>
    </w:p>
    <w:p>
      <w:pPr>
        <w:spacing w:after="0" w:line="203" w:lineRule="exact"/>
        <w:rPr>
          <w:sz w:val="20"/>
          <w:szCs w:val="20"/>
          <w:color w:val="auto"/>
        </w:rPr>
      </w:pPr>
    </w:p>
    <w:p>
      <w:pPr>
        <w:ind w:left="4"/>
        <w:spacing w:after="0"/>
        <w:rPr>
          <w:sz w:val="20"/>
          <w:szCs w:val="20"/>
          <w:color w:val="auto"/>
        </w:rPr>
      </w:pPr>
      <w:r>
        <w:rPr>
          <w:rFonts w:ascii="Arial" w:cs="Arial" w:eastAsia="Arial" w:hAnsi="Arial"/>
          <w:sz w:val="13"/>
          <w:szCs w:val="13"/>
          <w:color w:val="333740"/>
        </w:rPr>
        <w:t>Note: Payout for performance between the threshold, target, and maximum payouts are interpolated on a straight-line basis.</w:t>
      </w:r>
    </w:p>
    <w:p>
      <w:pPr>
        <w:spacing w:after="0" w:line="301" w:lineRule="exact"/>
        <w:rPr>
          <w:sz w:val="20"/>
          <w:szCs w:val="20"/>
          <w:color w:val="auto"/>
        </w:rPr>
      </w:pPr>
    </w:p>
    <w:p>
      <w:pPr>
        <w:ind w:left="564" w:hanging="564"/>
        <w:spacing w:after="0"/>
        <w:tabs>
          <w:tab w:leader="none" w:pos="564" w:val="left"/>
        </w:tabs>
        <w:numPr>
          <w:ilvl w:val="0"/>
          <w:numId w:val="90"/>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76" w:name="page77"/>
    <w:bookmarkEnd w:id="76"/>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6"/>
          <w:szCs w:val="16"/>
          <w:color w:val="333740"/>
        </w:rPr>
        <w:t>The 2019 performance goals and the 2019 results achieved (for NEOs on enterprise-wide incentive targets) are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148195" cy="18288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8195" cy="1828800"/>
                    </a:xfrm>
                    <a:prstGeom prst="rect">
                      <a:avLst/>
                    </a:prstGeom>
                    <a:noFill/>
                  </pic:spPr>
                </pic:pic>
              </a:graphicData>
            </a:graphic>
          </wp:anchor>
        </w:drawing>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275"/>
        </w:trPr>
        <w:tc>
          <w:tcPr>
            <w:tcW w:w="140" w:type="dxa"/>
            <w:vAlign w:val="bottom"/>
            <w:shd w:val="clear" w:color="auto" w:fill="481F6E"/>
          </w:tcPr>
          <w:p>
            <w:pPr>
              <w:spacing w:after="0"/>
              <w:rPr>
                <w:sz w:val="23"/>
                <w:szCs w:val="23"/>
                <w:color w:val="auto"/>
              </w:rPr>
            </w:pPr>
          </w:p>
        </w:tc>
        <w:tc>
          <w:tcPr>
            <w:tcW w:w="4840" w:type="dxa"/>
            <w:vAlign w:val="bottom"/>
            <w:shd w:val="clear" w:color="auto" w:fill="481F6E"/>
          </w:tcPr>
          <w:p>
            <w:pPr>
              <w:spacing w:after="0"/>
              <w:rPr>
                <w:sz w:val="23"/>
                <w:szCs w:val="23"/>
                <w:color w:val="auto"/>
              </w:rPr>
            </w:pPr>
          </w:p>
        </w:tc>
        <w:tc>
          <w:tcPr>
            <w:tcW w:w="900" w:type="dxa"/>
            <w:vAlign w:val="bottom"/>
            <w:shd w:val="clear" w:color="auto" w:fill="00B2EC"/>
          </w:tcPr>
          <w:p>
            <w:pPr>
              <w:spacing w:after="0"/>
              <w:rPr>
                <w:sz w:val="23"/>
                <w:szCs w:val="23"/>
                <w:color w:val="auto"/>
              </w:rPr>
            </w:pPr>
          </w:p>
        </w:tc>
        <w:tc>
          <w:tcPr>
            <w:tcW w:w="960" w:type="dxa"/>
            <w:vAlign w:val="bottom"/>
            <w:shd w:val="clear" w:color="auto" w:fill="00B2EC"/>
          </w:tcPr>
          <w:p>
            <w:pPr>
              <w:jc w:val="right"/>
              <w:ind w:right="65"/>
              <w:spacing w:after="0"/>
              <w:rPr>
                <w:sz w:val="20"/>
                <w:szCs w:val="20"/>
                <w:color w:val="auto"/>
              </w:rPr>
            </w:pPr>
            <w:r>
              <w:rPr>
                <w:rFonts w:ascii="Arial" w:cs="Arial" w:eastAsia="Arial" w:hAnsi="Arial"/>
                <w:sz w:val="16"/>
                <w:szCs w:val="16"/>
                <w:color w:val="FFFFFF"/>
                <w:w w:val="97"/>
              </w:rPr>
              <w:t>2019 Goals</w:t>
            </w:r>
          </w:p>
        </w:tc>
        <w:tc>
          <w:tcPr>
            <w:tcW w:w="820" w:type="dxa"/>
            <w:vAlign w:val="bottom"/>
            <w:shd w:val="clear" w:color="auto" w:fill="00B2EC"/>
          </w:tcPr>
          <w:p>
            <w:pPr>
              <w:spacing w:after="0"/>
              <w:rPr>
                <w:sz w:val="23"/>
                <w:szCs w:val="23"/>
                <w:color w:val="auto"/>
              </w:rPr>
            </w:pPr>
          </w:p>
        </w:tc>
        <w:tc>
          <w:tcPr>
            <w:tcW w:w="1940" w:type="dxa"/>
            <w:vAlign w:val="bottom"/>
            <w:gridSpan w:val="2"/>
            <w:shd w:val="clear" w:color="auto" w:fill="D72930"/>
          </w:tcPr>
          <w:p>
            <w:pPr>
              <w:jc w:val="right"/>
              <w:ind w:right="487"/>
              <w:spacing w:after="0"/>
              <w:rPr>
                <w:sz w:val="20"/>
                <w:szCs w:val="20"/>
                <w:color w:val="auto"/>
              </w:rPr>
            </w:pPr>
            <w:r>
              <w:rPr>
                <w:rFonts w:ascii="Arial" w:cs="Arial" w:eastAsia="Arial" w:hAnsi="Arial"/>
                <w:sz w:val="16"/>
                <w:szCs w:val="16"/>
                <w:color w:val="FFFFFF"/>
              </w:rPr>
              <w:t>2019 Outcome</w:t>
            </w:r>
          </w:p>
        </w:tc>
        <w:tc>
          <w:tcPr>
            <w:tcW w:w="760" w:type="dxa"/>
            <w:vAlign w:val="bottom"/>
            <w:shd w:val="clear" w:color="auto" w:fill="D72930"/>
          </w:tcPr>
          <w:p>
            <w:pPr>
              <w:spacing w:after="0"/>
              <w:rPr>
                <w:sz w:val="23"/>
                <w:szCs w:val="23"/>
                <w:color w:val="auto"/>
              </w:rPr>
            </w:pPr>
          </w:p>
        </w:tc>
        <w:tc>
          <w:tcPr>
            <w:tcW w:w="900" w:type="dxa"/>
            <w:vAlign w:val="bottom"/>
            <w:shd w:val="clear" w:color="auto" w:fill="D72930"/>
          </w:tcPr>
          <w:p>
            <w:pPr>
              <w:spacing w:after="0"/>
              <w:rPr>
                <w:sz w:val="23"/>
                <w:szCs w:val="23"/>
                <w:color w:val="auto"/>
              </w:rPr>
            </w:pPr>
          </w:p>
        </w:tc>
        <w:tc>
          <w:tcPr>
            <w:tcW w:w="0" w:type="dxa"/>
            <w:vAlign w:val="bottom"/>
          </w:tcPr>
          <w:p>
            <w:pPr>
              <w:spacing w:after="0"/>
              <w:rPr>
                <w:sz w:val="1"/>
                <w:szCs w:val="1"/>
                <w:color w:val="auto"/>
              </w:rPr>
            </w:pPr>
          </w:p>
        </w:tc>
      </w:tr>
      <w:tr>
        <w:trPr>
          <w:trHeight w:val="322"/>
        </w:trPr>
        <w:tc>
          <w:tcPr>
            <w:tcW w:w="140" w:type="dxa"/>
            <w:vAlign w:val="bottom"/>
            <w:shd w:val="clear" w:color="auto" w:fill="481F6E"/>
          </w:tcPr>
          <w:p>
            <w:pPr>
              <w:spacing w:after="0"/>
              <w:rPr>
                <w:sz w:val="24"/>
                <w:szCs w:val="24"/>
                <w:color w:val="auto"/>
              </w:rPr>
            </w:pPr>
          </w:p>
        </w:tc>
        <w:tc>
          <w:tcPr>
            <w:tcW w:w="4840" w:type="dxa"/>
            <w:vAlign w:val="bottom"/>
            <w:shd w:val="clear" w:color="auto" w:fill="481F6E"/>
          </w:tcPr>
          <w:p>
            <w:pPr>
              <w:spacing w:after="0"/>
              <w:rPr>
                <w:sz w:val="24"/>
                <w:szCs w:val="24"/>
                <w:color w:val="auto"/>
              </w:rPr>
            </w:pPr>
          </w:p>
        </w:tc>
        <w:tc>
          <w:tcPr>
            <w:tcW w:w="900" w:type="dxa"/>
            <w:vAlign w:val="bottom"/>
            <w:vMerge w:val="restart"/>
            <w:shd w:val="clear" w:color="auto" w:fill="00B2EC"/>
          </w:tcPr>
          <w:p>
            <w:pPr>
              <w:jc w:val="right"/>
              <w:spacing w:after="0"/>
              <w:rPr>
                <w:sz w:val="20"/>
                <w:szCs w:val="20"/>
                <w:color w:val="auto"/>
              </w:rPr>
            </w:pPr>
            <w:r>
              <w:rPr>
                <w:rFonts w:ascii="Arial" w:cs="Arial" w:eastAsia="Arial" w:hAnsi="Arial"/>
                <w:sz w:val="13"/>
                <w:szCs w:val="13"/>
                <w:color w:val="FFFFFF"/>
              </w:rPr>
              <w:t>Threshold</w:t>
            </w:r>
          </w:p>
        </w:tc>
        <w:tc>
          <w:tcPr>
            <w:tcW w:w="960" w:type="dxa"/>
            <w:vAlign w:val="bottom"/>
            <w:vMerge w:val="restart"/>
            <w:shd w:val="clear" w:color="auto" w:fill="00B2EC"/>
          </w:tcPr>
          <w:p>
            <w:pPr>
              <w:jc w:val="right"/>
              <w:ind w:right="45"/>
              <w:spacing w:after="0"/>
              <w:rPr>
                <w:sz w:val="20"/>
                <w:szCs w:val="20"/>
                <w:color w:val="auto"/>
              </w:rPr>
            </w:pPr>
            <w:r>
              <w:rPr>
                <w:rFonts w:ascii="Arial" w:cs="Arial" w:eastAsia="Arial" w:hAnsi="Arial"/>
                <w:sz w:val="13"/>
                <w:szCs w:val="13"/>
                <w:color w:val="FFFFFF"/>
              </w:rPr>
              <w:t>Target</w:t>
            </w:r>
          </w:p>
        </w:tc>
        <w:tc>
          <w:tcPr>
            <w:tcW w:w="820" w:type="dxa"/>
            <w:vAlign w:val="bottom"/>
            <w:vMerge w:val="restart"/>
            <w:shd w:val="clear" w:color="auto" w:fill="00B2EC"/>
          </w:tcPr>
          <w:p>
            <w:pPr>
              <w:jc w:val="right"/>
              <w:spacing w:after="0"/>
              <w:rPr>
                <w:sz w:val="20"/>
                <w:szCs w:val="20"/>
                <w:color w:val="auto"/>
              </w:rPr>
            </w:pPr>
            <w:r>
              <w:rPr>
                <w:rFonts w:ascii="Arial" w:cs="Arial" w:eastAsia="Arial" w:hAnsi="Arial"/>
                <w:sz w:val="13"/>
                <w:szCs w:val="13"/>
                <w:color w:val="FFFFFF"/>
              </w:rPr>
              <w:t>Maximum</w:t>
            </w:r>
          </w:p>
        </w:tc>
        <w:tc>
          <w:tcPr>
            <w:tcW w:w="980" w:type="dxa"/>
            <w:vAlign w:val="bottom"/>
            <w:vMerge w:val="restart"/>
            <w:shd w:val="clear" w:color="auto" w:fill="D72930"/>
          </w:tcPr>
          <w:p>
            <w:pPr>
              <w:jc w:val="right"/>
              <w:ind w:right="46"/>
              <w:spacing w:after="0"/>
              <w:rPr>
                <w:sz w:val="20"/>
                <w:szCs w:val="20"/>
                <w:color w:val="auto"/>
              </w:rPr>
            </w:pPr>
            <w:r>
              <w:rPr>
                <w:rFonts w:ascii="Arial" w:cs="Arial" w:eastAsia="Arial" w:hAnsi="Arial"/>
                <w:sz w:val="13"/>
                <w:szCs w:val="13"/>
                <w:color w:val="FFFFFF"/>
              </w:rPr>
              <w:t>Actual</w:t>
            </w:r>
          </w:p>
        </w:tc>
        <w:tc>
          <w:tcPr>
            <w:tcW w:w="960" w:type="dxa"/>
            <w:vAlign w:val="bottom"/>
            <w:vMerge w:val="restart"/>
            <w:shd w:val="clear" w:color="auto" w:fill="D72930"/>
          </w:tcPr>
          <w:p>
            <w:pPr>
              <w:jc w:val="right"/>
              <w:ind w:right="107"/>
              <w:spacing w:after="0"/>
              <w:rPr>
                <w:sz w:val="20"/>
                <w:szCs w:val="20"/>
                <w:color w:val="auto"/>
              </w:rPr>
            </w:pPr>
            <w:r>
              <w:rPr>
                <w:rFonts w:ascii="Arial" w:cs="Arial" w:eastAsia="Arial" w:hAnsi="Arial"/>
                <w:sz w:val="13"/>
                <w:szCs w:val="13"/>
                <w:color w:val="FFFFFF"/>
              </w:rPr>
              <w:t>Payout</w:t>
            </w:r>
          </w:p>
        </w:tc>
        <w:tc>
          <w:tcPr>
            <w:tcW w:w="760" w:type="dxa"/>
            <w:vAlign w:val="bottom"/>
            <w:shd w:val="clear" w:color="auto" w:fill="D72930"/>
          </w:tcPr>
          <w:p>
            <w:pPr>
              <w:spacing w:after="0"/>
              <w:rPr>
                <w:sz w:val="24"/>
                <w:szCs w:val="24"/>
                <w:color w:val="auto"/>
              </w:rPr>
            </w:pPr>
          </w:p>
        </w:tc>
        <w:tc>
          <w:tcPr>
            <w:tcW w:w="900" w:type="dxa"/>
            <w:vAlign w:val="bottom"/>
            <w:shd w:val="clear" w:color="auto" w:fill="D72930"/>
          </w:tcPr>
          <w:p>
            <w:pPr>
              <w:jc w:val="right"/>
              <w:spacing w:after="0"/>
              <w:rPr>
                <w:sz w:val="20"/>
                <w:szCs w:val="20"/>
                <w:color w:val="auto"/>
              </w:rPr>
            </w:pPr>
            <w:r>
              <w:rPr>
                <w:rFonts w:ascii="Arial" w:cs="Arial" w:eastAsia="Arial" w:hAnsi="Arial"/>
                <w:sz w:val="16"/>
                <w:szCs w:val="16"/>
                <w:color w:val="FFFFFF"/>
              </w:rPr>
              <w:t>Weighted</w:t>
            </w:r>
          </w:p>
        </w:tc>
        <w:tc>
          <w:tcPr>
            <w:tcW w:w="0" w:type="dxa"/>
            <w:vAlign w:val="bottom"/>
          </w:tcPr>
          <w:p>
            <w:pPr>
              <w:spacing w:after="0"/>
              <w:rPr>
                <w:sz w:val="1"/>
                <w:szCs w:val="1"/>
                <w:color w:val="auto"/>
              </w:rPr>
            </w:pPr>
          </w:p>
        </w:tc>
      </w:tr>
      <w:tr>
        <w:trPr>
          <w:trHeight w:val="92"/>
        </w:trPr>
        <w:tc>
          <w:tcPr>
            <w:tcW w:w="140" w:type="dxa"/>
            <w:vAlign w:val="bottom"/>
            <w:shd w:val="clear" w:color="auto" w:fill="481F6E"/>
          </w:tcPr>
          <w:p>
            <w:pPr>
              <w:spacing w:after="0"/>
              <w:rPr>
                <w:sz w:val="8"/>
                <w:szCs w:val="8"/>
                <w:color w:val="auto"/>
              </w:rPr>
            </w:pPr>
          </w:p>
        </w:tc>
        <w:tc>
          <w:tcPr>
            <w:tcW w:w="4840" w:type="dxa"/>
            <w:vAlign w:val="bottom"/>
            <w:vMerge w:val="restart"/>
            <w:shd w:val="clear" w:color="auto" w:fill="481F6E"/>
          </w:tcPr>
          <w:p>
            <w:pPr>
              <w:ind w:left="40"/>
              <w:spacing w:after="0"/>
              <w:rPr>
                <w:sz w:val="20"/>
                <w:szCs w:val="20"/>
                <w:color w:val="auto"/>
              </w:rPr>
            </w:pPr>
            <w:r>
              <w:rPr>
                <w:rFonts w:ascii="Arial" w:cs="Arial" w:eastAsia="Arial" w:hAnsi="Arial"/>
                <w:sz w:val="16"/>
                <w:szCs w:val="16"/>
                <w:color w:val="FFFFFF"/>
              </w:rPr>
              <w:t>BPI Measure</w:t>
            </w:r>
          </w:p>
        </w:tc>
        <w:tc>
          <w:tcPr>
            <w:tcW w:w="900" w:type="dxa"/>
            <w:vAlign w:val="bottom"/>
            <w:vMerge w:val="continue"/>
            <w:shd w:val="clear" w:color="auto" w:fill="00B2EC"/>
          </w:tcPr>
          <w:p>
            <w:pPr>
              <w:spacing w:after="0"/>
              <w:rPr>
                <w:sz w:val="8"/>
                <w:szCs w:val="8"/>
                <w:color w:val="auto"/>
              </w:rPr>
            </w:pPr>
          </w:p>
        </w:tc>
        <w:tc>
          <w:tcPr>
            <w:tcW w:w="960" w:type="dxa"/>
            <w:vAlign w:val="bottom"/>
            <w:vMerge w:val="continue"/>
            <w:shd w:val="clear" w:color="auto" w:fill="00B2EC"/>
          </w:tcPr>
          <w:p>
            <w:pPr>
              <w:spacing w:after="0"/>
              <w:rPr>
                <w:sz w:val="8"/>
                <w:szCs w:val="8"/>
                <w:color w:val="auto"/>
              </w:rPr>
            </w:pPr>
          </w:p>
        </w:tc>
        <w:tc>
          <w:tcPr>
            <w:tcW w:w="820" w:type="dxa"/>
            <w:vAlign w:val="bottom"/>
            <w:vMerge w:val="continue"/>
            <w:shd w:val="clear" w:color="auto" w:fill="00B2EC"/>
          </w:tcPr>
          <w:p>
            <w:pPr>
              <w:spacing w:after="0"/>
              <w:rPr>
                <w:sz w:val="8"/>
                <w:szCs w:val="8"/>
                <w:color w:val="auto"/>
              </w:rPr>
            </w:pPr>
          </w:p>
        </w:tc>
        <w:tc>
          <w:tcPr>
            <w:tcW w:w="980" w:type="dxa"/>
            <w:vAlign w:val="bottom"/>
            <w:vMerge w:val="continue"/>
            <w:shd w:val="clear" w:color="auto" w:fill="D72930"/>
          </w:tcPr>
          <w:p>
            <w:pPr>
              <w:spacing w:after="0"/>
              <w:rPr>
                <w:sz w:val="8"/>
                <w:szCs w:val="8"/>
                <w:color w:val="auto"/>
              </w:rPr>
            </w:pPr>
          </w:p>
        </w:tc>
        <w:tc>
          <w:tcPr>
            <w:tcW w:w="960" w:type="dxa"/>
            <w:vAlign w:val="bottom"/>
            <w:vMerge w:val="continue"/>
            <w:shd w:val="clear" w:color="auto" w:fill="D72930"/>
          </w:tcPr>
          <w:p>
            <w:pPr>
              <w:spacing w:after="0"/>
              <w:rPr>
                <w:sz w:val="8"/>
                <w:szCs w:val="8"/>
                <w:color w:val="auto"/>
              </w:rPr>
            </w:pPr>
          </w:p>
        </w:tc>
        <w:tc>
          <w:tcPr>
            <w:tcW w:w="760" w:type="dxa"/>
            <w:vAlign w:val="bottom"/>
            <w:vMerge w:val="restart"/>
            <w:shd w:val="clear" w:color="auto" w:fill="D72930"/>
          </w:tcPr>
          <w:p>
            <w:pPr>
              <w:jc w:val="right"/>
              <w:ind w:right="2"/>
              <w:spacing w:after="0"/>
              <w:rPr>
                <w:sz w:val="20"/>
                <w:szCs w:val="20"/>
                <w:color w:val="auto"/>
              </w:rPr>
            </w:pPr>
            <w:r>
              <w:rPr>
                <w:rFonts w:ascii="Arial" w:cs="Arial" w:eastAsia="Arial" w:hAnsi="Arial"/>
                <w:sz w:val="13"/>
                <w:szCs w:val="13"/>
                <w:color w:val="FFFFFF"/>
              </w:rPr>
              <w:t>Weighting</w:t>
            </w:r>
          </w:p>
        </w:tc>
        <w:tc>
          <w:tcPr>
            <w:tcW w:w="900" w:type="dxa"/>
            <w:vAlign w:val="bottom"/>
            <w:vMerge w:val="restart"/>
            <w:shd w:val="clear" w:color="auto" w:fill="D72930"/>
          </w:tcPr>
          <w:p>
            <w:pPr>
              <w:jc w:val="right"/>
              <w:spacing w:after="0"/>
              <w:rPr>
                <w:sz w:val="20"/>
                <w:szCs w:val="20"/>
                <w:color w:val="auto"/>
              </w:rPr>
            </w:pPr>
            <w:r>
              <w:rPr>
                <w:rFonts w:ascii="Arial" w:cs="Arial" w:eastAsia="Arial" w:hAnsi="Arial"/>
                <w:sz w:val="16"/>
                <w:szCs w:val="16"/>
                <w:color w:val="FFFFFF"/>
              </w:rPr>
              <w:t>Payout</w:t>
            </w:r>
          </w:p>
        </w:tc>
        <w:tc>
          <w:tcPr>
            <w:tcW w:w="0" w:type="dxa"/>
            <w:vAlign w:val="bottom"/>
          </w:tcPr>
          <w:p>
            <w:pPr>
              <w:spacing w:after="0"/>
              <w:rPr>
                <w:sz w:val="1"/>
                <w:szCs w:val="1"/>
                <w:color w:val="auto"/>
              </w:rPr>
            </w:pPr>
          </w:p>
        </w:tc>
      </w:tr>
      <w:tr>
        <w:trPr>
          <w:trHeight w:val="124"/>
        </w:trPr>
        <w:tc>
          <w:tcPr>
            <w:tcW w:w="140" w:type="dxa"/>
            <w:vAlign w:val="bottom"/>
            <w:shd w:val="clear" w:color="auto" w:fill="481F6E"/>
          </w:tcPr>
          <w:p>
            <w:pPr>
              <w:spacing w:after="0"/>
              <w:rPr>
                <w:sz w:val="10"/>
                <w:szCs w:val="10"/>
                <w:color w:val="auto"/>
              </w:rPr>
            </w:pPr>
          </w:p>
        </w:tc>
        <w:tc>
          <w:tcPr>
            <w:tcW w:w="4840" w:type="dxa"/>
            <w:vAlign w:val="bottom"/>
            <w:vMerge w:val="continue"/>
            <w:shd w:val="clear" w:color="auto" w:fill="481F6E"/>
          </w:tcPr>
          <w:p>
            <w:pPr>
              <w:spacing w:after="0"/>
              <w:rPr>
                <w:sz w:val="10"/>
                <w:szCs w:val="10"/>
                <w:color w:val="auto"/>
              </w:rPr>
            </w:pPr>
          </w:p>
        </w:tc>
        <w:tc>
          <w:tcPr>
            <w:tcW w:w="900" w:type="dxa"/>
            <w:vAlign w:val="bottom"/>
            <w:shd w:val="clear" w:color="auto" w:fill="00B2EC"/>
          </w:tcPr>
          <w:p>
            <w:pPr>
              <w:jc w:val="right"/>
              <w:spacing w:after="0" w:line="124" w:lineRule="exact"/>
              <w:rPr>
                <w:sz w:val="20"/>
                <w:szCs w:val="20"/>
                <w:color w:val="auto"/>
              </w:rPr>
            </w:pPr>
            <w:r>
              <w:rPr>
                <w:rFonts w:ascii="Arial" w:cs="Arial" w:eastAsia="Arial" w:hAnsi="Arial"/>
                <w:sz w:val="13"/>
                <w:szCs w:val="13"/>
                <w:color w:val="FFFFFF"/>
              </w:rPr>
              <w:t>Performance</w:t>
            </w:r>
          </w:p>
        </w:tc>
        <w:tc>
          <w:tcPr>
            <w:tcW w:w="960" w:type="dxa"/>
            <w:vAlign w:val="bottom"/>
            <w:shd w:val="clear" w:color="auto" w:fill="00B2EC"/>
          </w:tcPr>
          <w:p>
            <w:pPr>
              <w:jc w:val="right"/>
              <w:ind w:right="45"/>
              <w:spacing w:after="0" w:line="124" w:lineRule="exact"/>
              <w:rPr>
                <w:sz w:val="20"/>
                <w:szCs w:val="20"/>
                <w:color w:val="auto"/>
              </w:rPr>
            </w:pPr>
            <w:r>
              <w:rPr>
                <w:rFonts w:ascii="Arial" w:cs="Arial" w:eastAsia="Arial" w:hAnsi="Arial"/>
                <w:sz w:val="13"/>
                <w:szCs w:val="13"/>
                <w:color w:val="FFFFFF"/>
              </w:rPr>
              <w:t>Performance</w:t>
            </w:r>
          </w:p>
        </w:tc>
        <w:tc>
          <w:tcPr>
            <w:tcW w:w="820" w:type="dxa"/>
            <w:vAlign w:val="bottom"/>
            <w:shd w:val="clear" w:color="auto" w:fill="00B2EC"/>
          </w:tcPr>
          <w:p>
            <w:pPr>
              <w:jc w:val="right"/>
              <w:spacing w:after="0" w:line="124" w:lineRule="exact"/>
              <w:rPr>
                <w:sz w:val="20"/>
                <w:szCs w:val="20"/>
                <w:color w:val="auto"/>
              </w:rPr>
            </w:pPr>
            <w:r>
              <w:rPr>
                <w:rFonts w:ascii="Arial" w:cs="Arial" w:eastAsia="Arial" w:hAnsi="Arial"/>
                <w:sz w:val="13"/>
                <w:szCs w:val="13"/>
                <w:color w:val="FFFFFF"/>
              </w:rPr>
              <w:t>Performance</w:t>
            </w:r>
          </w:p>
        </w:tc>
        <w:tc>
          <w:tcPr>
            <w:tcW w:w="980" w:type="dxa"/>
            <w:vAlign w:val="bottom"/>
            <w:shd w:val="clear" w:color="auto" w:fill="D72930"/>
          </w:tcPr>
          <w:p>
            <w:pPr>
              <w:jc w:val="right"/>
              <w:ind w:right="46"/>
              <w:spacing w:after="0" w:line="124" w:lineRule="exact"/>
              <w:rPr>
                <w:sz w:val="20"/>
                <w:szCs w:val="20"/>
                <w:color w:val="auto"/>
              </w:rPr>
            </w:pPr>
            <w:r>
              <w:rPr>
                <w:rFonts w:ascii="Arial" w:cs="Arial" w:eastAsia="Arial" w:hAnsi="Arial"/>
                <w:sz w:val="13"/>
                <w:szCs w:val="13"/>
                <w:color w:val="FFFFFF"/>
              </w:rPr>
              <w:t>Percentage</w:t>
            </w:r>
          </w:p>
        </w:tc>
        <w:tc>
          <w:tcPr>
            <w:tcW w:w="960" w:type="dxa"/>
            <w:vAlign w:val="bottom"/>
            <w:shd w:val="clear" w:color="auto" w:fill="D72930"/>
          </w:tcPr>
          <w:p>
            <w:pPr>
              <w:jc w:val="right"/>
              <w:ind w:right="107"/>
              <w:spacing w:after="0" w:line="124" w:lineRule="exact"/>
              <w:rPr>
                <w:sz w:val="20"/>
                <w:szCs w:val="20"/>
                <w:color w:val="auto"/>
              </w:rPr>
            </w:pPr>
            <w:r>
              <w:rPr>
                <w:rFonts w:ascii="Arial" w:cs="Arial" w:eastAsia="Arial" w:hAnsi="Arial"/>
                <w:sz w:val="13"/>
                <w:szCs w:val="13"/>
                <w:color w:val="FFFFFF"/>
              </w:rPr>
              <w:t>Performance</w:t>
            </w:r>
          </w:p>
        </w:tc>
        <w:tc>
          <w:tcPr>
            <w:tcW w:w="760" w:type="dxa"/>
            <w:vAlign w:val="bottom"/>
            <w:vMerge w:val="continue"/>
            <w:shd w:val="clear" w:color="auto" w:fill="D72930"/>
          </w:tcPr>
          <w:p>
            <w:pPr>
              <w:spacing w:after="0"/>
              <w:rPr>
                <w:sz w:val="10"/>
                <w:szCs w:val="10"/>
                <w:color w:val="auto"/>
              </w:rPr>
            </w:pPr>
          </w:p>
        </w:tc>
        <w:tc>
          <w:tcPr>
            <w:tcW w:w="900" w:type="dxa"/>
            <w:vAlign w:val="bottom"/>
            <w:vMerge w:val="continue"/>
            <w:shd w:val="clear" w:color="auto" w:fill="D72930"/>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40" w:type="dxa"/>
            <w:vAlign w:val="bottom"/>
            <w:tcBorders>
              <w:bottom w:val="single" w:sz="8" w:color="481F6E"/>
            </w:tcBorders>
            <w:shd w:val="clear" w:color="auto" w:fill="481F6E"/>
          </w:tcPr>
          <w:p>
            <w:pPr>
              <w:spacing w:after="0"/>
              <w:rPr>
                <w:sz w:val="18"/>
                <w:szCs w:val="18"/>
                <w:color w:val="auto"/>
              </w:rPr>
            </w:pPr>
          </w:p>
        </w:tc>
        <w:tc>
          <w:tcPr>
            <w:tcW w:w="4840" w:type="dxa"/>
            <w:vAlign w:val="bottom"/>
            <w:tcBorders>
              <w:bottom w:val="single" w:sz="8" w:color="481F6E"/>
            </w:tcBorders>
            <w:shd w:val="clear" w:color="auto" w:fill="481F6E"/>
          </w:tcPr>
          <w:p>
            <w:pPr>
              <w:spacing w:after="0"/>
              <w:rPr>
                <w:sz w:val="18"/>
                <w:szCs w:val="18"/>
                <w:color w:val="auto"/>
              </w:rPr>
            </w:pPr>
          </w:p>
        </w:tc>
        <w:tc>
          <w:tcPr>
            <w:tcW w:w="900" w:type="dxa"/>
            <w:vAlign w:val="bottom"/>
            <w:tcBorders>
              <w:bottom w:val="single" w:sz="8" w:color="00B2EC"/>
            </w:tcBorders>
            <w:shd w:val="clear" w:color="auto" w:fill="00B2EC"/>
          </w:tcPr>
          <w:p>
            <w:pPr>
              <w:spacing w:after="0"/>
              <w:rPr>
                <w:sz w:val="18"/>
                <w:szCs w:val="18"/>
                <w:color w:val="auto"/>
              </w:rPr>
            </w:pPr>
          </w:p>
        </w:tc>
        <w:tc>
          <w:tcPr>
            <w:tcW w:w="960" w:type="dxa"/>
            <w:vAlign w:val="bottom"/>
            <w:tcBorders>
              <w:bottom w:val="single" w:sz="8" w:color="00B2EC"/>
            </w:tcBorders>
            <w:shd w:val="clear" w:color="auto" w:fill="00B2EC"/>
          </w:tcPr>
          <w:p>
            <w:pPr>
              <w:spacing w:after="0"/>
              <w:rPr>
                <w:sz w:val="18"/>
                <w:szCs w:val="18"/>
                <w:color w:val="auto"/>
              </w:rPr>
            </w:pPr>
          </w:p>
        </w:tc>
        <w:tc>
          <w:tcPr>
            <w:tcW w:w="820" w:type="dxa"/>
            <w:vAlign w:val="bottom"/>
            <w:tcBorders>
              <w:bottom w:val="single" w:sz="8" w:color="00B2EC"/>
            </w:tcBorders>
            <w:shd w:val="clear" w:color="auto" w:fill="00B2EC"/>
          </w:tcPr>
          <w:p>
            <w:pPr>
              <w:spacing w:after="0"/>
              <w:rPr>
                <w:sz w:val="18"/>
                <w:szCs w:val="18"/>
                <w:color w:val="auto"/>
              </w:rPr>
            </w:pPr>
          </w:p>
        </w:tc>
        <w:tc>
          <w:tcPr>
            <w:tcW w:w="980" w:type="dxa"/>
            <w:vAlign w:val="bottom"/>
            <w:tcBorders>
              <w:bottom w:val="single" w:sz="8" w:color="D72930"/>
            </w:tcBorders>
            <w:shd w:val="clear" w:color="auto" w:fill="D72930"/>
          </w:tcPr>
          <w:p>
            <w:pPr>
              <w:spacing w:after="0"/>
              <w:rPr>
                <w:sz w:val="18"/>
                <w:szCs w:val="18"/>
                <w:color w:val="auto"/>
              </w:rPr>
            </w:pPr>
          </w:p>
        </w:tc>
        <w:tc>
          <w:tcPr>
            <w:tcW w:w="960" w:type="dxa"/>
            <w:vAlign w:val="bottom"/>
            <w:tcBorders>
              <w:bottom w:val="single" w:sz="8" w:color="D72930"/>
            </w:tcBorders>
            <w:shd w:val="clear" w:color="auto" w:fill="D72930"/>
          </w:tcPr>
          <w:p>
            <w:pPr>
              <w:spacing w:after="0"/>
              <w:rPr>
                <w:sz w:val="18"/>
                <w:szCs w:val="18"/>
                <w:color w:val="auto"/>
              </w:rPr>
            </w:pPr>
          </w:p>
        </w:tc>
        <w:tc>
          <w:tcPr>
            <w:tcW w:w="760" w:type="dxa"/>
            <w:vAlign w:val="bottom"/>
            <w:tcBorders>
              <w:bottom w:val="single" w:sz="8" w:color="D72930"/>
            </w:tcBorders>
            <w:shd w:val="clear" w:color="auto" w:fill="D72930"/>
          </w:tcPr>
          <w:p>
            <w:pPr>
              <w:spacing w:after="0"/>
              <w:rPr>
                <w:sz w:val="18"/>
                <w:szCs w:val="18"/>
                <w:color w:val="auto"/>
              </w:rPr>
            </w:pPr>
          </w:p>
        </w:tc>
        <w:tc>
          <w:tcPr>
            <w:tcW w:w="900" w:type="dxa"/>
            <w:vAlign w:val="bottom"/>
            <w:tcBorders>
              <w:bottom w:val="single" w:sz="8" w:color="D72930"/>
            </w:tcBorders>
            <w:shd w:val="clear" w:color="auto" w:fill="D72930"/>
          </w:tcPr>
          <w:p>
            <w:pPr>
              <w:jc w:val="right"/>
              <w:spacing w:after="0"/>
              <w:rPr>
                <w:sz w:val="20"/>
                <w:szCs w:val="20"/>
                <w:color w:val="auto"/>
              </w:rPr>
            </w:pPr>
            <w:r>
              <w:rPr>
                <w:rFonts w:ascii="Arial" w:cs="Arial" w:eastAsia="Arial" w:hAnsi="Arial"/>
                <w:sz w:val="16"/>
                <w:szCs w:val="16"/>
                <w:color w:val="FFFFFF"/>
              </w:rPr>
              <w:t>Percentage</w:t>
            </w:r>
          </w:p>
        </w:tc>
        <w:tc>
          <w:tcPr>
            <w:tcW w:w="0" w:type="dxa"/>
            <w:vAlign w:val="bottom"/>
          </w:tcPr>
          <w:p>
            <w:pPr>
              <w:spacing w:after="0"/>
              <w:rPr>
                <w:sz w:val="1"/>
                <w:szCs w:val="1"/>
                <w:color w:val="auto"/>
              </w:rPr>
            </w:pPr>
          </w:p>
        </w:tc>
      </w:tr>
      <w:tr>
        <w:trPr>
          <w:trHeight w:val="239"/>
        </w:trPr>
        <w:tc>
          <w:tcPr>
            <w:tcW w:w="140" w:type="dxa"/>
            <w:vAlign w:val="bottom"/>
            <w:shd w:val="clear" w:color="auto" w:fill="D7D8D6"/>
          </w:tcPr>
          <w:p>
            <w:pPr>
              <w:spacing w:after="0"/>
              <w:rPr>
                <w:sz w:val="20"/>
                <w:szCs w:val="20"/>
                <w:color w:val="auto"/>
              </w:rPr>
            </w:pPr>
          </w:p>
        </w:tc>
        <w:tc>
          <w:tcPr>
            <w:tcW w:w="4840" w:type="dxa"/>
            <w:vAlign w:val="bottom"/>
            <w:shd w:val="clear" w:color="auto" w:fill="D7D8D6"/>
          </w:tcPr>
          <w:p>
            <w:pPr>
              <w:ind w:left="40"/>
              <w:spacing w:after="0"/>
              <w:rPr>
                <w:sz w:val="20"/>
                <w:szCs w:val="20"/>
                <w:color w:val="auto"/>
              </w:rPr>
            </w:pPr>
            <w:r>
              <w:rPr>
                <w:rFonts w:ascii="Arial" w:cs="Arial" w:eastAsia="Arial" w:hAnsi="Arial"/>
                <w:sz w:val="16"/>
                <w:szCs w:val="16"/>
                <w:color w:val="333740"/>
              </w:rPr>
              <w:t>EBITDA ($M)</w:t>
            </w:r>
          </w:p>
        </w:tc>
        <w:tc>
          <w:tcPr>
            <w:tcW w:w="900" w:type="dxa"/>
            <w:vAlign w:val="bottom"/>
            <w:shd w:val="clear" w:color="auto" w:fill="D7D8D6"/>
          </w:tcPr>
          <w:p>
            <w:pPr>
              <w:jc w:val="right"/>
              <w:spacing w:after="0"/>
              <w:rPr>
                <w:sz w:val="20"/>
                <w:szCs w:val="20"/>
                <w:color w:val="auto"/>
              </w:rPr>
            </w:pPr>
            <w:r>
              <w:rPr>
                <w:rFonts w:ascii="Arial" w:cs="Arial" w:eastAsia="Arial" w:hAnsi="Arial"/>
                <w:sz w:val="16"/>
                <w:szCs w:val="16"/>
                <w:color w:val="333740"/>
              </w:rPr>
              <w:t>$1,246</w:t>
            </w:r>
          </w:p>
        </w:tc>
        <w:tc>
          <w:tcPr>
            <w:tcW w:w="960" w:type="dxa"/>
            <w:vAlign w:val="bottom"/>
            <w:shd w:val="clear" w:color="auto" w:fill="D7D8D6"/>
          </w:tcPr>
          <w:p>
            <w:pPr>
              <w:jc w:val="right"/>
              <w:ind w:right="45"/>
              <w:spacing w:after="0"/>
              <w:rPr>
                <w:sz w:val="20"/>
                <w:szCs w:val="20"/>
                <w:color w:val="auto"/>
              </w:rPr>
            </w:pPr>
            <w:r>
              <w:rPr>
                <w:rFonts w:ascii="Arial" w:cs="Arial" w:eastAsia="Arial" w:hAnsi="Arial"/>
                <w:sz w:val="16"/>
                <w:szCs w:val="16"/>
                <w:color w:val="333740"/>
              </w:rPr>
              <w:t>$1,531</w:t>
            </w:r>
          </w:p>
        </w:tc>
        <w:tc>
          <w:tcPr>
            <w:tcW w:w="820" w:type="dxa"/>
            <w:vAlign w:val="bottom"/>
            <w:shd w:val="clear" w:color="auto" w:fill="D7D8D6"/>
          </w:tcPr>
          <w:p>
            <w:pPr>
              <w:jc w:val="right"/>
              <w:spacing w:after="0"/>
              <w:rPr>
                <w:sz w:val="20"/>
                <w:szCs w:val="20"/>
                <w:color w:val="auto"/>
              </w:rPr>
            </w:pPr>
            <w:r>
              <w:rPr>
                <w:rFonts w:ascii="Arial" w:cs="Arial" w:eastAsia="Arial" w:hAnsi="Arial"/>
                <w:sz w:val="16"/>
                <w:szCs w:val="16"/>
                <w:color w:val="333740"/>
              </w:rPr>
              <w:t>$1,751</w:t>
            </w:r>
          </w:p>
        </w:tc>
        <w:tc>
          <w:tcPr>
            <w:tcW w:w="980" w:type="dxa"/>
            <w:vAlign w:val="bottom"/>
            <w:shd w:val="clear" w:color="auto" w:fill="D7D8D6"/>
          </w:tcPr>
          <w:p>
            <w:pPr>
              <w:jc w:val="right"/>
              <w:ind w:right="46"/>
              <w:spacing w:after="0"/>
              <w:rPr>
                <w:sz w:val="20"/>
                <w:szCs w:val="20"/>
                <w:color w:val="auto"/>
              </w:rPr>
            </w:pPr>
            <w:r>
              <w:rPr>
                <w:rFonts w:ascii="Arial" w:cs="Arial" w:eastAsia="Arial" w:hAnsi="Arial"/>
                <w:sz w:val="16"/>
                <w:szCs w:val="16"/>
                <w:color w:val="333740"/>
              </w:rPr>
              <w:t>$1,667</w:t>
            </w:r>
          </w:p>
        </w:tc>
        <w:tc>
          <w:tcPr>
            <w:tcW w:w="960" w:type="dxa"/>
            <w:vAlign w:val="bottom"/>
            <w:shd w:val="clear" w:color="auto" w:fill="D7D8D6"/>
          </w:tcPr>
          <w:p>
            <w:pPr>
              <w:jc w:val="right"/>
              <w:ind w:right="107"/>
              <w:spacing w:after="0"/>
              <w:rPr>
                <w:sz w:val="20"/>
                <w:szCs w:val="20"/>
                <w:color w:val="auto"/>
              </w:rPr>
            </w:pPr>
            <w:r>
              <w:rPr>
                <w:rFonts w:ascii="Arial" w:cs="Arial" w:eastAsia="Arial" w:hAnsi="Arial"/>
                <w:sz w:val="16"/>
                <w:szCs w:val="16"/>
                <w:color w:val="333740"/>
              </w:rPr>
              <w:t>162%</w:t>
            </w:r>
          </w:p>
        </w:tc>
        <w:tc>
          <w:tcPr>
            <w:tcW w:w="760" w:type="dxa"/>
            <w:vAlign w:val="bottom"/>
            <w:shd w:val="clear" w:color="auto" w:fill="D7D8D6"/>
          </w:tcPr>
          <w:p>
            <w:pPr>
              <w:jc w:val="right"/>
              <w:ind w:right="2"/>
              <w:spacing w:after="0"/>
              <w:rPr>
                <w:sz w:val="20"/>
                <w:szCs w:val="20"/>
                <w:color w:val="auto"/>
              </w:rPr>
            </w:pPr>
            <w:r>
              <w:rPr>
                <w:rFonts w:ascii="Arial" w:cs="Arial" w:eastAsia="Arial" w:hAnsi="Arial"/>
                <w:sz w:val="11"/>
                <w:szCs w:val="11"/>
                <w:color w:val="333740"/>
              </w:rPr>
              <w:t>1/3</w:t>
            </w:r>
          </w:p>
        </w:tc>
        <w:tc>
          <w:tcPr>
            <w:tcW w:w="900" w:type="dxa"/>
            <w:vAlign w:val="bottom"/>
            <w:shd w:val="clear" w:color="auto" w:fill="D7D8D6"/>
          </w:tcPr>
          <w:p>
            <w:pPr>
              <w:jc w:val="right"/>
              <w:spacing w:after="0"/>
              <w:rPr>
                <w:sz w:val="20"/>
                <w:szCs w:val="20"/>
                <w:color w:val="auto"/>
              </w:rPr>
            </w:pPr>
            <w:r>
              <w:rPr>
                <w:rFonts w:ascii="Arial" w:cs="Arial" w:eastAsia="Arial" w:hAnsi="Arial"/>
                <w:sz w:val="16"/>
                <w:szCs w:val="16"/>
                <w:color w:val="333740"/>
              </w:rPr>
              <w:t>54%</w:t>
            </w:r>
          </w:p>
        </w:tc>
        <w:tc>
          <w:tcPr>
            <w:tcW w:w="0" w:type="dxa"/>
            <w:vAlign w:val="bottom"/>
          </w:tcPr>
          <w:p>
            <w:pPr>
              <w:spacing w:after="0"/>
              <w:rPr>
                <w:sz w:val="1"/>
                <w:szCs w:val="1"/>
                <w:color w:val="auto"/>
              </w:rPr>
            </w:pPr>
          </w:p>
        </w:tc>
      </w:tr>
      <w:tr>
        <w:trPr>
          <w:trHeight w:val="286"/>
        </w:trPr>
        <w:tc>
          <w:tcPr>
            <w:tcW w:w="140" w:type="dxa"/>
            <w:vAlign w:val="bottom"/>
            <w:shd w:val="clear" w:color="auto" w:fill="D7D8D6"/>
          </w:tcPr>
          <w:p>
            <w:pPr>
              <w:spacing w:after="0"/>
              <w:rPr>
                <w:sz w:val="24"/>
                <w:szCs w:val="24"/>
                <w:color w:val="auto"/>
              </w:rPr>
            </w:pPr>
          </w:p>
        </w:tc>
        <w:tc>
          <w:tcPr>
            <w:tcW w:w="4840" w:type="dxa"/>
            <w:vAlign w:val="bottom"/>
            <w:shd w:val="clear" w:color="auto" w:fill="D7D8D6"/>
          </w:tcPr>
          <w:p>
            <w:pPr>
              <w:ind w:left="40"/>
              <w:spacing w:after="0"/>
              <w:rPr>
                <w:sz w:val="20"/>
                <w:szCs w:val="20"/>
                <w:color w:val="auto"/>
              </w:rPr>
            </w:pPr>
            <w:r>
              <w:rPr>
                <w:rFonts w:ascii="Arial" w:cs="Arial" w:eastAsia="Arial" w:hAnsi="Arial"/>
                <w:sz w:val="16"/>
                <w:szCs w:val="16"/>
                <w:color w:val="333740"/>
              </w:rPr>
              <w:t>EBITDA as a Percentage</w:t>
            </w:r>
          </w:p>
        </w:tc>
        <w:tc>
          <w:tcPr>
            <w:tcW w:w="900" w:type="dxa"/>
            <w:vAlign w:val="bottom"/>
            <w:shd w:val="clear" w:color="auto" w:fill="D7D8D6"/>
          </w:tcPr>
          <w:p>
            <w:pPr>
              <w:jc w:val="right"/>
              <w:spacing w:after="0"/>
              <w:rPr>
                <w:sz w:val="20"/>
                <w:szCs w:val="20"/>
                <w:color w:val="auto"/>
              </w:rPr>
            </w:pPr>
            <w:r>
              <w:rPr>
                <w:rFonts w:ascii="Arial" w:cs="Arial" w:eastAsia="Arial" w:hAnsi="Arial"/>
                <w:sz w:val="16"/>
                <w:szCs w:val="16"/>
                <w:color w:val="333740"/>
              </w:rPr>
              <w:t>9%</w:t>
            </w:r>
          </w:p>
        </w:tc>
        <w:tc>
          <w:tcPr>
            <w:tcW w:w="960" w:type="dxa"/>
            <w:vAlign w:val="bottom"/>
            <w:shd w:val="clear" w:color="auto" w:fill="D7D8D6"/>
          </w:tcPr>
          <w:p>
            <w:pPr>
              <w:jc w:val="right"/>
              <w:ind w:right="45"/>
              <w:spacing w:after="0"/>
              <w:rPr>
                <w:sz w:val="20"/>
                <w:szCs w:val="20"/>
                <w:color w:val="auto"/>
              </w:rPr>
            </w:pPr>
            <w:r>
              <w:rPr>
                <w:rFonts w:ascii="Arial" w:cs="Arial" w:eastAsia="Arial" w:hAnsi="Arial"/>
                <w:sz w:val="16"/>
                <w:szCs w:val="16"/>
                <w:color w:val="333740"/>
              </w:rPr>
              <w:t>11.4%</w:t>
            </w:r>
          </w:p>
        </w:tc>
        <w:tc>
          <w:tcPr>
            <w:tcW w:w="820" w:type="dxa"/>
            <w:vAlign w:val="bottom"/>
            <w:shd w:val="clear" w:color="auto" w:fill="D7D8D6"/>
          </w:tcPr>
          <w:p>
            <w:pPr>
              <w:jc w:val="right"/>
              <w:spacing w:after="0"/>
              <w:rPr>
                <w:sz w:val="20"/>
                <w:szCs w:val="20"/>
                <w:color w:val="auto"/>
              </w:rPr>
            </w:pPr>
            <w:r>
              <w:rPr>
                <w:rFonts w:ascii="Arial" w:cs="Arial" w:eastAsia="Arial" w:hAnsi="Arial"/>
                <w:sz w:val="16"/>
                <w:szCs w:val="16"/>
                <w:color w:val="333740"/>
              </w:rPr>
              <w:t>13.3%</w:t>
            </w:r>
          </w:p>
        </w:tc>
        <w:tc>
          <w:tcPr>
            <w:tcW w:w="980" w:type="dxa"/>
            <w:vAlign w:val="bottom"/>
            <w:shd w:val="clear" w:color="auto" w:fill="D7D8D6"/>
          </w:tcPr>
          <w:p>
            <w:pPr>
              <w:jc w:val="right"/>
              <w:ind w:right="46"/>
              <w:spacing w:after="0"/>
              <w:rPr>
                <w:sz w:val="20"/>
                <w:szCs w:val="20"/>
                <w:color w:val="auto"/>
              </w:rPr>
            </w:pPr>
            <w:r>
              <w:rPr>
                <w:rFonts w:ascii="Arial" w:cs="Arial" w:eastAsia="Arial" w:hAnsi="Arial"/>
                <w:sz w:val="16"/>
                <w:szCs w:val="16"/>
                <w:color w:val="333740"/>
              </w:rPr>
              <w:t>12.4%</w:t>
            </w:r>
          </w:p>
        </w:tc>
        <w:tc>
          <w:tcPr>
            <w:tcW w:w="960" w:type="dxa"/>
            <w:vAlign w:val="bottom"/>
            <w:shd w:val="clear" w:color="auto" w:fill="D7D8D6"/>
          </w:tcPr>
          <w:p>
            <w:pPr>
              <w:jc w:val="right"/>
              <w:ind w:right="107"/>
              <w:spacing w:after="0"/>
              <w:rPr>
                <w:sz w:val="20"/>
                <w:szCs w:val="20"/>
                <w:color w:val="auto"/>
              </w:rPr>
            </w:pPr>
            <w:r>
              <w:rPr>
                <w:rFonts w:ascii="Arial" w:cs="Arial" w:eastAsia="Arial" w:hAnsi="Arial"/>
                <w:sz w:val="16"/>
                <w:szCs w:val="16"/>
                <w:color w:val="333740"/>
              </w:rPr>
              <w:t>155%</w:t>
            </w:r>
          </w:p>
        </w:tc>
        <w:tc>
          <w:tcPr>
            <w:tcW w:w="760" w:type="dxa"/>
            <w:vAlign w:val="bottom"/>
            <w:shd w:val="clear" w:color="auto" w:fill="D7D8D6"/>
          </w:tcPr>
          <w:p>
            <w:pPr>
              <w:jc w:val="right"/>
              <w:ind w:right="2"/>
              <w:spacing w:after="0"/>
              <w:rPr>
                <w:sz w:val="20"/>
                <w:szCs w:val="20"/>
                <w:color w:val="auto"/>
              </w:rPr>
            </w:pPr>
            <w:r>
              <w:rPr>
                <w:rFonts w:ascii="Arial" w:cs="Arial" w:eastAsia="Arial" w:hAnsi="Arial"/>
                <w:sz w:val="11"/>
                <w:szCs w:val="11"/>
                <w:color w:val="333740"/>
              </w:rPr>
              <w:t>1/3</w:t>
            </w:r>
          </w:p>
        </w:tc>
        <w:tc>
          <w:tcPr>
            <w:tcW w:w="900" w:type="dxa"/>
            <w:vAlign w:val="bottom"/>
            <w:shd w:val="clear" w:color="auto" w:fill="D7D8D6"/>
          </w:tcPr>
          <w:p>
            <w:pPr>
              <w:jc w:val="right"/>
              <w:spacing w:after="0"/>
              <w:rPr>
                <w:sz w:val="20"/>
                <w:szCs w:val="20"/>
                <w:color w:val="auto"/>
              </w:rPr>
            </w:pPr>
            <w:r>
              <w:rPr>
                <w:rFonts w:ascii="Arial" w:cs="Arial" w:eastAsia="Arial" w:hAnsi="Arial"/>
                <w:sz w:val="16"/>
                <w:szCs w:val="16"/>
                <w:color w:val="333740"/>
              </w:rPr>
              <w:t>51</w:t>
            </w:r>
            <w:r>
              <w:rPr>
                <w:rFonts w:ascii="Arial" w:cs="Arial" w:eastAsia="Arial" w:hAnsi="Arial"/>
                <w:sz w:val="11"/>
                <w:szCs w:val="11"/>
                <w:color w:val="333740"/>
              </w:rPr>
              <w:t>2/3</w:t>
            </w:r>
            <w:r>
              <w:rPr>
                <w:rFonts w:ascii="Arial" w:cs="Arial" w:eastAsia="Arial" w:hAnsi="Arial"/>
                <w:sz w:val="16"/>
                <w:szCs w:val="16"/>
                <w:color w:val="333740"/>
              </w:rPr>
              <w:t>%</w:t>
            </w:r>
          </w:p>
        </w:tc>
        <w:tc>
          <w:tcPr>
            <w:tcW w:w="0" w:type="dxa"/>
            <w:vAlign w:val="bottom"/>
          </w:tcPr>
          <w:p>
            <w:pPr>
              <w:spacing w:after="0"/>
              <w:rPr>
                <w:sz w:val="1"/>
                <w:szCs w:val="1"/>
                <w:color w:val="auto"/>
              </w:rPr>
            </w:pPr>
          </w:p>
        </w:tc>
      </w:tr>
      <w:tr>
        <w:trPr>
          <w:trHeight w:val="204"/>
        </w:trPr>
        <w:tc>
          <w:tcPr>
            <w:tcW w:w="140" w:type="dxa"/>
            <w:vAlign w:val="bottom"/>
            <w:shd w:val="clear" w:color="auto" w:fill="D7D8D6"/>
          </w:tcPr>
          <w:p>
            <w:pPr>
              <w:spacing w:after="0"/>
              <w:rPr>
                <w:sz w:val="17"/>
                <w:szCs w:val="17"/>
                <w:color w:val="auto"/>
              </w:rPr>
            </w:pPr>
          </w:p>
        </w:tc>
        <w:tc>
          <w:tcPr>
            <w:tcW w:w="4840" w:type="dxa"/>
            <w:vAlign w:val="bottom"/>
            <w:shd w:val="clear" w:color="auto" w:fill="D7D8D6"/>
          </w:tcPr>
          <w:p>
            <w:pPr>
              <w:ind w:left="40"/>
              <w:spacing w:after="0"/>
              <w:rPr>
                <w:sz w:val="20"/>
                <w:szCs w:val="20"/>
                <w:color w:val="auto"/>
              </w:rPr>
            </w:pPr>
            <w:r>
              <w:rPr>
                <w:rFonts w:ascii="Arial" w:cs="Arial" w:eastAsia="Arial" w:hAnsi="Arial"/>
                <w:sz w:val="16"/>
                <w:szCs w:val="16"/>
                <w:color w:val="333740"/>
              </w:rPr>
              <w:t>of Revenue</w:t>
            </w:r>
          </w:p>
        </w:tc>
        <w:tc>
          <w:tcPr>
            <w:tcW w:w="900" w:type="dxa"/>
            <w:vAlign w:val="bottom"/>
            <w:shd w:val="clear" w:color="auto" w:fill="D7D8D6"/>
          </w:tcPr>
          <w:p>
            <w:pPr>
              <w:spacing w:after="0"/>
              <w:rPr>
                <w:sz w:val="17"/>
                <w:szCs w:val="17"/>
                <w:color w:val="auto"/>
              </w:rPr>
            </w:pPr>
          </w:p>
        </w:tc>
        <w:tc>
          <w:tcPr>
            <w:tcW w:w="960" w:type="dxa"/>
            <w:vAlign w:val="bottom"/>
            <w:shd w:val="clear" w:color="auto" w:fill="D7D8D6"/>
          </w:tcPr>
          <w:p>
            <w:pPr>
              <w:spacing w:after="0"/>
              <w:rPr>
                <w:sz w:val="17"/>
                <w:szCs w:val="17"/>
                <w:color w:val="auto"/>
              </w:rPr>
            </w:pPr>
          </w:p>
        </w:tc>
        <w:tc>
          <w:tcPr>
            <w:tcW w:w="820" w:type="dxa"/>
            <w:vAlign w:val="bottom"/>
            <w:shd w:val="clear" w:color="auto" w:fill="D7D8D6"/>
          </w:tcPr>
          <w:p>
            <w:pPr>
              <w:spacing w:after="0"/>
              <w:rPr>
                <w:sz w:val="17"/>
                <w:szCs w:val="17"/>
                <w:color w:val="auto"/>
              </w:rPr>
            </w:pPr>
          </w:p>
        </w:tc>
        <w:tc>
          <w:tcPr>
            <w:tcW w:w="980" w:type="dxa"/>
            <w:vAlign w:val="bottom"/>
            <w:shd w:val="clear" w:color="auto" w:fill="D7D8D6"/>
          </w:tcPr>
          <w:p>
            <w:pPr>
              <w:spacing w:after="0"/>
              <w:rPr>
                <w:sz w:val="17"/>
                <w:szCs w:val="17"/>
                <w:color w:val="auto"/>
              </w:rPr>
            </w:pPr>
          </w:p>
        </w:tc>
        <w:tc>
          <w:tcPr>
            <w:tcW w:w="960" w:type="dxa"/>
            <w:vAlign w:val="bottom"/>
            <w:shd w:val="clear" w:color="auto" w:fill="D7D8D6"/>
          </w:tcPr>
          <w:p>
            <w:pPr>
              <w:spacing w:after="0"/>
              <w:rPr>
                <w:sz w:val="17"/>
                <w:szCs w:val="17"/>
                <w:color w:val="auto"/>
              </w:rPr>
            </w:pPr>
          </w:p>
        </w:tc>
        <w:tc>
          <w:tcPr>
            <w:tcW w:w="760" w:type="dxa"/>
            <w:vAlign w:val="bottom"/>
            <w:shd w:val="clear" w:color="auto" w:fill="D7D8D6"/>
          </w:tcPr>
          <w:p>
            <w:pPr>
              <w:spacing w:after="0"/>
              <w:rPr>
                <w:sz w:val="17"/>
                <w:szCs w:val="17"/>
                <w:color w:val="auto"/>
              </w:rPr>
            </w:pPr>
          </w:p>
        </w:tc>
        <w:tc>
          <w:tcPr>
            <w:tcW w:w="900" w:type="dxa"/>
            <w:vAlign w:val="bottom"/>
            <w:shd w:val="clear" w:color="auto" w:fill="D7D8D6"/>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140" w:type="dxa"/>
            <w:vAlign w:val="bottom"/>
            <w:shd w:val="clear" w:color="auto" w:fill="D7D8D6"/>
          </w:tcPr>
          <w:p>
            <w:pPr>
              <w:spacing w:after="0"/>
              <w:rPr>
                <w:sz w:val="24"/>
                <w:szCs w:val="24"/>
                <w:color w:val="auto"/>
              </w:rPr>
            </w:pPr>
          </w:p>
        </w:tc>
        <w:tc>
          <w:tcPr>
            <w:tcW w:w="4840" w:type="dxa"/>
            <w:vAlign w:val="bottom"/>
            <w:shd w:val="clear" w:color="auto" w:fill="D7D8D6"/>
          </w:tcPr>
          <w:p>
            <w:pPr>
              <w:ind w:left="40"/>
              <w:spacing w:after="0"/>
              <w:rPr>
                <w:sz w:val="20"/>
                <w:szCs w:val="20"/>
                <w:color w:val="auto"/>
              </w:rPr>
            </w:pPr>
            <w:r>
              <w:rPr>
                <w:rFonts w:ascii="Arial" w:cs="Arial" w:eastAsia="Arial" w:hAnsi="Arial"/>
                <w:sz w:val="16"/>
                <w:szCs w:val="16"/>
                <w:color w:val="333740"/>
              </w:rPr>
              <w:t>Working Capital Days</w:t>
            </w:r>
          </w:p>
        </w:tc>
        <w:tc>
          <w:tcPr>
            <w:tcW w:w="900" w:type="dxa"/>
            <w:vAlign w:val="bottom"/>
            <w:shd w:val="clear" w:color="auto" w:fill="D7D8D6"/>
          </w:tcPr>
          <w:p>
            <w:pPr>
              <w:jc w:val="right"/>
              <w:spacing w:after="0"/>
              <w:rPr>
                <w:sz w:val="20"/>
                <w:szCs w:val="20"/>
                <w:color w:val="auto"/>
              </w:rPr>
            </w:pPr>
            <w:r>
              <w:rPr>
                <w:rFonts w:ascii="Arial" w:cs="Arial" w:eastAsia="Arial" w:hAnsi="Arial"/>
                <w:sz w:val="16"/>
                <w:szCs w:val="16"/>
                <w:color w:val="333740"/>
              </w:rPr>
              <w:t>48 days</w:t>
            </w:r>
          </w:p>
        </w:tc>
        <w:tc>
          <w:tcPr>
            <w:tcW w:w="960" w:type="dxa"/>
            <w:vAlign w:val="bottom"/>
            <w:shd w:val="clear" w:color="auto" w:fill="D7D8D6"/>
          </w:tcPr>
          <w:p>
            <w:pPr>
              <w:jc w:val="right"/>
              <w:ind w:right="45"/>
              <w:spacing w:after="0"/>
              <w:rPr>
                <w:sz w:val="20"/>
                <w:szCs w:val="20"/>
                <w:color w:val="auto"/>
              </w:rPr>
            </w:pPr>
            <w:r>
              <w:rPr>
                <w:rFonts w:ascii="Arial" w:cs="Arial" w:eastAsia="Arial" w:hAnsi="Arial"/>
                <w:sz w:val="16"/>
                <w:szCs w:val="16"/>
                <w:color w:val="333740"/>
              </w:rPr>
              <w:t>55 days</w:t>
            </w:r>
          </w:p>
        </w:tc>
        <w:tc>
          <w:tcPr>
            <w:tcW w:w="820" w:type="dxa"/>
            <w:vAlign w:val="bottom"/>
            <w:shd w:val="clear" w:color="auto" w:fill="D7D8D6"/>
          </w:tcPr>
          <w:p>
            <w:pPr>
              <w:jc w:val="right"/>
              <w:spacing w:after="0"/>
              <w:rPr>
                <w:sz w:val="20"/>
                <w:szCs w:val="20"/>
                <w:color w:val="auto"/>
              </w:rPr>
            </w:pPr>
            <w:r>
              <w:rPr>
                <w:rFonts w:ascii="Arial" w:cs="Arial" w:eastAsia="Arial" w:hAnsi="Arial"/>
                <w:sz w:val="16"/>
                <w:szCs w:val="16"/>
                <w:color w:val="333740"/>
              </w:rPr>
              <w:t>61 days</w:t>
            </w:r>
          </w:p>
        </w:tc>
        <w:tc>
          <w:tcPr>
            <w:tcW w:w="980" w:type="dxa"/>
            <w:vAlign w:val="bottom"/>
            <w:shd w:val="clear" w:color="auto" w:fill="D7D8D6"/>
          </w:tcPr>
          <w:p>
            <w:pPr>
              <w:jc w:val="right"/>
              <w:ind w:right="46"/>
              <w:spacing w:after="0"/>
              <w:rPr>
                <w:sz w:val="20"/>
                <w:szCs w:val="20"/>
                <w:color w:val="auto"/>
              </w:rPr>
            </w:pPr>
            <w:r>
              <w:rPr>
                <w:rFonts w:ascii="Arial" w:cs="Arial" w:eastAsia="Arial" w:hAnsi="Arial"/>
                <w:sz w:val="16"/>
                <w:szCs w:val="16"/>
                <w:color w:val="333740"/>
              </w:rPr>
              <w:t>74 days</w:t>
            </w:r>
          </w:p>
        </w:tc>
        <w:tc>
          <w:tcPr>
            <w:tcW w:w="960" w:type="dxa"/>
            <w:vAlign w:val="bottom"/>
            <w:shd w:val="clear" w:color="auto" w:fill="D7D8D6"/>
          </w:tcPr>
          <w:p>
            <w:pPr>
              <w:jc w:val="right"/>
              <w:ind w:right="107"/>
              <w:spacing w:after="0"/>
              <w:rPr>
                <w:sz w:val="20"/>
                <w:szCs w:val="20"/>
                <w:color w:val="auto"/>
              </w:rPr>
            </w:pPr>
            <w:r>
              <w:rPr>
                <w:rFonts w:ascii="Arial" w:cs="Arial" w:eastAsia="Arial" w:hAnsi="Arial"/>
                <w:sz w:val="16"/>
                <w:szCs w:val="16"/>
                <w:color w:val="333740"/>
              </w:rPr>
              <w:t>200%</w:t>
            </w:r>
          </w:p>
        </w:tc>
        <w:tc>
          <w:tcPr>
            <w:tcW w:w="760" w:type="dxa"/>
            <w:vAlign w:val="bottom"/>
            <w:shd w:val="clear" w:color="auto" w:fill="D7D8D6"/>
          </w:tcPr>
          <w:p>
            <w:pPr>
              <w:jc w:val="right"/>
              <w:ind w:right="2"/>
              <w:spacing w:after="0"/>
              <w:rPr>
                <w:sz w:val="20"/>
                <w:szCs w:val="20"/>
                <w:color w:val="auto"/>
              </w:rPr>
            </w:pPr>
            <w:r>
              <w:rPr>
                <w:rFonts w:ascii="Arial" w:cs="Arial" w:eastAsia="Arial" w:hAnsi="Arial"/>
                <w:sz w:val="11"/>
                <w:szCs w:val="11"/>
                <w:color w:val="333740"/>
              </w:rPr>
              <w:t>1/3</w:t>
            </w:r>
          </w:p>
        </w:tc>
        <w:tc>
          <w:tcPr>
            <w:tcW w:w="900" w:type="dxa"/>
            <w:vAlign w:val="bottom"/>
            <w:shd w:val="clear" w:color="auto" w:fill="D7D8D6"/>
          </w:tcPr>
          <w:p>
            <w:pPr>
              <w:jc w:val="right"/>
              <w:spacing w:after="0"/>
              <w:rPr>
                <w:sz w:val="20"/>
                <w:szCs w:val="20"/>
                <w:color w:val="auto"/>
              </w:rPr>
            </w:pPr>
            <w:r>
              <w:rPr>
                <w:rFonts w:ascii="Arial" w:cs="Arial" w:eastAsia="Arial" w:hAnsi="Arial"/>
                <w:sz w:val="16"/>
                <w:szCs w:val="16"/>
                <w:color w:val="333740"/>
              </w:rPr>
              <w:t>66</w:t>
            </w:r>
            <w:r>
              <w:rPr>
                <w:rFonts w:ascii="Arial" w:cs="Arial" w:eastAsia="Arial" w:hAnsi="Arial"/>
                <w:sz w:val="9"/>
                <w:szCs w:val="9"/>
                <w:color w:val="333740"/>
              </w:rPr>
              <w:t>2/3</w:t>
            </w:r>
            <w:r>
              <w:rPr>
                <w:rFonts w:ascii="Arial" w:cs="Arial" w:eastAsia="Arial" w:hAnsi="Arial"/>
                <w:sz w:val="16"/>
                <w:szCs w:val="16"/>
                <w:color w:val="333740"/>
              </w:rPr>
              <w:t>%</w:t>
            </w:r>
          </w:p>
        </w:tc>
        <w:tc>
          <w:tcPr>
            <w:tcW w:w="0" w:type="dxa"/>
            <w:vAlign w:val="bottom"/>
          </w:tcPr>
          <w:p>
            <w:pPr>
              <w:spacing w:after="0"/>
              <w:rPr>
                <w:sz w:val="1"/>
                <w:szCs w:val="1"/>
                <w:color w:val="auto"/>
              </w:rPr>
            </w:pPr>
          </w:p>
        </w:tc>
      </w:tr>
      <w:tr>
        <w:trPr>
          <w:trHeight w:val="326"/>
        </w:trPr>
        <w:tc>
          <w:tcPr>
            <w:tcW w:w="140" w:type="dxa"/>
            <w:vAlign w:val="bottom"/>
            <w:tcBorders>
              <w:bottom w:val="single" w:sz="8" w:color="D7D8D6"/>
            </w:tcBorders>
            <w:shd w:val="clear" w:color="auto" w:fill="D7D8D6"/>
          </w:tcPr>
          <w:p>
            <w:pPr>
              <w:spacing w:after="0"/>
              <w:rPr>
                <w:sz w:val="24"/>
                <w:szCs w:val="24"/>
                <w:color w:val="auto"/>
              </w:rPr>
            </w:pPr>
          </w:p>
        </w:tc>
        <w:tc>
          <w:tcPr>
            <w:tcW w:w="4840" w:type="dxa"/>
            <w:vAlign w:val="bottom"/>
            <w:tcBorders>
              <w:bottom w:val="single" w:sz="8" w:color="D7D8D6"/>
            </w:tcBorders>
            <w:shd w:val="clear" w:color="auto" w:fill="D7D8D6"/>
          </w:tcPr>
          <w:p>
            <w:pPr>
              <w:ind w:left="40"/>
              <w:spacing w:after="0"/>
              <w:rPr>
                <w:sz w:val="20"/>
                <w:szCs w:val="20"/>
                <w:color w:val="auto"/>
              </w:rPr>
            </w:pPr>
            <w:r>
              <w:rPr>
                <w:rFonts w:ascii="Arial" w:cs="Arial" w:eastAsia="Arial" w:hAnsi="Arial"/>
                <w:sz w:val="16"/>
                <w:szCs w:val="16"/>
                <w:color w:val="333740"/>
              </w:rPr>
              <w:t>Payout Percentage</w:t>
            </w:r>
          </w:p>
        </w:tc>
        <w:tc>
          <w:tcPr>
            <w:tcW w:w="900" w:type="dxa"/>
            <w:vAlign w:val="bottom"/>
            <w:tcBorders>
              <w:bottom w:val="single" w:sz="8" w:color="D7D8D6"/>
            </w:tcBorders>
            <w:shd w:val="clear" w:color="auto" w:fill="D7D8D6"/>
          </w:tcPr>
          <w:p>
            <w:pPr>
              <w:jc w:val="right"/>
              <w:spacing w:after="0"/>
              <w:rPr>
                <w:sz w:val="20"/>
                <w:szCs w:val="20"/>
                <w:color w:val="auto"/>
              </w:rPr>
            </w:pPr>
            <w:r>
              <w:rPr>
                <w:rFonts w:ascii="Arial" w:cs="Arial" w:eastAsia="Arial" w:hAnsi="Arial"/>
                <w:sz w:val="16"/>
                <w:szCs w:val="16"/>
                <w:color w:val="333740"/>
              </w:rPr>
              <w:t>0%</w:t>
            </w:r>
          </w:p>
        </w:tc>
        <w:tc>
          <w:tcPr>
            <w:tcW w:w="960" w:type="dxa"/>
            <w:vAlign w:val="bottom"/>
            <w:tcBorders>
              <w:bottom w:val="single" w:sz="8" w:color="D7D8D6"/>
            </w:tcBorders>
            <w:shd w:val="clear" w:color="auto" w:fill="D7D8D6"/>
          </w:tcPr>
          <w:p>
            <w:pPr>
              <w:jc w:val="right"/>
              <w:ind w:right="45"/>
              <w:spacing w:after="0"/>
              <w:rPr>
                <w:sz w:val="20"/>
                <w:szCs w:val="20"/>
                <w:color w:val="auto"/>
              </w:rPr>
            </w:pPr>
            <w:r>
              <w:rPr>
                <w:rFonts w:ascii="Arial" w:cs="Arial" w:eastAsia="Arial" w:hAnsi="Arial"/>
                <w:sz w:val="16"/>
                <w:szCs w:val="16"/>
                <w:color w:val="333740"/>
              </w:rPr>
              <w:t>100%</w:t>
            </w:r>
          </w:p>
        </w:tc>
        <w:tc>
          <w:tcPr>
            <w:tcW w:w="820" w:type="dxa"/>
            <w:vAlign w:val="bottom"/>
            <w:tcBorders>
              <w:bottom w:val="single" w:sz="8" w:color="D7D8D6"/>
            </w:tcBorders>
            <w:shd w:val="clear" w:color="auto" w:fill="D7D8D6"/>
          </w:tcPr>
          <w:p>
            <w:pPr>
              <w:jc w:val="right"/>
              <w:spacing w:after="0"/>
              <w:rPr>
                <w:sz w:val="20"/>
                <w:szCs w:val="20"/>
                <w:color w:val="auto"/>
              </w:rPr>
            </w:pPr>
            <w:r>
              <w:rPr>
                <w:rFonts w:ascii="Arial" w:cs="Arial" w:eastAsia="Arial" w:hAnsi="Arial"/>
                <w:sz w:val="16"/>
                <w:szCs w:val="16"/>
                <w:color w:val="333740"/>
              </w:rPr>
              <w:t>200%</w:t>
            </w:r>
          </w:p>
        </w:tc>
        <w:tc>
          <w:tcPr>
            <w:tcW w:w="980" w:type="dxa"/>
            <w:vAlign w:val="bottom"/>
            <w:tcBorders>
              <w:bottom w:val="single" w:sz="8" w:color="D7D8D6"/>
            </w:tcBorders>
            <w:shd w:val="clear" w:color="auto" w:fill="D7D8D6"/>
          </w:tcPr>
          <w:p>
            <w:pPr>
              <w:spacing w:after="0"/>
              <w:rPr>
                <w:sz w:val="24"/>
                <w:szCs w:val="24"/>
                <w:color w:val="auto"/>
              </w:rPr>
            </w:pPr>
          </w:p>
        </w:tc>
        <w:tc>
          <w:tcPr>
            <w:tcW w:w="960" w:type="dxa"/>
            <w:vAlign w:val="bottom"/>
            <w:tcBorders>
              <w:bottom w:val="single" w:sz="8" w:color="D7D8D6"/>
            </w:tcBorders>
            <w:shd w:val="clear" w:color="auto" w:fill="D7D8D6"/>
          </w:tcPr>
          <w:p>
            <w:pPr>
              <w:spacing w:after="0"/>
              <w:rPr>
                <w:sz w:val="24"/>
                <w:szCs w:val="24"/>
                <w:color w:val="auto"/>
              </w:rPr>
            </w:pPr>
          </w:p>
        </w:tc>
        <w:tc>
          <w:tcPr>
            <w:tcW w:w="760" w:type="dxa"/>
            <w:vAlign w:val="bottom"/>
            <w:tcBorders>
              <w:bottom w:val="single" w:sz="8" w:color="D7D8D6"/>
            </w:tcBorders>
            <w:shd w:val="clear" w:color="auto" w:fill="D7D8D6"/>
          </w:tcPr>
          <w:p>
            <w:pPr>
              <w:spacing w:after="0"/>
              <w:rPr>
                <w:sz w:val="24"/>
                <w:szCs w:val="24"/>
                <w:color w:val="auto"/>
              </w:rPr>
            </w:pPr>
          </w:p>
        </w:tc>
        <w:tc>
          <w:tcPr>
            <w:tcW w:w="900" w:type="dxa"/>
            <w:vAlign w:val="bottom"/>
            <w:tcBorders>
              <w:bottom w:val="single" w:sz="8" w:color="D7D8D6"/>
            </w:tcBorders>
            <w:shd w:val="clear" w:color="auto" w:fill="D7D8D6"/>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40" w:type="dxa"/>
            <w:vAlign w:val="bottom"/>
            <w:shd w:val="clear" w:color="auto" w:fill="333740"/>
          </w:tcPr>
          <w:p>
            <w:pPr>
              <w:spacing w:after="0"/>
              <w:rPr>
                <w:sz w:val="24"/>
                <w:szCs w:val="24"/>
                <w:color w:val="auto"/>
              </w:rPr>
            </w:pPr>
          </w:p>
        </w:tc>
        <w:tc>
          <w:tcPr>
            <w:tcW w:w="4840" w:type="dxa"/>
            <w:vAlign w:val="bottom"/>
            <w:shd w:val="clear" w:color="auto" w:fill="333740"/>
          </w:tcPr>
          <w:p>
            <w:pPr>
              <w:ind w:left="40"/>
              <w:spacing w:after="0"/>
              <w:rPr>
                <w:sz w:val="20"/>
                <w:szCs w:val="20"/>
                <w:color w:val="auto"/>
              </w:rPr>
            </w:pPr>
            <w:r>
              <w:rPr>
                <w:rFonts w:ascii="Arial" w:cs="Arial" w:eastAsia="Arial" w:hAnsi="Arial"/>
                <w:sz w:val="16"/>
                <w:szCs w:val="16"/>
                <w:color w:val="FFFFFF"/>
              </w:rPr>
              <w:t>Final Weighted Payout Percentage (BPI)</w:t>
            </w:r>
          </w:p>
        </w:tc>
        <w:tc>
          <w:tcPr>
            <w:tcW w:w="900" w:type="dxa"/>
            <w:vAlign w:val="bottom"/>
            <w:shd w:val="clear" w:color="auto" w:fill="333740"/>
          </w:tcPr>
          <w:p>
            <w:pPr>
              <w:spacing w:after="0"/>
              <w:rPr>
                <w:sz w:val="24"/>
                <w:szCs w:val="24"/>
                <w:color w:val="auto"/>
              </w:rPr>
            </w:pPr>
          </w:p>
        </w:tc>
        <w:tc>
          <w:tcPr>
            <w:tcW w:w="960" w:type="dxa"/>
            <w:vAlign w:val="bottom"/>
            <w:shd w:val="clear" w:color="auto" w:fill="333740"/>
          </w:tcPr>
          <w:p>
            <w:pPr>
              <w:spacing w:after="0"/>
              <w:rPr>
                <w:sz w:val="24"/>
                <w:szCs w:val="24"/>
                <w:color w:val="auto"/>
              </w:rPr>
            </w:pPr>
          </w:p>
        </w:tc>
        <w:tc>
          <w:tcPr>
            <w:tcW w:w="820" w:type="dxa"/>
            <w:vAlign w:val="bottom"/>
            <w:shd w:val="clear" w:color="auto" w:fill="333740"/>
          </w:tcPr>
          <w:p>
            <w:pPr>
              <w:spacing w:after="0"/>
              <w:rPr>
                <w:sz w:val="24"/>
                <w:szCs w:val="24"/>
                <w:color w:val="auto"/>
              </w:rPr>
            </w:pPr>
          </w:p>
        </w:tc>
        <w:tc>
          <w:tcPr>
            <w:tcW w:w="980" w:type="dxa"/>
            <w:vAlign w:val="bottom"/>
            <w:shd w:val="clear" w:color="auto" w:fill="333740"/>
          </w:tcPr>
          <w:p>
            <w:pPr>
              <w:spacing w:after="0"/>
              <w:rPr>
                <w:sz w:val="24"/>
                <w:szCs w:val="24"/>
                <w:color w:val="auto"/>
              </w:rPr>
            </w:pPr>
          </w:p>
        </w:tc>
        <w:tc>
          <w:tcPr>
            <w:tcW w:w="960" w:type="dxa"/>
            <w:vAlign w:val="bottom"/>
            <w:shd w:val="clear" w:color="auto" w:fill="333740"/>
          </w:tcPr>
          <w:p>
            <w:pPr>
              <w:spacing w:after="0"/>
              <w:rPr>
                <w:sz w:val="24"/>
                <w:szCs w:val="24"/>
                <w:color w:val="auto"/>
              </w:rPr>
            </w:pPr>
          </w:p>
        </w:tc>
        <w:tc>
          <w:tcPr>
            <w:tcW w:w="760" w:type="dxa"/>
            <w:vAlign w:val="bottom"/>
            <w:shd w:val="clear" w:color="auto" w:fill="333740"/>
          </w:tcPr>
          <w:p>
            <w:pPr>
              <w:spacing w:after="0"/>
              <w:rPr>
                <w:sz w:val="24"/>
                <w:szCs w:val="24"/>
                <w:color w:val="auto"/>
              </w:rPr>
            </w:pPr>
          </w:p>
        </w:tc>
        <w:tc>
          <w:tcPr>
            <w:tcW w:w="900" w:type="dxa"/>
            <w:vAlign w:val="bottom"/>
            <w:shd w:val="clear" w:color="auto" w:fill="333740"/>
          </w:tcPr>
          <w:p>
            <w:pPr>
              <w:jc w:val="right"/>
              <w:ind w:right="400"/>
              <w:spacing w:after="0"/>
              <w:rPr>
                <w:sz w:val="20"/>
                <w:szCs w:val="20"/>
                <w:color w:val="auto"/>
              </w:rPr>
            </w:pPr>
            <w:r>
              <w:rPr>
                <w:rFonts w:ascii="Arial" w:cs="Arial" w:eastAsia="Arial" w:hAnsi="Arial"/>
                <w:sz w:val="16"/>
                <w:szCs w:val="16"/>
                <w:color w:val="FFFFFF"/>
                <w:w w:val="97"/>
              </w:rPr>
              <w:t>172%</w:t>
            </w:r>
          </w:p>
        </w:tc>
        <w:tc>
          <w:tcPr>
            <w:tcW w:w="0" w:type="dxa"/>
            <w:vAlign w:val="bottom"/>
          </w:tcPr>
          <w:p>
            <w:pPr>
              <w:spacing w:after="0"/>
              <w:rPr>
                <w:sz w:val="1"/>
                <w:szCs w:val="1"/>
                <w:color w:val="auto"/>
              </w:rPr>
            </w:pPr>
          </w:p>
        </w:tc>
      </w:tr>
      <w:tr>
        <w:trPr>
          <w:trHeight w:val="131"/>
        </w:trPr>
        <w:tc>
          <w:tcPr>
            <w:tcW w:w="140" w:type="dxa"/>
            <w:vAlign w:val="bottom"/>
            <w:shd w:val="clear" w:color="auto" w:fill="333740"/>
          </w:tcPr>
          <w:p>
            <w:pPr>
              <w:spacing w:after="0"/>
              <w:rPr>
                <w:sz w:val="11"/>
                <w:szCs w:val="11"/>
                <w:color w:val="auto"/>
              </w:rPr>
            </w:pPr>
          </w:p>
        </w:tc>
        <w:tc>
          <w:tcPr>
            <w:tcW w:w="4840" w:type="dxa"/>
            <w:vAlign w:val="bottom"/>
            <w:shd w:val="clear" w:color="auto" w:fill="333740"/>
          </w:tcPr>
          <w:p>
            <w:pPr>
              <w:spacing w:after="0"/>
              <w:rPr>
                <w:sz w:val="11"/>
                <w:szCs w:val="11"/>
                <w:color w:val="auto"/>
              </w:rPr>
            </w:pPr>
          </w:p>
        </w:tc>
        <w:tc>
          <w:tcPr>
            <w:tcW w:w="900" w:type="dxa"/>
            <w:vAlign w:val="bottom"/>
            <w:shd w:val="clear" w:color="auto" w:fill="333740"/>
          </w:tcPr>
          <w:p>
            <w:pPr>
              <w:spacing w:after="0"/>
              <w:rPr>
                <w:sz w:val="11"/>
                <w:szCs w:val="11"/>
                <w:color w:val="auto"/>
              </w:rPr>
            </w:pPr>
          </w:p>
        </w:tc>
        <w:tc>
          <w:tcPr>
            <w:tcW w:w="960" w:type="dxa"/>
            <w:vAlign w:val="bottom"/>
            <w:shd w:val="clear" w:color="auto" w:fill="333740"/>
          </w:tcPr>
          <w:p>
            <w:pPr>
              <w:spacing w:after="0"/>
              <w:rPr>
                <w:sz w:val="11"/>
                <w:szCs w:val="11"/>
                <w:color w:val="auto"/>
              </w:rPr>
            </w:pPr>
          </w:p>
        </w:tc>
        <w:tc>
          <w:tcPr>
            <w:tcW w:w="820" w:type="dxa"/>
            <w:vAlign w:val="bottom"/>
            <w:shd w:val="clear" w:color="auto" w:fill="333740"/>
          </w:tcPr>
          <w:p>
            <w:pPr>
              <w:spacing w:after="0"/>
              <w:rPr>
                <w:sz w:val="11"/>
                <w:szCs w:val="11"/>
                <w:color w:val="auto"/>
              </w:rPr>
            </w:pPr>
          </w:p>
        </w:tc>
        <w:tc>
          <w:tcPr>
            <w:tcW w:w="980" w:type="dxa"/>
            <w:vAlign w:val="bottom"/>
            <w:shd w:val="clear" w:color="auto" w:fill="333740"/>
          </w:tcPr>
          <w:p>
            <w:pPr>
              <w:spacing w:after="0"/>
              <w:rPr>
                <w:sz w:val="11"/>
                <w:szCs w:val="11"/>
                <w:color w:val="auto"/>
              </w:rPr>
            </w:pPr>
          </w:p>
        </w:tc>
        <w:tc>
          <w:tcPr>
            <w:tcW w:w="960" w:type="dxa"/>
            <w:vAlign w:val="bottom"/>
            <w:shd w:val="clear" w:color="auto" w:fill="333740"/>
          </w:tcPr>
          <w:p>
            <w:pPr>
              <w:spacing w:after="0"/>
              <w:rPr>
                <w:sz w:val="11"/>
                <w:szCs w:val="11"/>
                <w:color w:val="auto"/>
              </w:rPr>
            </w:pPr>
          </w:p>
        </w:tc>
        <w:tc>
          <w:tcPr>
            <w:tcW w:w="760" w:type="dxa"/>
            <w:vAlign w:val="bottom"/>
            <w:shd w:val="clear" w:color="auto" w:fill="333740"/>
          </w:tcPr>
          <w:p>
            <w:pPr>
              <w:spacing w:after="0"/>
              <w:rPr>
                <w:sz w:val="11"/>
                <w:szCs w:val="11"/>
                <w:color w:val="auto"/>
              </w:rPr>
            </w:pPr>
          </w:p>
        </w:tc>
        <w:tc>
          <w:tcPr>
            <w:tcW w:w="900" w:type="dxa"/>
            <w:vAlign w:val="bottom"/>
            <w:shd w:val="clear" w:color="auto" w:fill="333740"/>
          </w:tcPr>
          <w:p>
            <w:pPr>
              <w:spacing w:after="0"/>
              <w:rPr>
                <w:sz w:val="11"/>
                <w:szCs w:val="1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 w:right="400"/>
        <w:spacing w:after="0" w:line="235" w:lineRule="auto"/>
        <w:rPr>
          <w:sz w:val="20"/>
          <w:szCs w:val="20"/>
          <w:color w:val="auto"/>
        </w:rPr>
      </w:pPr>
      <w:r>
        <w:rPr>
          <w:rFonts w:ascii="Arial" w:cs="Arial" w:eastAsia="Arial" w:hAnsi="Arial"/>
          <w:sz w:val="13"/>
          <w:szCs w:val="13"/>
          <w:color w:val="333740"/>
        </w:rPr>
        <w:t>Note: Payout for performance between the threshold, target, and maximum payouts are interpolated on a straight-line basis. The final weighted payout percentage for BPI is rounded to the nearest whole percent for calculating the annual cash incentive payout.</w:t>
      </w:r>
    </w:p>
    <w:p>
      <w:pPr>
        <w:spacing w:after="0" w:line="165" w:lineRule="exact"/>
        <w:rPr>
          <w:sz w:val="20"/>
          <w:szCs w:val="20"/>
          <w:color w:val="auto"/>
        </w:rPr>
      </w:pPr>
    </w:p>
    <w:p>
      <w:pPr>
        <w:ind w:left="4" w:right="280"/>
        <w:spacing w:after="0" w:line="258" w:lineRule="auto"/>
        <w:rPr>
          <w:sz w:val="20"/>
          <w:szCs w:val="20"/>
          <w:color w:val="auto"/>
        </w:rPr>
      </w:pPr>
      <w:r>
        <w:rPr>
          <w:rFonts w:ascii="Arial" w:cs="Arial" w:eastAsia="Arial" w:hAnsi="Arial"/>
          <w:sz w:val="16"/>
          <w:szCs w:val="16"/>
          <w:color w:val="333740"/>
        </w:rPr>
        <w:t>In accordance with established guidelines, the goals are adjusted for the cumulative effect of changes in accounting principles, significant acquisitions and divestitures, and foreign exchange movements. These changes are intended to ensure that performance is measured on a like-for-like basis relative to the goals that were set. Financial targets and actual performance based on EBITDA exclude non-recurring charges and credits, such as impairments, restructuring costs, integration costs, as well as other items identified in TechnipFMC’s quarterly and annual financial statements.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API Component – 25% of Annual Cash Incentive Bonus</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333740"/>
        </w:rPr>
        <w:t>Each February the individual performance goals are established for each NEO.</w:t>
      </w:r>
    </w:p>
    <w:p>
      <w:pPr>
        <w:spacing w:after="0" w:line="186" w:lineRule="exact"/>
        <w:rPr>
          <w:sz w:val="20"/>
          <w:szCs w:val="20"/>
          <w:color w:val="auto"/>
        </w:rPr>
      </w:pPr>
    </w:p>
    <w:p>
      <w:pPr>
        <w:ind w:left="4" w:right="160"/>
        <w:spacing w:after="0" w:line="254" w:lineRule="auto"/>
        <w:rPr>
          <w:sz w:val="20"/>
          <w:szCs w:val="20"/>
          <w:color w:val="auto"/>
        </w:rPr>
      </w:pPr>
      <w:r>
        <w:rPr>
          <w:rFonts w:ascii="Arial" w:cs="Arial" w:eastAsia="Arial" w:hAnsi="Arial"/>
          <w:sz w:val="16"/>
          <w:szCs w:val="16"/>
          <w:color w:val="333740"/>
        </w:rPr>
        <w:t>These objectives are set at “stretch” levels (i.e., objectives that are difficult and challenging, but should be achievable with superior execution), and are set using a rigorous evaluation process. If an NEO failed to achieve any of his or her objectives, the API multiple would likely be 0%, absent any mitigating factors. If the NEO met some, but not all of the objectives, the API multiple would fall between the range of 0% to 200%, depending upon the number of objectives accomplished, their relative importance and difficulty as determined by the Compensation Committee, and any factors that may have prevented achievement of certain objectives. An NEO achieving all objectives could potentially receive an API of 200%, although it is intended that this ranking reflects outstanding performance given the inherent degree of difficulty factored into both the objective setting and evaluation processes.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333740"/>
        </w:rPr>
        <w:t>For 2019, the NEOs received API ratings ranging from 140% to 180% for the year, with an average rating of 150%.</w:t>
      </w:r>
    </w:p>
    <w:p>
      <w:pPr>
        <w:spacing w:after="0" w:line="198" w:lineRule="exact"/>
        <w:rPr>
          <w:sz w:val="20"/>
          <w:szCs w:val="20"/>
          <w:color w:val="auto"/>
        </w:rPr>
      </w:pPr>
    </w:p>
    <w:p>
      <w:pPr>
        <w:jc w:val="both"/>
        <w:ind w:left="4" w:right="420"/>
        <w:spacing w:after="0" w:line="271" w:lineRule="auto"/>
        <w:rPr>
          <w:sz w:val="20"/>
          <w:szCs w:val="20"/>
          <w:color w:val="auto"/>
        </w:rPr>
      </w:pPr>
      <w:r>
        <w:rPr>
          <w:rFonts w:ascii="Arial" w:cs="Arial" w:eastAsia="Arial" w:hAnsi="Arial"/>
          <w:sz w:val="15"/>
          <w:szCs w:val="15"/>
          <w:color w:val="333740"/>
        </w:rPr>
        <w:t>In determining the 2019 API rating for our CEO, the Compensation Committee took into account a comprehensive view of his performance and contributions, including performance on key objectives and results. In addition to individual goals related to Company strategy, profitable growth, and safety, his objectives also included the three pillars of our corporate responsibility and sustainability efforts to ensure that the Company makes meaningful and tangible changes in this</w:t>
      </w:r>
    </w:p>
    <w:p>
      <w:pPr>
        <w:spacing w:after="0" w:line="2" w:lineRule="exact"/>
        <w:rPr>
          <w:sz w:val="20"/>
          <w:szCs w:val="20"/>
          <w:color w:val="auto"/>
        </w:rPr>
      </w:pPr>
    </w:p>
    <w:p>
      <w:pPr>
        <w:ind w:left="4" w:right="120"/>
        <w:spacing w:after="0" w:line="258" w:lineRule="auto"/>
        <w:rPr>
          <w:sz w:val="20"/>
          <w:szCs w:val="20"/>
          <w:color w:val="auto"/>
        </w:rPr>
      </w:pPr>
      <w:r>
        <w:rPr>
          <w:rFonts w:ascii="Arial" w:cs="Arial" w:eastAsia="Arial" w:hAnsi="Arial"/>
          <w:sz w:val="16"/>
          <w:szCs w:val="16"/>
          <w:color w:val="333740"/>
        </w:rPr>
        <w:t>area. The Compensation Committee considers the CEO’s overall performance relative to the accomplishment of his key objectives, the importance of each accomplishment, as well as the market conditions that impacted performance.</w:t>
      </w:r>
    </w:p>
    <w:p>
      <w:pPr>
        <w:spacing w:after="0" w:line="349" w:lineRule="exact"/>
        <w:rPr>
          <w:sz w:val="20"/>
          <w:szCs w:val="20"/>
          <w:color w:val="auto"/>
        </w:rPr>
      </w:pPr>
    </w:p>
    <w:p>
      <w:pPr>
        <w:ind w:left="564" w:hanging="564"/>
        <w:spacing w:after="0"/>
        <w:tabs>
          <w:tab w:leader="none" w:pos="564" w:val="left"/>
        </w:tabs>
        <w:numPr>
          <w:ilvl w:val="0"/>
          <w:numId w:val="91"/>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77" w:name="page78"/>
    <w:bookmarkEnd w:id="77"/>
    <w:p>
      <w:pPr>
        <w:ind w:left="20"/>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7148195" cy="4248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8195" cy="42481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60" w:type="dxa"/>
            <w:vAlign w:val="bottom"/>
            <w:gridSpan w:val="2"/>
            <w:vMerge w:val="restart"/>
            <w:shd w:val="clear" w:color="auto" w:fill="481F6E"/>
          </w:tcPr>
          <w:p>
            <w:pPr>
              <w:ind w:left="40"/>
              <w:spacing w:after="0"/>
              <w:rPr>
                <w:sz w:val="20"/>
                <w:szCs w:val="20"/>
                <w:color w:val="auto"/>
              </w:rPr>
            </w:pPr>
            <w:r>
              <w:rPr>
                <w:rFonts w:ascii="Arial" w:cs="Arial" w:eastAsia="Arial" w:hAnsi="Arial"/>
                <w:sz w:val="16"/>
                <w:szCs w:val="16"/>
                <w:color w:val="FFFFFF"/>
              </w:rPr>
              <w:t>Objectives</w:t>
            </w:r>
          </w:p>
        </w:tc>
        <w:tc>
          <w:tcPr>
            <w:tcW w:w="3780" w:type="dxa"/>
            <w:vAlign w:val="bottom"/>
            <w:vMerge w:val="restart"/>
            <w:shd w:val="clear" w:color="auto" w:fill="00B2EC"/>
          </w:tcPr>
          <w:p>
            <w:pPr>
              <w:ind w:left="60"/>
              <w:spacing w:after="0"/>
              <w:rPr>
                <w:sz w:val="20"/>
                <w:szCs w:val="20"/>
                <w:color w:val="auto"/>
              </w:rPr>
            </w:pPr>
            <w:r>
              <w:rPr>
                <w:rFonts w:ascii="Arial" w:cs="Arial" w:eastAsia="Arial" w:hAnsi="Arial"/>
                <w:sz w:val="16"/>
                <w:szCs w:val="16"/>
                <w:color w:val="FFFFFF"/>
              </w:rPr>
              <w:t>Key Achievements</w:t>
            </w:r>
          </w:p>
        </w:tc>
        <w:tc>
          <w:tcPr>
            <w:tcW w:w="540" w:type="dxa"/>
            <w:vAlign w:val="bottom"/>
            <w:shd w:val="clear" w:color="auto" w:fill="D72930"/>
          </w:tcPr>
          <w:p>
            <w:pPr>
              <w:spacing w:after="0"/>
              <w:rPr>
                <w:sz w:val="20"/>
                <w:szCs w:val="20"/>
                <w:color w:val="auto"/>
              </w:rPr>
            </w:pPr>
          </w:p>
        </w:tc>
        <w:tc>
          <w:tcPr>
            <w:tcW w:w="120" w:type="dxa"/>
            <w:vAlign w:val="bottom"/>
            <w:shd w:val="clear" w:color="auto" w:fill="D72930"/>
          </w:tcPr>
          <w:p>
            <w:pPr>
              <w:spacing w:after="0"/>
              <w:rPr>
                <w:sz w:val="20"/>
                <w:szCs w:val="20"/>
                <w:color w:val="auto"/>
              </w:rPr>
            </w:pPr>
          </w:p>
        </w:tc>
        <w:tc>
          <w:tcPr>
            <w:tcW w:w="240" w:type="dxa"/>
            <w:vAlign w:val="bottom"/>
            <w:shd w:val="clear" w:color="auto" w:fill="D72930"/>
          </w:tcPr>
          <w:p>
            <w:pPr>
              <w:spacing w:after="0"/>
              <w:rPr>
                <w:sz w:val="20"/>
                <w:szCs w:val="20"/>
                <w:color w:val="auto"/>
              </w:rPr>
            </w:pPr>
          </w:p>
        </w:tc>
        <w:tc>
          <w:tcPr>
            <w:tcW w:w="1620" w:type="dxa"/>
            <w:vAlign w:val="bottom"/>
            <w:gridSpan w:val="2"/>
            <w:shd w:val="clear" w:color="auto" w:fill="D72930"/>
          </w:tcPr>
          <w:p>
            <w:pPr>
              <w:jc w:val="center"/>
              <w:spacing w:after="0"/>
              <w:rPr>
                <w:sz w:val="20"/>
                <w:szCs w:val="20"/>
                <w:color w:val="auto"/>
              </w:rPr>
            </w:pPr>
            <w:r>
              <w:rPr>
                <w:rFonts w:ascii="Arial" w:cs="Arial" w:eastAsia="Arial" w:hAnsi="Arial"/>
                <w:sz w:val="16"/>
                <w:szCs w:val="16"/>
                <w:color w:val="FFFFFF"/>
                <w:w w:val="87"/>
              </w:rPr>
              <w:t>Performance Assessment</w:t>
            </w:r>
          </w:p>
        </w:tc>
        <w:tc>
          <w:tcPr>
            <w:tcW w:w="240" w:type="dxa"/>
            <w:vAlign w:val="bottom"/>
            <w:shd w:val="clear" w:color="auto" w:fill="D72930"/>
          </w:tcPr>
          <w:p>
            <w:pPr>
              <w:spacing w:after="0"/>
              <w:rPr>
                <w:sz w:val="20"/>
                <w:szCs w:val="20"/>
                <w:color w:val="auto"/>
              </w:rPr>
            </w:pPr>
          </w:p>
        </w:tc>
        <w:tc>
          <w:tcPr>
            <w:tcW w:w="60" w:type="dxa"/>
            <w:vAlign w:val="bottom"/>
            <w:shd w:val="clear" w:color="auto" w:fill="D72930"/>
          </w:tcPr>
          <w:p>
            <w:pPr>
              <w:spacing w:after="0"/>
              <w:rPr>
                <w:sz w:val="20"/>
                <w:szCs w:val="20"/>
                <w:color w:val="auto"/>
              </w:rPr>
            </w:pPr>
          </w:p>
        </w:tc>
        <w:tc>
          <w:tcPr>
            <w:tcW w:w="120" w:type="dxa"/>
            <w:vAlign w:val="bottom"/>
            <w:shd w:val="clear" w:color="auto" w:fill="D72930"/>
          </w:tcPr>
          <w:p>
            <w:pPr>
              <w:spacing w:after="0"/>
              <w:rPr>
                <w:sz w:val="20"/>
                <w:szCs w:val="20"/>
                <w:color w:val="auto"/>
              </w:rPr>
            </w:pPr>
          </w:p>
        </w:tc>
        <w:tc>
          <w:tcPr>
            <w:tcW w:w="420" w:type="dxa"/>
            <w:vAlign w:val="bottom"/>
            <w:shd w:val="clear" w:color="auto" w:fill="D72930"/>
          </w:tcPr>
          <w:p>
            <w:pPr>
              <w:spacing w:after="0"/>
              <w:rPr>
                <w:sz w:val="20"/>
                <w:szCs w:val="20"/>
                <w:color w:val="auto"/>
              </w:rPr>
            </w:pPr>
          </w:p>
        </w:tc>
        <w:tc>
          <w:tcPr>
            <w:tcW w:w="60" w:type="dxa"/>
            <w:vAlign w:val="bottom"/>
            <w:shd w:val="clear" w:color="auto" w:fill="D72930"/>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60" w:type="dxa"/>
            <w:vAlign w:val="bottom"/>
            <w:gridSpan w:val="2"/>
            <w:vMerge w:val="continue"/>
            <w:shd w:val="clear" w:color="auto" w:fill="481F6E"/>
          </w:tcPr>
          <w:p>
            <w:pPr>
              <w:spacing w:after="0"/>
              <w:rPr>
                <w:sz w:val="15"/>
                <w:szCs w:val="15"/>
                <w:color w:val="auto"/>
              </w:rPr>
            </w:pPr>
          </w:p>
        </w:tc>
        <w:tc>
          <w:tcPr>
            <w:tcW w:w="3780" w:type="dxa"/>
            <w:vAlign w:val="bottom"/>
            <w:vMerge w:val="continue"/>
            <w:shd w:val="clear" w:color="auto" w:fill="00B2EC"/>
          </w:tcPr>
          <w:p>
            <w:pPr>
              <w:spacing w:after="0"/>
              <w:rPr>
                <w:sz w:val="15"/>
                <w:szCs w:val="15"/>
                <w:color w:val="auto"/>
              </w:rPr>
            </w:pPr>
          </w:p>
        </w:tc>
        <w:tc>
          <w:tcPr>
            <w:tcW w:w="900" w:type="dxa"/>
            <w:vAlign w:val="bottom"/>
            <w:gridSpan w:val="3"/>
            <w:vMerge w:val="restart"/>
            <w:shd w:val="clear" w:color="auto" w:fill="D72930"/>
          </w:tcPr>
          <w:p>
            <w:pPr>
              <w:jc w:val="center"/>
              <w:ind w:left="176"/>
              <w:spacing w:after="0"/>
              <w:rPr>
                <w:sz w:val="20"/>
                <w:szCs w:val="20"/>
                <w:color w:val="auto"/>
              </w:rPr>
            </w:pPr>
            <w:r>
              <w:rPr>
                <w:rFonts w:ascii="Arial" w:cs="Arial" w:eastAsia="Arial" w:hAnsi="Arial"/>
                <w:sz w:val="13"/>
                <w:szCs w:val="13"/>
                <w:color w:val="FFFFFF"/>
                <w:w w:val="95"/>
              </w:rPr>
              <w:t>Below</w:t>
            </w:r>
          </w:p>
        </w:tc>
        <w:tc>
          <w:tcPr>
            <w:tcW w:w="220" w:type="dxa"/>
            <w:vAlign w:val="bottom"/>
            <w:shd w:val="clear" w:color="auto" w:fill="D72930"/>
          </w:tcPr>
          <w:p>
            <w:pPr>
              <w:spacing w:after="0"/>
              <w:rPr>
                <w:sz w:val="15"/>
                <w:szCs w:val="15"/>
                <w:color w:val="auto"/>
              </w:rPr>
            </w:pPr>
          </w:p>
        </w:tc>
        <w:tc>
          <w:tcPr>
            <w:tcW w:w="1400" w:type="dxa"/>
            <w:vAlign w:val="bottom"/>
            <w:vMerge w:val="restart"/>
            <w:shd w:val="clear" w:color="auto" w:fill="D72930"/>
          </w:tcPr>
          <w:p>
            <w:pPr>
              <w:jc w:val="center"/>
              <w:ind w:right="131"/>
              <w:spacing w:after="0"/>
              <w:rPr>
                <w:sz w:val="20"/>
                <w:szCs w:val="20"/>
                <w:color w:val="auto"/>
              </w:rPr>
            </w:pPr>
            <w:r>
              <w:rPr>
                <w:rFonts w:ascii="Arial" w:cs="Arial" w:eastAsia="Arial" w:hAnsi="Arial"/>
                <w:sz w:val="13"/>
                <w:szCs w:val="13"/>
                <w:color w:val="FFFFFF"/>
                <w:w w:val="90"/>
              </w:rPr>
              <w:t>Meets</w:t>
            </w:r>
          </w:p>
        </w:tc>
        <w:tc>
          <w:tcPr>
            <w:tcW w:w="900" w:type="dxa"/>
            <w:vAlign w:val="bottom"/>
            <w:gridSpan w:val="5"/>
            <w:vMerge w:val="restart"/>
            <w:shd w:val="clear" w:color="auto" w:fill="D72930"/>
          </w:tcPr>
          <w:p>
            <w:pPr>
              <w:jc w:val="center"/>
              <w:ind w:right="240"/>
              <w:spacing w:after="0"/>
              <w:rPr>
                <w:sz w:val="20"/>
                <w:szCs w:val="20"/>
                <w:color w:val="auto"/>
              </w:rPr>
            </w:pPr>
            <w:r>
              <w:rPr>
                <w:rFonts w:ascii="Arial" w:cs="Arial" w:eastAsia="Arial" w:hAnsi="Arial"/>
                <w:sz w:val="13"/>
                <w:szCs w:val="13"/>
                <w:color w:val="FFFFFF"/>
                <w:w w:val="84"/>
              </w:rPr>
              <w:t>Exceeds</w:t>
            </w:r>
          </w:p>
        </w:tc>
        <w:tc>
          <w:tcPr>
            <w:tcW w:w="0" w:type="dxa"/>
            <w:vAlign w:val="bottom"/>
          </w:tcPr>
          <w:p>
            <w:pPr>
              <w:spacing w:after="0"/>
              <w:rPr>
                <w:sz w:val="1"/>
                <w:szCs w:val="1"/>
                <w:color w:val="auto"/>
              </w:rPr>
            </w:pPr>
          </w:p>
        </w:tc>
      </w:tr>
      <w:tr>
        <w:trPr>
          <w:trHeight w:val="44"/>
        </w:trPr>
        <w:tc>
          <w:tcPr>
            <w:tcW w:w="160" w:type="dxa"/>
            <w:vAlign w:val="bottom"/>
            <w:shd w:val="clear" w:color="auto" w:fill="481F6E"/>
          </w:tcPr>
          <w:p>
            <w:pPr>
              <w:spacing w:after="0"/>
              <w:rPr>
                <w:sz w:val="3"/>
                <w:szCs w:val="3"/>
                <w:color w:val="auto"/>
              </w:rPr>
            </w:pPr>
          </w:p>
        </w:tc>
        <w:tc>
          <w:tcPr>
            <w:tcW w:w="3900" w:type="dxa"/>
            <w:vAlign w:val="bottom"/>
            <w:shd w:val="clear" w:color="auto" w:fill="481F6E"/>
          </w:tcPr>
          <w:p>
            <w:pPr>
              <w:spacing w:after="0"/>
              <w:rPr>
                <w:sz w:val="3"/>
                <w:szCs w:val="3"/>
                <w:color w:val="auto"/>
              </w:rPr>
            </w:pPr>
          </w:p>
        </w:tc>
        <w:tc>
          <w:tcPr>
            <w:tcW w:w="3780" w:type="dxa"/>
            <w:vAlign w:val="bottom"/>
            <w:shd w:val="clear" w:color="auto" w:fill="00B2EC"/>
          </w:tcPr>
          <w:p>
            <w:pPr>
              <w:spacing w:after="0"/>
              <w:rPr>
                <w:sz w:val="3"/>
                <w:szCs w:val="3"/>
                <w:color w:val="auto"/>
              </w:rPr>
            </w:pPr>
          </w:p>
        </w:tc>
        <w:tc>
          <w:tcPr>
            <w:tcW w:w="900" w:type="dxa"/>
            <w:vAlign w:val="bottom"/>
            <w:gridSpan w:val="3"/>
            <w:vMerge w:val="continue"/>
            <w:shd w:val="clear" w:color="auto" w:fill="D72930"/>
          </w:tcPr>
          <w:p>
            <w:pPr>
              <w:spacing w:after="0"/>
              <w:rPr>
                <w:sz w:val="3"/>
                <w:szCs w:val="3"/>
                <w:color w:val="auto"/>
              </w:rPr>
            </w:pPr>
          </w:p>
        </w:tc>
        <w:tc>
          <w:tcPr>
            <w:tcW w:w="220" w:type="dxa"/>
            <w:vAlign w:val="bottom"/>
            <w:shd w:val="clear" w:color="auto" w:fill="D72930"/>
          </w:tcPr>
          <w:p>
            <w:pPr>
              <w:spacing w:after="0"/>
              <w:rPr>
                <w:sz w:val="3"/>
                <w:szCs w:val="3"/>
                <w:color w:val="auto"/>
              </w:rPr>
            </w:pPr>
          </w:p>
        </w:tc>
        <w:tc>
          <w:tcPr>
            <w:tcW w:w="1400" w:type="dxa"/>
            <w:vAlign w:val="bottom"/>
            <w:vMerge w:val="continue"/>
            <w:shd w:val="clear" w:color="auto" w:fill="D72930"/>
          </w:tcPr>
          <w:p>
            <w:pPr>
              <w:spacing w:after="0"/>
              <w:rPr>
                <w:sz w:val="3"/>
                <w:szCs w:val="3"/>
                <w:color w:val="auto"/>
              </w:rPr>
            </w:pPr>
          </w:p>
        </w:tc>
        <w:tc>
          <w:tcPr>
            <w:tcW w:w="900" w:type="dxa"/>
            <w:vAlign w:val="bottom"/>
            <w:gridSpan w:val="5"/>
            <w:vMerge w:val="continue"/>
            <w:shd w:val="clear" w:color="auto" w:fill="D72930"/>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60" w:type="dxa"/>
            <w:vAlign w:val="bottom"/>
            <w:tcBorders>
              <w:bottom w:val="single" w:sz="8" w:color="481F6E"/>
            </w:tcBorders>
            <w:shd w:val="clear" w:color="auto" w:fill="481F6E"/>
          </w:tcPr>
          <w:p>
            <w:pPr>
              <w:spacing w:after="0"/>
              <w:rPr>
                <w:sz w:val="15"/>
                <w:szCs w:val="15"/>
                <w:color w:val="auto"/>
              </w:rPr>
            </w:pPr>
          </w:p>
        </w:tc>
        <w:tc>
          <w:tcPr>
            <w:tcW w:w="3900" w:type="dxa"/>
            <w:vAlign w:val="bottom"/>
            <w:tcBorders>
              <w:bottom w:val="single" w:sz="8" w:color="481F6E"/>
            </w:tcBorders>
            <w:shd w:val="clear" w:color="auto" w:fill="481F6E"/>
          </w:tcPr>
          <w:p>
            <w:pPr>
              <w:spacing w:after="0"/>
              <w:rPr>
                <w:sz w:val="15"/>
                <w:szCs w:val="15"/>
                <w:color w:val="auto"/>
              </w:rPr>
            </w:pPr>
          </w:p>
        </w:tc>
        <w:tc>
          <w:tcPr>
            <w:tcW w:w="3780" w:type="dxa"/>
            <w:vAlign w:val="bottom"/>
            <w:tcBorders>
              <w:bottom w:val="single" w:sz="8" w:color="00B2EC"/>
            </w:tcBorders>
            <w:shd w:val="clear" w:color="auto" w:fill="00B2EC"/>
          </w:tcPr>
          <w:p>
            <w:pPr>
              <w:spacing w:after="0"/>
              <w:rPr>
                <w:sz w:val="15"/>
                <w:szCs w:val="15"/>
                <w:color w:val="auto"/>
              </w:rPr>
            </w:pPr>
          </w:p>
        </w:tc>
        <w:tc>
          <w:tcPr>
            <w:tcW w:w="900" w:type="dxa"/>
            <w:vAlign w:val="bottom"/>
            <w:tcBorders>
              <w:bottom w:val="single" w:sz="8" w:color="D72930"/>
            </w:tcBorders>
            <w:gridSpan w:val="3"/>
            <w:shd w:val="clear" w:color="auto" w:fill="D72930"/>
          </w:tcPr>
          <w:p>
            <w:pPr>
              <w:jc w:val="center"/>
              <w:ind w:left="176"/>
              <w:spacing w:after="0"/>
              <w:rPr>
                <w:sz w:val="20"/>
                <w:szCs w:val="20"/>
                <w:color w:val="auto"/>
              </w:rPr>
            </w:pPr>
            <w:r>
              <w:rPr>
                <w:rFonts w:ascii="Arial" w:cs="Arial" w:eastAsia="Arial" w:hAnsi="Arial"/>
                <w:sz w:val="13"/>
                <w:szCs w:val="13"/>
                <w:color w:val="FFFFFF"/>
                <w:w w:val="88"/>
              </w:rPr>
              <w:t>Expectations</w:t>
            </w:r>
          </w:p>
        </w:tc>
        <w:tc>
          <w:tcPr>
            <w:tcW w:w="220" w:type="dxa"/>
            <w:vAlign w:val="bottom"/>
            <w:tcBorders>
              <w:bottom w:val="single" w:sz="8" w:color="D72930"/>
            </w:tcBorders>
            <w:shd w:val="clear" w:color="auto" w:fill="D72930"/>
          </w:tcPr>
          <w:p>
            <w:pPr>
              <w:spacing w:after="0"/>
              <w:rPr>
                <w:sz w:val="15"/>
                <w:szCs w:val="15"/>
                <w:color w:val="auto"/>
              </w:rPr>
            </w:pPr>
          </w:p>
        </w:tc>
        <w:tc>
          <w:tcPr>
            <w:tcW w:w="1400" w:type="dxa"/>
            <w:vAlign w:val="bottom"/>
            <w:tcBorders>
              <w:bottom w:val="single" w:sz="8" w:color="D72930"/>
            </w:tcBorders>
            <w:shd w:val="clear" w:color="auto" w:fill="D72930"/>
          </w:tcPr>
          <w:p>
            <w:pPr>
              <w:jc w:val="center"/>
              <w:ind w:right="151"/>
              <w:spacing w:after="0"/>
              <w:rPr>
                <w:sz w:val="20"/>
                <w:szCs w:val="20"/>
                <w:color w:val="auto"/>
              </w:rPr>
            </w:pPr>
            <w:r>
              <w:rPr>
                <w:rFonts w:ascii="Arial" w:cs="Arial" w:eastAsia="Arial" w:hAnsi="Arial"/>
                <w:sz w:val="13"/>
                <w:szCs w:val="13"/>
                <w:color w:val="FFFFFF"/>
                <w:w w:val="88"/>
              </w:rPr>
              <w:t>Expectations</w:t>
            </w:r>
          </w:p>
        </w:tc>
        <w:tc>
          <w:tcPr>
            <w:tcW w:w="900" w:type="dxa"/>
            <w:vAlign w:val="bottom"/>
            <w:tcBorders>
              <w:bottom w:val="single" w:sz="8" w:color="D72930"/>
            </w:tcBorders>
            <w:gridSpan w:val="5"/>
            <w:shd w:val="clear" w:color="auto" w:fill="D72930"/>
          </w:tcPr>
          <w:p>
            <w:pPr>
              <w:jc w:val="center"/>
              <w:ind w:right="240"/>
              <w:spacing w:after="0"/>
              <w:rPr>
                <w:sz w:val="20"/>
                <w:szCs w:val="20"/>
                <w:color w:val="auto"/>
              </w:rPr>
            </w:pPr>
            <w:r>
              <w:rPr>
                <w:rFonts w:ascii="Arial" w:cs="Arial" w:eastAsia="Arial" w:hAnsi="Arial"/>
                <w:sz w:val="13"/>
                <w:szCs w:val="13"/>
                <w:color w:val="FFFFFF"/>
                <w:w w:val="88"/>
              </w:rPr>
              <w:t>Expectations</w:t>
            </w:r>
          </w:p>
        </w:tc>
        <w:tc>
          <w:tcPr>
            <w:tcW w:w="0" w:type="dxa"/>
            <w:vAlign w:val="bottom"/>
          </w:tcPr>
          <w:p>
            <w:pPr>
              <w:spacing w:after="0"/>
              <w:rPr>
                <w:sz w:val="1"/>
                <w:szCs w:val="1"/>
                <w:color w:val="auto"/>
              </w:rPr>
            </w:pPr>
          </w:p>
        </w:tc>
      </w:tr>
      <w:tr>
        <w:trPr>
          <w:trHeight w:val="279"/>
        </w:trPr>
        <w:tc>
          <w:tcPr>
            <w:tcW w:w="4060" w:type="dxa"/>
            <w:vAlign w:val="bottom"/>
            <w:tcBorders>
              <w:bottom w:val="single" w:sz="8" w:color="481F6E"/>
            </w:tcBorders>
            <w:gridSpan w:val="2"/>
            <w:shd w:val="clear" w:color="auto" w:fill="481F6E"/>
          </w:tcPr>
          <w:p>
            <w:pPr>
              <w:ind w:left="40"/>
              <w:spacing w:after="0"/>
              <w:rPr>
                <w:sz w:val="20"/>
                <w:szCs w:val="20"/>
                <w:color w:val="auto"/>
              </w:rPr>
            </w:pPr>
            <w:r>
              <w:rPr>
                <w:rFonts w:ascii="Arial" w:cs="Arial" w:eastAsia="Arial" w:hAnsi="Arial"/>
                <w:sz w:val="16"/>
                <w:szCs w:val="16"/>
                <w:color w:val="FFFFFF"/>
              </w:rPr>
              <w:t>Mr. Pferdehirt</w:t>
            </w:r>
          </w:p>
        </w:tc>
        <w:tc>
          <w:tcPr>
            <w:tcW w:w="3780" w:type="dxa"/>
            <w:vAlign w:val="bottom"/>
            <w:tcBorders>
              <w:bottom w:val="single" w:sz="8" w:color="481F6E"/>
            </w:tcBorders>
            <w:shd w:val="clear" w:color="auto" w:fill="481F6E"/>
          </w:tcPr>
          <w:p>
            <w:pPr>
              <w:spacing w:after="0"/>
              <w:rPr>
                <w:sz w:val="24"/>
                <w:szCs w:val="24"/>
                <w:color w:val="auto"/>
              </w:rPr>
            </w:pPr>
          </w:p>
        </w:tc>
        <w:tc>
          <w:tcPr>
            <w:tcW w:w="540" w:type="dxa"/>
            <w:vAlign w:val="bottom"/>
            <w:tcBorders>
              <w:bottom w:val="single" w:sz="8" w:color="481F6E"/>
            </w:tcBorders>
            <w:shd w:val="clear" w:color="auto" w:fill="481F6E"/>
          </w:tcPr>
          <w:p>
            <w:pPr>
              <w:spacing w:after="0"/>
              <w:rPr>
                <w:sz w:val="24"/>
                <w:szCs w:val="24"/>
                <w:color w:val="auto"/>
              </w:rPr>
            </w:pPr>
          </w:p>
        </w:tc>
        <w:tc>
          <w:tcPr>
            <w:tcW w:w="120" w:type="dxa"/>
            <w:vAlign w:val="bottom"/>
            <w:tcBorders>
              <w:bottom w:val="single" w:sz="8" w:color="481F6E"/>
            </w:tcBorders>
            <w:shd w:val="clear" w:color="auto" w:fill="481F6E"/>
          </w:tcPr>
          <w:p>
            <w:pPr>
              <w:spacing w:after="0"/>
              <w:rPr>
                <w:sz w:val="24"/>
                <w:szCs w:val="24"/>
                <w:color w:val="auto"/>
              </w:rPr>
            </w:pPr>
          </w:p>
        </w:tc>
        <w:tc>
          <w:tcPr>
            <w:tcW w:w="240" w:type="dxa"/>
            <w:vAlign w:val="bottom"/>
            <w:tcBorders>
              <w:bottom w:val="single" w:sz="8" w:color="481F6E"/>
            </w:tcBorders>
            <w:shd w:val="clear" w:color="auto" w:fill="481F6E"/>
          </w:tcPr>
          <w:p>
            <w:pPr>
              <w:spacing w:after="0"/>
              <w:rPr>
                <w:sz w:val="24"/>
                <w:szCs w:val="24"/>
                <w:color w:val="auto"/>
              </w:rPr>
            </w:pPr>
          </w:p>
        </w:tc>
        <w:tc>
          <w:tcPr>
            <w:tcW w:w="220" w:type="dxa"/>
            <w:vAlign w:val="bottom"/>
            <w:tcBorders>
              <w:bottom w:val="single" w:sz="8" w:color="481F6E"/>
            </w:tcBorders>
            <w:shd w:val="clear" w:color="auto" w:fill="481F6E"/>
          </w:tcPr>
          <w:p>
            <w:pPr>
              <w:spacing w:after="0"/>
              <w:rPr>
                <w:sz w:val="24"/>
                <w:szCs w:val="24"/>
                <w:color w:val="auto"/>
              </w:rPr>
            </w:pPr>
          </w:p>
        </w:tc>
        <w:tc>
          <w:tcPr>
            <w:tcW w:w="1400" w:type="dxa"/>
            <w:vAlign w:val="bottom"/>
            <w:tcBorders>
              <w:bottom w:val="single" w:sz="8" w:color="481F6E"/>
            </w:tcBorders>
            <w:shd w:val="clear" w:color="auto" w:fill="481F6E"/>
          </w:tcPr>
          <w:p>
            <w:pPr>
              <w:spacing w:after="0"/>
              <w:rPr>
                <w:sz w:val="24"/>
                <w:szCs w:val="24"/>
                <w:color w:val="auto"/>
              </w:rPr>
            </w:pPr>
          </w:p>
        </w:tc>
        <w:tc>
          <w:tcPr>
            <w:tcW w:w="240" w:type="dxa"/>
            <w:vAlign w:val="bottom"/>
            <w:tcBorders>
              <w:bottom w:val="single" w:sz="8" w:color="481F6E"/>
            </w:tcBorders>
            <w:shd w:val="clear" w:color="auto" w:fill="481F6E"/>
          </w:tcPr>
          <w:p>
            <w:pPr>
              <w:spacing w:after="0"/>
              <w:rPr>
                <w:sz w:val="24"/>
                <w:szCs w:val="24"/>
                <w:color w:val="auto"/>
              </w:rPr>
            </w:pPr>
          </w:p>
        </w:tc>
        <w:tc>
          <w:tcPr>
            <w:tcW w:w="60" w:type="dxa"/>
            <w:vAlign w:val="bottom"/>
            <w:tcBorders>
              <w:bottom w:val="single" w:sz="8" w:color="481F6E"/>
            </w:tcBorders>
            <w:shd w:val="clear" w:color="auto" w:fill="481F6E"/>
          </w:tcPr>
          <w:p>
            <w:pPr>
              <w:spacing w:after="0"/>
              <w:rPr>
                <w:sz w:val="24"/>
                <w:szCs w:val="24"/>
                <w:color w:val="auto"/>
              </w:rPr>
            </w:pPr>
          </w:p>
        </w:tc>
        <w:tc>
          <w:tcPr>
            <w:tcW w:w="120" w:type="dxa"/>
            <w:vAlign w:val="bottom"/>
            <w:tcBorders>
              <w:bottom w:val="single" w:sz="8" w:color="481F6E"/>
            </w:tcBorders>
            <w:shd w:val="clear" w:color="auto" w:fill="481F6E"/>
          </w:tcPr>
          <w:p>
            <w:pPr>
              <w:spacing w:after="0"/>
              <w:rPr>
                <w:sz w:val="24"/>
                <w:szCs w:val="24"/>
                <w:color w:val="auto"/>
              </w:rPr>
            </w:pPr>
          </w:p>
        </w:tc>
        <w:tc>
          <w:tcPr>
            <w:tcW w:w="420" w:type="dxa"/>
            <w:vAlign w:val="bottom"/>
            <w:tcBorders>
              <w:bottom w:val="single" w:sz="8" w:color="481F6E"/>
            </w:tcBorders>
            <w:shd w:val="clear" w:color="auto" w:fill="481F6E"/>
          </w:tcPr>
          <w:p>
            <w:pPr>
              <w:spacing w:after="0"/>
              <w:rPr>
                <w:sz w:val="24"/>
                <w:szCs w:val="24"/>
                <w:color w:val="auto"/>
              </w:rPr>
            </w:pPr>
          </w:p>
        </w:tc>
        <w:tc>
          <w:tcPr>
            <w:tcW w:w="60" w:type="dxa"/>
            <w:vAlign w:val="bottom"/>
            <w:tcBorders>
              <w:bottom w:val="single" w:sz="8" w:color="481F6E"/>
            </w:tcBorders>
            <w:shd w:val="clear" w:color="auto" w:fill="481F6E"/>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60" w:type="dxa"/>
            <w:vAlign w:val="bottom"/>
            <w:gridSpan w:val="2"/>
            <w:shd w:val="clear" w:color="auto" w:fill="D7D8D6"/>
          </w:tcPr>
          <w:p>
            <w:pPr>
              <w:ind w:left="40"/>
              <w:spacing w:after="0"/>
              <w:rPr>
                <w:sz w:val="20"/>
                <w:szCs w:val="20"/>
                <w:color w:val="auto"/>
              </w:rPr>
            </w:pPr>
            <w:r>
              <w:rPr>
                <w:rFonts w:ascii="Arial" w:cs="Arial" w:eastAsia="Arial" w:hAnsi="Arial"/>
                <w:sz w:val="16"/>
                <w:szCs w:val="16"/>
                <w:b w:val="1"/>
                <w:bCs w:val="1"/>
                <w:color w:val="333740"/>
              </w:rPr>
              <w:t>Strategy</w:t>
            </w:r>
          </w:p>
        </w:tc>
        <w:tc>
          <w:tcPr>
            <w:tcW w:w="3780" w:type="dxa"/>
            <w:vAlign w:val="bottom"/>
            <w:shd w:val="clear" w:color="auto" w:fill="D7D8D6"/>
          </w:tcPr>
          <w:p>
            <w:pPr>
              <w:spacing w:after="0"/>
              <w:rPr>
                <w:sz w:val="19"/>
                <w:szCs w:val="19"/>
                <w:color w:val="auto"/>
              </w:rPr>
            </w:pPr>
          </w:p>
        </w:tc>
        <w:tc>
          <w:tcPr>
            <w:tcW w:w="540" w:type="dxa"/>
            <w:vAlign w:val="bottom"/>
            <w:shd w:val="clear" w:color="auto" w:fill="D7D8D6"/>
          </w:tcPr>
          <w:p>
            <w:pPr>
              <w:spacing w:after="0"/>
              <w:rPr>
                <w:sz w:val="19"/>
                <w:szCs w:val="19"/>
                <w:color w:val="auto"/>
              </w:rPr>
            </w:pPr>
          </w:p>
        </w:tc>
        <w:tc>
          <w:tcPr>
            <w:tcW w:w="120" w:type="dxa"/>
            <w:vAlign w:val="bottom"/>
            <w:shd w:val="clear" w:color="auto" w:fill="D7D8D6"/>
          </w:tcPr>
          <w:p>
            <w:pPr>
              <w:spacing w:after="0"/>
              <w:rPr>
                <w:sz w:val="19"/>
                <w:szCs w:val="19"/>
                <w:color w:val="auto"/>
              </w:rPr>
            </w:pPr>
          </w:p>
        </w:tc>
        <w:tc>
          <w:tcPr>
            <w:tcW w:w="240" w:type="dxa"/>
            <w:vAlign w:val="bottom"/>
            <w:shd w:val="clear" w:color="auto" w:fill="D7D8D6"/>
          </w:tcPr>
          <w:p>
            <w:pPr>
              <w:spacing w:after="0"/>
              <w:rPr>
                <w:sz w:val="19"/>
                <w:szCs w:val="19"/>
                <w:color w:val="auto"/>
              </w:rPr>
            </w:pPr>
          </w:p>
        </w:tc>
        <w:tc>
          <w:tcPr>
            <w:tcW w:w="220" w:type="dxa"/>
            <w:vAlign w:val="bottom"/>
            <w:shd w:val="clear" w:color="auto" w:fill="D7D8D6"/>
          </w:tcPr>
          <w:p>
            <w:pPr>
              <w:spacing w:after="0"/>
              <w:rPr>
                <w:sz w:val="19"/>
                <w:szCs w:val="19"/>
                <w:color w:val="auto"/>
              </w:rPr>
            </w:pPr>
          </w:p>
        </w:tc>
        <w:tc>
          <w:tcPr>
            <w:tcW w:w="1400" w:type="dxa"/>
            <w:vAlign w:val="bottom"/>
            <w:shd w:val="clear" w:color="auto" w:fill="D7D8D6"/>
          </w:tcPr>
          <w:p>
            <w:pPr>
              <w:spacing w:after="0"/>
              <w:rPr>
                <w:sz w:val="19"/>
                <w:szCs w:val="19"/>
                <w:color w:val="auto"/>
              </w:rPr>
            </w:pPr>
          </w:p>
        </w:tc>
        <w:tc>
          <w:tcPr>
            <w:tcW w:w="240" w:type="dxa"/>
            <w:vAlign w:val="bottom"/>
            <w:shd w:val="clear" w:color="auto" w:fill="D7D8D6"/>
          </w:tcPr>
          <w:p>
            <w:pPr>
              <w:spacing w:after="0"/>
              <w:rPr>
                <w:sz w:val="19"/>
                <w:szCs w:val="19"/>
                <w:color w:val="auto"/>
              </w:rPr>
            </w:pPr>
          </w:p>
        </w:tc>
        <w:tc>
          <w:tcPr>
            <w:tcW w:w="180" w:type="dxa"/>
            <w:vAlign w:val="bottom"/>
            <w:gridSpan w:val="2"/>
            <w:vMerge w:val="restart"/>
            <w:shd w:val="clear" w:color="auto" w:fill="D7D8D6"/>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2E9E46"/>
              </w:rPr>
              <w:t>✓</w:t>
            </w:r>
          </w:p>
        </w:tc>
        <w:tc>
          <w:tcPr>
            <w:tcW w:w="420" w:type="dxa"/>
            <w:vAlign w:val="bottom"/>
            <w:shd w:val="clear" w:color="auto" w:fill="D7D8D6"/>
          </w:tcPr>
          <w:p>
            <w:pPr>
              <w:spacing w:after="0"/>
              <w:rPr>
                <w:sz w:val="19"/>
                <w:szCs w:val="19"/>
                <w:color w:val="auto"/>
              </w:rPr>
            </w:pPr>
          </w:p>
        </w:tc>
        <w:tc>
          <w:tcPr>
            <w:tcW w:w="60" w:type="dxa"/>
            <w:vAlign w:val="bottom"/>
            <w:shd w:val="clear" w:color="auto" w:fill="D7D8D6"/>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60" w:type="dxa"/>
            <w:vAlign w:val="bottom"/>
            <w:shd w:val="clear" w:color="auto" w:fill="D7D8D6"/>
          </w:tcPr>
          <w:p>
            <w:pPr>
              <w:spacing w:after="0"/>
              <w:rPr>
                <w:sz w:val="8"/>
                <w:szCs w:val="8"/>
                <w:color w:val="auto"/>
              </w:rPr>
            </w:pPr>
          </w:p>
        </w:tc>
        <w:tc>
          <w:tcPr>
            <w:tcW w:w="3900" w:type="dxa"/>
            <w:vAlign w:val="bottom"/>
            <w:vMerge w:val="restart"/>
            <w:shd w:val="clear" w:color="auto" w:fill="D7D8D6"/>
          </w:tcPr>
          <w:p>
            <w:pPr>
              <w:ind w:left="160"/>
              <w:spacing w:after="0"/>
              <w:rPr>
                <w:sz w:val="20"/>
                <w:szCs w:val="20"/>
                <w:color w:val="auto"/>
              </w:rPr>
            </w:pPr>
            <w:r>
              <w:rPr>
                <w:rFonts w:ascii="Arial" w:cs="Arial" w:eastAsia="Arial" w:hAnsi="Arial"/>
                <w:sz w:val="16"/>
                <w:szCs w:val="16"/>
                <w:color w:val="333740"/>
              </w:rPr>
              <w:t>Unlock long-term shareholder value</w:t>
            </w:r>
          </w:p>
        </w:tc>
        <w:tc>
          <w:tcPr>
            <w:tcW w:w="3780" w:type="dxa"/>
            <w:vAlign w:val="bottom"/>
            <w:vMerge w:val="restart"/>
            <w:shd w:val="clear" w:color="auto" w:fill="D7D8D6"/>
          </w:tcPr>
          <w:p>
            <w:pPr>
              <w:ind w:left="320"/>
              <w:spacing w:after="0"/>
              <w:rPr>
                <w:sz w:val="20"/>
                <w:szCs w:val="20"/>
                <w:color w:val="auto"/>
              </w:rPr>
            </w:pPr>
            <w:r>
              <w:rPr>
                <w:rFonts w:ascii="Arial" w:cs="Arial" w:eastAsia="Arial" w:hAnsi="Arial"/>
                <w:sz w:val="16"/>
                <w:szCs w:val="16"/>
                <w:color w:val="333740"/>
              </w:rPr>
              <w:t>Spin-off of Technip Energies was announced.</w:t>
            </w:r>
          </w:p>
        </w:tc>
        <w:tc>
          <w:tcPr>
            <w:tcW w:w="540" w:type="dxa"/>
            <w:vAlign w:val="bottom"/>
            <w:shd w:val="clear" w:color="auto" w:fill="D7D8D6"/>
          </w:tcPr>
          <w:p>
            <w:pPr>
              <w:spacing w:after="0"/>
              <w:rPr>
                <w:sz w:val="8"/>
                <w:szCs w:val="8"/>
                <w:color w:val="auto"/>
              </w:rPr>
            </w:pPr>
          </w:p>
        </w:tc>
        <w:tc>
          <w:tcPr>
            <w:tcW w:w="120" w:type="dxa"/>
            <w:vAlign w:val="bottom"/>
            <w:shd w:val="clear" w:color="auto" w:fill="D7D8D6"/>
          </w:tcPr>
          <w:p>
            <w:pPr>
              <w:spacing w:after="0"/>
              <w:rPr>
                <w:sz w:val="8"/>
                <w:szCs w:val="8"/>
                <w:color w:val="auto"/>
              </w:rPr>
            </w:pPr>
          </w:p>
        </w:tc>
        <w:tc>
          <w:tcPr>
            <w:tcW w:w="240" w:type="dxa"/>
            <w:vAlign w:val="bottom"/>
            <w:shd w:val="clear" w:color="auto" w:fill="D7D8D6"/>
          </w:tcPr>
          <w:p>
            <w:pPr>
              <w:spacing w:after="0"/>
              <w:rPr>
                <w:sz w:val="8"/>
                <w:szCs w:val="8"/>
                <w:color w:val="auto"/>
              </w:rPr>
            </w:pPr>
          </w:p>
        </w:tc>
        <w:tc>
          <w:tcPr>
            <w:tcW w:w="220" w:type="dxa"/>
            <w:vAlign w:val="bottom"/>
            <w:shd w:val="clear" w:color="auto" w:fill="D7D8D6"/>
          </w:tcPr>
          <w:p>
            <w:pPr>
              <w:spacing w:after="0"/>
              <w:rPr>
                <w:sz w:val="8"/>
                <w:szCs w:val="8"/>
                <w:color w:val="auto"/>
              </w:rPr>
            </w:pPr>
          </w:p>
        </w:tc>
        <w:tc>
          <w:tcPr>
            <w:tcW w:w="1400" w:type="dxa"/>
            <w:vAlign w:val="bottom"/>
            <w:shd w:val="clear" w:color="auto" w:fill="D7D8D6"/>
          </w:tcPr>
          <w:p>
            <w:pPr>
              <w:spacing w:after="0"/>
              <w:rPr>
                <w:sz w:val="8"/>
                <w:szCs w:val="8"/>
                <w:color w:val="auto"/>
              </w:rPr>
            </w:pPr>
          </w:p>
        </w:tc>
        <w:tc>
          <w:tcPr>
            <w:tcW w:w="240" w:type="dxa"/>
            <w:vAlign w:val="bottom"/>
            <w:shd w:val="clear" w:color="auto" w:fill="D7D8D6"/>
          </w:tcPr>
          <w:p>
            <w:pPr>
              <w:spacing w:after="0"/>
              <w:rPr>
                <w:sz w:val="8"/>
                <w:szCs w:val="8"/>
                <w:color w:val="auto"/>
              </w:rPr>
            </w:pPr>
          </w:p>
        </w:tc>
        <w:tc>
          <w:tcPr>
            <w:tcW w:w="180" w:type="dxa"/>
            <w:vAlign w:val="bottom"/>
            <w:gridSpan w:val="2"/>
            <w:vMerge w:val="continue"/>
            <w:shd w:val="clear" w:color="auto" w:fill="D7D8D6"/>
          </w:tcPr>
          <w:p>
            <w:pPr>
              <w:spacing w:after="0"/>
              <w:rPr>
                <w:sz w:val="8"/>
                <w:szCs w:val="8"/>
                <w:color w:val="auto"/>
              </w:rPr>
            </w:pPr>
          </w:p>
        </w:tc>
        <w:tc>
          <w:tcPr>
            <w:tcW w:w="480" w:type="dxa"/>
            <w:vAlign w:val="bottom"/>
            <w:gridSpan w:val="2"/>
            <w:shd w:val="clear" w:color="auto" w:fill="D7D8D6"/>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 w:type="dxa"/>
            <w:vAlign w:val="bottom"/>
            <w:shd w:val="clear" w:color="auto" w:fill="D7D8D6"/>
          </w:tcPr>
          <w:p>
            <w:pPr>
              <w:spacing w:after="0"/>
              <w:rPr>
                <w:sz w:val="9"/>
                <w:szCs w:val="9"/>
                <w:color w:val="auto"/>
              </w:rPr>
            </w:pPr>
          </w:p>
        </w:tc>
        <w:tc>
          <w:tcPr>
            <w:tcW w:w="3900" w:type="dxa"/>
            <w:vAlign w:val="bottom"/>
            <w:vMerge w:val="continue"/>
            <w:shd w:val="clear" w:color="auto" w:fill="D7D8D6"/>
          </w:tcPr>
          <w:p>
            <w:pPr>
              <w:spacing w:after="0"/>
              <w:rPr>
                <w:sz w:val="9"/>
                <w:szCs w:val="9"/>
                <w:color w:val="auto"/>
              </w:rPr>
            </w:pPr>
          </w:p>
        </w:tc>
        <w:tc>
          <w:tcPr>
            <w:tcW w:w="3780" w:type="dxa"/>
            <w:vAlign w:val="bottom"/>
            <w:vMerge w:val="continue"/>
            <w:shd w:val="clear" w:color="auto" w:fill="D7D8D6"/>
          </w:tcPr>
          <w:p>
            <w:pPr>
              <w:spacing w:after="0"/>
              <w:rPr>
                <w:sz w:val="9"/>
                <w:szCs w:val="9"/>
                <w:color w:val="auto"/>
              </w:rPr>
            </w:pPr>
          </w:p>
        </w:tc>
        <w:tc>
          <w:tcPr>
            <w:tcW w:w="540" w:type="dxa"/>
            <w:vAlign w:val="bottom"/>
            <w:shd w:val="clear" w:color="auto" w:fill="D7D8D6"/>
          </w:tcPr>
          <w:p>
            <w:pPr>
              <w:spacing w:after="0"/>
              <w:rPr>
                <w:sz w:val="9"/>
                <w:szCs w:val="9"/>
                <w:color w:val="auto"/>
              </w:rPr>
            </w:pPr>
          </w:p>
        </w:tc>
        <w:tc>
          <w:tcPr>
            <w:tcW w:w="120" w:type="dxa"/>
            <w:vAlign w:val="bottom"/>
            <w:shd w:val="clear" w:color="auto" w:fill="D7D8D6"/>
          </w:tcPr>
          <w:p>
            <w:pPr>
              <w:spacing w:after="0"/>
              <w:rPr>
                <w:sz w:val="9"/>
                <w:szCs w:val="9"/>
                <w:color w:val="auto"/>
              </w:rPr>
            </w:pPr>
          </w:p>
        </w:tc>
        <w:tc>
          <w:tcPr>
            <w:tcW w:w="240" w:type="dxa"/>
            <w:vAlign w:val="bottom"/>
            <w:shd w:val="clear" w:color="auto" w:fill="D7D8D6"/>
          </w:tcPr>
          <w:p>
            <w:pPr>
              <w:spacing w:after="0"/>
              <w:rPr>
                <w:sz w:val="9"/>
                <w:szCs w:val="9"/>
                <w:color w:val="auto"/>
              </w:rPr>
            </w:pPr>
          </w:p>
        </w:tc>
        <w:tc>
          <w:tcPr>
            <w:tcW w:w="220" w:type="dxa"/>
            <w:vAlign w:val="bottom"/>
            <w:shd w:val="clear" w:color="auto" w:fill="D7D8D6"/>
          </w:tcPr>
          <w:p>
            <w:pPr>
              <w:spacing w:after="0"/>
              <w:rPr>
                <w:sz w:val="9"/>
                <w:szCs w:val="9"/>
                <w:color w:val="auto"/>
              </w:rPr>
            </w:pPr>
          </w:p>
        </w:tc>
        <w:tc>
          <w:tcPr>
            <w:tcW w:w="1400" w:type="dxa"/>
            <w:vAlign w:val="bottom"/>
            <w:vMerge w:val="restart"/>
            <w:shd w:val="clear" w:color="auto" w:fill="D7D8D6"/>
          </w:tcPr>
          <w:p>
            <w:pPr>
              <w:jc w:val="center"/>
              <w:ind w:right="151"/>
              <w:spacing w:after="0" w:line="161" w:lineRule="exact"/>
              <w:rPr>
                <w:sz w:val="20"/>
                <w:szCs w:val="20"/>
                <w:color w:val="auto"/>
              </w:rPr>
            </w:pPr>
            <w:r>
              <w:rPr>
                <w:rFonts w:ascii="MS PGothic" w:cs="MS PGothic" w:eastAsia="MS PGothic" w:hAnsi="MS PGothic"/>
                <w:sz w:val="16"/>
                <w:szCs w:val="16"/>
                <w:color w:val="auto"/>
                <w:w w:val="87"/>
                <w:shd w:val="clear" w:color="auto" w:fill="2E9E46"/>
              </w:rPr>
              <w:t>✓</w:t>
            </w:r>
          </w:p>
        </w:tc>
        <w:tc>
          <w:tcPr>
            <w:tcW w:w="240" w:type="dxa"/>
            <w:vAlign w:val="bottom"/>
            <w:shd w:val="clear" w:color="auto" w:fill="D7D8D6"/>
          </w:tcPr>
          <w:p>
            <w:pPr>
              <w:spacing w:after="0"/>
              <w:rPr>
                <w:sz w:val="9"/>
                <w:szCs w:val="9"/>
                <w:color w:val="auto"/>
              </w:rPr>
            </w:pPr>
          </w:p>
        </w:tc>
        <w:tc>
          <w:tcPr>
            <w:tcW w:w="60" w:type="dxa"/>
            <w:vAlign w:val="bottom"/>
            <w:shd w:val="clear" w:color="auto" w:fill="D7D8D6"/>
          </w:tcPr>
          <w:p>
            <w:pPr>
              <w:spacing w:after="0"/>
              <w:rPr>
                <w:sz w:val="9"/>
                <w:szCs w:val="9"/>
                <w:color w:val="auto"/>
              </w:rPr>
            </w:pPr>
          </w:p>
        </w:tc>
        <w:tc>
          <w:tcPr>
            <w:tcW w:w="120" w:type="dxa"/>
            <w:vAlign w:val="bottom"/>
            <w:shd w:val="clear" w:color="auto" w:fill="D7D8D6"/>
          </w:tcPr>
          <w:p>
            <w:pPr>
              <w:spacing w:after="0"/>
              <w:rPr>
                <w:sz w:val="9"/>
                <w:szCs w:val="9"/>
                <w:color w:val="auto"/>
              </w:rPr>
            </w:pPr>
          </w:p>
        </w:tc>
        <w:tc>
          <w:tcPr>
            <w:tcW w:w="420" w:type="dxa"/>
            <w:vAlign w:val="bottom"/>
            <w:shd w:val="clear" w:color="auto" w:fill="D7D8D6"/>
          </w:tcPr>
          <w:p>
            <w:pPr>
              <w:spacing w:after="0"/>
              <w:rPr>
                <w:sz w:val="9"/>
                <w:szCs w:val="9"/>
                <w:color w:val="auto"/>
              </w:rPr>
            </w:pPr>
          </w:p>
        </w:tc>
        <w:tc>
          <w:tcPr>
            <w:tcW w:w="60" w:type="dxa"/>
            <w:vAlign w:val="bottom"/>
            <w:shd w:val="clear" w:color="auto" w:fill="D7D8D6"/>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60" w:type="dxa"/>
            <w:vAlign w:val="bottom"/>
            <w:shd w:val="clear" w:color="auto" w:fill="D7D8D6"/>
          </w:tcPr>
          <w:p>
            <w:pPr>
              <w:spacing w:after="0"/>
              <w:rPr>
                <w:sz w:val="24"/>
                <w:szCs w:val="24"/>
                <w:color w:val="auto"/>
              </w:rPr>
            </w:pPr>
          </w:p>
        </w:tc>
        <w:tc>
          <w:tcPr>
            <w:tcW w:w="3900" w:type="dxa"/>
            <w:vAlign w:val="bottom"/>
            <w:shd w:val="clear" w:color="auto" w:fill="D7D8D6"/>
          </w:tcPr>
          <w:p>
            <w:pPr>
              <w:spacing w:after="0"/>
              <w:rPr>
                <w:sz w:val="24"/>
                <w:szCs w:val="24"/>
                <w:color w:val="auto"/>
              </w:rPr>
            </w:pPr>
          </w:p>
        </w:tc>
        <w:tc>
          <w:tcPr>
            <w:tcW w:w="3780" w:type="dxa"/>
            <w:vAlign w:val="bottom"/>
            <w:shd w:val="clear" w:color="auto" w:fill="D7D8D6"/>
          </w:tcPr>
          <w:p>
            <w:pPr>
              <w:ind w:left="320"/>
              <w:spacing w:after="0"/>
              <w:rPr>
                <w:sz w:val="20"/>
                <w:szCs w:val="20"/>
                <w:color w:val="auto"/>
              </w:rPr>
            </w:pPr>
            <w:r>
              <w:rPr>
                <w:rFonts w:ascii="Arial" w:cs="Arial" w:eastAsia="Arial" w:hAnsi="Arial"/>
                <w:sz w:val="16"/>
                <w:szCs w:val="16"/>
                <w:color w:val="333740"/>
              </w:rPr>
              <w:t>Preparations for spin-off are currently ongoing.</w:t>
            </w:r>
          </w:p>
        </w:tc>
        <w:tc>
          <w:tcPr>
            <w:tcW w:w="540" w:type="dxa"/>
            <w:vAlign w:val="bottom"/>
            <w:shd w:val="clear" w:color="auto" w:fill="D7D8D6"/>
          </w:tcPr>
          <w:p>
            <w:pPr>
              <w:spacing w:after="0"/>
              <w:rPr>
                <w:sz w:val="24"/>
                <w:szCs w:val="24"/>
                <w:color w:val="auto"/>
              </w:rPr>
            </w:pPr>
          </w:p>
        </w:tc>
        <w:tc>
          <w:tcPr>
            <w:tcW w:w="120" w:type="dxa"/>
            <w:vAlign w:val="bottom"/>
            <w:shd w:val="clear" w:color="auto" w:fill="D7D8D6"/>
          </w:tcPr>
          <w:p>
            <w:pPr>
              <w:spacing w:after="0"/>
              <w:rPr>
                <w:sz w:val="24"/>
                <w:szCs w:val="24"/>
                <w:color w:val="auto"/>
              </w:rPr>
            </w:pPr>
          </w:p>
        </w:tc>
        <w:tc>
          <w:tcPr>
            <w:tcW w:w="240" w:type="dxa"/>
            <w:vAlign w:val="bottom"/>
            <w:shd w:val="clear" w:color="auto" w:fill="D7D8D6"/>
          </w:tcPr>
          <w:p>
            <w:pPr>
              <w:spacing w:after="0"/>
              <w:rPr>
                <w:sz w:val="24"/>
                <w:szCs w:val="24"/>
                <w:color w:val="auto"/>
              </w:rPr>
            </w:pPr>
          </w:p>
        </w:tc>
        <w:tc>
          <w:tcPr>
            <w:tcW w:w="220" w:type="dxa"/>
            <w:vAlign w:val="bottom"/>
            <w:shd w:val="clear" w:color="auto" w:fill="D7D8D6"/>
          </w:tcPr>
          <w:p>
            <w:pPr>
              <w:spacing w:after="0"/>
              <w:rPr>
                <w:sz w:val="24"/>
                <w:szCs w:val="24"/>
                <w:color w:val="auto"/>
              </w:rPr>
            </w:pPr>
          </w:p>
        </w:tc>
        <w:tc>
          <w:tcPr>
            <w:tcW w:w="1400" w:type="dxa"/>
            <w:vAlign w:val="bottom"/>
            <w:vMerge w:val="continue"/>
            <w:shd w:val="clear" w:color="auto" w:fill="D7D8D6"/>
          </w:tcPr>
          <w:p>
            <w:pPr>
              <w:spacing w:after="0"/>
              <w:rPr>
                <w:sz w:val="24"/>
                <w:szCs w:val="24"/>
                <w:color w:val="auto"/>
              </w:rPr>
            </w:pPr>
          </w:p>
        </w:tc>
        <w:tc>
          <w:tcPr>
            <w:tcW w:w="240" w:type="dxa"/>
            <w:vAlign w:val="bottom"/>
            <w:shd w:val="clear" w:color="auto" w:fill="D7D8D6"/>
          </w:tcPr>
          <w:p>
            <w:pPr>
              <w:spacing w:after="0"/>
              <w:rPr>
                <w:sz w:val="24"/>
                <w:szCs w:val="24"/>
                <w:color w:val="auto"/>
              </w:rPr>
            </w:pPr>
          </w:p>
        </w:tc>
        <w:tc>
          <w:tcPr>
            <w:tcW w:w="60" w:type="dxa"/>
            <w:vAlign w:val="bottom"/>
            <w:shd w:val="clear" w:color="auto" w:fill="D7D8D6"/>
          </w:tcPr>
          <w:p>
            <w:pPr>
              <w:spacing w:after="0"/>
              <w:rPr>
                <w:sz w:val="24"/>
                <w:szCs w:val="24"/>
                <w:color w:val="auto"/>
              </w:rPr>
            </w:pPr>
          </w:p>
        </w:tc>
        <w:tc>
          <w:tcPr>
            <w:tcW w:w="120" w:type="dxa"/>
            <w:vAlign w:val="bottom"/>
            <w:shd w:val="clear" w:color="auto" w:fill="D7D8D6"/>
          </w:tcPr>
          <w:p>
            <w:pPr>
              <w:spacing w:after="0"/>
              <w:rPr>
                <w:sz w:val="24"/>
                <w:szCs w:val="24"/>
                <w:color w:val="auto"/>
              </w:rPr>
            </w:pPr>
          </w:p>
        </w:tc>
        <w:tc>
          <w:tcPr>
            <w:tcW w:w="420" w:type="dxa"/>
            <w:vAlign w:val="bottom"/>
            <w:shd w:val="clear" w:color="auto" w:fill="D7D8D6"/>
          </w:tcPr>
          <w:p>
            <w:pPr>
              <w:spacing w:after="0"/>
              <w:rPr>
                <w:sz w:val="24"/>
                <w:szCs w:val="24"/>
                <w:color w:val="auto"/>
              </w:rPr>
            </w:pPr>
          </w:p>
        </w:tc>
        <w:tc>
          <w:tcPr>
            <w:tcW w:w="60" w:type="dxa"/>
            <w:vAlign w:val="bottom"/>
            <w:shd w:val="clear" w:color="auto" w:fill="D7D8D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60" w:type="dxa"/>
            <w:vAlign w:val="bottom"/>
            <w:gridSpan w:val="2"/>
            <w:shd w:val="clear" w:color="auto" w:fill="D7D8D6"/>
          </w:tcPr>
          <w:p>
            <w:pPr>
              <w:ind w:left="40"/>
              <w:spacing w:after="0"/>
              <w:rPr>
                <w:sz w:val="20"/>
                <w:szCs w:val="20"/>
                <w:color w:val="auto"/>
              </w:rPr>
            </w:pPr>
            <w:r>
              <w:rPr>
                <w:rFonts w:ascii="Arial" w:cs="Arial" w:eastAsia="Arial" w:hAnsi="Arial"/>
                <w:sz w:val="16"/>
                <w:szCs w:val="16"/>
                <w:b w:val="1"/>
                <w:bCs w:val="1"/>
                <w:color w:val="333740"/>
              </w:rPr>
              <w:t>Profitable Growth</w:t>
            </w:r>
          </w:p>
        </w:tc>
        <w:tc>
          <w:tcPr>
            <w:tcW w:w="3780" w:type="dxa"/>
            <w:vAlign w:val="bottom"/>
            <w:shd w:val="clear" w:color="auto" w:fill="D7D8D6"/>
          </w:tcPr>
          <w:p>
            <w:pPr>
              <w:ind w:left="320"/>
              <w:spacing w:after="0"/>
              <w:rPr>
                <w:sz w:val="20"/>
                <w:szCs w:val="20"/>
                <w:color w:val="auto"/>
              </w:rPr>
            </w:pPr>
            <w:r>
              <w:rPr>
                <w:rFonts w:ascii="Arial" w:cs="Arial" w:eastAsia="Arial" w:hAnsi="Arial"/>
                <w:sz w:val="16"/>
                <w:szCs w:val="16"/>
                <w:color w:val="333740"/>
              </w:rPr>
              <w:t>Over 40% of inbound as iEPCI</w:t>
            </w:r>
          </w:p>
        </w:tc>
        <w:tc>
          <w:tcPr>
            <w:tcW w:w="540" w:type="dxa"/>
            <w:vAlign w:val="bottom"/>
            <w:shd w:val="clear" w:color="auto" w:fill="D7D8D6"/>
          </w:tcPr>
          <w:p>
            <w:pPr>
              <w:spacing w:after="0"/>
              <w:rPr>
                <w:sz w:val="23"/>
                <w:szCs w:val="23"/>
                <w:color w:val="auto"/>
              </w:rPr>
            </w:pPr>
          </w:p>
        </w:tc>
        <w:tc>
          <w:tcPr>
            <w:tcW w:w="120" w:type="dxa"/>
            <w:vAlign w:val="bottom"/>
            <w:shd w:val="clear" w:color="auto" w:fill="D7D8D6"/>
          </w:tcPr>
          <w:p>
            <w:pPr>
              <w:spacing w:after="0"/>
              <w:rPr>
                <w:sz w:val="23"/>
                <w:szCs w:val="23"/>
                <w:color w:val="auto"/>
              </w:rPr>
            </w:pPr>
          </w:p>
        </w:tc>
        <w:tc>
          <w:tcPr>
            <w:tcW w:w="240" w:type="dxa"/>
            <w:vAlign w:val="bottom"/>
            <w:shd w:val="clear" w:color="auto" w:fill="D7D8D6"/>
          </w:tcPr>
          <w:p>
            <w:pPr>
              <w:spacing w:after="0"/>
              <w:rPr>
                <w:sz w:val="23"/>
                <w:szCs w:val="23"/>
                <w:color w:val="auto"/>
              </w:rPr>
            </w:pPr>
          </w:p>
        </w:tc>
        <w:tc>
          <w:tcPr>
            <w:tcW w:w="220" w:type="dxa"/>
            <w:vAlign w:val="bottom"/>
            <w:shd w:val="clear" w:color="auto" w:fill="D7D8D6"/>
          </w:tcPr>
          <w:p>
            <w:pPr>
              <w:spacing w:after="0"/>
              <w:rPr>
                <w:sz w:val="23"/>
                <w:szCs w:val="23"/>
                <w:color w:val="auto"/>
              </w:rPr>
            </w:pPr>
          </w:p>
        </w:tc>
        <w:tc>
          <w:tcPr>
            <w:tcW w:w="1400" w:type="dxa"/>
            <w:vAlign w:val="bottom"/>
            <w:shd w:val="clear" w:color="auto" w:fill="D7D8D6"/>
          </w:tcPr>
          <w:p>
            <w:pPr>
              <w:spacing w:after="0"/>
              <w:rPr>
                <w:sz w:val="23"/>
                <w:szCs w:val="23"/>
                <w:color w:val="auto"/>
              </w:rPr>
            </w:pPr>
          </w:p>
        </w:tc>
        <w:tc>
          <w:tcPr>
            <w:tcW w:w="240" w:type="dxa"/>
            <w:vAlign w:val="bottom"/>
            <w:shd w:val="clear" w:color="auto" w:fill="D7D8D6"/>
          </w:tcPr>
          <w:p>
            <w:pPr>
              <w:spacing w:after="0"/>
              <w:rPr>
                <w:sz w:val="23"/>
                <w:szCs w:val="23"/>
                <w:color w:val="auto"/>
              </w:rPr>
            </w:pPr>
          </w:p>
        </w:tc>
        <w:tc>
          <w:tcPr>
            <w:tcW w:w="600" w:type="dxa"/>
            <w:vAlign w:val="bottom"/>
            <w:gridSpan w:val="3"/>
            <w:vMerge w:val="restart"/>
            <w:shd w:val="clear" w:color="auto" w:fill="D7D8D6"/>
          </w:tcPr>
          <w:p>
            <w:pPr>
              <w:jc w:val="center"/>
              <w:ind w:right="400"/>
              <w:spacing w:after="0" w:line="161" w:lineRule="exact"/>
              <w:rPr>
                <w:sz w:val="20"/>
                <w:szCs w:val="20"/>
                <w:color w:val="auto"/>
              </w:rPr>
            </w:pPr>
            <w:r>
              <w:rPr>
                <w:rFonts w:ascii="MS PGothic" w:cs="MS PGothic" w:eastAsia="MS PGothic" w:hAnsi="MS PGothic"/>
                <w:sz w:val="16"/>
                <w:szCs w:val="16"/>
                <w:color w:val="auto"/>
                <w:w w:val="74"/>
                <w:shd w:val="clear" w:color="auto" w:fill="2E9E46"/>
              </w:rPr>
              <w:t>✓</w:t>
            </w:r>
          </w:p>
        </w:tc>
        <w:tc>
          <w:tcPr>
            <w:tcW w:w="60" w:type="dxa"/>
            <w:vAlign w:val="bottom"/>
            <w:shd w:val="clear" w:color="auto" w:fill="D7D8D6"/>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160" w:type="dxa"/>
            <w:vAlign w:val="bottom"/>
            <w:shd w:val="clear" w:color="auto" w:fill="D7D8D6"/>
          </w:tcPr>
          <w:p>
            <w:pPr>
              <w:spacing w:after="0"/>
              <w:rPr>
                <w:sz w:val="9"/>
                <w:szCs w:val="9"/>
                <w:color w:val="auto"/>
              </w:rPr>
            </w:pPr>
          </w:p>
        </w:tc>
        <w:tc>
          <w:tcPr>
            <w:tcW w:w="3900" w:type="dxa"/>
            <w:vAlign w:val="bottom"/>
            <w:vMerge w:val="restart"/>
            <w:shd w:val="clear" w:color="auto" w:fill="D7D8D6"/>
          </w:tcPr>
          <w:p>
            <w:pPr>
              <w:ind w:left="160"/>
              <w:spacing w:after="0"/>
              <w:rPr>
                <w:sz w:val="20"/>
                <w:szCs w:val="20"/>
                <w:color w:val="auto"/>
              </w:rPr>
            </w:pPr>
            <w:r>
              <w:rPr>
                <w:rFonts w:ascii="Arial" w:cs="Arial" w:eastAsia="Arial" w:hAnsi="Arial"/>
                <w:sz w:val="16"/>
                <w:szCs w:val="16"/>
                <w:color w:val="333740"/>
              </w:rPr>
              <w:t>iEPCI – 35% subsea inbound orders as iEPCI</w:t>
            </w:r>
          </w:p>
        </w:tc>
        <w:tc>
          <w:tcPr>
            <w:tcW w:w="3780" w:type="dxa"/>
            <w:vAlign w:val="bottom"/>
            <w:shd w:val="clear" w:color="auto" w:fill="D7D8D6"/>
          </w:tcPr>
          <w:p>
            <w:pPr>
              <w:spacing w:after="0"/>
              <w:rPr>
                <w:sz w:val="9"/>
                <w:szCs w:val="9"/>
                <w:color w:val="auto"/>
              </w:rPr>
            </w:pPr>
          </w:p>
        </w:tc>
        <w:tc>
          <w:tcPr>
            <w:tcW w:w="540" w:type="dxa"/>
            <w:vAlign w:val="bottom"/>
            <w:shd w:val="clear" w:color="auto" w:fill="D7D8D6"/>
          </w:tcPr>
          <w:p>
            <w:pPr>
              <w:spacing w:after="0"/>
              <w:rPr>
                <w:sz w:val="9"/>
                <w:szCs w:val="9"/>
                <w:color w:val="auto"/>
              </w:rPr>
            </w:pPr>
          </w:p>
        </w:tc>
        <w:tc>
          <w:tcPr>
            <w:tcW w:w="120" w:type="dxa"/>
            <w:vAlign w:val="bottom"/>
            <w:shd w:val="clear" w:color="auto" w:fill="D7D8D6"/>
          </w:tcPr>
          <w:p>
            <w:pPr>
              <w:spacing w:after="0"/>
              <w:rPr>
                <w:sz w:val="9"/>
                <w:szCs w:val="9"/>
                <w:color w:val="auto"/>
              </w:rPr>
            </w:pPr>
          </w:p>
        </w:tc>
        <w:tc>
          <w:tcPr>
            <w:tcW w:w="240" w:type="dxa"/>
            <w:vAlign w:val="bottom"/>
            <w:shd w:val="clear" w:color="auto" w:fill="D7D8D6"/>
          </w:tcPr>
          <w:p>
            <w:pPr>
              <w:spacing w:after="0"/>
              <w:rPr>
                <w:sz w:val="9"/>
                <w:szCs w:val="9"/>
                <w:color w:val="auto"/>
              </w:rPr>
            </w:pPr>
          </w:p>
        </w:tc>
        <w:tc>
          <w:tcPr>
            <w:tcW w:w="220" w:type="dxa"/>
            <w:vAlign w:val="bottom"/>
            <w:shd w:val="clear" w:color="auto" w:fill="D7D8D6"/>
          </w:tcPr>
          <w:p>
            <w:pPr>
              <w:spacing w:after="0"/>
              <w:rPr>
                <w:sz w:val="9"/>
                <w:szCs w:val="9"/>
                <w:color w:val="auto"/>
              </w:rPr>
            </w:pPr>
          </w:p>
        </w:tc>
        <w:tc>
          <w:tcPr>
            <w:tcW w:w="1400" w:type="dxa"/>
            <w:vAlign w:val="bottom"/>
            <w:shd w:val="clear" w:color="auto" w:fill="D7D8D6"/>
          </w:tcPr>
          <w:p>
            <w:pPr>
              <w:spacing w:after="0"/>
              <w:rPr>
                <w:sz w:val="9"/>
                <w:szCs w:val="9"/>
                <w:color w:val="auto"/>
              </w:rPr>
            </w:pPr>
          </w:p>
        </w:tc>
        <w:tc>
          <w:tcPr>
            <w:tcW w:w="240" w:type="dxa"/>
            <w:vAlign w:val="bottom"/>
            <w:shd w:val="clear" w:color="auto" w:fill="D7D8D6"/>
          </w:tcPr>
          <w:p>
            <w:pPr>
              <w:spacing w:after="0"/>
              <w:rPr>
                <w:sz w:val="9"/>
                <w:szCs w:val="9"/>
                <w:color w:val="auto"/>
              </w:rPr>
            </w:pPr>
          </w:p>
        </w:tc>
        <w:tc>
          <w:tcPr>
            <w:tcW w:w="600" w:type="dxa"/>
            <w:vAlign w:val="bottom"/>
            <w:gridSpan w:val="3"/>
            <w:vMerge w:val="continue"/>
            <w:shd w:val="clear" w:color="auto" w:fill="D7D8D6"/>
          </w:tcPr>
          <w:p>
            <w:pPr>
              <w:spacing w:after="0"/>
              <w:rPr>
                <w:sz w:val="9"/>
                <w:szCs w:val="9"/>
                <w:color w:val="auto"/>
              </w:rPr>
            </w:pPr>
          </w:p>
        </w:tc>
        <w:tc>
          <w:tcPr>
            <w:tcW w:w="60" w:type="dxa"/>
            <w:vAlign w:val="bottom"/>
            <w:shd w:val="clear" w:color="auto" w:fill="D7D8D6"/>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60" w:type="dxa"/>
            <w:vAlign w:val="bottom"/>
            <w:shd w:val="clear" w:color="auto" w:fill="D7D8D6"/>
          </w:tcPr>
          <w:p>
            <w:pPr>
              <w:spacing w:after="0"/>
              <w:rPr>
                <w:sz w:val="8"/>
                <w:szCs w:val="8"/>
                <w:color w:val="auto"/>
              </w:rPr>
            </w:pPr>
          </w:p>
        </w:tc>
        <w:tc>
          <w:tcPr>
            <w:tcW w:w="3900" w:type="dxa"/>
            <w:vAlign w:val="bottom"/>
            <w:vMerge w:val="continue"/>
            <w:shd w:val="clear" w:color="auto" w:fill="D7D8D6"/>
          </w:tcPr>
          <w:p>
            <w:pPr>
              <w:spacing w:after="0"/>
              <w:rPr>
                <w:sz w:val="8"/>
                <w:szCs w:val="8"/>
                <w:color w:val="auto"/>
              </w:rPr>
            </w:pPr>
          </w:p>
        </w:tc>
        <w:tc>
          <w:tcPr>
            <w:tcW w:w="3780" w:type="dxa"/>
            <w:vAlign w:val="bottom"/>
            <w:shd w:val="clear" w:color="auto" w:fill="D7D8D6"/>
          </w:tcPr>
          <w:p>
            <w:pPr>
              <w:spacing w:after="0"/>
              <w:rPr>
                <w:sz w:val="8"/>
                <w:szCs w:val="8"/>
                <w:color w:val="auto"/>
              </w:rPr>
            </w:pPr>
          </w:p>
        </w:tc>
        <w:tc>
          <w:tcPr>
            <w:tcW w:w="540" w:type="dxa"/>
            <w:vAlign w:val="bottom"/>
            <w:shd w:val="clear" w:color="auto" w:fill="D7D8D6"/>
          </w:tcPr>
          <w:p>
            <w:pPr>
              <w:spacing w:after="0"/>
              <w:rPr>
                <w:sz w:val="8"/>
                <w:szCs w:val="8"/>
                <w:color w:val="auto"/>
              </w:rPr>
            </w:pPr>
          </w:p>
        </w:tc>
        <w:tc>
          <w:tcPr>
            <w:tcW w:w="120" w:type="dxa"/>
            <w:vAlign w:val="bottom"/>
            <w:shd w:val="clear" w:color="auto" w:fill="D7D8D6"/>
          </w:tcPr>
          <w:p>
            <w:pPr>
              <w:spacing w:after="0"/>
              <w:rPr>
                <w:sz w:val="8"/>
                <w:szCs w:val="8"/>
                <w:color w:val="auto"/>
              </w:rPr>
            </w:pPr>
          </w:p>
        </w:tc>
        <w:tc>
          <w:tcPr>
            <w:tcW w:w="240" w:type="dxa"/>
            <w:vAlign w:val="bottom"/>
            <w:shd w:val="clear" w:color="auto" w:fill="D7D8D6"/>
          </w:tcPr>
          <w:p>
            <w:pPr>
              <w:spacing w:after="0"/>
              <w:rPr>
                <w:sz w:val="8"/>
                <w:szCs w:val="8"/>
                <w:color w:val="auto"/>
              </w:rPr>
            </w:pPr>
          </w:p>
        </w:tc>
        <w:tc>
          <w:tcPr>
            <w:tcW w:w="220" w:type="dxa"/>
            <w:vAlign w:val="bottom"/>
            <w:shd w:val="clear" w:color="auto" w:fill="D7D8D6"/>
          </w:tcPr>
          <w:p>
            <w:pPr>
              <w:spacing w:after="0"/>
              <w:rPr>
                <w:sz w:val="8"/>
                <w:szCs w:val="8"/>
                <w:color w:val="auto"/>
              </w:rPr>
            </w:pPr>
          </w:p>
        </w:tc>
        <w:tc>
          <w:tcPr>
            <w:tcW w:w="1400" w:type="dxa"/>
            <w:vAlign w:val="bottom"/>
            <w:shd w:val="clear" w:color="auto" w:fill="D7D8D6"/>
          </w:tcPr>
          <w:p>
            <w:pPr>
              <w:spacing w:after="0"/>
              <w:rPr>
                <w:sz w:val="8"/>
                <w:szCs w:val="8"/>
                <w:color w:val="auto"/>
              </w:rPr>
            </w:pPr>
          </w:p>
        </w:tc>
        <w:tc>
          <w:tcPr>
            <w:tcW w:w="240" w:type="dxa"/>
            <w:vAlign w:val="bottom"/>
            <w:shd w:val="clear" w:color="auto" w:fill="D7D8D6"/>
          </w:tcPr>
          <w:p>
            <w:pPr>
              <w:spacing w:after="0"/>
              <w:rPr>
                <w:sz w:val="8"/>
                <w:szCs w:val="8"/>
                <w:color w:val="auto"/>
              </w:rPr>
            </w:pPr>
          </w:p>
        </w:tc>
        <w:tc>
          <w:tcPr>
            <w:tcW w:w="660" w:type="dxa"/>
            <w:vAlign w:val="bottom"/>
            <w:gridSpan w:val="4"/>
            <w:vMerge w:val="restart"/>
            <w:shd w:val="clear" w:color="auto" w:fill="D7D8D6"/>
          </w:tcPr>
          <w:p>
            <w:pPr>
              <w:jc w:val="center"/>
              <w:ind w:right="460"/>
              <w:spacing w:after="0" w:line="161" w:lineRule="exact"/>
              <w:rPr>
                <w:sz w:val="20"/>
                <w:szCs w:val="20"/>
                <w:color w:val="auto"/>
              </w:rPr>
            </w:pPr>
            <w:r>
              <w:rPr>
                <w:rFonts w:ascii="MS PGothic" w:cs="MS PGothic" w:eastAsia="MS PGothic" w:hAnsi="MS PGothic"/>
                <w:sz w:val="16"/>
                <w:szCs w:val="16"/>
                <w:color w:val="auto"/>
                <w:w w:val="74"/>
                <w:shd w:val="clear" w:color="auto" w:fill="2E9E46"/>
              </w:rPr>
              <w:t>✓</w:t>
            </w:r>
          </w:p>
        </w:tc>
        <w:tc>
          <w:tcPr>
            <w:tcW w:w="0" w:type="dxa"/>
            <w:vAlign w:val="bottom"/>
          </w:tcPr>
          <w:p>
            <w:pPr>
              <w:spacing w:after="0"/>
              <w:rPr>
                <w:sz w:val="1"/>
                <w:szCs w:val="1"/>
                <w:color w:val="auto"/>
              </w:rPr>
            </w:pPr>
          </w:p>
        </w:tc>
      </w:tr>
      <w:tr>
        <w:trPr>
          <w:trHeight w:val="303"/>
        </w:trPr>
        <w:tc>
          <w:tcPr>
            <w:tcW w:w="160" w:type="dxa"/>
            <w:vAlign w:val="bottom"/>
            <w:shd w:val="clear" w:color="auto" w:fill="D7D8D6"/>
          </w:tcPr>
          <w:p>
            <w:pPr>
              <w:spacing w:after="0"/>
              <w:rPr>
                <w:sz w:val="24"/>
                <w:szCs w:val="24"/>
                <w:color w:val="auto"/>
              </w:rPr>
            </w:pPr>
          </w:p>
        </w:tc>
        <w:tc>
          <w:tcPr>
            <w:tcW w:w="3900" w:type="dxa"/>
            <w:vAlign w:val="bottom"/>
            <w:shd w:val="clear" w:color="auto" w:fill="D7D8D6"/>
          </w:tcPr>
          <w:p>
            <w:pPr>
              <w:ind w:left="160"/>
              <w:spacing w:after="0"/>
              <w:rPr>
                <w:sz w:val="20"/>
                <w:szCs w:val="20"/>
                <w:color w:val="auto"/>
              </w:rPr>
            </w:pPr>
            <w:r>
              <w:rPr>
                <w:rFonts w:ascii="Arial" w:cs="Arial" w:eastAsia="Arial" w:hAnsi="Arial"/>
                <w:sz w:val="16"/>
                <w:szCs w:val="16"/>
                <w:color w:val="333740"/>
              </w:rPr>
              <w:t>LNG market – secure $3 billion of LNG awards</w:t>
            </w:r>
          </w:p>
        </w:tc>
        <w:tc>
          <w:tcPr>
            <w:tcW w:w="3780" w:type="dxa"/>
            <w:vAlign w:val="bottom"/>
            <w:shd w:val="clear" w:color="auto" w:fill="D7D8D6"/>
          </w:tcPr>
          <w:p>
            <w:pPr>
              <w:ind w:left="320"/>
              <w:spacing w:after="0"/>
              <w:rPr>
                <w:sz w:val="20"/>
                <w:szCs w:val="20"/>
                <w:color w:val="auto"/>
              </w:rPr>
            </w:pPr>
            <w:r>
              <w:rPr>
                <w:rFonts w:ascii="Arial" w:cs="Arial" w:eastAsia="Arial" w:hAnsi="Arial"/>
                <w:sz w:val="16"/>
                <w:szCs w:val="16"/>
                <w:color w:val="333740"/>
              </w:rPr>
              <w:t>Over $8 billion of LNG inbound</w:t>
            </w:r>
          </w:p>
        </w:tc>
        <w:tc>
          <w:tcPr>
            <w:tcW w:w="540" w:type="dxa"/>
            <w:vAlign w:val="bottom"/>
            <w:shd w:val="clear" w:color="auto" w:fill="D7D8D6"/>
          </w:tcPr>
          <w:p>
            <w:pPr>
              <w:spacing w:after="0"/>
              <w:rPr>
                <w:sz w:val="24"/>
                <w:szCs w:val="24"/>
                <w:color w:val="auto"/>
              </w:rPr>
            </w:pPr>
          </w:p>
        </w:tc>
        <w:tc>
          <w:tcPr>
            <w:tcW w:w="120" w:type="dxa"/>
            <w:vAlign w:val="bottom"/>
            <w:shd w:val="clear" w:color="auto" w:fill="D7D8D6"/>
          </w:tcPr>
          <w:p>
            <w:pPr>
              <w:spacing w:after="0"/>
              <w:rPr>
                <w:sz w:val="24"/>
                <w:szCs w:val="24"/>
                <w:color w:val="auto"/>
              </w:rPr>
            </w:pPr>
          </w:p>
        </w:tc>
        <w:tc>
          <w:tcPr>
            <w:tcW w:w="240" w:type="dxa"/>
            <w:vAlign w:val="bottom"/>
            <w:shd w:val="clear" w:color="auto" w:fill="D7D8D6"/>
          </w:tcPr>
          <w:p>
            <w:pPr>
              <w:spacing w:after="0"/>
              <w:rPr>
                <w:sz w:val="24"/>
                <w:szCs w:val="24"/>
                <w:color w:val="auto"/>
              </w:rPr>
            </w:pPr>
          </w:p>
        </w:tc>
        <w:tc>
          <w:tcPr>
            <w:tcW w:w="220" w:type="dxa"/>
            <w:vAlign w:val="bottom"/>
            <w:shd w:val="clear" w:color="auto" w:fill="D7D8D6"/>
          </w:tcPr>
          <w:p>
            <w:pPr>
              <w:spacing w:after="0"/>
              <w:rPr>
                <w:sz w:val="24"/>
                <w:szCs w:val="24"/>
                <w:color w:val="auto"/>
              </w:rPr>
            </w:pPr>
          </w:p>
        </w:tc>
        <w:tc>
          <w:tcPr>
            <w:tcW w:w="1400" w:type="dxa"/>
            <w:vAlign w:val="bottom"/>
            <w:shd w:val="clear" w:color="auto" w:fill="D7D8D6"/>
          </w:tcPr>
          <w:p>
            <w:pPr>
              <w:spacing w:after="0"/>
              <w:rPr>
                <w:sz w:val="24"/>
                <w:szCs w:val="24"/>
                <w:color w:val="auto"/>
              </w:rPr>
            </w:pPr>
          </w:p>
        </w:tc>
        <w:tc>
          <w:tcPr>
            <w:tcW w:w="240" w:type="dxa"/>
            <w:vAlign w:val="bottom"/>
            <w:shd w:val="clear" w:color="auto" w:fill="D7D8D6"/>
          </w:tcPr>
          <w:p>
            <w:pPr>
              <w:spacing w:after="0"/>
              <w:rPr>
                <w:sz w:val="24"/>
                <w:szCs w:val="24"/>
                <w:color w:val="auto"/>
              </w:rPr>
            </w:pPr>
          </w:p>
        </w:tc>
        <w:tc>
          <w:tcPr>
            <w:tcW w:w="660" w:type="dxa"/>
            <w:vAlign w:val="bottom"/>
            <w:gridSpan w:val="4"/>
            <w:vMerge w:val="continue"/>
            <w:shd w:val="clear" w:color="auto" w:fill="D7D8D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60" w:type="dxa"/>
            <w:vAlign w:val="bottom"/>
            <w:gridSpan w:val="2"/>
            <w:shd w:val="clear" w:color="auto" w:fill="D7D8D6"/>
          </w:tcPr>
          <w:p>
            <w:pPr>
              <w:ind w:left="40"/>
              <w:spacing w:after="0"/>
              <w:rPr>
                <w:sz w:val="20"/>
                <w:szCs w:val="20"/>
                <w:color w:val="auto"/>
              </w:rPr>
            </w:pPr>
            <w:r>
              <w:rPr>
                <w:rFonts w:ascii="Arial" w:cs="Arial" w:eastAsia="Arial" w:hAnsi="Arial"/>
                <w:sz w:val="16"/>
                <w:szCs w:val="16"/>
                <w:b w:val="1"/>
                <w:bCs w:val="1"/>
                <w:color w:val="333740"/>
              </w:rPr>
              <w:t>Corporate Responsibility and Sustainability</w:t>
            </w:r>
          </w:p>
        </w:tc>
        <w:tc>
          <w:tcPr>
            <w:tcW w:w="3780" w:type="dxa"/>
            <w:vAlign w:val="bottom"/>
            <w:shd w:val="clear" w:color="auto" w:fill="D7D8D6"/>
          </w:tcPr>
          <w:p>
            <w:pPr>
              <w:ind w:left="320"/>
              <w:spacing w:after="0"/>
              <w:rPr>
                <w:sz w:val="20"/>
                <w:szCs w:val="20"/>
                <w:color w:val="auto"/>
              </w:rPr>
            </w:pPr>
            <w:r>
              <w:rPr>
                <w:rFonts w:ascii="Arial" w:cs="Arial" w:eastAsia="Arial" w:hAnsi="Arial"/>
                <w:sz w:val="16"/>
                <w:szCs w:val="16"/>
                <w:color w:val="333740"/>
                <w:w w:val="98"/>
              </w:rPr>
              <w:t>Please see section “</w:t>
            </w:r>
            <w:r>
              <w:rPr>
                <w:rFonts w:ascii="Arial" w:cs="Arial" w:eastAsia="Arial" w:hAnsi="Arial"/>
                <w:sz w:val="16"/>
                <w:szCs w:val="16"/>
                <w:i w:val="1"/>
                <w:iCs w:val="1"/>
                <w:color w:val="333740"/>
                <w:w w:val="98"/>
              </w:rPr>
              <w:t>Corporate Responsibility and</w:t>
            </w:r>
          </w:p>
        </w:tc>
        <w:tc>
          <w:tcPr>
            <w:tcW w:w="540" w:type="dxa"/>
            <w:vAlign w:val="bottom"/>
            <w:shd w:val="clear" w:color="auto" w:fill="D7D8D6"/>
          </w:tcPr>
          <w:p>
            <w:pPr>
              <w:spacing w:after="0"/>
              <w:rPr>
                <w:sz w:val="23"/>
                <w:szCs w:val="23"/>
                <w:color w:val="auto"/>
              </w:rPr>
            </w:pPr>
          </w:p>
        </w:tc>
        <w:tc>
          <w:tcPr>
            <w:tcW w:w="120" w:type="dxa"/>
            <w:vAlign w:val="bottom"/>
            <w:shd w:val="clear" w:color="auto" w:fill="D7D8D6"/>
          </w:tcPr>
          <w:p>
            <w:pPr>
              <w:spacing w:after="0"/>
              <w:rPr>
                <w:sz w:val="23"/>
                <w:szCs w:val="23"/>
                <w:color w:val="auto"/>
              </w:rPr>
            </w:pPr>
          </w:p>
        </w:tc>
        <w:tc>
          <w:tcPr>
            <w:tcW w:w="240" w:type="dxa"/>
            <w:vAlign w:val="bottom"/>
            <w:shd w:val="clear" w:color="auto" w:fill="D7D8D6"/>
          </w:tcPr>
          <w:p>
            <w:pPr>
              <w:spacing w:after="0"/>
              <w:rPr>
                <w:sz w:val="23"/>
                <w:szCs w:val="23"/>
                <w:color w:val="auto"/>
              </w:rPr>
            </w:pPr>
          </w:p>
        </w:tc>
        <w:tc>
          <w:tcPr>
            <w:tcW w:w="220" w:type="dxa"/>
            <w:vAlign w:val="bottom"/>
            <w:shd w:val="clear" w:color="auto" w:fill="D7D8D6"/>
          </w:tcPr>
          <w:p>
            <w:pPr>
              <w:spacing w:after="0"/>
              <w:rPr>
                <w:sz w:val="23"/>
                <w:szCs w:val="23"/>
                <w:color w:val="auto"/>
              </w:rPr>
            </w:pPr>
          </w:p>
        </w:tc>
        <w:tc>
          <w:tcPr>
            <w:tcW w:w="1400" w:type="dxa"/>
            <w:vAlign w:val="bottom"/>
            <w:shd w:val="clear" w:color="auto" w:fill="D7D8D6"/>
          </w:tcPr>
          <w:p>
            <w:pPr>
              <w:spacing w:after="0"/>
              <w:rPr>
                <w:sz w:val="23"/>
                <w:szCs w:val="23"/>
                <w:color w:val="auto"/>
              </w:rPr>
            </w:pPr>
          </w:p>
        </w:tc>
        <w:tc>
          <w:tcPr>
            <w:tcW w:w="240" w:type="dxa"/>
            <w:vAlign w:val="bottom"/>
            <w:shd w:val="clear" w:color="auto" w:fill="D7D8D6"/>
          </w:tcPr>
          <w:p>
            <w:pPr>
              <w:spacing w:after="0"/>
              <w:rPr>
                <w:sz w:val="23"/>
                <w:szCs w:val="23"/>
                <w:color w:val="auto"/>
              </w:rPr>
            </w:pPr>
          </w:p>
        </w:tc>
        <w:tc>
          <w:tcPr>
            <w:tcW w:w="60" w:type="dxa"/>
            <w:vAlign w:val="bottom"/>
            <w:shd w:val="clear" w:color="auto" w:fill="D7D8D6"/>
          </w:tcPr>
          <w:p>
            <w:pPr>
              <w:spacing w:after="0"/>
              <w:rPr>
                <w:sz w:val="23"/>
                <w:szCs w:val="23"/>
                <w:color w:val="auto"/>
              </w:rPr>
            </w:pPr>
          </w:p>
        </w:tc>
        <w:tc>
          <w:tcPr>
            <w:tcW w:w="120" w:type="dxa"/>
            <w:vAlign w:val="bottom"/>
            <w:shd w:val="clear" w:color="auto" w:fill="D7D8D6"/>
          </w:tcPr>
          <w:p>
            <w:pPr>
              <w:spacing w:after="0"/>
              <w:rPr>
                <w:sz w:val="23"/>
                <w:szCs w:val="23"/>
                <w:color w:val="auto"/>
              </w:rPr>
            </w:pPr>
          </w:p>
        </w:tc>
        <w:tc>
          <w:tcPr>
            <w:tcW w:w="420" w:type="dxa"/>
            <w:vAlign w:val="bottom"/>
            <w:shd w:val="clear" w:color="auto" w:fill="D7D8D6"/>
          </w:tcPr>
          <w:p>
            <w:pPr>
              <w:spacing w:after="0"/>
              <w:rPr>
                <w:sz w:val="23"/>
                <w:szCs w:val="23"/>
                <w:color w:val="auto"/>
              </w:rPr>
            </w:pPr>
          </w:p>
        </w:tc>
        <w:tc>
          <w:tcPr>
            <w:tcW w:w="60" w:type="dxa"/>
            <w:vAlign w:val="bottom"/>
            <w:shd w:val="clear" w:color="auto" w:fill="D7D8D6"/>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60" w:type="dxa"/>
            <w:vAlign w:val="bottom"/>
            <w:shd w:val="clear" w:color="auto" w:fill="D7D8D6"/>
          </w:tcPr>
          <w:p>
            <w:pPr>
              <w:spacing w:after="0"/>
              <w:rPr>
                <w:sz w:val="16"/>
                <w:szCs w:val="16"/>
                <w:color w:val="auto"/>
              </w:rPr>
            </w:pPr>
          </w:p>
        </w:tc>
        <w:tc>
          <w:tcPr>
            <w:tcW w:w="3900" w:type="dxa"/>
            <w:vAlign w:val="bottom"/>
            <w:shd w:val="clear" w:color="auto" w:fill="D7D8D6"/>
          </w:tcPr>
          <w:p>
            <w:pPr>
              <w:ind w:left="160"/>
              <w:spacing w:after="0"/>
              <w:rPr>
                <w:sz w:val="20"/>
                <w:szCs w:val="20"/>
                <w:color w:val="auto"/>
              </w:rPr>
            </w:pPr>
            <w:r>
              <w:rPr>
                <w:rFonts w:ascii="Arial" w:cs="Arial" w:eastAsia="Arial" w:hAnsi="Arial"/>
                <w:sz w:val="16"/>
                <w:szCs w:val="16"/>
                <w:color w:val="333740"/>
              </w:rPr>
              <w:t>Focus and advance sustainability efforts under three</w:t>
            </w:r>
          </w:p>
        </w:tc>
        <w:tc>
          <w:tcPr>
            <w:tcW w:w="3780" w:type="dxa"/>
            <w:vAlign w:val="bottom"/>
            <w:shd w:val="clear" w:color="auto" w:fill="D7D8D6"/>
          </w:tcPr>
          <w:p>
            <w:pPr>
              <w:ind w:left="340"/>
              <w:spacing w:after="0"/>
              <w:rPr>
                <w:sz w:val="20"/>
                <w:szCs w:val="20"/>
                <w:color w:val="auto"/>
              </w:rPr>
            </w:pPr>
            <w:r>
              <w:rPr>
                <w:rFonts w:ascii="Arial" w:cs="Arial" w:eastAsia="Arial" w:hAnsi="Arial"/>
                <w:sz w:val="16"/>
                <w:szCs w:val="16"/>
                <w:i w:val="1"/>
                <w:iCs w:val="1"/>
                <w:color w:val="333740"/>
              </w:rPr>
              <w:t>Sustainability – Sustainability</w:t>
            </w:r>
            <w:r>
              <w:rPr>
                <w:rFonts w:ascii="Arial" w:cs="Arial" w:eastAsia="Arial" w:hAnsi="Arial"/>
                <w:sz w:val="16"/>
                <w:szCs w:val="16"/>
                <w:color w:val="333740"/>
              </w:rPr>
              <w:t>” for a detailed</w:t>
            </w:r>
          </w:p>
        </w:tc>
        <w:tc>
          <w:tcPr>
            <w:tcW w:w="540" w:type="dxa"/>
            <w:vAlign w:val="bottom"/>
            <w:shd w:val="clear" w:color="auto" w:fill="D7D8D6"/>
          </w:tcPr>
          <w:p>
            <w:pPr>
              <w:spacing w:after="0"/>
              <w:rPr>
                <w:sz w:val="16"/>
                <w:szCs w:val="16"/>
                <w:color w:val="auto"/>
              </w:rPr>
            </w:pPr>
          </w:p>
        </w:tc>
        <w:tc>
          <w:tcPr>
            <w:tcW w:w="120" w:type="dxa"/>
            <w:vAlign w:val="bottom"/>
            <w:shd w:val="clear" w:color="auto" w:fill="D7D8D6"/>
          </w:tcPr>
          <w:p>
            <w:pPr>
              <w:spacing w:after="0"/>
              <w:rPr>
                <w:sz w:val="16"/>
                <w:szCs w:val="16"/>
                <w:color w:val="auto"/>
              </w:rPr>
            </w:pPr>
          </w:p>
        </w:tc>
        <w:tc>
          <w:tcPr>
            <w:tcW w:w="240" w:type="dxa"/>
            <w:vAlign w:val="bottom"/>
            <w:shd w:val="clear" w:color="auto" w:fill="D7D8D6"/>
          </w:tcPr>
          <w:p>
            <w:pPr>
              <w:spacing w:after="0"/>
              <w:rPr>
                <w:sz w:val="16"/>
                <w:szCs w:val="16"/>
                <w:color w:val="auto"/>
              </w:rPr>
            </w:pPr>
          </w:p>
        </w:tc>
        <w:tc>
          <w:tcPr>
            <w:tcW w:w="220" w:type="dxa"/>
            <w:vAlign w:val="bottom"/>
            <w:shd w:val="clear" w:color="auto" w:fill="D7D8D6"/>
          </w:tcPr>
          <w:p>
            <w:pPr>
              <w:spacing w:after="0"/>
              <w:rPr>
                <w:sz w:val="16"/>
                <w:szCs w:val="16"/>
                <w:color w:val="auto"/>
              </w:rPr>
            </w:pPr>
          </w:p>
        </w:tc>
        <w:tc>
          <w:tcPr>
            <w:tcW w:w="1400" w:type="dxa"/>
            <w:vAlign w:val="bottom"/>
            <w:shd w:val="clear" w:color="auto" w:fill="D7D8D6"/>
          </w:tcPr>
          <w:p>
            <w:pPr>
              <w:spacing w:after="0"/>
              <w:rPr>
                <w:sz w:val="16"/>
                <w:szCs w:val="16"/>
                <w:color w:val="auto"/>
              </w:rPr>
            </w:pPr>
          </w:p>
        </w:tc>
        <w:tc>
          <w:tcPr>
            <w:tcW w:w="240" w:type="dxa"/>
            <w:vAlign w:val="bottom"/>
            <w:shd w:val="clear" w:color="auto" w:fill="D7D8D6"/>
          </w:tcPr>
          <w:p>
            <w:pPr>
              <w:spacing w:after="0"/>
              <w:rPr>
                <w:sz w:val="16"/>
                <w:szCs w:val="16"/>
                <w:color w:val="auto"/>
              </w:rPr>
            </w:pPr>
          </w:p>
        </w:tc>
        <w:tc>
          <w:tcPr>
            <w:tcW w:w="60" w:type="dxa"/>
            <w:vAlign w:val="bottom"/>
            <w:shd w:val="clear" w:color="auto" w:fill="D7D8D6"/>
          </w:tcPr>
          <w:p>
            <w:pPr>
              <w:spacing w:after="0"/>
              <w:rPr>
                <w:sz w:val="16"/>
                <w:szCs w:val="16"/>
                <w:color w:val="auto"/>
              </w:rPr>
            </w:pPr>
          </w:p>
        </w:tc>
        <w:tc>
          <w:tcPr>
            <w:tcW w:w="120" w:type="dxa"/>
            <w:vAlign w:val="bottom"/>
            <w:vMerge w:val="restart"/>
            <w:shd w:val="clear" w:color="auto" w:fill="D7D8D6"/>
          </w:tcPr>
          <w:p>
            <w:pPr>
              <w:spacing w:after="0" w:line="141" w:lineRule="exact"/>
              <w:rPr>
                <w:sz w:val="20"/>
                <w:szCs w:val="20"/>
                <w:color w:val="auto"/>
              </w:rPr>
            </w:pPr>
            <w:r>
              <w:rPr>
                <w:rFonts w:ascii="MS PGothic" w:cs="MS PGothic" w:eastAsia="MS PGothic" w:hAnsi="MS PGothic"/>
                <w:sz w:val="14"/>
                <w:szCs w:val="14"/>
                <w:color w:val="auto"/>
                <w:highlight w:val="lightGray"/>
                <w:w w:val="71"/>
              </w:rPr>
              <w:t>✓</w:t>
            </w:r>
          </w:p>
        </w:tc>
        <w:tc>
          <w:tcPr>
            <w:tcW w:w="420" w:type="dxa"/>
            <w:vAlign w:val="bottom"/>
            <w:shd w:val="clear" w:color="auto" w:fill="D7D8D6"/>
          </w:tcPr>
          <w:p>
            <w:pPr>
              <w:spacing w:after="0"/>
              <w:rPr>
                <w:sz w:val="16"/>
                <w:szCs w:val="16"/>
                <w:color w:val="auto"/>
              </w:rPr>
            </w:pPr>
          </w:p>
        </w:tc>
        <w:tc>
          <w:tcPr>
            <w:tcW w:w="60" w:type="dxa"/>
            <w:vAlign w:val="bottom"/>
            <w:shd w:val="clear" w:color="auto" w:fill="D7D8D6"/>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160" w:type="dxa"/>
            <w:vAlign w:val="bottom"/>
            <w:shd w:val="clear" w:color="auto" w:fill="D7D8D6"/>
          </w:tcPr>
          <w:p>
            <w:pPr>
              <w:spacing w:after="0"/>
              <w:rPr>
                <w:sz w:val="8"/>
                <w:szCs w:val="8"/>
                <w:color w:val="auto"/>
              </w:rPr>
            </w:pPr>
          </w:p>
        </w:tc>
        <w:tc>
          <w:tcPr>
            <w:tcW w:w="3900" w:type="dxa"/>
            <w:vAlign w:val="bottom"/>
            <w:vMerge w:val="restart"/>
            <w:shd w:val="clear" w:color="auto" w:fill="D7D8D6"/>
          </w:tcPr>
          <w:p>
            <w:pPr>
              <w:ind w:left="180"/>
              <w:spacing w:after="0"/>
              <w:rPr>
                <w:sz w:val="20"/>
                <w:szCs w:val="20"/>
                <w:color w:val="auto"/>
              </w:rPr>
            </w:pPr>
            <w:r>
              <w:rPr>
                <w:rFonts w:ascii="Arial" w:cs="Arial" w:eastAsia="Arial" w:hAnsi="Arial"/>
                <w:sz w:val="16"/>
                <w:szCs w:val="16"/>
                <w:color w:val="333740"/>
                <w:w w:val="98"/>
              </w:rPr>
              <w:t>pillars – Supporting Communities, Advancing Gender</w:t>
            </w:r>
          </w:p>
        </w:tc>
        <w:tc>
          <w:tcPr>
            <w:tcW w:w="3780" w:type="dxa"/>
            <w:vAlign w:val="bottom"/>
            <w:vMerge w:val="restart"/>
            <w:shd w:val="clear" w:color="auto" w:fill="D7D8D6"/>
          </w:tcPr>
          <w:p>
            <w:pPr>
              <w:ind w:left="340"/>
              <w:spacing w:after="0"/>
              <w:rPr>
                <w:sz w:val="20"/>
                <w:szCs w:val="20"/>
                <w:color w:val="auto"/>
              </w:rPr>
            </w:pPr>
            <w:r>
              <w:rPr>
                <w:rFonts w:ascii="Arial" w:cs="Arial" w:eastAsia="Arial" w:hAnsi="Arial"/>
                <w:sz w:val="16"/>
                <w:szCs w:val="16"/>
                <w:color w:val="333740"/>
              </w:rPr>
              <w:t>description of 2019 objectives and results.</w:t>
            </w:r>
          </w:p>
        </w:tc>
        <w:tc>
          <w:tcPr>
            <w:tcW w:w="540" w:type="dxa"/>
            <w:vAlign w:val="bottom"/>
            <w:shd w:val="clear" w:color="auto" w:fill="D7D8D6"/>
          </w:tcPr>
          <w:p>
            <w:pPr>
              <w:spacing w:after="0"/>
              <w:rPr>
                <w:sz w:val="8"/>
                <w:szCs w:val="8"/>
                <w:color w:val="auto"/>
              </w:rPr>
            </w:pPr>
          </w:p>
        </w:tc>
        <w:tc>
          <w:tcPr>
            <w:tcW w:w="120" w:type="dxa"/>
            <w:vAlign w:val="bottom"/>
            <w:shd w:val="clear" w:color="auto" w:fill="D7D8D6"/>
          </w:tcPr>
          <w:p>
            <w:pPr>
              <w:spacing w:after="0"/>
              <w:rPr>
                <w:sz w:val="8"/>
                <w:szCs w:val="8"/>
                <w:color w:val="auto"/>
              </w:rPr>
            </w:pPr>
          </w:p>
        </w:tc>
        <w:tc>
          <w:tcPr>
            <w:tcW w:w="240" w:type="dxa"/>
            <w:vAlign w:val="bottom"/>
            <w:shd w:val="clear" w:color="auto" w:fill="D7D8D6"/>
          </w:tcPr>
          <w:p>
            <w:pPr>
              <w:spacing w:after="0"/>
              <w:rPr>
                <w:sz w:val="8"/>
                <w:szCs w:val="8"/>
                <w:color w:val="auto"/>
              </w:rPr>
            </w:pPr>
          </w:p>
        </w:tc>
        <w:tc>
          <w:tcPr>
            <w:tcW w:w="220" w:type="dxa"/>
            <w:vAlign w:val="bottom"/>
            <w:shd w:val="clear" w:color="auto" w:fill="D7D8D6"/>
          </w:tcPr>
          <w:p>
            <w:pPr>
              <w:spacing w:after="0"/>
              <w:rPr>
                <w:sz w:val="8"/>
                <w:szCs w:val="8"/>
                <w:color w:val="auto"/>
              </w:rPr>
            </w:pPr>
          </w:p>
        </w:tc>
        <w:tc>
          <w:tcPr>
            <w:tcW w:w="1400" w:type="dxa"/>
            <w:vAlign w:val="bottom"/>
            <w:shd w:val="clear" w:color="auto" w:fill="D7D8D6"/>
          </w:tcPr>
          <w:p>
            <w:pPr>
              <w:spacing w:after="0"/>
              <w:rPr>
                <w:sz w:val="8"/>
                <w:szCs w:val="8"/>
                <w:color w:val="auto"/>
              </w:rPr>
            </w:pPr>
          </w:p>
        </w:tc>
        <w:tc>
          <w:tcPr>
            <w:tcW w:w="240" w:type="dxa"/>
            <w:vAlign w:val="bottom"/>
            <w:shd w:val="clear" w:color="auto" w:fill="D7D8D6"/>
          </w:tcPr>
          <w:p>
            <w:pPr>
              <w:spacing w:after="0"/>
              <w:rPr>
                <w:sz w:val="8"/>
                <w:szCs w:val="8"/>
                <w:color w:val="auto"/>
              </w:rPr>
            </w:pPr>
          </w:p>
        </w:tc>
        <w:tc>
          <w:tcPr>
            <w:tcW w:w="60" w:type="dxa"/>
            <w:vAlign w:val="bottom"/>
            <w:shd w:val="clear" w:color="auto" w:fill="D7D8D6"/>
          </w:tcPr>
          <w:p>
            <w:pPr>
              <w:spacing w:after="0"/>
              <w:rPr>
                <w:sz w:val="8"/>
                <w:szCs w:val="8"/>
                <w:color w:val="auto"/>
              </w:rPr>
            </w:pPr>
          </w:p>
        </w:tc>
        <w:tc>
          <w:tcPr>
            <w:tcW w:w="120" w:type="dxa"/>
            <w:vAlign w:val="bottom"/>
            <w:vMerge w:val="continue"/>
            <w:shd w:val="clear" w:color="auto" w:fill="D7D8D6"/>
          </w:tcPr>
          <w:p>
            <w:pPr>
              <w:spacing w:after="0"/>
              <w:rPr>
                <w:sz w:val="8"/>
                <w:szCs w:val="8"/>
                <w:color w:val="auto"/>
              </w:rPr>
            </w:pPr>
          </w:p>
        </w:tc>
        <w:tc>
          <w:tcPr>
            <w:tcW w:w="480" w:type="dxa"/>
            <w:vAlign w:val="bottom"/>
            <w:gridSpan w:val="2"/>
            <w:shd w:val="clear" w:color="auto" w:fill="D7D8D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60" w:type="dxa"/>
            <w:vAlign w:val="bottom"/>
            <w:shd w:val="clear" w:color="auto" w:fill="D7D8D6"/>
          </w:tcPr>
          <w:p>
            <w:pPr>
              <w:spacing w:after="0"/>
              <w:rPr>
                <w:sz w:val="8"/>
                <w:szCs w:val="8"/>
                <w:color w:val="auto"/>
              </w:rPr>
            </w:pPr>
          </w:p>
        </w:tc>
        <w:tc>
          <w:tcPr>
            <w:tcW w:w="3900" w:type="dxa"/>
            <w:vAlign w:val="bottom"/>
            <w:vMerge w:val="continue"/>
            <w:shd w:val="clear" w:color="auto" w:fill="D7D8D6"/>
          </w:tcPr>
          <w:p>
            <w:pPr>
              <w:spacing w:after="0"/>
              <w:rPr>
                <w:sz w:val="8"/>
                <w:szCs w:val="8"/>
                <w:color w:val="auto"/>
              </w:rPr>
            </w:pPr>
          </w:p>
        </w:tc>
        <w:tc>
          <w:tcPr>
            <w:tcW w:w="3780" w:type="dxa"/>
            <w:vAlign w:val="bottom"/>
            <w:vMerge w:val="continue"/>
            <w:shd w:val="clear" w:color="auto" w:fill="D7D8D6"/>
          </w:tcPr>
          <w:p>
            <w:pPr>
              <w:spacing w:after="0"/>
              <w:rPr>
                <w:sz w:val="8"/>
                <w:szCs w:val="8"/>
                <w:color w:val="auto"/>
              </w:rPr>
            </w:pPr>
          </w:p>
        </w:tc>
        <w:tc>
          <w:tcPr>
            <w:tcW w:w="540" w:type="dxa"/>
            <w:vAlign w:val="bottom"/>
            <w:shd w:val="clear" w:color="auto" w:fill="D7D8D6"/>
          </w:tcPr>
          <w:p>
            <w:pPr>
              <w:spacing w:after="0"/>
              <w:rPr>
                <w:sz w:val="8"/>
                <w:szCs w:val="8"/>
                <w:color w:val="auto"/>
              </w:rPr>
            </w:pPr>
          </w:p>
        </w:tc>
        <w:tc>
          <w:tcPr>
            <w:tcW w:w="120" w:type="dxa"/>
            <w:vAlign w:val="bottom"/>
            <w:shd w:val="clear" w:color="auto" w:fill="D7D8D6"/>
          </w:tcPr>
          <w:p>
            <w:pPr>
              <w:spacing w:after="0"/>
              <w:rPr>
                <w:sz w:val="8"/>
                <w:szCs w:val="8"/>
                <w:color w:val="auto"/>
              </w:rPr>
            </w:pPr>
          </w:p>
        </w:tc>
        <w:tc>
          <w:tcPr>
            <w:tcW w:w="240" w:type="dxa"/>
            <w:vAlign w:val="bottom"/>
            <w:shd w:val="clear" w:color="auto" w:fill="D7D8D6"/>
          </w:tcPr>
          <w:p>
            <w:pPr>
              <w:spacing w:after="0"/>
              <w:rPr>
                <w:sz w:val="8"/>
                <w:szCs w:val="8"/>
                <w:color w:val="auto"/>
              </w:rPr>
            </w:pPr>
          </w:p>
        </w:tc>
        <w:tc>
          <w:tcPr>
            <w:tcW w:w="220" w:type="dxa"/>
            <w:vAlign w:val="bottom"/>
            <w:shd w:val="clear" w:color="auto" w:fill="D7D8D6"/>
          </w:tcPr>
          <w:p>
            <w:pPr>
              <w:spacing w:after="0"/>
              <w:rPr>
                <w:sz w:val="8"/>
                <w:szCs w:val="8"/>
                <w:color w:val="auto"/>
              </w:rPr>
            </w:pPr>
          </w:p>
        </w:tc>
        <w:tc>
          <w:tcPr>
            <w:tcW w:w="1400" w:type="dxa"/>
            <w:vAlign w:val="bottom"/>
            <w:shd w:val="clear" w:color="auto" w:fill="D7D8D6"/>
          </w:tcPr>
          <w:p>
            <w:pPr>
              <w:spacing w:after="0"/>
              <w:rPr>
                <w:sz w:val="8"/>
                <w:szCs w:val="8"/>
                <w:color w:val="auto"/>
              </w:rPr>
            </w:pPr>
          </w:p>
        </w:tc>
        <w:tc>
          <w:tcPr>
            <w:tcW w:w="240" w:type="dxa"/>
            <w:vAlign w:val="bottom"/>
            <w:shd w:val="clear" w:color="auto" w:fill="D7D8D6"/>
          </w:tcPr>
          <w:p>
            <w:pPr>
              <w:spacing w:after="0"/>
              <w:rPr>
                <w:sz w:val="8"/>
                <w:szCs w:val="8"/>
                <w:color w:val="auto"/>
              </w:rPr>
            </w:pPr>
          </w:p>
        </w:tc>
        <w:tc>
          <w:tcPr>
            <w:tcW w:w="60" w:type="dxa"/>
            <w:vAlign w:val="bottom"/>
            <w:shd w:val="clear" w:color="auto" w:fill="D7D8D6"/>
          </w:tcPr>
          <w:p>
            <w:pPr>
              <w:spacing w:after="0"/>
              <w:rPr>
                <w:sz w:val="8"/>
                <w:szCs w:val="8"/>
                <w:color w:val="auto"/>
              </w:rPr>
            </w:pPr>
          </w:p>
        </w:tc>
        <w:tc>
          <w:tcPr>
            <w:tcW w:w="120" w:type="dxa"/>
            <w:vAlign w:val="bottom"/>
            <w:shd w:val="clear" w:color="auto" w:fill="D7D8D6"/>
          </w:tcPr>
          <w:p>
            <w:pPr>
              <w:spacing w:after="0"/>
              <w:rPr>
                <w:sz w:val="8"/>
                <w:szCs w:val="8"/>
                <w:color w:val="auto"/>
              </w:rPr>
            </w:pPr>
          </w:p>
        </w:tc>
        <w:tc>
          <w:tcPr>
            <w:tcW w:w="420" w:type="dxa"/>
            <w:vAlign w:val="bottom"/>
            <w:shd w:val="clear" w:color="auto" w:fill="D7D8D6"/>
          </w:tcPr>
          <w:p>
            <w:pPr>
              <w:spacing w:after="0"/>
              <w:rPr>
                <w:sz w:val="8"/>
                <w:szCs w:val="8"/>
                <w:color w:val="auto"/>
              </w:rPr>
            </w:pPr>
          </w:p>
        </w:tc>
        <w:tc>
          <w:tcPr>
            <w:tcW w:w="60" w:type="dxa"/>
            <w:vAlign w:val="bottom"/>
            <w:shd w:val="clear" w:color="auto" w:fill="D7D8D6"/>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60" w:type="dxa"/>
            <w:vAlign w:val="bottom"/>
            <w:shd w:val="clear" w:color="auto" w:fill="D7D8D6"/>
          </w:tcPr>
          <w:p>
            <w:pPr>
              <w:spacing w:after="0"/>
              <w:rPr>
                <w:sz w:val="17"/>
                <w:szCs w:val="17"/>
                <w:color w:val="auto"/>
              </w:rPr>
            </w:pPr>
          </w:p>
        </w:tc>
        <w:tc>
          <w:tcPr>
            <w:tcW w:w="390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Diversity, and Respecting the Environment</w:t>
            </w:r>
          </w:p>
        </w:tc>
        <w:tc>
          <w:tcPr>
            <w:tcW w:w="3780" w:type="dxa"/>
            <w:vAlign w:val="bottom"/>
            <w:shd w:val="clear" w:color="auto" w:fill="D7D8D6"/>
          </w:tcPr>
          <w:p>
            <w:pPr>
              <w:spacing w:after="0"/>
              <w:rPr>
                <w:sz w:val="17"/>
                <w:szCs w:val="17"/>
                <w:color w:val="auto"/>
              </w:rPr>
            </w:pPr>
          </w:p>
        </w:tc>
        <w:tc>
          <w:tcPr>
            <w:tcW w:w="540" w:type="dxa"/>
            <w:vAlign w:val="bottom"/>
            <w:shd w:val="clear" w:color="auto" w:fill="D7D8D6"/>
          </w:tcPr>
          <w:p>
            <w:pPr>
              <w:spacing w:after="0"/>
              <w:rPr>
                <w:sz w:val="17"/>
                <w:szCs w:val="17"/>
                <w:color w:val="auto"/>
              </w:rPr>
            </w:pPr>
          </w:p>
        </w:tc>
        <w:tc>
          <w:tcPr>
            <w:tcW w:w="120" w:type="dxa"/>
            <w:vAlign w:val="bottom"/>
            <w:shd w:val="clear" w:color="auto" w:fill="D7D8D6"/>
          </w:tcPr>
          <w:p>
            <w:pPr>
              <w:spacing w:after="0"/>
              <w:rPr>
                <w:sz w:val="17"/>
                <w:szCs w:val="17"/>
                <w:color w:val="auto"/>
              </w:rPr>
            </w:pPr>
          </w:p>
        </w:tc>
        <w:tc>
          <w:tcPr>
            <w:tcW w:w="240" w:type="dxa"/>
            <w:vAlign w:val="bottom"/>
            <w:shd w:val="clear" w:color="auto" w:fill="D7D8D6"/>
          </w:tcPr>
          <w:p>
            <w:pPr>
              <w:spacing w:after="0"/>
              <w:rPr>
                <w:sz w:val="17"/>
                <w:szCs w:val="17"/>
                <w:color w:val="auto"/>
              </w:rPr>
            </w:pPr>
          </w:p>
        </w:tc>
        <w:tc>
          <w:tcPr>
            <w:tcW w:w="220" w:type="dxa"/>
            <w:vAlign w:val="bottom"/>
            <w:shd w:val="clear" w:color="auto" w:fill="D7D8D6"/>
          </w:tcPr>
          <w:p>
            <w:pPr>
              <w:spacing w:after="0"/>
              <w:rPr>
                <w:sz w:val="17"/>
                <w:szCs w:val="17"/>
                <w:color w:val="auto"/>
              </w:rPr>
            </w:pPr>
          </w:p>
        </w:tc>
        <w:tc>
          <w:tcPr>
            <w:tcW w:w="1400" w:type="dxa"/>
            <w:vAlign w:val="bottom"/>
            <w:shd w:val="clear" w:color="auto" w:fill="D7D8D6"/>
          </w:tcPr>
          <w:p>
            <w:pPr>
              <w:spacing w:after="0"/>
              <w:rPr>
                <w:sz w:val="17"/>
                <w:szCs w:val="17"/>
                <w:color w:val="auto"/>
              </w:rPr>
            </w:pPr>
          </w:p>
        </w:tc>
        <w:tc>
          <w:tcPr>
            <w:tcW w:w="240" w:type="dxa"/>
            <w:vAlign w:val="bottom"/>
            <w:shd w:val="clear" w:color="auto" w:fill="D7D8D6"/>
          </w:tcPr>
          <w:p>
            <w:pPr>
              <w:spacing w:after="0"/>
              <w:rPr>
                <w:sz w:val="17"/>
                <w:szCs w:val="17"/>
                <w:color w:val="auto"/>
              </w:rPr>
            </w:pPr>
          </w:p>
        </w:tc>
        <w:tc>
          <w:tcPr>
            <w:tcW w:w="60" w:type="dxa"/>
            <w:vAlign w:val="bottom"/>
            <w:shd w:val="clear" w:color="auto" w:fill="D7D8D6"/>
          </w:tcPr>
          <w:p>
            <w:pPr>
              <w:spacing w:after="0"/>
              <w:rPr>
                <w:sz w:val="17"/>
                <w:szCs w:val="17"/>
                <w:color w:val="auto"/>
              </w:rPr>
            </w:pPr>
          </w:p>
        </w:tc>
        <w:tc>
          <w:tcPr>
            <w:tcW w:w="120" w:type="dxa"/>
            <w:vAlign w:val="bottom"/>
            <w:shd w:val="clear" w:color="auto" w:fill="D7D8D6"/>
          </w:tcPr>
          <w:p>
            <w:pPr>
              <w:spacing w:after="0"/>
              <w:rPr>
                <w:sz w:val="17"/>
                <w:szCs w:val="17"/>
                <w:color w:val="auto"/>
              </w:rPr>
            </w:pPr>
          </w:p>
        </w:tc>
        <w:tc>
          <w:tcPr>
            <w:tcW w:w="420" w:type="dxa"/>
            <w:vAlign w:val="bottom"/>
            <w:shd w:val="clear" w:color="auto" w:fill="D7D8D6"/>
          </w:tcPr>
          <w:p>
            <w:pPr>
              <w:spacing w:after="0"/>
              <w:rPr>
                <w:sz w:val="17"/>
                <w:szCs w:val="17"/>
                <w:color w:val="auto"/>
              </w:rPr>
            </w:pPr>
          </w:p>
        </w:tc>
        <w:tc>
          <w:tcPr>
            <w:tcW w:w="60" w:type="dxa"/>
            <w:vAlign w:val="bottom"/>
            <w:shd w:val="clear" w:color="auto" w:fill="D7D8D6"/>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60" w:type="dxa"/>
            <w:vAlign w:val="bottom"/>
            <w:gridSpan w:val="2"/>
            <w:shd w:val="clear" w:color="auto" w:fill="D7D8D6"/>
          </w:tcPr>
          <w:p>
            <w:pPr>
              <w:ind w:left="40"/>
              <w:spacing w:after="0"/>
              <w:rPr>
                <w:sz w:val="20"/>
                <w:szCs w:val="20"/>
                <w:color w:val="auto"/>
              </w:rPr>
            </w:pPr>
            <w:r>
              <w:rPr>
                <w:rFonts w:ascii="Arial" w:cs="Arial" w:eastAsia="Arial" w:hAnsi="Arial"/>
                <w:sz w:val="16"/>
                <w:szCs w:val="16"/>
                <w:b w:val="1"/>
                <w:bCs w:val="1"/>
                <w:color w:val="333740"/>
              </w:rPr>
              <w:t>Health &amp; Safety</w:t>
            </w:r>
          </w:p>
        </w:tc>
        <w:tc>
          <w:tcPr>
            <w:tcW w:w="3780" w:type="dxa"/>
            <w:vAlign w:val="bottom"/>
            <w:vMerge w:val="restart"/>
            <w:shd w:val="clear" w:color="auto" w:fill="D7D8D6"/>
          </w:tcPr>
          <w:p>
            <w:pPr>
              <w:ind w:left="320"/>
              <w:spacing w:after="0"/>
              <w:rPr>
                <w:sz w:val="20"/>
                <w:szCs w:val="20"/>
                <w:color w:val="auto"/>
              </w:rPr>
            </w:pPr>
            <w:r>
              <w:rPr>
                <w:rFonts w:ascii="Arial" w:cs="Arial" w:eastAsia="Arial" w:hAnsi="Arial"/>
                <w:sz w:val="16"/>
                <w:szCs w:val="16"/>
                <w:color w:val="333740"/>
              </w:rPr>
              <w:t>Zero serious injury goal not achieved.</w:t>
            </w:r>
          </w:p>
        </w:tc>
        <w:tc>
          <w:tcPr>
            <w:tcW w:w="540" w:type="dxa"/>
            <w:vAlign w:val="bottom"/>
            <w:shd w:val="clear" w:color="auto" w:fill="D7D8D6"/>
          </w:tcPr>
          <w:p>
            <w:pPr>
              <w:spacing w:after="0"/>
              <w:rPr>
                <w:sz w:val="20"/>
                <w:szCs w:val="20"/>
                <w:color w:val="auto"/>
              </w:rPr>
            </w:pPr>
          </w:p>
        </w:tc>
        <w:tc>
          <w:tcPr>
            <w:tcW w:w="120" w:type="dxa"/>
            <w:vAlign w:val="bottom"/>
            <w:vMerge w:val="restart"/>
            <w:shd w:val="clear" w:color="auto" w:fill="D7D8D6"/>
          </w:tcPr>
          <w:p>
            <w:pPr>
              <w:spacing w:after="0" w:line="141" w:lineRule="exact"/>
              <w:rPr>
                <w:sz w:val="20"/>
                <w:szCs w:val="20"/>
                <w:color w:val="auto"/>
              </w:rPr>
            </w:pPr>
            <w:r>
              <w:rPr>
                <w:rFonts w:ascii="MS PGothic" w:cs="MS PGothic" w:eastAsia="MS PGothic" w:hAnsi="MS PGothic"/>
                <w:sz w:val="14"/>
                <w:szCs w:val="14"/>
                <w:color w:val="auto"/>
                <w:highlight w:val="lightGray"/>
                <w:w w:val="71"/>
              </w:rPr>
              <w:t>✓</w:t>
            </w:r>
          </w:p>
        </w:tc>
        <w:tc>
          <w:tcPr>
            <w:tcW w:w="240" w:type="dxa"/>
            <w:vAlign w:val="bottom"/>
            <w:shd w:val="clear" w:color="auto" w:fill="D7D8D6"/>
          </w:tcPr>
          <w:p>
            <w:pPr>
              <w:spacing w:after="0"/>
              <w:rPr>
                <w:sz w:val="20"/>
                <w:szCs w:val="20"/>
                <w:color w:val="auto"/>
              </w:rPr>
            </w:pPr>
          </w:p>
        </w:tc>
        <w:tc>
          <w:tcPr>
            <w:tcW w:w="220" w:type="dxa"/>
            <w:vAlign w:val="bottom"/>
            <w:shd w:val="clear" w:color="auto" w:fill="D7D8D6"/>
          </w:tcPr>
          <w:p>
            <w:pPr>
              <w:spacing w:after="0"/>
              <w:rPr>
                <w:sz w:val="20"/>
                <w:szCs w:val="20"/>
                <w:color w:val="auto"/>
              </w:rPr>
            </w:pPr>
          </w:p>
        </w:tc>
        <w:tc>
          <w:tcPr>
            <w:tcW w:w="1400" w:type="dxa"/>
            <w:vAlign w:val="bottom"/>
            <w:shd w:val="clear" w:color="auto" w:fill="D7D8D6"/>
          </w:tcPr>
          <w:p>
            <w:pPr>
              <w:spacing w:after="0"/>
              <w:rPr>
                <w:sz w:val="20"/>
                <w:szCs w:val="20"/>
                <w:color w:val="auto"/>
              </w:rPr>
            </w:pPr>
          </w:p>
        </w:tc>
        <w:tc>
          <w:tcPr>
            <w:tcW w:w="240" w:type="dxa"/>
            <w:vAlign w:val="bottom"/>
            <w:shd w:val="clear" w:color="auto" w:fill="D7D8D6"/>
          </w:tcPr>
          <w:p>
            <w:pPr>
              <w:spacing w:after="0"/>
              <w:rPr>
                <w:sz w:val="20"/>
                <w:szCs w:val="20"/>
                <w:color w:val="auto"/>
              </w:rPr>
            </w:pPr>
          </w:p>
        </w:tc>
        <w:tc>
          <w:tcPr>
            <w:tcW w:w="60" w:type="dxa"/>
            <w:vAlign w:val="bottom"/>
            <w:shd w:val="clear" w:color="auto" w:fill="D7D8D6"/>
          </w:tcPr>
          <w:p>
            <w:pPr>
              <w:spacing w:after="0"/>
              <w:rPr>
                <w:sz w:val="20"/>
                <w:szCs w:val="20"/>
                <w:color w:val="auto"/>
              </w:rPr>
            </w:pPr>
          </w:p>
        </w:tc>
        <w:tc>
          <w:tcPr>
            <w:tcW w:w="120" w:type="dxa"/>
            <w:vAlign w:val="bottom"/>
            <w:shd w:val="clear" w:color="auto" w:fill="D7D8D6"/>
          </w:tcPr>
          <w:p>
            <w:pPr>
              <w:spacing w:after="0"/>
              <w:rPr>
                <w:sz w:val="20"/>
                <w:szCs w:val="20"/>
                <w:color w:val="auto"/>
              </w:rPr>
            </w:pPr>
          </w:p>
        </w:tc>
        <w:tc>
          <w:tcPr>
            <w:tcW w:w="420" w:type="dxa"/>
            <w:vAlign w:val="bottom"/>
            <w:shd w:val="clear" w:color="auto" w:fill="D7D8D6"/>
          </w:tcPr>
          <w:p>
            <w:pPr>
              <w:spacing w:after="0"/>
              <w:rPr>
                <w:sz w:val="20"/>
                <w:szCs w:val="20"/>
                <w:color w:val="auto"/>
              </w:rPr>
            </w:pPr>
          </w:p>
        </w:tc>
        <w:tc>
          <w:tcPr>
            <w:tcW w:w="60" w:type="dxa"/>
            <w:vAlign w:val="bottom"/>
            <w:shd w:val="clear" w:color="auto" w:fill="D7D8D6"/>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60" w:type="dxa"/>
            <w:vAlign w:val="bottom"/>
            <w:tcBorders>
              <w:bottom w:val="single" w:sz="8" w:color="D7D8D6"/>
            </w:tcBorders>
            <w:shd w:val="clear" w:color="auto" w:fill="D7D8D6"/>
          </w:tcPr>
          <w:p>
            <w:pPr>
              <w:spacing w:after="0"/>
              <w:rPr>
                <w:sz w:val="15"/>
                <w:szCs w:val="15"/>
                <w:color w:val="auto"/>
              </w:rPr>
            </w:pPr>
          </w:p>
        </w:tc>
        <w:tc>
          <w:tcPr>
            <w:tcW w:w="3900" w:type="dxa"/>
            <w:vAlign w:val="bottom"/>
            <w:tcBorders>
              <w:bottom w:val="single" w:sz="8" w:color="D7D8D6"/>
            </w:tcBorders>
            <w:shd w:val="clear" w:color="auto" w:fill="D7D8D6"/>
          </w:tcPr>
          <w:p>
            <w:pPr>
              <w:ind w:left="160"/>
              <w:spacing w:after="0"/>
              <w:rPr>
                <w:sz w:val="20"/>
                <w:szCs w:val="20"/>
                <w:color w:val="auto"/>
              </w:rPr>
            </w:pPr>
            <w:r>
              <w:rPr>
                <w:rFonts w:ascii="Arial" w:cs="Arial" w:eastAsia="Arial" w:hAnsi="Arial"/>
                <w:sz w:val="16"/>
                <w:szCs w:val="16"/>
                <w:color w:val="333740"/>
              </w:rPr>
              <w:t>Zero serious injuries in 2019</w:t>
            </w:r>
          </w:p>
        </w:tc>
        <w:tc>
          <w:tcPr>
            <w:tcW w:w="3780" w:type="dxa"/>
            <w:vAlign w:val="bottom"/>
            <w:tcBorders>
              <w:bottom w:val="single" w:sz="8" w:color="D7D8D6"/>
            </w:tcBorders>
            <w:vMerge w:val="continue"/>
            <w:shd w:val="clear" w:color="auto" w:fill="D7D8D6"/>
          </w:tcPr>
          <w:p>
            <w:pPr>
              <w:spacing w:after="0"/>
              <w:rPr>
                <w:sz w:val="15"/>
                <w:szCs w:val="15"/>
                <w:color w:val="auto"/>
              </w:rPr>
            </w:pPr>
          </w:p>
        </w:tc>
        <w:tc>
          <w:tcPr>
            <w:tcW w:w="540" w:type="dxa"/>
            <w:vAlign w:val="bottom"/>
            <w:tcBorders>
              <w:bottom w:val="single" w:sz="8" w:color="D7D8D6"/>
            </w:tcBorders>
            <w:shd w:val="clear" w:color="auto" w:fill="D7D8D6"/>
          </w:tcPr>
          <w:p>
            <w:pPr>
              <w:spacing w:after="0"/>
              <w:rPr>
                <w:sz w:val="15"/>
                <w:szCs w:val="15"/>
                <w:color w:val="auto"/>
              </w:rPr>
            </w:pPr>
          </w:p>
        </w:tc>
        <w:tc>
          <w:tcPr>
            <w:tcW w:w="120" w:type="dxa"/>
            <w:vAlign w:val="bottom"/>
            <w:tcBorders>
              <w:bottom w:val="single" w:sz="8" w:color="D7D8D6"/>
            </w:tcBorders>
            <w:vMerge w:val="continue"/>
            <w:shd w:val="clear" w:color="auto" w:fill="D7D8D6"/>
          </w:tcPr>
          <w:p>
            <w:pPr>
              <w:spacing w:after="0"/>
              <w:rPr>
                <w:sz w:val="15"/>
                <w:szCs w:val="15"/>
                <w:color w:val="auto"/>
              </w:rPr>
            </w:pPr>
          </w:p>
        </w:tc>
        <w:tc>
          <w:tcPr>
            <w:tcW w:w="240" w:type="dxa"/>
            <w:vAlign w:val="bottom"/>
            <w:tcBorders>
              <w:bottom w:val="single" w:sz="8" w:color="D7D8D6"/>
            </w:tcBorders>
            <w:shd w:val="clear" w:color="auto" w:fill="D7D8D6"/>
          </w:tcPr>
          <w:p>
            <w:pPr>
              <w:spacing w:after="0"/>
              <w:rPr>
                <w:sz w:val="15"/>
                <w:szCs w:val="15"/>
                <w:color w:val="auto"/>
              </w:rPr>
            </w:pPr>
          </w:p>
        </w:tc>
        <w:tc>
          <w:tcPr>
            <w:tcW w:w="220" w:type="dxa"/>
            <w:vAlign w:val="bottom"/>
            <w:tcBorders>
              <w:bottom w:val="single" w:sz="8" w:color="D7D8D6"/>
            </w:tcBorders>
            <w:shd w:val="clear" w:color="auto" w:fill="D7D8D6"/>
          </w:tcPr>
          <w:p>
            <w:pPr>
              <w:spacing w:after="0"/>
              <w:rPr>
                <w:sz w:val="15"/>
                <w:szCs w:val="15"/>
                <w:color w:val="auto"/>
              </w:rPr>
            </w:pPr>
          </w:p>
        </w:tc>
        <w:tc>
          <w:tcPr>
            <w:tcW w:w="1400" w:type="dxa"/>
            <w:vAlign w:val="bottom"/>
            <w:tcBorders>
              <w:bottom w:val="single" w:sz="8" w:color="D7D8D6"/>
            </w:tcBorders>
            <w:shd w:val="clear" w:color="auto" w:fill="D7D8D6"/>
          </w:tcPr>
          <w:p>
            <w:pPr>
              <w:spacing w:after="0"/>
              <w:rPr>
                <w:sz w:val="15"/>
                <w:szCs w:val="15"/>
                <w:color w:val="auto"/>
              </w:rPr>
            </w:pPr>
          </w:p>
        </w:tc>
        <w:tc>
          <w:tcPr>
            <w:tcW w:w="240" w:type="dxa"/>
            <w:vAlign w:val="bottom"/>
            <w:tcBorders>
              <w:bottom w:val="single" w:sz="8" w:color="D7D8D6"/>
            </w:tcBorders>
            <w:shd w:val="clear" w:color="auto" w:fill="D7D8D6"/>
          </w:tcPr>
          <w:p>
            <w:pPr>
              <w:spacing w:after="0"/>
              <w:rPr>
                <w:sz w:val="15"/>
                <w:szCs w:val="15"/>
                <w:color w:val="auto"/>
              </w:rPr>
            </w:pPr>
          </w:p>
        </w:tc>
        <w:tc>
          <w:tcPr>
            <w:tcW w:w="60" w:type="dxa"/>
            <w:vAlign w:val="bottom"/>
            <w:tcBorders>
              <w:bottom w:val="single" w:sz="8" w:color="D7D8D6"/>
            </w:tcBorders>
            <w:shd w:val="clear" w:color="auto" w:fill="D7D8D6"/>
          </w:tcPr>
          <w:p>
            <w:pPr>
              <w:spacing w:after="0"/>
              <w:rPr>
                <w:sz w:val="15"/>
                <w:szCs w:val="15"/>
                <w:color w:val="auto"/>
              </w:rPr>
            </w:pPr>
          </w:p>
        </w:tc>
        <w:tc>
          <w:tcPr>
            <w:tcW w:w="120" w:type="dxa"/>
            <w:vAlign w:val="bottom"/>
            <w:tcBorders>
              <w:bottom w:val="single" w:sz="8" w:color="D7D8D6"/>
            </w:tcBorders>
            <w:shd w:val="clear" w:color="auto" w:fill="D7D8D6"/>
          </w:tcPr>
          <w:p>
            <w:pPr>
              <w:spacing w:after="0"/>
              <w:rPr>
                <w:sz w:val="15"/>
                <w:szCs w:val="15"/>
                <w:color w:val="auto"/>
              </w:rPr>
            </w:pPr>
          </w:p>
        </w:tc>
        <w:tc>
          <w:tcPr>
            <w:tcW w:w="420" w:type="dxa"/>
            <w:vAlign w:val="bottom"/>
            <w:tcBorders>
              <w:bottom w:val="single" w:sz="8" w:color="D7D8D6"/>
            </w:tcBorders>
            <w:shd w:val="clear" w:color="auto" w:fill="D7D8D6"/>
          </w:tcPr>
          <w:p>
            <w:pPr>
              <w:spacing w:after="0"/>
              <w:rPr>
                <w:sz w:val="15"/>
                <w:szCs w:val="15"/>
                <w:color w:val="auto"/>
              </w:rPr>
            </w:pPr>
          </w:p>
        </w:tc>
        <w:tc>
          <w:tcPr>
            <w:tcW w:w="60" w:type="dxa"/>
            <w:vAlign w:val="bottom"/>
            <w:tcBorders>
              <w:bottom w:val="single" w:sz="8" w:color="D7D8D6"/>
            </w:tcBorders>
            <w:shd w:val="clear" w:color="auto" w:fill="D7D8D6"/>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160" w:type="dxa"/>
            <w:vAlign w:val="bottom"/>
            <w:shd w:val="clear" w:color="auto" w:fill="333740"/>
          </w:tcPr>
          <w:p>
            <w:pPr>
              <w:spacing w:after="0"/>
              <w:rPr>
                <w:sz w:val="24"/>
                <w:szCs w:val="24"/>
                <w:color w:val="auto"/>
              </w:rPr>
            </w:pPr>
          </w:p>
        </w:tc>
        <w:tc>
          <w:tcPr>
            <w:tcW w:w="3900" w:type="dxa"/>
            <w:vAlign w:val="bottom"/>
            <w:shd w:val="clear" w:color="auto" w:fill="333740"/>
          </w:tcPr>
          <w:p>
            <w:pPr>
              <w:ind w:left="20"/>
              <w:spacing w:after="0"/>
              <w:rPr>
                <w:sz w:val="20"/>
                <w:szCs w:val="20"/>
                <w:color w:val="auto"/>
              </w:rPr>
            </w:pPr>
            <w:r>
              <w:rPr>
                <w:rFonts w:ascii="Arial" w:cs="Arial" w:eastAsia="Arial" w:hAnsi="Arial"/>
                <w:sz w:val="16"/>
                <w:szCs w:val="16"/>
                <w:color w:val="FFFFFF"/>
              </w:rPr>
              <w:t>Overall Rating for Mr. Pferdehirt</w:t>
            </w:r>
          </w:p>
        </w:tc>
        <w:tc>
          <w:tcPr>
            <w:tcW w:w="3780" w:type="dxa"/>
            <w:vAlign w:val="bottom"/>
            <w:shd w:val="clear" w:color="auto" w:fill="333740"/>
          </w:tcPr>
          <w:p>
            <w:pPr>
              <w:spacing w:after="0"/>
              <w:rPr>
                <w:sz w:val="24"/>
                <w:szCs w:val="24"/>
                <w:color w:val="auto"/>
              </w:rPr>
            </w:pPr>
          </w:p>
        </w:tc>
        <w:tc>
          <w:tcPr>
            <w:tcW w:w="540" w:type="dxa"/>
            <w:vAlign w:val="bottom"/>
            <w:shd w:val="clear" w:color="auto" w:fill="333740"/>
          </w:tcPr>
          <w:p>
            <w:pPr>
              <w:spacing w:after="0"/>
              <w:rPr>
                <w:sz w:val="24"/>
                <w:szCs w:val="24"/>
                <w:color w:val="auto"/>
              </w:rPr>
            </w:pPr>
          </w:p>
        </w:tc>
        <w:tc>
          <w:tcPr>
            <w:tcW w:w="120" w:type="dxa"/>
            <w:vAlign w:val="bottom"/>
            <w:shd w:val="clear" w:color="auto" w:fill="333740"/>
          </w:tcPr>
          <w:p>
            <w:pPr>
              <w:spacing w:after="0"/>
              <w:rPr>
                <w:sz w:val="24"/>
                <w:szCs w:val="24"/>
                <w:color w:val="auto"/>
              </w:rPr>
            </w:pPr>
          </w:p>
        </w:tc>
        <w:tc>
          <w:tcPr>
            <w:tcW w:w="240" w:type="dxa"/>
            <w:vAlign w:val="bottom"/>
            <w:shd w:val="clear" w:color="auto" w:fill="333740"/>
          </w:tcPr>
          <w:p>
            <w:pPr>
              <w:spacing w:after="0"/>
              <w:rPr>
                <w:sz w:val="24"/>
                <w:szCs w:val="24"/>
                <w:color w:val="auto"/>
              </w:rPr>
            </w:pPr>
          </w:p>
        </w:tc>
        <w:tc>
          <w:tcPr>
            <w:tcW w:w="1620" w:type="dxa"/>
            <w:vAlign w:val="bottom"/>
            <w:gridSpan w:val="2"/>
            <w:shd w:val="clear" w:color="auto" w:fill="333740"/>
          </w:tcPr>
          <w:p>
            <w:pPr>
              <w:jc w:val="right"/>
              <w:ind w:right="551"/>
              <w:spacing w:after="0"/>
              <w:rPr>
                <w:sz w:val="20"/>
                <w:szCs w:val="20"/>
                <w:color w:val="auto"/>
              </w:rPr>
            </w:pPr>
            <w:r>
              <w:rPr>
                <w:rFonts w:ascii="Arial" w:cs="Arial" w:eastAsia="Arial" w:hAnsi="Arial"/>
                <w:sz w:val="16"/>
                <w:szCs w:val="16"/>
                <w:color w:val="FFFFFF"/>
              </w:rPr>
              <w:t>180%</w:t>
            </w:r>
          </w:p>
        </w:tc>
        <w:tc>
          <w:tcPr>
            <w:tcW w:w="240" w:type="dxa"/>
            <w:vAlign w:val="bottom"/>
            <w:shd w:val="clear" w:color="auto" w:fill="333740"/>
          </w:tcPr>
          <w:p>
            <w:pPr>
              <w:spacing w:after="0"/>
              <w:rPr>
                <w:sz w:val="24"/>
                <w:szCs w:val="24"/>
                <w:color w:val="auto"/>
              </w:rPr>
            </w:pPr>
          </w:p>
        </w:tc>
        <w:tc>
          <w:tcPr>
            <w:tcW w:w="60" w:type="dxa"/>
            <w:vAlign w:val="bottom"/>
            <w:shd w:val="clear" w:color="auto" w:fill="333740"/>
          </w:tcPr>
          <w:p>
            <w:pPr>
              <w:spacing w:after="0"/>
              <w:rPr>
                <w:sz w:val="24"/>
                <w:szCs w:val="24"/>
                <w:color w:val="auto"/>
              </w:rPr>
            </w:pPr>
          </w:p>
        </w:tc>
        <w:tc>
          <w:tcPr>
            <w:tcW w:w="120" w:type="dxa"/>
            <w:vAlign w:val="bottom"/>
            <w:shd w:val="clear" w:color="auto" w:fill="333740"/>
          </w:tcPr>
          <w:p>
            <w:pPr>
              <w:spacing w:after="0"/>
              <w:rPr>
                <w:sz w:val="24"/>
                <w:szCs w:val="24"/>
                <w:color w:val="auto"/>
              </w:rPr>
            </w:pPr>
          </w:p>
        </w:tc>
        <w:tc>
          <w:tcPr>
            <w:tcW w:w="420" w:type="dxa"/>
            <w:vAlign w:val="bottom"/>
            <w:shd w:val="clear" w:color="auto" w:fill="333740"/>
          </w:tcPr>
          <w:p>
            <w:pPr>
              <w:spacing w:after="0"/>
              <w:rPr>
                <w:sz w:val="24"/>
                <w:szCs w:val="24"/>
                <w:color w:val="auto"/>
              </w:rPr>
            </w:pPr>
          </w:p>
        </w:tc>
        <w:tc>
          <w:tcPr>
            <w:tcW w:w="60" w:type="dxa"/>
            <w:vAlign w:val="bottom"/>
            <w:shd w:val="clear" w:color="auto" w:fill="333740"/>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60" w:type="dxa"/>
            <w:vAlign w:val="bottom"/>
            <w:shd w:val="clear" w:color="auto" w:fill="333740"/>
          </w:tcPr>
          <w:p>
            <w:pPr>
              <w:spacing w:after="0"/>
              <w:rPr>
                <w:sz w:val="11"/>
                <w:szCs w:val="11"/>
                <w:color w:val="auto"/>
              </w:rPr>
            </w:pPr>
          </w:p>
        </w:tc>
        <w:tc>
          <w:tcPr>
            <w:tcW w:w="3900" w:type="dxa"/>
            <w:vAlign w:val="bottom"/>
            <w:shd w:val="clear" w:color="auto" w:fill="333740"/>
          </w:tcPr>
          <w:p>
            <w:pPr>
              <w:spacing w:after="0"/>
              <w:rPr>
                <w:sz w:val="11"/>
                <w:szCs w:val="11"/>
                <w:color w:val="auto"/>
              </w:rPr>
            </w:pPr>
          </w:p>
        </w:tc>
        <w:tc>
          <w:tcPr>
            <w:tcW w:w="3780" w:type="dxa"/>
            <w:vAlign w:val="bottom"/>
            <w:shd w:val="clear" w:color="auto" w:fill="333740"/>
          </w:tcPr>
          <w:p>
            <w:pPr>
              <w:spacing w:after="0"/>
              <w:rPr>
                <w:sz w:val="11"/>
                <w:szCs w:val="11"/>
                <w:color w:val="auto"/>
              </w:rPr>
            </w:pPr>
          </w:p>
        </w:tc>
        <w:tc>
          <w:tcPr>
            <w:tcW w:w="540" w:type="dxa"/>
            <w:vAlign w:val="bottom"/>
            <w:shd w:val="clear" w:color="auto" w:fill="333740"/>
          </w:tcPr>
          <w:p>
            <w:pPr>
              <w:spacing w:after="0"/>
              <w:rPr>
                <w:sz w:val="11"/>
                <w:szCs w:val="11"/>
                <w:color w:val="auto"/>
              </w:rPr>
            </w:pPr>
          </w:p>
        </w:tc>
        <w:tc>
          <w:tcPr>
            <w:tcW w:w="120" w:type="dxa"/>
            <w:vAlign w:val="bottom"/>
            <w:shd w:val="clear" w:color="auto" w:fill="333740"/>
          </w:tcPr>
          <w:p>
            <w:pPr>
              <w:spacing w:after="0"/>
              <w:rPr>
                <w:sz w:val="11"/>
                <w:szCs w:val="11"/>
                <w:color w:val="auto"/>
              </w:rPr>
            </w:pPr>
          </w:p>
        </w:tc>
        <w:tc>
          <w:tcPr>
            <w:tcW w:w="240" w:type="dxa"/>
            <w:vAlign w:val="bottom"/>
            <w:shd w:val="clear" w:color="auto" w:fill="333740"/>
          </w:tcPr>
          <w:p>
            <w:pPr>
              <w:spacing w:after="0"/>
              <w:rPr>
                <w:sz w:val="11"/>
                <w:szCs w:val="11"/>
                <w:color w:val="auto"/>
              </w:rPr>
            </w:pPr>
          </w:p>
        </w:tc>
        <w:tc>
          <w:tcPr>
            <w:tcW w:w="220" w:type="dxa"/>
            <w:vAlign w:val="bottom"/>
            <w:shd w:val="clear" w:color="auto" w:fill="333740"/>
          </w:tcPr>
          <w:p>
            <w:pPr>
              <w:spacing w:after="0"/>
              <w:rPr>
                <w:sz w:val="11"/>
                <w:szCs w:val="11"/>
                <w:color w:val="auto"/>
              </w:rPr>
            </w:pPr>
          </w:p>
        </w:tc>
        <w:tc>
          <w:tcPr>
            <w:tcW w:w="1400" w:type="dxa"/>
            <w:vAlign w:val="bottom"/>
            <w:shd w:val="clear" w:color="auto" w:fill="333740"/>
          </w:tcPr>
          <w:p>
            <w:pPr>
              <w:spacing w:after="0"/>
              <w:rPr>
                <w:sz w:val="11"/>
                <w:szCs w:val="11"/>
                <w:color w:val="auto"/>
              </w:rPr>
            </w:pPr>
          </w:p>
        </w:tc>
        <w:tc>
          <w:tcPr>
            <w:tcW w:w="240" w:type="dxa"/>
            <w:vAlign w:val="bottom"/>
            <w:shd w:val="clear" w:color="auto" w:fill="333740"/>
          </w:tcPr>
          <w:p>
            <w:pPr>
              <w:spacing w:after="0"/>
              <w:rPr>
                <w:sz w:val="11"/>
                <w:szCs w:val="11"/>
                <w:color w:val="auto"/>
              </w:rPr>
            </w:pPr>
          </w:p>
        </w:tc>
        <w:tc>
          <w:tcPr>
            <w:tcW w:w="60" w:type="dxa"/>
            <w:vAlign w:val="bottom"/>
            <w:shd w:val="clear" w:color="auto" w:fill="333740"/>
          </w:tcPr>
          <w:p>
            <w:pPr>
              <w:spacing w:after="0"/>
              <w:rPr>
                <w:sz w:val="11"/>
                <w:szCs w:val="11"/>
                <w:color w:val="auto"/>
              </w:rPr>
            </w:pPr>
          </w:p>
        </w:tc>
        <w:tc>
          <w:tcPr>
            <w:tcW w:w="120" w:type="dxa"/>
            <w:vAlign w:val="bottom"/>
            <w:shd w:val="clear" w:color="auto" w:fill="333740"/>
          </w:tcPr>
          <w:p>
            <w:pPr>
              <w:spacing w:after="0"/>
              <w:rPr>
                <w:sz w:val="11"/>
                <w:szCs w:val="11"/>
                <w:color w:val="auto"/>
              </w:rPr>
            </w:pPr>
          </w:p>
        </w:tc>
        <w:tc>
          <w:tcPr>
            <w:tcW w:w="420" w:type="dxa"/>
            <w:vAlign w:val="bottom"/>
            <w:shd w:val="clear" w:color="auto" w:fill="333740"/>
          </w:tcPr>
          <w:p>
            <w:pPr>
              <w:spacing w:after="0"/>
              <w:rPr>
                <w:sz w:val="11"/>
                <w:szCs w:val="11"/>
                <w:color w:val="auto"/>
              </w:rPr>
            </w:pPr>
          </w:p>
        </w:tc>
        <w:tc>
          <w:tcPr>
            <w:tcW w:w="60" w:type="dxa"/>
            <w:vAlign w:val="bottom"/>
            <w:shd w:val="clear" w:color="auto" w:fill="333740"/>
          </w:tcPr>
          <w:p>
            <w:pPr>
              <w:spacing w:after="0"/>
              <w:rPr>
                <w:sz w:val="11"/>
                <w:szCs w:val="11"/>
                <w:color w:val="auto"/>
              </w:rPr>
            </w:pPr>
          </w:p>
        </w:tc>
        <w:tc>
          <w:tcPr>
            <w:tcW w:w="0" w:type="dxa"/>
            <w:vAlign w:val="bottom"/>
          </w:tcPr>
          <w:p>
            <w:pPr>
              <w:spacing w:after="0"/>
              <w:rPr>
                <w:sz w:val="1"/>
                <w:szCs w:val="1"/>
                <w:color w:val="auto"/>
              </w:rPr>
            </w:pPr>
          </w:p>
        </w:tc>
      </w:tr>
      <w:tr>
        <w:trPr>
          <w:trHeight w:val="516"/>
        </w:trPr>
        <w:tc>
          <w:tcPr>
            <w:tcW w:w="160" w:type="dxa"/>
            <w:vAlign w:val="bottom"/>
          </w:tcPr>
          <w:p>
            <w:pPr>
              <w:spacing w:after="0"/>
              <w:rPr>
                <w:sz w:val="20"/>
                <w:szCs w:val="20"/>
                <w:color w:val="auto"/>
              </w:rPr>
            </w:pPr>
            <w:r>
              <w:rPr>
                <w:rFonts w:ascii="Arial" w:cs="Arial" w:eastAsia="Arial" w:hAnsi="Arial"/>
                <w:sz w:val="13"/>
                <w:szCs w:val="13"/>
                <w:color w:val="auto"/>
                <w:w w:val="96"/>
              </w:rPr>
              <w:t>77</w:t>
            </w:r>
          </w:p>
        </w:tc>
        <w:tc>
          <w:tcPr>
            <w:tcW w:w="3900" w:type="dxa"/>
            <w:vAlign w:val="bottom"/>
          </w:tcPr>
          <w:p>
            <w:pPr>
              <w:ind w:left="400"/>
              <w:spacing w:after="0"/>
              <w:rPr>
                <w:sz w:val="20"/>
                <w:szCs w:val="20"/>
                <w:color w:val="auto"/>
              </w:rPr>
            </w:pPr>
            <w:r>
              <w:rPr>
                <w:rFonts w:ascii="Arial" w:cs="Arial" w:eastAsia="Arial" w:hAnsi="Arial"/>
                <w:sz w:val="13"/>
                <w:szCs w:val="13"/>
                <w:color w:val="231F20"/>
              </w:rPr>
              <w:t>TechnipFMC</w:t>
            </w:r>
          </w:p>
        </w:tc>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60" w:type="dxa"/>
            <w:vAlign w:val="bottom"/>
            <w:tcBorders>
              <w:bottom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-2450465</wp:posOffset>
            </wp:positionV>
            <wp:extent cx="7148195" cy="20866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8195" cy="2086610"/>
                    </a:xfrm>
                    <a:prstGeom prst="rect">
                      <a:avLst/>
                    </a:prstGeom>
                    <a:noFill/>
                  </pic:spPr>
                </pic:pic>
              </a:graphicData>
            </a:graphic>
          </wp:anchor>
        </w:drawing>
      </w:r>
    </w:p>
    <w:p>
      <w:pPr>
        <w:sectPr>
          <w:pgSz w:w="11900" w:h="16838" w:orient="portrait"/>
          <w:cols w:equalWidth="0" w:num="1">
            <w:col w:w="11260"/>
          </w:cols>
          <w:pgMar w:left="320" w:top="128" w:right="319" w:bottom="1440" w:gutter="0" w:footer="0" w:header="0"/>
        </w:sectPr>
      </w:pPr>
    </w:p>
    <w:bookmarkStart w:id="78" w:name="page79"/>
    <w:bookmarkEnd w:id="78"/>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6"/>
          <w:szCs w:val="16"/>
          <w:color w:val="333740"/>
        </w:rPr>
        <w:t>Individual performance assessments for the other NEO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148195" cy="34753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8195" cy="3475355"/>
                    </a:xfrm>
                    <a:prstGeom prst="rect">
                      <a:avLst/>
                    </a:prstGeom>
                    <a:noFill/>
                  </pic:spPr>
                </pic:pic>
              </a:graphicData>
            </a:graphic>
          </wp:anchor>
        </w:drawing>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335"/>
        </w:trPr>
        <w:tc>
          <w:tcPr>
            <w:tcW w:w="2880" w:type="dxa"/>
            <w:vAlign w:val="bottom"/>
            <w:shd w:val="clear" w:color="auto" w:fill="481F6E"/>
          </w:tcPr>
          <w:p>
            <w:pPr>
              <w:ind w:left="180"/>
              <w:spacing w:after="0"/>
              <w:rPr>
                <w:sz w:val="20"/>
                <w:szCs w:val="20"/>
                <w:color w:val="auto"/>
              </w:rPr>
            </w:pPr>
            <w:r>
              <w:rPr>
                <w:rFonts w:ascii="Arial" w:cs="Arial" w:eastAsia="Arial" w:hAnsi="Arial"/>
                <w:sz w:val="16"/>
                <w:szCs w:val="16"/>
                <w:color w:val="FFFFFF"/>
              </w:rPr>
              <w:t>NEO</w:t>
            </w:r>
          </w:p>
        </w:tc>
        <w:tc>
          <w:tcPr>
            <w:tcW w:w="8380" w:type="dxa"/>
            <w:vAlign w:val="bottom"/>
            <w:shd w:val="clear" w:color="auto" w:fill="481F6E"/>
          </w:tcPr>
          <w:p>
            <w:pPr>
              <w:ind w:left="160"/>
              <w:spacing w:after="0"/>
              <w:rPr>
                <w:sz w:val="20"/>
                <w:szCs w:val="20"/>
                <w:color w:val="auto"/>
              </w:rPr>
            </w:pPr>
            <w:r>
              <w:rPr>
                <w:rFonts w:ascii="Arial" w:cs="Arial" w:eastAsia="Arial" w:hAnsi="Arial"/>
                <w:sz w:val="16"/>
                <w:szCs w:val="16"/>
                <w:color w:val="FFFFFF"/>
              </w:rPr>
              <w:t>Summary of 2019 Objectives and Key Achievements</w:t>
            </w:r>
          </w:p>
        </w:tc>
      </w:tr>
      <w:tr>
        <w:trPr>
          <w:trHeight w:val="131"/>
        </w:trPr>
        <w:tc>
          <w:tcPr>
            <w:tcW w:w="2880" w:type="dxa"/>
            <w:vAlign w:val="bottom"/>
            <w:shd w:val="clear" w:color="auto" w:fill="481F6E"/>
          </w:tcPr>
          <w:p>
            <w:pPr>
              <w:spacing w:after="0"/>
              <w:rPr>
                <w:sz w:val="11"/>
                <w:szCs w:val="11"/>
                <w:color w:val="auto"/>
              </w:rPr>
            </w:pPr>
          </w:p>
        </w:tc>
        <w:tc>
          <w:tcPr>
            <w:tcW w:w="8380" w:type="dxa"/>
            <w:vAlign w:val="bottom"/>
            <w:shd w:val="clear" w:color="auto" w:fill="481F6E"/>
          </w:tcPr>
          <w:p>
            <w:pPr>
              <w:spacing w:after="0"/>
              <w:rPr>
                <w:sz w:val="11"/>
                <w:szCs w:val="11"/>
                <w:color w:val="auto"/>
              </w:rPr>
            </w:pPr>
          </w:p>
        </w:tc>
      </w:tr>
      <w:tr>
        <w:trPr>
          <w:trHeight w:val="222"/>
        </w:trPr>
        <w:tc>
          <w:tcPr>
            <w:tcW w:w="2880" w:type="dxa"/>
            <w:vAlign w:val="bottom"/>
            <w:shd w:val="clear" w:color="auto" w:fill="D7D9D8"/>
          </w:tcPr>
          <w:p>
            <w:pPr>
              <w:ind w:left="180"/>
              <w:spacing w:after="0"/>
              <w:rPr>
                <w:sz w:val="20"/>
                <w:szCs w:val="20"/>
                <w:color w:val="auto"/>
              </w:rPr>
            </w:pPr>
            <w:r>
              <w:rPr>
                <w:rFonts w:ascii="Arial" w:cs="Arial" w:eastAsia="Arial" w:hAnsi="Arial"/>
                <w:sz w:val="16"/>
                <w:szCs w:val="16"/>
                <w:b w:val="1"/>
                <w:bCs w:val="1"/>
                <w:color w:val="333740"/>
              </w:rPr>
              <w:t>Maryann T. Mannen</w:t>
            </w: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7"/>
              </w:rPr>
              <w:t>Ms. Mannen’s 2019 individual performance objectives reflected her wide range of responsibilities as our Chief Financial</w:t>
            </w:r>
          </w:p>
        </w:tc>
      </w:tr>
      <w:tr>
        <w:trPr>
          <w:trHeight w:val="191"/>
        </w:trPr>
        <w:tc>
          <w:tcPr>
            <w:tcW w:w="2880" w:type="dxa"/>
            <w:vAlign w:val="bottom"/>
            <w:shd w:val="clear" w:color="auto" w:fill="D7D9D8"/>
          </w:tcPr>
          <w:p>
            <w:pPr>
              <w:ind w:left="180"/>
              <w:spacing w:after="0"/>
              <w:rPr>
                <w:sz w:val="20"/>
                <w:szCs w:val="20"/>
                <w:color w:val="auto"/>
              </w:rPr>
            </w:pPr>
            <w:r>
              <w:rPr>
                <w:rFonts w:ascii="Arial" w:cs="Arial" w:eastAsia="Arial" w:hAnsi="Arial"/>
                <w:sz w:val="16"/>
                <w:szCs w:val="16"/>
                <w:b w:val="1"/>
                <w:bCs w:val="1"/>
                <w:color w:val="333740"/>
              </w:rPr>
              <w:t>Executive Vice President and Chief</w:t>
            </w: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3"/>
              </w:rPr>
              <w:t>Officer in leading our finance, tax, risk management, internal audit, internal controls, and investor relationship functions. Ms.</w:t>
            </w:r>
          </w:p>
        </w:tc>
      </w:tr>
      <w:tr>
        <w:trPr>
          <w:trHeight w:val="195"/>
        </w:trPr>
        <w:tc>
          <w:tcPr>
            <w:tcW w:w="2880" w:type="dxa"/>
            <w:vAlign w:val="bottom"/>
            <w:shd w:val="clear" w:color="auto" w:fill="D7D9D8"/>
          </w:tcPr>
          <w:p>
            <w:pPr>
              <w:ind w:left="180"/>
              <w:spacing w:after="0"/>
              <w:rPr>
                <w:sz w:val="20"/>
                <w:szCs w:val="20"/>
                <w:color w:val="auto"/>
              </w:rPr>
            </w:pPr>
            <w:r>
              <w:rPr>
                <w:rFonts w:ascii="Arial" w:cs="Arial" w:eastAsia="Arial" w:hAnsi="Arial"/>
                <w:sz w:val="16"/>
                <w:szCs w:val="16"/>
                <w:b w:val="1"/>
                <w:bCs w:val="1"/>
                <w:color w:val="333740"/>
              </w:rPr>
              <w:t>Financial Officer</w:t>
            </w: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4"/>
              </w:rPr>
              <w:t>Mannen’s 2019 objectives and achievements included implementing a global treasury management system, achieving key</w:t>
            </w:r>
          </w:p>
        </w:tc>
      </w:tr>
      <w:tr>
        <w:trPr>
          <w:trHeight w:val="191"/>
        </w:trPr>
        <w:tc>
          <w:tcPr>
            <w:tcW w:w="2880" w:type="dxa"/>
            <w:vAlign w:val="bottom"/>
            <w:shd w:val="clear" w:color="auto" w:fill="D7D9D8"/>
          </w:tcPr>
          <w:p>
            <w:pPr>
              <w:spacing w:after="0"/>
              <w:rPr>
                <w:sz w:val="16"/>
                <w:szCs w:val="16"/>
                <w:color w:val="auto"/>
              </w:rPr>
            </w:pP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1"/>
              </w:rPr>
              <w:t>advancements in the tax and reporting functions, improving financial results through discipline and management of the finance</w:t>
            </w:r>
          </w:p>
        </w:tc>
      </w:tr>
      <w:tr>
        <w:trPr>
          <w:trHeight w:val="191"/>
        </w:trPr>
        <w:tc>
          <w:tcPr>
            <w:tcW w:w="2880" w:type="dxa"/>
            <w:vAlign w:val="bottom"/>
            <w:shd w:val="clear" w:color="auto" w:fill="D7D9D8"/>
          </w:tcPr>
          <w:p>
            <w:pPr>
              <w:spacing w:after="0"/>
              <w:rPr>
                <w:sz w:val="16"/>
                <w:szCs w:val="16"/>
                <w:color w:val="auto"/>
              </w:rPr>
            </w:pP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6"/>
              </w:rPr>
              <w:t>function to deliver improved working capital efficiency, improving investor communications and outreach, and leading the</w:t>
            </w:r>
          </w:p>
        </w:tc>
      </w:tr>
      <w:tr>
        <w:trPr>
          <w:trHeight w:val="204"/>
        </w:trPr>
        <w:tc>
          <w:tcPr>
            <w:tcW w:w="2880" w:type="dxa"/>
            <w:vAlign w:val="bottom"/>
            <w:shd w:val="clear" w:color="auto" w:fill="D7D9D8"/>
          </w:tcPr>
          <w:p>
            <w:pPr>
              <w:spacing w:after="0"/>
              <w:rPr>
                <w:sz w:val="17"/>
                <w:szCs w:val="17"/>
                <w:color w:val="auto"/>
              </w:rPr>
            </w:pP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rPr>
              <w:t>financial and due diligence aspects of strategic projects, including the announced spin-off of Technip Energies.</w:t>
            </w:r>
          </w:p>
        </w:tc>
      </w:tr>
      <w:tr>
        <w:trPr>
          <w:trHeight w:val="282"/>
        </w:trPr>
        <w:tc>
          <w:tcPr>
            <w:tcW w:w="2880" w:type="dxa"/>
            <w:vAlign w:val="bottom"/>
            <w:shd w:val="clear" w:color="auto" w:fill="D7D9D8"/>
          </w:tcPr>
          <w:p>
            <w:pPr>
              <w:ind w:left="180"/>
              <w:spacing w:after="0"/>
              <w:rPr>
                <w:sz w:val="20"/>
                <w:szCs w:val="20"/>
                <w:color w:val="auto"/>
              </w:rPr>
            </w:pPr>
            <w:r>
              <w:rPr>
                <w:rFonts w:ascii="Arial" w:cs="Arial" w:eastAsia="Arial" w:hAnsi="Arial"/>
                <w:sz w:val="16"/>
                <w:szCs w:val="16"/>
                <w:b w:val="1"/>
                <w:bCs w:val="1"/>
                <w:color w:val="333740"/>
              </w:rPr>
              <w:t>Dianne B. Ralston</w:t>
            </w: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2"/>
              </w:rPr>
              <w:t>Ms. Ralston’s 2019 individual performance objectives reflected her wide range of responsibilities as our Chief Legal Officer in</w:t>
            </w:r>
          </w:p>
        </w:tc>
      </w:tr>
      <w:tr>
        <w:trPr>
          <w:trHeight w:val="191"/>
        </w:trPr>
        <w:tc>
          <w:tcPr>
            <w:tcW w:w="2880" w:type="dxa"/>
            <w:vAlign w:val="bottom"/>
            <w:shd w:val="clear" w:color="auto" w:fill="D7D9D8"/>
          </w:tcPr>
          <w:p>
            <w:pPr>
              <w:ind w:left="180"/>
              <w:spacing w:after="0"/>
              <w:rPr>
                <w:sz w:val="20"/>
                <w:szCs w:val="20"/>
                <w:color w:val="auto"/>
              </w:rPr>
            </w:pPr>
            <w:r>
              <w:rPr>
                <w:rFonts w:ascii="Arial" w:cs="Arial" w:eastAsia="Arial" w:hAnsi="Arial"/>
                <w:sz w:val="16"/>
                <w:szCs w:val="16"/>
                <w:b w:val="1"/>
                <w:bCs w:val="1"/>
                <w:color w:val="333740"/>
                <w:w w:val="94"/>
              </w:rPr>
              <w:t>Executive Vice President, Chief Legal</w:t>
            </w: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7"/>
              </w:rPr>
              <w:t>leading our legal, compliance, and global facilities functions. Ms. Ralston’s 2019 objectives and achievements included</w:t>
            </w:r>
          </w:p>
        </w:tc>
      </w:tr>
      <w:tr>
        <w:trPr>
          <w:trHeight w:val="195"/>
        </w:trPr>
        <w:tc>
          <w:tcPr>
            <w:tcW w:w="2880" w:type="dxa"/>
            <w:vAlign w:val="bottom"/>
            <w:shd w:val="clear" w:color="auto" w:fill="D7D9D8"/>
          </w:tcPr>
          <w:p>
            <w:pPr>
              <w:ind w:left="180"/>
              <w:spacing w:after="0"/>
              <w:rPr>
                <w:sz w:val="20"/>
                <w:szCs w:val="20"/>
                <w:color w:val="auto"/>
              </w:rPr>
            </w:pPr>
            <w:r>
              <w:rPr>
                <w:rFonts w:ascii="Arial" w:cs="Arial" w:eastAsia="Arial" w:hAnsi="Arial"/>
                <w:sz w:val="16"/>
                <w:szCs w:val="16"/>
                <w:b w:val="1"/>
                <w:bCs w:val="1"/>
                <w:color w:val="333740"/>
              </w:rPr>
              <w:t>Officer and Secretary</w:t>
            </w: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4"/>
              </w:rPr>
              <w:t>resolving a complex compliance matter, introducing workflow management tools and high-value insourcing to the legal and</w:t>
            </w:r>
          </w:p>
        </w:tc>
      </w:tr>
      <w:tr>
        <w:trPr>
          <w:trHeight w:val="191"/>
        </w:trPr>
        <w:tc>
          <w:tcPr>
            <w:tcW w:w="2880" w:type="dxa"/>
            <w:vAlign w:val="bottom"/>
            <w:shd w:val="clear" w:color="auto" w:fill="D7D9D8"/>
          </w:tcPr>
          <w:p>
            <w:pPr>
              <w:spacing w:after="0"/>
              <w:rPr>
                <w:sz w:val="16"/>
                <w:szCs w:val="16"/>
                <w:color w:val="auto"/>
              </w:rPr>
            </w:pP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2"/>
              </w:rPr>
              <w:t>compliance functions, implementing inclusion and unconscious bias awareness training throughout our Company, and leading</w:t>
            </w:r>
          </w:p>
        </w:tc>
      </w:tr>
      <w:tr>
        <w:trPr>
          <w:trHeight w:val="204"/>
        </w:trPr>
        <w:tc>
          <w:tcPr>
            <w:tcW w:w="2880" w:type="dxa"/>
            <w:vAlign w:val="bottom"/>
            <w:shd w:val="clear" w:color="auto" w:fill="D7D9D8"/>
          </w:tcPr>
          <w:p>
            <w:pPr>
              <w:spacing w:after="0"/>
              <w:rPr>
                <w:sz w:val="17"/>
                <w:szCs w:val="17"/>
                <w:color w:val="auto"/>
              </w:rPr>
            </w:pP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rPr>
              <w:t>the legal and due diligence aspects of strategic projects, including the announced spin-off of Technip Energies.</w:t>
            </w:r>
          </w:p>
        </w:tc>
      </w:tr>
      <w:tr>
        <w:trPr>
          <w:trHeight w:val="282"/>
        </w:trPr>
        <w:tc>
          <w:tcPr>
            <w:tcW w:w="2880" w:type="dxa"/>
            <w:vAlign w:val="bottom"/>
            <w:shd w:val="clear" w:color="auto" w:fill="D7D9D8"/>
          </w:tcPr>
          <w:p>
            <w:pPr>
              <w:ind w:left="180"/>
              <w:spacing w:after="0"/>
              <w:rPr>
                <w:sz w:val="20"/>
                <w:szCs w:val="20"/>
                <w:color w:val="auto"/>
              </w:rPr>
            </w:pPr>
            <w:r>
              <w:rPr>
                <w:rFonts w:ascii="Arial" w:cs="Arial" w:eastAsia="Arial" w:hAnsi="Arial"/>
                <w:sz w:val="16"/>
                <w:szCs w:val="16"/>
                <w:b w:val="1"/>
                <w:bCs w:val="1"/>
                <w:color w:val="333740"/>
              </w:rPr>
              <w:t>Justin Rounce</w:t>
            </w: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8"/>
              </w:rPr>
              <w:t>Mr. Rounce’s 2019 individual performance objectives reflected his wide range of responsibilities as our Executive Vice</w:t>
            </w:r>
          </w:p>
        </w:tc>
      </w:tr>
      <w:tr>
        <w:trPr>
          <w:trHeight w:val="191"/>
        </w:trPr>
        <w:tc>
          <w:tcPr>
            <w:tcW w:w="2880" w:type="dxa"/>
            <w:vAlign w:val="bottom"/>
            <w:shd w:val="clear" w:color="auto" w:fill="D7D9D8"/>
          </w:tcPr>
          <w:p>
            <w:pPr>
              <w:ind w:left="180"/>
              <w:spacing w:after="0"/>
              <w:rPr>
                <w:sz w:val="20"/>
                <w:szCs w:val="20"/>
                <w:color w:val="auto"/>
              </w:rPr>
            </w:pPr>
            <w:r>
              <w:rPr>
                <w:rFonts w:ascii="Arial" w:cs="Arial" w:eastAsia="Arial" w:hAnsi="Arial"/>
                <w:sz w:val="16"/>
                <w:szCs w:val="16"/>
                <w:b w:val="1"/>
                <w:bCs w:val="1"/>
                <w:color w:val="auto"/>
              </w:rPr>
              <w:t>Executive Vice President and Chief</w:t>
            </w: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0"/>
              </w:rPr>
              <w:t>President and Chief Technology Officer in leading our research and innovation, product engineering, procurement and sourcing,</w:t>
            </w:r>
          </w:p>
        </w:tc>
      </w:tr>
      <w:tr>
        <w:trPr>
          <w:trHeight w:val="195"/>
        </w:trPr>
        <w:tc>
          <w:tcPr>
            <w:tcW w:w="2880" w:type="dxa"/>
            <w:vAlign w:val="bottom"/>
            <w:shd w:val="clear" w:color="auto" w:fill="D7D9D8"/>
          </w:tcPr>
          <w:p>
            <w:pPr>
              <w:ind w:left="180"/>
              <w:spacing w:after="0"/>
              <w:rPr>
                <w:sz w:val="20"/>
                <w:szCs w:val="20"/>
                <w:color w:val="auto"/>
              </w:rPr>
            </w:pPr>
            <w:r>
              <w:rPr>
                <w:rFonts w:ascii="Arial" w:cs="Arial" w:eastAsia="Arial" w:hAnsi="Arial"/>
                <w:sz w:val="16"/>
                <w:szCs w:val="16"/>
                <w:b w:val="1"/>
                <w:bCs w:val="1"/>
                <w:color w:val="333740"/>
              </w:rPr>
              <w:t>Technology Officer</w:t>
            </w: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3"/>
              </w:rPr>
              <w:t>manufacturing, quality, safety, security, IT, digital corporate development, mergers and acquisitions, and external technology</w:t>
            </w:r>
          </w:p>
        </w:tc>
      </w:tr>
      <w:tr>
        <w:trPr>
          <w:trHeight w:val="191"/>
        </w:trPr>
        <w:tc>
          <w:tcPr>
            <w:tcW w:w="2880" w:type="dxa"/>
            <w:vAlign w:val="bottom"/>
            <w:shd w:val="clear" w:color="auto" w:fill="D7D9D8"/>
          </w:tcPr>
          <w:p>
            <w:pPr>
              <w:spacing w:after="0"/>
              <w:rPr>
                <w:sz w:val="16"/>
                <w:szCs w:val="16"/>
                <w:color w:val="auto"/>
              </w:rPr>
            </w:pP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0"/>
              </w:rPr>
              <w:t>engagement functions. Mr. Rounce’s 2019 objectives and achievements included advancing our technology and digital strategy,</w:t>
            </w:r>
          </w:p>
        </w:tc>
      </w:tr>
      <w:tr>
        <w:trPr>
          <w:trHeight w:val="191"/>
        </w:trPr>
        <w:tc>
          <w:tcPr>
            <w:tcW w:w="2880" w:type="dxa"/>
            <w:vAlign w:val="bottom"/>
            <w:shd w:val="clear" w:color="auto" w:fill="D7D9D8"/>
          </w:tcPr>
          <w:p>
            <w:pPr>
              <w:spacing w:after="0"/>
              <w:rPr>
                <w:sz w:val="16"/>
                <w:szCs w:val="16"/>
                <w:color w:val="auto"/>
              </w:rPr>
            </w:pP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7"/>
              </w:rPr>
              <w:t>establishing a product management organization, developing a product development framework, improving our external</w:t>
            </w:r>
          </w:p>
        </w:tc>
      </w:tr>
      <w:tr>
        <w:trPr>
          <w:trHeight w:val="204"/>
        </w:trPr>
        <w:tc>
          <w:tcPr>
            <w:tcW w:w="2880" w:type="dxa"/>
            <w:vAlign w:val="bottom"/>
            <w:shd w:val="clear" w:color="auto" w:fill="D7D9D8"/>
          </w:tcPr>
          <w:p>
            <w:pPr>
              <w:spacing w:after="0"/>
              <w:rPr>
                <w:sz w:val="17"/>
                <w:szCs w:val="17"/>
                <w:color w:val="auto"/>
              </w:rPr>
            </w:pP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4"/>
              </w:rPr>
              <w:t>technology engagement, and playing a key role in strategic projects, including the announced spin-off of Technip Energies.</w:t>
            </w:r>
          </w:p>
        </w:tc>
      </w:tr>
      <w:tr>
        <w:trPr>
          <w:trHeight w:val="282"/>
        </w:trPr>
        <w:tc>
          <w:tcPr>
            <w:tcW w:w="2880" w:type="dxa"/>
            <w:vAlign w:val="bottom"/>
            <w:shd w:val="clear" w:color="auto" w:fill="D7D9D8"/>
          </w:tcPr>
          <w:p>
            <w:pPr>
              <w:ind w:left="180"/>
              <w:spacing w:after="0"/>
              <w:rPr>
                <w:sz w:val="20"/>
                <w:szCs w:val="20"/>
                <w:color w:val="auto"/>
              </w:rPr>
            </w:pPr>
            <w:r>
              <w:rPr>
                <w:rFonts w:ascii="Arial" w:cs="Arial" w:eastAsia="Arial" w:hAnsi="Arial"/>
                <w:sz w:val="16"/>
                <w:szCs w:val="16"/>
                <w:b w:val="1"/>
                <w:bCs w:val="1"/>
                <w:color w:val="333740"/>
              </w:rPr>
              <w:t>Nello Uccelletti</w:t>
            </w: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4"/>
              </w:rPr>
              <w:t>Mr. Uccelletti’s 2019 individual performance objectives reflected his wide range of responsibilities in his role as President of</w:t>
            </w:r>
          </w:p>
        </w:tc>
      </w:tr>
      <w:tr>
        <w:trPr>
          <w:trHeight w:val="191"/>
        </w:trPr>
        <w:tc>
          <w:tcPr>
            <w:tcW w:w="2880" w:type="dxa"/>
            <w:vAlign w:val="bottom"/>
            <w:shd w:val="clear" w:color="auto" w:fill="D7D9D8"/>
          </w:tcPr>
          <w:p>
            <w:pPr>
              <w:ind w:left="180"/>
              <w:spacing w:after="0"/>
              <w:rPr>
                <w:sz w:val="20"/>
                <w:szCs w:val="20"/>
                <w:color w:val="auto"/>
              </w:rPr>
            </w:pPr>
            <w:r>
              <w:rPr>
                <w:rFonts w:ascii="Arial" w:cs="Arial" w:eastAsia="Arial" w:hAnsi="Arial"/>
                <w:sz w:val="16"/>
                <w:szCs w:val="16"/>
                <w:b w:val="1"/>
                <w:bCs w:val="1"/>
                <w:color w:val="333740"/>
              </w:rPr>
              <w:t>President and Advisor to the CEO</w:t>
            </w: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1"/>
              </w:rPr>
              <w:t>Onshore/Offshore from January to October 2019 and as President and Advisor to the CEO from November to December 2019.</w:t>
            </w:r>
          </w:p>
        </w:tc>
      </w:tr>
      <w:tr>
        <w:trPr>
          <w:trHeight w:val="191"/>
        </w:trPr>
        <w:tc>
          <w:tcPr>
            <w:tcW w:w="2880" w:type="dxa"/>
            <w:vAlign w:val="bottom"/>
            <w:shd w:val="clear" w:color="auto" w:fill="D7D9D8"/>
          </w:tcPr>
          <w:p>
            <w:pPr>
              <w:ind w:left="180"/>
              <w:spacing w:after="0"/>
              <w:rPr>
                <w:sz w:val="20"/>
                <w:szCs w:val="20"/>
                <w:color w:val="auto"/>
              </w:rPr>
            </w:pPr>
            <w:r>
              <w:rPr>
                <w:rFonts w:ascii="Arial" w:cs="Arial" w:eastAsia="Arial" w:hAnsi="Arial"/>
                <w:sz w:val="16"/>
                <w:szCs w:val="16"/>
                <w:b w:val="1"/>
                <w:bCs w:val="1"/>
                <w:color w:val="333740"/>
              </w:rPr>
              <w:t>(November 1</w:t>
            </w: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4"/>
              </w:rPr>
              <w:t>Mr. Uccelletti’s 2019 objectives and achievements included achieving superior execution of Onshore/Offshore projects and</w:t>
            </w:r>
          </w:p>
        </w:tc>
      </w:tr>
      <w:tr>
        <w:trPr>
          <w:trHeight w:val="191"/>
        </w:trPr>
        <w:tc>
          <w:tcPr>
            <w:tcW w:w="2880" w:type="dxa"/>
            <w:vAlign w:val="bottom"/>
            <w:shd w:val="clear" w:color="auto" w:fill="D7D9D8"/>
          </w:tcPr>
          <w:p>
            <w:pPr>
              <w:ind w:left="180"/>
              <w:spacing w:after="0"/>
              <w:rPr>
                <w:sz w:val="20"/>
                <w:szCs w:val="20"/>
                <w:color w:val="auto"/>
              </w:rPr>
            </w:pPr>
            <w:r>
              <w:rPr>
                <w:rFonts w:ascii="Arial" w:cs="Arial" w:eastAsia="Arial" w:hAnsi="Arial"/>
                <w:sz w:val="16"/>
                <w:szCs w:val="16"/>
                <w:b w:val="1"/>
                <w:bCs w:val="1"/>
                <w:color w:val="333740"/>
              </w:rPr>
              <w:t>to December 31, 2019)</w:t>
            </w: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1"/>
              </w:rPr>
              <w:t>exceeding financial targets for the Onshore/Offshore business, exceeding targets for Onshore/Offshore order intake, improving</w:t>
            </w:r>
          </w:p>
        </w:tc>
      </w:tr>
      <w:tr>
        <w:trPr>
          <w:trHeight w:val="191"/>
        </w:trPr>
        <w:tc>
          <w:tcPr>
            <w:tcW w:w="2880" w:type="dxa"/>
            <w:vAlign w:val="bottom"/>
            <w:shd w:val="clear" w:color="auto" w:fill="D7D9D8"/>
          </w:tcPr>
          <w:p>
            <w:pPr>
              <w:ind w:left="180"/>
              <w:spacing w:after="0"/>
              <w:rPr>
                <w:sz w:val="20"/>
                <w:szCs w:val="20"/>
                <w:color w:val="auto"/>
              </w:rPr>
            </w:pPr>
            <w:r>
              <w:rPr>
                <w:rFonts w:ascii="Arial" w:cs="Arial" w:eastAsia="Arial" w:hAnsi="Arial"/>
                <w:sz w:val="16"/>
                <w:szCs w:val="16"/>
                <w:b w:val="1"/>
                <w:bCs w:val="1"/>
                <w:color w:val="333740"/>
              </w:rPr>
              <w:t>President Onshore/Offshore</w:t>
            </w: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6"/>
              </w:rPr>
              <w:t>safety indicators, managing customer relationships, particularly with strategic partners, and playing a key role in strategic</w:t>
            </w:r>
          </w:p>
        </w:tc>
      </w:tr>
      <w:tr>
        <w:trPr>
          <w:trHeight w:val="195"/>
        </w:trPr>
        <w:tc>
          <w:tcPr>
            <w:tcW w:w="2880" w:type="dxa"/>
            <w:vAlign w:val="bottom"/>
            <w:shd w:val="clear" w:color="auto" w:fill="D7D9D8"/>
          </w:tcPr>
          <w:p>
            <w:pPr>
              <w:ind w:left="180"/>
              <w:spacing w:after="0"/>
              <w:rPr>
                <w:sz w:val="20"/>
                <w:szCs w:val="20"/>
                <w:color w:val="auto"/>
              </w:rPr>
            </w:pPr>
            <w:r>
              <w:rPr>
                <w:rFonts w:ascii="Arial" w:cs="Arial" w:eastAsia="Arial" w:hAnsi="Arial"/>
                <w:sz w:val="16"/>
                <w:szCs w:val="16"/>
                <w:b w:val="1"/>
                <w:bCs w:val="1"/>
                <w:color w:val="333740"/>
              </w:rPr>
              <w:t>(January 1 to October 31, 2019</w:t>
            </w: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w w:val="95"/>
              </w:rPr>
              <w:t>projects for both the Onshore/ Offshore business as well as the Company as a whole, including the announced spin-off of</w:t>
            </w:r>
          </w:p>
        </w:tc>
      </w:tr>
      <w:tr>
        <w:trPr>
          <w:trHeight w:val="204"/>
        </w:trPr>
        <w:tc>
          <w:tcPr>
            <w:tcW w:w="2880" w:type="dxa"/>
            <w:vAlign w:val="bottom"/>
            <w:shd w:val="clear" w:color="auto" w:fill="D7D9D8"/>
          </w:tcPr>
          <w:p>
            <w:pPr>
              <w:spacing w:after="0"/>
              <w:rPr>
                <w:sz w:val="17"/>
                <w:szCs w:val="17"/>
                <w:color w:val="auto"/>
              </w:rPr>
            </w:pPr>
          </w:p>
        </w:tc>
        <w:tc>
          <w:tcPr>
            <w:tcW w:w="8380" w:type="dxa"/>
            <w:vAlign w:val="bottom"/>
            <w:shd w:val="clear" w:color="auto" w:fill="D7D9D8"/>
          </w:tcPr>
          <w:p>
            <w:pPr>
              <w:ind w:left="160"/>
              <w:spacing w:after="0"/>
              <w:rPr>
                <w:sz w:val="20"/>
                <w:szCs w:val="20"/>
                <w:color w:val="auto"/>
              </w:rPr>
            </w:pPr>
            <w:r>
              <w:rPr>
                <w:rFonts w:ascii="Arial" w:cs="Arial" w:eastAsia="Arial" w:hAnsi="Arial"/>
                <w:sz w:val="16"/>
                <w:szCs w:val="16"/>
                <w:color w:val="333740"/>
              </w:rPr>
              <w:t>Technip Energies.</w:t>
            </w:r>
          </w:p>
        </w:tc>
      </w:tr>
      <w:tr>
        <w:trPr>
          <w:trHeight w:val="48"/>
        </w:trPr>
        <w:tc>
          <w:tcPr>
            <w:tcW w:w="2880" w:type="dxa"/>
            <w:vAlign w:val="bottom"/>
            <w:shd w:val="clear" w:color="auto" w:fill="D7D9D8"/>
          </w:tcPr>
          <w:p>
            <w:pPr>
              <w:spacing w:after="0"/>
              <w:rPr>
                <w:sz w:val="4"/>
                <w:szCs w:val="4"/>
                <w:color w:val="auto"/>
              </w:rPr>
            </w:pPr>
          </w:p>
        </w:tc>
        <w:tc>
          <w:tcPr>
            <w:tcW w:w="8380" w:type="dxa"/>
            <w:vAlign w:val="bottom"/>
            <w:shd w:val="clear" w:color="auto" w:fill="D7D9D8"/>
          </w:tcPr>
          <w:p>
            <w:pPr>
              <w:spacing w:after="0"/>
              <w:rPr>
                <w:sz w:val="4"/>
                <w:szCs w:val="4"/>
                <w:color w:val="auto"/>
              </w:rPr>
            </w:pPr>
          </w:p>
        </w:tc>
      </w:tr>
    </w:tbl>
    <w:p>
      <w:pPr>
        <w:spacing w:after="0" w:line="363" w:lineRule="exact"/>
        <w:rPr>
          <w:sz w:val="20"/>
          <w:szCs w:val="20"/>
          <w:color w:val="auto"/>
        </w:rPr>
      </w:pPr>
    </w:p>
    <w:p>
      <w:pPr>
        <w:ind w:left="564" w:hanging="564"/>
        <w:spacing w:after="0"/>
        <w:tabs>
          <w:tab w:leader="none" w:pos="564" w:val="left"/>
        </w:tabs>
        <w:numPr>
          <w:ilvl w:val="0"/>
          <w:numId w:val="92"/>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7" w:right="319" w:bottom="1440" w:gutter="0" w:footer="0" w:header="0"/>
        </w:sectPr>
      </w:pPr>
    </w:p>
    <w:bookmarkStart w:id="79" w:name="page80"/>
    <w:bookmarkEnd w:id="79"/>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Determination of 2019 Payouts under the Annual Cash Incentive Compensation Plan</w:t>
      </w:r>
    </w:p>
    <w:p>
      <w:pPr>
        <w:spacing w:after="0" w:line="24" w:lineRule="exact"/>
        <w:rPr>
          <w:sz w:val="20"/>
          <w:szCs w:val="20"/>
          <w:color w:val="auto"/>
        </w:rPr>
      </w:pPr>
    </w:p>
    <w:p>
      <w:pPr>
        <w:ind w:left="4" w:right="20"/>
        <w:spacing w:after="0" w:line="258" w:lineRule="auto"/>
        <w:rPr>
          <w:sz w:val="20"/>
          <w:szCs w:val="20"/>
          <w:color w:val="auto"/>
        </w:rPr>
      </w:pPr>
      <w:r>
        <w:rPr>
          <w:rFonts w:ascii="Arial" w:cs="Arial" w:eastAsia="Arial" w:hAnsi="Arial"/>
          <w:sz w:val="16"/>
          <w:szCs w:val="16"/>
          <w:color w:val="333740"/>
        </w:rPr>
        <w:t>Each executive’s target annual cash bonus is a percentage of his or her base salary for the year. For example, assuming an NEO has a base salary of $600,000, a 100% target bonus, a BPI rating of 172%, and an API rating of 100%, the executive’s annual cash bonus would be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1137920</wp:posOffset>
            </wp:positionH>
            <wp:positionV relativeFrom="paragraph">
              <wp:posOffset>113030</wp:posOffset>
            </wp:positionV>
            <wp:extent cx="7620" cy="3035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20" cy="30353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113030</wp:posOffset>
            </wp:positionV>
            <wp:extent cx="7620" cy="3035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20" cy="30353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113030</wp:posOffset>
            </wp:positionV>
            <wp:extent cx="7620" cy="3035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20" cy="303530"/>
                    </a:xfrm>
                    <a:prstGeom prst="rect">
                      <a:avLst/>
                    </a:prstGeom>
                    <a:noFill/>
                  </pic:spPr>
                </pic:pic>
              </a:graphicData>
            </a:graphic>
          </wp:anchor>
        </w:drawing>
        <w:drawing>
          <wp:anchor simplePos="0" relativeHeight="251657728" behindDoc="1" locked="0" layoutInCell="0" allowOverlap="1">
            <wp:simplePos x="0" y="0"/>
            <wp:positionH relativeFrom="column">
              <wp:posOffset>4272280</wp:posOffset>
            </wp:positionH>
            <wp:positionV relativeFrom="paragraph">
              <wp:posOffset>113030</wp:posOffset>
            </wp:positionV>
            <wp:extent cx="7620" cy="3035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20" cy="303530"/>
                    </a:xfrm>
                    <a:prstGeom prst="rect">
                      <a:avLst/>
                    </a:prstGeom>
                    <a:noFill/>
                  </pic:spPr>
                </pic:pic>
              </a:graphicData>
            </a:graphic>
          </wp:anchor>
        </w:drawing>
        <w:drawing>
          <wp:anchor simplePos="0" relativeHeight="251657728" behindDoc="1" locked="0" layoutInCell="0" allowOverlap="1">
            <wp:simplePos x="0" y="0"/>
            <wp:positionH relativeFrom="column">
              <wp:posOffset>5349875</wp:posOffset>
            </wp:positionH>
            <wp:positionV relativeFrom="paragraph">
              <wp:posOffset>113030</wp:posOffset>
            </wp:positionV>
            <wp:extent cx="7620" cy="3035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20" cy="303530"/>
                    </a:xfrm>
                    <a:prstGeom prst="rect">
                      <a:avLst/>
                    </a:prstGeom>
                    <a:noFill/>
                  </pic:spPr>
                </pic:pic>
              </a:graphicData>
            </a:graphic>
          </wp:anchor>
        </w:drawing>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26"/>
        </w:trPr>
        <w:tc>
          <w:tcPr>
            <w:tcW w:w="1820" w:type="dxa"/>
            <w:vAlign w:val="bottom"/>
            <w:vMerge w:val="restart"/>
            <w:shd w:val="clear" w:color="auto" w:fill="481F6E"/>
          </w:tcPr>
          <w:p>
            <w:pPr>
              <w:ind w:left="40"/>
              <w:spacing w:after="0"/>
              <w:rPr>
                <w:sz w:val="20"/>
                <w:szCs w:val="20"/>
                <w:color w:val="auto"/>
              </w:rPr>
            </w:pPr>
            <w:r>
              <w:rPr>
                <w:rFonts w:ascii="Arial" w:cs="Arial" w:eastAsia="Arial" w:hAnsi="Arial"/>
                <w:sz w:val="16"/>
                <w:szCs w:val="16"/>
                <w:color w:val="FFFFFF"/>
              </w:rPr>
              <w:t>Component</w:t>
            </w:r>
          </w:p>
        </w:tc>
        <w:tc>
          <w:tcPr>
            <w:tcW w:w="1780" w:type="dxa"/>
            <w:vAlign w:val="bottom"/>
            <w:vMerge w:val="restart"/>
            <w:shd w:val="clear" w:color="auto" w:fill="481F6E"/>
          </w:tcPr>
          <w:p>
            <w:pPr>
              <w:jc w:val="center"/>
              <w:spacing w:after="0"/>
              <w:rPr>
                <w:sz w:val="20"/>
                <w:szCs w:val="20"/>
                <w:color w:val="auto"/>
              </w:rPr>
            </w:pPr>
            <w:r>
              <w:rPr>
                <w:rFonts w:ascii="Arial" w:cs="Arial" w:eastAsia="Arial" w:hAnsi="Arial"/>
                <w:sz w:val="16"/>
                <w:szCs w:val="16"/>
                <w:color w:val="FFFFFF"/>
                <w:w w:val="88"/>
              </w:rPr>
              <w:t>Base Salary</w:t>
            </w:r>
          </w:p>
        </w:tc>
        <w:tc>
          <w:tcPr>
            <w:tcW w:w="1580" w:type="dxa"/>
            <w:vAlign w:val="bottom"/>
            <w:vMerge w:val="restart"/>
            <w:shd w:val="clear" w:color="auto" w:fill="481F6E"/>
          </w:tcPr>
          <w:p>
            <w:pPr>
              <w:jc w:val="center"/>
              <w:spacing w:after="0"/>
              <w:rPr>
                <w:sz w:val="20"/>
                <w:szCs w:val="20"/>
                <w:color w:val="auto"/>
              </w:rPr>
            </w:pPr>
            <w:r>
              <w:rPr>
                <w:rFonts w:ascii="Arial" w:cs="Arial" w:eastAsia="Arial" w:hAnsi="Arial"/>
                <w:sz w:val="16"/>
                <w:szCs w:val="16"/>
                <w:color w:val="FFFFFF"/>
                <w:w w:val="92"/>
              </w:rPr>
              <w:t>Weighting</w:t>
            </w:r>
          </w:p>
        </w:tc>
        <w:tc>
          <w:tcPr>
            <w:tcW w:w="1600" w:type="dxa"/>
            <w:vAlign w:val="bottom"/>
            <w:shd w:val="clear" w:color="auto" w:fill="481F6E"/>
          </w:tcPr>
          <w:p>
            <w:pPr>
              <w:jc w:val="center"/>
              <w:spacing w:after="0"/>
              <w:rPr>
                <w:sz w:val="20"/>
                <w:szCs w:val="20"/>
                <w:color w:val="auto"/>
              </w:rPr>
            </w:pPr>
            <w:r>
              <w:rPr>
                <w:rFonts w:ascii="Arial" w:cs="Arial" w:eastAsia="Arial" w:hAnsi="Arial"/>
                <w:sz w:val="16"/>
                <w:szCs w:val="16"/>
                <w:color w:val="FFFFFF"/>
                <w:w w:val="86"/>
              </w:rPr>
              <w:t>Target</w:t>
            </w:r>
          </w:p>
        </w:tc>
        <w:tc>
          <w:tcPr>
            <w:tcW w:w="1800" w:type="dxa"/>
            <w:vAlign w:val="bottom"/>
            <w:vMerge w:val="restart"/>
            <w:shd w:val="clear" w:color="auto" w:fill="481F6E"/>
          </w:tcPr>
          <w:p>
            <w:pPr>
              <w:jc w:val="center"/>
              <w:ind w:right="120"/>
              <w:spacing w:after="0"/>
              <w:rPr>
                <w:sz w:val="20"/>
                <w:szCs w:val="20"/>
                <w:color w:val="auto"/>
              </w:rPr>
            </w:pPr>
            <w:r>
              <w:rPr>
                <w:rFonts w:ascii="Arial" w:cs="Arial" w:eastAsia="Arial" w:hAnsi="Arial"/>
                <w:sz w:val="16"/>
                <w:szCs w:val="16"/>
                <w:color w:val="FFFFFF"/>
                <w:w w:val="95"/>
              </w:rPr>
              <w:t>Rating</w:t>
            </w:r>
          </w:p>
        </w:tc>
        <w:tc>
          <w:tcPr>
            <w:tcW w:w="1540" w:type="dxa"/>
            <w:vAlign w:val="bottom"/>
            <w:vMerge w:val="restart"/>
            <w:shd w:val="clear" w:color="auto" w:fill="481F6E"/>
          </w:tcPr>
          <w:p>
            <w:pPr>
              <w:jc w:val="right"/>
              <w:spacing w:after="0"/>
              <w:rPr>
                <w:sz w:val="20"/>
                <w:szCs w:val="20"/>
                <w:color w:val="auto"/>
              </w:rPr>
            </w:pPr>
            <w:r>
              <w:rPr>
                <w:rFonts w:ascii="Arial" w:cs="Arial" w:eastAsia="Arial" w:hAnsi="Arial"/>
                <w:sz w:val="16"/>
                <w:szCs w:val="16"/>
                <w:color w:val="FFFFFF"/>
              </w:rPr>
              <w:t>Payout</w:t>
            </w:r>
          </w:p>
        </w:tc>
        <w:tc>
          <w:tcPr>
            <w:tcW w:w="0" w:type="dxa"/>
            <w:vAlign w:val="bottom"/>
          </w:tcPr>
          <w:p>
            <w:pPr>
              <w:spacing w:after="0"/>
              <w:rPr>
                <w:sz w:val="1"/>
                <w:szCs w:val="1"/>
                <w:color w:val="auto"/>
              </w:rPr>
            </w:pPr>
          </w:p>
        </w:tc>
      </w:tr>
      <w:tr>
        <w:trPr>
          <w:trHeight w:val="108"/>
        </w:trPr>
        <w:tc>
          <w:tcPr>
            <w:tcW w:w="1820" w:type="dxa"/>
            <w:vAlign w:val="bottom"/>
            <w:vMerge w:val="continue"/>
            <w:shd w:val="clear" w:color="auto" w:fill="481F6E"/>
          </w:tcPr>
          <w:p>
            <w:pPr>
              <w:spacing w:after="0"/>
              <w:rPr>
                <w:sz w:val="9"/>
                <w:szCs w:val="9"/>
                <w:color w:val="auto"/>
              </w:rPr>
            </w:pPr>
          </w:p>
        </w:tc>
        <w:tc>
          <w:tcPr>
            <w:tcW w:w="1780" w:type="dxa"/>
            <w:vAlign w:val="bottom"/>
            <w:vMerge w:val="continue"/>
            <w:shd w:val="clear" w:color="auto" w:fill="481F6E"/>
          </w:tcPr>
          <w:p>
            <w:pPr>
              <w:spacing w:after="0"/>
              <w:rPr>
                <w:sz w:val="9"/>
                <w:szCs w:val="9"/>
                <w:color w:val="auto"/>
              </w:rPr>
            </w:pPr>
          </w:p>
        </w:tc>
        <w:tc>
          <w:tcPr>
            <w:tcW w:w="1580" w:type="dxa"/>
            <w:vAlign w:val="bottom"/>
            <w:vMerge w:val="continue"/>
            <w:shd w:val="clear" w:color="auto" w:fill="481F6E"/>
          </w:tcPr>
          <w:p>
            <w:pPr>
              <w:spacing w:after="0"/>
              <w:rPr>
                <w:sz w:val="9"/>
                <w:szCs w:val="9"/>
                <w:color w:val="auto"/>
              </w:rPr>
            </w:pPr>
          </w:p>
        </w:tc>
        <w:tc>
          <w:tcPr>
            <w:tcW w:w="1600" w:type="dxa"/>
            <w:vAlign w:val="bottom"/>
            <w:vMerge w:val="restart"/>
            <w:shd w:val="clear" w:color="auto" w:fill="481F6E"/>
          </w:tcPr>
          <w:p>
            <w:pPr>
              <w:jc w:val="center"/>
              <w:spacing w:after="0"/>
              <w:rPr>
                <w:sz w:val="20"/>
                <w:szCs w:val="20"/>
                <w:color w:val="auto"/>
              </w:rPr>
            </w:pPr>
            <w:r>
              <w:rPr>
                <w:rFonts w:ascii="Arial" w:cs="Arial" w:eastAsia="Arial" w:hAnsi="Arial"/>
                <w:sz w:val="16"/>
                <w:szCs w:val="16"/>
                <w:color w:val="FFFFFF"/>
                <w:w w:val="90"/>
              </w:rPr>
              <w:t>Bonus %</w:t>
            </w:r>
          </w:p>
        </w:tc>
        <w:tc>
          <w:tcPr>
            <w:tcW w:w="1800" w:type="dxa"/>
            <w:vAlign w:val="bottom"/>
            <w:vMerge w:val="continue"/>
            <w:shd w:val="clear" w:color="auto" w:fill="481F6E"/>
          </w:tcPr>
          <w:p>
            <w:pPr>
              <w:spacing w:after="0"/>
              <w:rPr>
                <w:sz w:val="9"/>
                <w:szCs w:val="9"/>
                <w:color w:val="auto"/>
              </w:rPr>
            </w:pPr>
          </w:p>
        </w:tc>
        <w:tc>
          <w:tcPr>
            <w:tcW w:w="1540" w:type="dxa"/>
            <w:vAlign w:val="bottom"/>
            <w:vMerge w:val="continue"/>
            <w:shd w:val="clear" w:color="auto" w:fill="481F6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820" w:type="dxa"/>
            <w:vAlign w:val="bottom"/>
            <w:tcBorders>
              <w:bottom w:val="single" w:sz="8" w:color="481F6E"/>
            </w:tcBorders>
            <w:shd w:val="clear" w:color="auto" w:fill="481F6E"/>
          </w:tcPr>
          <w:p>
            <w:pPr>
              <w:spacing w:after="0"/>
              <w:rPr>
                <w:sz w:val="10"/>
                <w:szCs w:val="10"/>
                <w:color w:val="auto"/>
              </w:rPr>
            </w:pPr>
          </w:p>
        </w:tc>
        <w:tc>
          <w:tcPr>
            <w:tcW w:w="1780" w:type="dxa"/>
            <w:vAlign w:val="bottom"/>
            <w:tcBorders>
              <w:bottom w:val="single" w:sz="8" w:color="481F6E"/>
            </w:tcBorders>
            <w:shd w:val="clear" w:color="auto" w:fill="481F6E"/>
          </w:tcPr>
          <w:p>
            <w:pPr>
              <w:spacing w:after="0"/>
              <w:rPr>
                <w:sz w:val="10"/>
                <w:szCs w:val="10"/>
                <w:color w:val="auto"/>
              </w:rPr>
            </w:pPr>
          </w:p>
        </w:tc>
        <w:tc>
          <w:tcPr>
            <w:tcW w:w="1580" w:type="dxa"/>
            <w:vAlign w:val="bottom"/>
            <w:tcBorders>
              <w:bottom w:val="single" w:sz="8" w:color="481F6E"/>
            </w:tcBorders>
            <w:shd w:val="clear" w:color="auto" w:fill="481F6E"/>
          </w:tcPr>
          <w:p>
            <w:pPr>
              <w:spacing w:after="0"/>
              <w:rPr>
                <w:sz w:val="10"/>
                <w:szCs w:val="10"/>
                <w:color w:val="auto"/>
              </w:rPr>
            </w:pPr>
          </w:p>
        </w:tc>
        <w:tc>
          <w:tcPr>
            <w:tcW w:w="1600" w:type="dxa"/>
            <w:vAlign w:val="bottom"/>
            <w:tcBorders>
              <w:bottom w:val="single" w:sz="8" w:color="481F6E"/>
            </w:tcBorders>
            <w:vMerge w:val="continue"/>
            <w:shd w:val="clear" w:color="auto" w:fill="481F6E"/>
          </w:tcPr>
          <w:p>
            <w:pPr>
              <w:spacing w:after="0"/>
              <w:rPr>
                <w:sz w:val="10"/>
                <w:szCs w:val="10"/>
                <w:color w:val="auto"/>
              </w:rPr>
            </w:pPr>
          </w:p>
        </w:tc>
        <w:tc>
          <w:tcPr>
            <w:tcW w:w="1800" w:type="dxa"/>
            <w:vAlign w:val="bottom"/>
            <w:tcBorders>
              <w:bottom w:val="single" w:sz="8" w:color="481F6E"/>
            </w:tcBorders>
            <w:shd w:val="clear" w:color="auto" w:fill="481F6E"/>
          </w:tcPr>
          <w:p>
            <w:pPr>
              <w:spacing w:after="0"/>
              <w:rPr>
                <w:sz w:val="10"/>
                <w:szCs w:val="10"/>
                <w:color w:val="auto"/>
              </w:rPr>
            </w:pPr>
          </w:p>
        </w:tc>
        <w:tc>
          <w:tcPr>
            <w:tcW w:w="1540" w:type="dxa"/>
            <w:vAlign w:val="bottom"/>
            <w:tcBorders>
              <w:bottom w:val="single" w:sz="8" w:color="481F6E"/>
            </w:tcBorders>
            <w:shd w:val="clear" w:color="auto" w:fill="481F6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820" w:type="dxa"/>
            <w:vAlign w:val="bottom"/>
          </w:tcPr>
          <w:p>
            <w:pPr>
              <w:ind w:left="40"/>
              <w:spacing w:after="0"/>
              <w:rPr>
                <w:sz w:val="20"/>
                <w:szCs w:val="20"/>
                <w:color w:val="auto"/>
              </w:rPr>
            </w:pPr>
            <w:r>
              <w:rPr>
                <w:rFonts w:ascii="Arial" w:cs="Arial" w:eastAsia="Arial" w:hAnsi="Arial"/>
                <w:sz w:val="16"/>
                <w:szCs w:val="16"/>
                <w:b w:val="1"/>
                <w:bCs w:val="1"/>
                <w:color w:val="333740"/>
              </w:rPr>
              <w:t>BPI:</w:t>
            </w:r>
          </w:p>
        </w:tc>
        <w:tc>
          <w:tcPr>
            <w:tcW w:w="1780" w:type="dxa"/>
            <w:vAlign w:val="bottom"/>
          </w:tcPr>
          <w:p>
            <w:pPr>
              <w:jc w:val="center"/>
              <w:spacing w:after="0"/>
              <w:rPr>
                <w:sz w:val="20"/>
                <w:szCs w:val="20"/>
                <w:color w:val="auto"/>
              </w:rPr>
            </w:pPr>
            <w:r>
              <w:rPr>
                <w:rFonts w:ascii="Arial" w:cs="Arial" w:eastAsia="Arial" w:hAnsi="Arial"/>
                <w:sz w:val="16"/>
                <w:szCs w:val="16"/>
                <w:color w:val="333740"/>
                <w:w w:val="89"/>
              </w:rPr>
              <w:t>$600,000</w:t>
            </w:r>
          </w:p>
        </w:tc>
        <w:tc>
          <w:tcPr>
            <w:tcW w:w="1580" w:type="dxa"/>
            <w:vAlign w:val="bottom"/>
          </w:tcPr>
          <w:p>
            <w:pPr>
              <w:jc w:val="center"/>
              <w:spacing w:after="0"/>
              <w:rPr>
                <w:sz w:val="20"/>
                <w:szCs w:val="20"/>
                <w:color w:val="auto"/>
              </w:rPr>
            </w:pPr>
            <w:r>
              <w:rPr>
                <w:rFonts w:ascii="Arial" w:cs="Arial" w:eastAsia="Arial" w:hAnsi="Arial"/>
                <w:sz w:val="16"/>
                <w:szCs w:val="16"/>
                <w:color w:val="333740"/>
                <w:w w:val="89"/>
              </w:rPr>
              <w:t>x 75%</w:t>
            </w:r>
          </w:p>
        </w:tc>
        <w:tc>
          <w:tcPr>
            <w:tcW w:w="1600" w:type="dxa"/>
            <w:vAlign w:val="bottom"/>
          </w:tcPr>
          <w:p>
            <w:pPr>
              <w:jc w:val="center"/>
              <w:ind w:right="20"/>
              <w:spacing w:after="0"/>
              <w:rPr>
                <w:sz w:val="20"/>
                <w:szCs w:val="20"/>
                <w:color w:val="auto"/>
              </w:rPr>
            </w:pPr>
            <w:r>
              <w:rPr>
                <w:rFonts w:ascii="Arial" w:cs="Arial" w:eastAsia="Arial" w:hAnsi="Arial"/>
                <w:sz w:val="16"/>
                <w:szCs w:val="16"/>
                <w:color w:val="333740"/>
                <w:w w:val="93"/>
              </w:rPr>
              <w:t>x 100%</w:t>
            </w:r>
          </w:p>
        </w:tc>
        <w:tc>
          <w:tcPr>
            <w:tcW w:w="1800" w:type="dxa"/>
            <w:vAlign w:val="bottom"/>
          </w:tcPr>
          <w:p>
            <w:pPr>
              <w:jc w:val="center"/>
              <w:ind w:right="140"/>
              <w:spacing w:after="0"/>
              <w:rPr>
                <w:sz w:val="20"/>
                <w:szCs w:val="20"/>
                <w:color w:val="auto"/>
              </w:rPr>
            </w:pPr>
            <w:r>
              <w:rPr>
                <w:rFonts w:ascii="Arial" w:cs="Arial" w:eastAsia="Arial" w:hAnsi="Arial"/>
                <w:sz w:val="16"/>
                <w:szCs w:val="16"/>
                <w:color w:val="333740"/>
                <w:w w:val="93"/>
              </w:rPr>
              <w:t>x 172%</w:t>
            </w:r>
          </w:p>
        </w:tc>
        <w:tc>
          <w:tcPr>
            <w:tcW w:w="1540" w:type="dxa"/>
            <w:vAlign w:val="bottom"/>
          </w:tcPr>
          <w:p>
            <w:pPr>
              <w:jc w:val="right"/>
              <w:spacing w:after="0"/>
              <w:rPr>
                <w:sz w:val="20"/>
                <w:szCs w:val="20"/>
                <w:color w:val="auto"/>
              </w:rPr>
            </w:pPr>
            <w:r>
              <w:rPr>
                <w:rFonts w:ascii="Arial" w:cs="Arial" w:eastAsia="Arial" w:hAnsi="Arial"/>
                <w:sz w:val="16"/>
                <w:szCs w:val="16"/>
                <w:color w:val="333740"/>
              </w:rPr>
              <w:t>= $774,000</w:t>
            </w:r>
          </w:p>
        </w:tc>
        <w:tc>
          <w:tcPr>
            <w:tcW w:w="0" w:type="dxa"/>
            <w:vAlign w:val="bottom"/>
          </w:tcPr>
          <w:p>
            <w:pPr>
              <w:spacing w:after="0"/>
              <w:rPr>
                <w:sz w:val="1"/>
                <w:szCs w:val="1"/>
                <w:color w:val="auto"/>
              </w:rPr>
            </w:pPr>
          </w:p>
        </w:tc>
      </w:tr>
      <w:tr>
        <w:trPr>
          <w:trHeight w:val="287"/>
        </w:trPr>
        <w:tc>
          <w:tcPr>
            <w:tcW w:w="1820" w:type="dxa"/>
            <w:vAlign w:val="bottom"/>
          </w:tcPr>
          <w:p>
            <w:pPr>
              <w:ind w:left="40"/>
              <w:spacing w:after="0"/>
              <w:rPr>
                <w:sz w:val="20"/>
                <w:szCs w:val="20"/>
                <w:color w:val="auto"/>
              </w:rPr>
            </w:pPr>
            <w:r>
              <w:rPr>
                <w:rFonts w:ascii="Arial" w:cs="Arial" w:eastAsia="Arial" w:hAnsi="Arial"/>
                <w:sz w:val="16"/>
                <w:szCs w:val="16"/>
                <w:b w:val="1"/>
                <w:bCs w:val="1"/>
                <w:color w:val="333740"/>
              </w:rPr>
              <w:t>API:</w:t>
            </w:r>
          </w:p>
        </w:tc>
        <w:tc>
          <w:tcPr>
            <w:tcW w:w="1780" w:type="dxa"/>
            <w:vAlign w:val="bottom"/>
          </w:tcPr>
          <w:p>
            <w:pPr>
              <w:jc w:val="center"/>
              <w:spacing w:after="0"/>
              <w:rPr>
                <w:sz w:val="20"/>
                <w:szCs w:val="20"/>
                <w:color w:val="auto"/>
              </w:rPr>
            </w:pPr>
            <w:r>
              <w:rPr>
                <w:rFonts w:ascii="Arial" w:cs="Arial" w:eastAsia="Arial" w:hAnsi="Arial"/>
                <w:sz w:val="16"/>
                <w:szCs w:val="16"/>
                <w:color w:val="333740"/>
                <w:w w:val="89"/>
              </w:rPr>
              <w:t>$600,000</w:t>
            </w:r>
          </w:p>
        </w:tc>
        <w:tc>
          <w:tcPr>
            <w:tcW w:w="1580" w:type="dxa"/>
            <w:vAlign w:val="bottom"/>
          </w:tcPr>
          <w:p>
            <w:pPr>
              <w:jc w:val="center"/>
              <w:spacing w:after="0"/>
              <w:rPr>
                <w:sz w:val="20"/>
                <w:szCs w:val="20"/>
                <w:color w:val="auto"/>
              </w:rPr>
            </w:pPr>
            <w:r>
              <w:rPr>
                <w:rFonts w:ascii="Arial" w:cs="Arial" w:eastAsia="Arial" w:hAnsi="Arial"/>
                <w:sz w:val="16"/>
                <w:szCs w:val="16"/>
                <w:color w:val="333740"/>
                <w:w w:val="89"/>
              </w:rPr>
              <w:t>x 25%</w:t>
            </w:r>
          </w:p>
        </w:tc>
        <w:tc>
          <w:tcPr>
            <w:tcW w:w="1600" w:type="dxa"/>
            <w:vAlign w:val="bottom"/>
          </w:tcPr>
          <w:p>
            <w:pPr>
              <w:jc w:val="center"/>
              <w:ind w:right="20"/>
              <w:spacing w:after="0"/>
              <w:rPr>
                <w:sz w:val="20"/>
                <w:szCs w:val="20"/>
                <w:color w:val="auto"/>
              </w:rPr>
            </w:pPr>
            <w:r>
              <w:rPr>
                <w:rFonts w:ascii="Arial" w:cs="Arial" w:eastAsia="Arial" w:hAnsi="Arial"/>
                <w:sz w:val="16"/>
                <w:szCs w:val="16"/>
                <w:color w:val="333740"/>
                <w:w w:val="93"/>
              </w:rPr>
              <w:t>x 100%</w:t>
            </w:r>
          </w:p>
        </w:tc>
        <w:tc>
          <w:tcPr>
            <w:tcW w:w="1800" w:type="dxa"/>
            <w:vAlign w:val="bottom"/>
          </w:tcPr>
          <w:p>
            <w:pPr>
              <w:jc w:val="center"/>
              <w:ind w:right="140"/>
              <w:spacing w:after="0"/>
              <w:rPr>
                <w:sz w:val="20"/>
                <w:szCs w:val="20"/>
                <w:color w:val="auto"/>
              </w:rPr>
            </w:pPr>
            <w:r>
              <w:rPr>
                <w:rFonts w:ascii="Arial" w:cs="Arial" w:eastAsia="Arial" w:hAnsi="Arial"/>
                <w:sz w:val="16"/>
                <w:szCs w:val="16"/>
                <w:color w:val="333740"/>
                <w:w w:val="93"/>
              </w:rPr>
              <w:t>x 100%</w:t>
            </w:r>
          </w:p>
        </w:tc>
        <w:tc>
          <w:tcPr>
            <w:tcW w:w="1540" w:type="dxa"/>
            <w:vAlign w:val="bottom"/>
          </w:tcPr>
          <w:p>
            <w:pPr>
              <w:jc w:val="right"/>
              <w:spacing w:after="0"/>
              <w:rPr>
                <w:sz w:val="20"/>
                <w:szCs w:val="20"/>
                <w:color w:val="auto"/>
              </w:rPr>
            </w:pPr>
            <w:r>
              <w:rPr>
                <w:rFonts w:ascii="Arial" w:cs="Arial" w:eastAsia="Arial" w:hAnsi="Arial"/>
                <w:sz w:val="16"/>
                <w:szCs w:val="16"/>
                <w:color w:val="333740"/>
              </w:rPr>
              <w:t>= $150,000</w:t>
            </w:r>
          </w:p>
        </w:tc>
        <w:tc>
          <w:tcPr>
            <w:tcW w:w="0" w:type="dxa"/>
            <w:vAlign w:val="bottom"/>
          </w:tcPr>
          <w:p>
            <w:pPr>
              <w:spacing w:after="0"/>
              <w:rPr>
                <w:sz w:val="1"/>
                <w:szCs w:val="1"/>
                <w:color w:val="auto"/>
              </w:rPr>
            </w:pPr>
          </w:p>
        </w:tc>
      </w:tr>
      <w:tr>
        <w:trPr>
          <w:trHeight w:val="48"/>
        </w:trPr>
        <w:tc>
          <w:tcPr>
            <w:tcW w:w="18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820" w:type="dxa"/>
            <w:vAlign w:val="bottom"/>
            <w:shd w:val="clear" w:color="auto" w:fill="C6BDD5"/>
          </w:tcPr>
          <w:p>
            <w:pPr>
              <w:ind w:left="40"/>
              <w:spacing w:after="0"/>
              <w:rPr>
                <w:sz w:val="20"/>
                <w:szCs w:val="20"/>
                <w:color w:val="auto"/>
              </w:rPr>
            </w:pPr>
            <w:r>
              <w:rPr>
                <w:rFonts w:ascii="Arial" w:cs="Arial" w:eastAsia="Arial" w:hAnsi="Arial"/>
                <w:sz w:val="16"/>
                <w:szCs w:val="16"/>
                <w:b w:val="1"/>
                <w:bCs w:val="1"/>
                <w:color w:val="333740"/>
              </w:rPr>
              <w:t>Total Cash Incentive</w:t>
            </w:r>
          </w:p>
        </w:tc>
        <w:tc>
          <w:tcPr>
            <w:tcW w:w="1780" w:type="dxa"/>
            <w:vAlign w:val="bottom"/>
            <w:shd w:val="clear" w:color="auto" w:fill="C6BDD5"/>
          </w:tcPr>
          <w:p>
            <w:pPr>
              <w:jc w:val="center"/>
              <w:spacing w:after="0"/>
              <w:rPr>
                <w:sz w:val="20"/>
                <w:szCs w:val="20"/>
                <w:color w:val="auto"/>
              </w:rPr>
            </w:pPr>
            <w:r>
              <w:rPr>
                <w:rFonts w:ascii="Arial" w:cs="Arial" w:eastAsia="Arial" w:hAnsi="Arial"/>
                <w:sz w:val="16"/>
                <w:szCs w:val="16"/>
                <w:b w:val="1"/>
                <w:bCs w:val="1"/>
                <w:color w:val="333740"/>
                <w:w w:val="88"/>
              </w:rPr>
              <w:t>Compensation</w:t>
            </w:r>
          </w:p>
        </w:tc>
        <w:tc>
          <w:tcPr>
            <w:tcW w:w="1580" w:type="dxa"/>
            <w:vAlign w:val="bottom"/>
            <w:shd w:val="clear" w:color="auto" w:fill="C6BDD5"/>
          </w:tcPr>
          <w:p>
            <w:pPr>
              <w:spacing w:after="0"/>
              <w:rPr>
                <w:sz w:val="20"/>
                <w:szCs w:val="20"/>
                <w:color w:val="auto"/>
              </w:rPr>
            </w:pPr>
          </w:p>
        </w:tc>
        <w:tc>
          <w:tcPr>
            <w:tcW w:w="1600" w:type="dxa"/>
            <w:vAlign w:val="bottom"/>
            <w:shd w:val="clear" w:color="auto" w:fill="C6BDD5"/>
          </w:tcPr>
          <w:p>
            <w:pPr>
              <w:spacing w:after="0"/>
              <w:rPr>
                <w:sz w:val="20"/>
                <w:szCs w:val="20"/>
                <w:color w:val="auto"/>
              </w:rPr>
            </w:pPr>
          </w:p>
        </w:tc>
        <w:tc>
          <w:tcPr>
            <w:tcW w:w="1800" w:type="dxa"/>
            <w:vAlign w:val="bottom"/>
            <w:shd w:val="clear" w:color="auto" w:fill="C6BDD5"/>
          </w:tcPr>
          <w:p>
            <w:pPr>
              <w:spacing w:after="0"/>
              <w:rPr>
                <w:sz w:val="20"/>
                <w:szCs w:val="20"/>
                <w:color w:val="auto"/>
              </w:rPr>
            </w:pPr>
          </w:p>
        </w:tc>
        <w:tc>
          <w:tcPr>
            <w:tcW w:w="1540" w:type="dxa"/>
            <w:vAlign w:val="bottom"/>
            <w:shd w:val="clear" w:color="auto" w:fill="C6BDD5"/>
          </w:tcPr>
          <w:p>
            <w:pPr>
              <w:jc w:val="right"/>
              <w:spacing w:after="0"/>
              <w:rPr>
                <w:sz w:val="20"/>
                <w:szCs w:val="20"/>
                <w:color w:val="auto"/>
              </w:rPr>
            </w:pPr>
            <w:r>
              <w:rPr>
                <w:rFonts w:ascii="Arial" w:cs="Arial" w:eastAsia="Arial" w:hAnsi="Arial"/>
                <w:sz w:val="16"/>
                <w:szCs w:val="16"/>
                <w:color w:val="333740"/>
              </w:rPr>
              <w:t>$924,000</w:t>
            </w:r>
          </w:p>
        </w:tc>
        <w:tc>
          <w:tcPr>
            <w:tcW w:w="0" w:type="dxa"/>
            <w:vAlign w:val="bottom"/>
          </w:tcPr>
          <w:p>
            <w:pPr>
              <w:spacing w:after="0"/>
              <w:rPr>
                <w:sz w:val="1"/>
                <w:szCs w:val="1"/>
                <w:color w:val="auto"/>
              </w:rPr>
            </w:pPr>
          </w:p>
        </w:tc>
      </w:tr>
      <w:tr>
        <w:trPr>
          <w:trHeight w:val="48"/>
        </w:trPr>
        <w:tc>
          <w:tcPr>
            <w:tcW w:w="1820" w:type="dxa"/>
            <w:vAlign w:val="bottom"/>
            <w:shd w:val="clear" w:color="auto" w:fill="C6BDD5"/>
          </w:tcPr>
          <w:p>
            <w:pPr>
              <w:spacing w:after="0"/>
              <w:rPr>
                <w:sz w:val="4"/>
                <w:szCs w:val="4"/>
                <w:color w:val="auto"/>
              </w:rPr>
            </w:pPr>
          </w:p>
        </w:tc>
        <w:tc>
          <w:tcPr>
            <w:tcW w:w="1780" w:type="dxa"/>
            <w:vAlign w:val="bottom"/>
            <w:shd w:val="clear" w:color="auto" w:fill="C6BDD5"/>
          </w:tcPr>
          <w:p>
            <w:pPr>
              <w:spacing w:after="0"/>
              <w:rPr>
                <w:sz w:val="4"/>
                <w:szCs w:val="4"/>
                <w:color w:val="auto"/>
              </w:rPr>
            </w:pPr>
          </w:p>
        </w:tc>
        <w:tc>
          <w:tcPr>
            <w:tcW w:w="1580" w:type="dxa"/>
            <w:vAlign w:val="bottom"/>
            <w:shd w:val="clear" w:color="auto" w:fill="C6BDD5"/>
          </w:tcPr>
          <w:p>
            <w:pPr>
              <w:spacing w:after="0"/>
              <w:rPr>
                <w:sz w:val="4"/>
                <w:szCs w:val="4"/>
                <w:color w:val="auto"/>
              </w:rPr>
            </w:pPr>
          </w:p>
        </w:tc>
        <w:tc>
          <w:tcPr>
            <w:tcW w:w="1600" w:type="dxa"/>
            <w:vAlign w:val="bottom"/>
            <w:shd w:val="clear" w:color="auto" w:fill="C6BDD5"/>
          </w:tcPr>
          <w:p>
            <w:pPr>
              <w:spacing w:after="0"/>
              <w:rPr>
                <w:sz w:val="4"/>
                <w:szCs w:val="4"/>
                <w:color w:val="auto"/>
              </w:rPr>
            </w:pPr>
          </w:p>
        </w:tc>
        <w:tc>
          <w:tcPr>
            <w:tcW w:w="1800" w:type="dxa"/>
            <w:vAlign w:val="bottom"/>
            <w:shd w:val="clear" w:color="auto" w:fill="C6BDD5"/>
          </w:tcPr>
          <w:p>
            <w:pPr>
              <w:spacing w:after="0"/>
              <w:rPr>
                <w:sz w:val="4"/>
                <w:szCs w:val="4"/>
                <w:color w:val="auto"/>
              </w:rPr>
            </w:pPr>
          </w:p>
        </w:tc>
        <w:tc>
          <w:tcPr>
            <w:tcW w:w="1540" w:type="dxa"/>
            <w:vAlign w:val="bottom"/>
            <w:shd w:val="clear" w:color="auto" w:fill="C6BDD5"/>
          </w:tcPr>
          <w:p>
            <w:pPr>
              <w:spacing w:after="0"/>
              <w:rPr>
                <w:sz w:val="4"/>
                <w:szCs w:val="4"/>
                <w:color w:val="auto"/>
              </w:rPr>
            </w:pPr>
          </w:p>
        </w:tc>
        <w:tc>
          <w:tcPr>
            <w:tcW w:w="0" w:type="dxa"/>
            <w:vAlign w:val="bottom"/>
          </w:tcPr>
          <w:p>
            <w:pPr>
              <w:spacing w:after="0"/>
              <w:rPr>
                <w:sz w:val="1"/>
                <w:szCs w:val="1"/>
                <w:color w:val="auto"/>
              </w:rPr>
            </w:pPr>
          </w:p>
        </w:tc>
      </w:tr>
    </w:tbl>
    <w:p>
      <w:pPr>
        <w:spacing w:after="0" w:line="381"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481F6E"/>
        </w:rPr>
        <w:t>Long-Term Equity Incentives</w:t>
      </w:r>
    </w:p>
    <w:p>
      <w:pPr>
        <w:spacing w:after="0" w:line="23"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333740"/>
        </w:rPr>
        <w:t>Long-term equity incentive awards, granted in the form of TechnipFMC equity, represent the largest component of each NEO’s annual target compensation opportunity, grounded in our compensation philosophy of paying for performance and aligning executives’ interests with those of our shareholders. Awards are made in the form of three complementary vehicles, providing a balanced focus on performance, sustainable long-term value creation, and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115570</wp:posOffset>
            </wp:positionV>
            <wp:extent cx="5000625" cy="18211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000625" cy="182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64"/>
        <w:spacing w:after="0"/>
        <w:tabs>
          <w:tab w:leader="none" w:pos="1104" w:val="left"/>
        </w:tabs>
        <w:rPr>
          <w:sz w:val="20"/>
          <w:szCs w:val="20"/>
          <w:color w:val="auto"/>
        </w:rPr>
      </w:pPr>
      <w:r>
        <w:rPr>
          <w:rFonts w:ascii="Arial" w:cs="Arial" w:eastAsia="Arial" w:hAnsi="Arial"/>
          <w:sz w:val="13"/>
          <w:szCs w:val="13"/>
          <w:color w:val="333740"/>
        </w:rPr>
        <w:t>(1)</w:t>
      </w:r>
      <w:r>
        <w:rPr>
          <w:sz w:val="20"/>
          <w:szCs w:val="20"/>
          <w:color w:val="auto"/>
        </w:rPr>
        <w:tab/>
      </w:r>
      <w:r>
        <w:rPr>
          <w:rFonts w:ascii="Arial" w:cs="Arial" w:eastAsia="Arial" w:hAnsi="Arial"/>
          <w:sz w:val="11"/>
          <w:szCs w:val="11"/>
          <w:color w:val="333740"/>
        </w:rPr>
        <w:t>In 2020, we will discontinue the use of stock options, and annual equity awards will comprise only PSUs (70%) and RSUs (30%).</w:t>
      </w:r>
    </w:p>
    <w:p>
      <w:pPr>
        <w:spacing w:after="0" w:line="200" w:lineRule="exact"/>
        <w:rPr>
          <w:sz w:val="20"/>
          <w:szCs w:val="20"/>
          <w:color w:val="auto"/>
        </w:rPr>
      </w:pPr>
    </w:p>
    <w:p>
      <w:pPr>
        <w:ind w:left="4" w:right="440"/>
        <w:spacing w:after="0" w:line="309" w:lineRule="auto"/>
        <w:rPr>
          <w:sz w:val="20"/>
          <w:szCs w:val="20"/>
          <w:color w:val="auto"/>
        </w:rPr>
      </w:pPr>
      <w:r>
        <w:rPr>
          <w:rFonts w:ascii="Arial" w:cs="Arial" w:eastAsia="Arial" w:hAnsi="Arial"/>
          <w:sz w:val="15"/>
          <w:szCs w:val="15"/>
          <w:color w:val="333740"/>
        </w:rPr>
        <w:t>The Compensation Committee reviews and approves annual awards for the NEOs on an annual basis. The awards are based on market competitiveness on total target compensation and aim at providing appropriate levels of retention and incentives for achieving the Company’s long-term goals.</w:t>
      </w:r>
    </w:p>
    <w:p>
      <w:pPr>
        <w:spacing w:after="0" w:line="313" w:lineRule="exact"/>
        <w:rPr>
          <w:sz w:val="20"/>
          <w:szCs w:val="20"/>
          <w:color w:val="auto"/>
        </w:rPr>
      </w:pPr>
    </w:p>
    <w:p>
      <w:pPr>
        <w:ind w:left="564" w:hanging="564"/>
        <w:spacing w:after="0"/>
        <w:tabs>
          <w:tab w:leader="none" w:pos="564" w:val="left"/>
        </w:tabs>
        <w:numPr>
          <w:ilvl w:val="0"/>
          <w:numId w:val="93"/>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04"/>
          </w:cols>
          <w:pgMar w:left="316" w:top="128" w:right="579" w:bottom="1440" w:gutter="0" w:footer="0" w:header="0"/>
        </w:sectPr>
      </w:pPr>
    </w:p>
    <w:bookmarkStart w:id="80" w:name="page81"/>
    <w:bookmarkEnd w:id="80"/>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6"/>
          <w:szCs w:val="16"/>
          <w:color w:val="333740"/>
        </w:rPr>
        <w:t>For 2019, the Compensation Committee set the target value of equity awards for each NEO with reference to market median total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133985</wp:posOffset>
            </wp:positionV>
            <wp:extent cx="15240" cy="2959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5240" cy="295910"/>
                    </a:xfrm>
                    <a:prstGeom prst="rect">
                      <a:avLst/>
                    </a:prstGeom>
                    <a:noFill/>
                  </pic:spPr>
                </pic:pic>
              </a:graphicData>
            </a:graphic>
          </wp:anchor>
        </w:drawing>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335"/>
        </w:trPr>
        <w:tc>
          <w:tcPr>
            <w:tcW w:w="4840" w:type="dxa"/>
            <w:vAlign w:val="bottom"/>
            <w:shd w:val="clear" w:color="auto" w:fill="481F6E"/>
          </w:tcPr>
          <w:p>
            <w:pPr>
              <w:ind w:left="40"/>
              <w:spacing w:after="0"/>
              <w:rPr>
                <w:sz w:val="20"/>
                <w:szCs w:val="20"/>
                <w:color w:val="auto"/>
              </w:rPr>
            </w:pPr>
            <w:r>
              <w:rPr>
                <w:rFonts w:ascii="Arial" w:cs="Arial" w:eastAsia="Arial" w:hAnsi="Arial"/>
                <w:sz w:val="16"/>
                <w:szCs w:val="16"/>
                <w:color w:val="FFFFFF"/>
              </w:rPr>
              <w:t>Named Executive Officer</w:t>
            </w:r>
          </w:p>
        </w:tc>
        <w:tc>
          <w:tcPr>
            <w:tcW w:w="6420" w:type="dxa"/>
            <w:vAlign w:val="bottom"/>
            <w:shd w:val="clear" w:color="auto" w:fill="481F6E"/>
          </w:tcPr>
          <w:p>
            <w:pPr>
              <w:jc w:val="center"/>
              <w:ind w:left="2420"/>
              <w:spacing w:after="0"/>
              <w:rPr>
                <w:sz w:val="20"/>
                <w:szCs w:val="20"/>
                <w:color w:val="auto"/>
              </w:rPr>
            </w:pPr>
            <w:r>
              <w:rPr>
                <w:rFonts w:ascii="Arial" w:cs="Arial" w:eastAsia="Arial" w:hAnsi="Arial"/>
                <w:sz w:val="16"/>
                <w:szCs w:val="16"/>
                <w:color w:val="FFFFFF"/>
                <w:w w:val="90"/>
              </w:rPr>
              <w:t>2019 Long-Term Incentive Target Award</w:t>
            </w:r>
          </w:p>
        </w:tc>
      </w:tr>
      <w:tr>
        <w:trPr>
          <w:trHeight w:val="131"/>
        </w:trPr>
        <w:tc>
          <w:tcPr>
            <w:tcW w:w="4840" w:type="dxa"/>
            <w:vAlign w:val="bottom"/>
            <w:shd w:val="clear" w:color="auto" w:fill="481F6E"/>
          </w:tcPr>
          <w:p>
            <w:pPr>
              <w:spacing w:after="0"/>
              <w:rPr>
                <w:sz w:val="11"/>
                <w:szCs w:val="11"/>
                <w:color w:val="auto"/>
              </w:rPr>
            </w:pPr>
          </w:p>
        </w:tc>
        <w:tc>
          <w:tcPr>
            <w:tcW w:w="6420" w:type="dxa"/>
            <w:vAlign w:val="bottom"/>
            <w:shd w:val="clear" w:color="auto" w:fill="481F6E"/>
          </w:tcPr>
          <w:p>
            <w:pPr>
              <w:spacing w:after="0"/>
              <w:rPr>
                <w:sz w:val="11"/>
                <w:szCs w:val="11"/>
                <w:color w:val="auto"/>
              </w:rPr>
            </w:pPr>
          </w:p>
        </w:tc>
      </w:tr>
      <w:tr>
        <w:trPr>
          <w:trHeight w:val="239"/>
        </w:trPr>
        <w:tc>
          <w:tcPr>
            <w:tcW w:w="4840" w:type="dxa"/>
            <w:vAlign w:val="bottom"/>
          </w:tcPr>
          <w:p>
            <w:pPr>
              <w:ind w:left="40"/>
              <w:spacing w:after="0"/>
              <w:rPr>
                <w:sz w:val="20"/>
                <w:szCs w:val="20"/>
                <w:color w:val="auto"/>
              </w:rPr>
            </w:pPr>
            <w:r>
              <w:rPr>
                <w:rFonts w:ascii="Arial" w:cs="Arial" w:eastAsia="Arial" w:hAnsi="Arial"/>
                <w:sz w:val="16"/>
                <w:szCs w:val="16"/>
                <w:b w:val="1"/>
                <w:bCs w:val="1"/>
                <w:color w:val="333740"/>
              </w:rPr>
              <w:t>Douglas J. Pferdehirt</w:t>
            </w:r>
          </w:p>
        </w:tc>
        <w:tc>
          <w:tcPr>
            <w:tcW w:w="6420" w:type="dxa"/>
            <w:vAlign w:val="bottom"/>
          </w:tcPr>
          <w:p>
            <w:pPr>
              <w:jc w:val="center"/>
              <w:ind w:left="2380"/>
              <w:spacing w:after="0"/>
              <w:rPr>
                <w:sz w:val="20"/>
                <w:szCs w:val="20"/>
                <w:color w:val="auto"/>
              </w:rPr>
            </w:pPr>
            <w:r>
              <w:rPr>
                <w:rFonts w:ascii="Arial" w:cs="Arial" w:eastAsia="Arial" w:hAnsi="Arial"/>
                <w:sz w:val="16"/>
                <w:szCs w:val="16"/>
                <w:color w:val="333740"/>
                <w:w w:val="89"/>
              </w:rPr>
              <w:t>$9,700,000</w:t>
            </w:r>
          </w:p>
        </w:tc>
      </w:tr>
      <w:tr>
        <w:trPr>
          <w:trHeight w:val="287"/>
        </w:trPr>
        <w:tc>
          <w:tcPr>
            <w:tcW w:w="4840" w:type="dxa"/>
            <w:vAlign w:val="bottom"/>
          </w:tcPr>
          <w:p>
            <w:pPr>
              <w:ind w:left="40"/>
              <w:spacing w:after="0"/>
              <w:rPr>
                <w:sz w:val="20"/>
                <w:szCs w:val="20"/>
                <w:color w:val="auto"/>
              </w:rPr>
            </w:pPr>
            <w:r>
              <w:rPr>
                <w:rFonts w:ascii="Arial" w:cs="Arial" w:eastAsia="Arial" w:hAnsi="Arial"/>
                <w:sz w:val="16"/>
                <w:szCs w:val="16"/>
                <w:b w:val="1"/>
                <w:bCs w:val="1"/>
                <w:color w:val="333740"/>
              </w:rPr>
              <w:t>Maryann T. Mannen</w:t>
            </w:r>
          </w:p>
        </w:tc>
        <w:tc>
          <w:tcPr>
            <w:tcW w:w="6420" w:type="dxa"/>
            <w:vAlign w:val="bottom"/>
          </w:tcPr>
          <w:p>
            <w:pPr>
              <w:jc w:val="center"/>
              <w:ind w:left="2380"/>
              <w:spacing w:after="0"/>
              <w:rPr>
                <w:sz w:val="20"/>
                <w:szCs w:val="20"/>
                <w:color w:val="auto"/>
              </w:rPr>
            </w:pPr>
            <w:r>
              <w:rPr>
                <w:rFonts w:ascii="Arial" w:cs="Arial" w:eastAsia="Arial" w:hAnsi="Arial"/>
                <w:sz w:val="16"/>
                <w:szCs w:val="16"/>
                <w:color w:val="333740"/>
                <w:w w:val="89"/>
              </w:rPr>
              <w:t>$3,100,000</w:t>
            </w:r>
          </w:p>
        </w:tc>
      </w:tr>
      <w:tr>
        <w:trPr>
          <w:trHeight w:val="287"/>
        </w:trPr>
        <w:tc>
          <w:tcPr>
            <w:tcW w:w="4840" w:type="dxa"/>
            <w:vAlign w:val="bottom"/>
          </w:tcPr>
          <w:p>
            <w:pPr>
              <w:ind w:left="40"/>
              <w:spacing w:after="0"/>
              <w:rPr>
                <w:sz w:val="20"/>
                <w:szCs w:val="20"/>
                <w:color w:val="auto"/>
              </w:rPr>
            </w:pPr>
            <w:r>
              <w:rPr>
                <w:rFonts w:ascii="Arial" w:cs="Arial" w:eastAsia="Arial" w:hAnsi="Arial"/>
                <w:sz w:val="16"/>
                <w:szCs w:val="16"/>
                <w:b w:val="1"/>
                <w:bCs w:val="1"/>
                <w:color w:val="333740"/>
              </w:rPr>
              <w:t>Dianne B. Ralston</w:t>
            </w:r>
          </w:p>
        </w:tc>
        <w:tc>
          <w:tcPr>
            <w:tcW w:w="6420" w:type="dxa"/>
            <w:vAlign w:val="bottom"/>
          </w:tcPr>
          <w:p>
            <w:pPr>
              <w:jc w:val="center"/>
              <w:ind w:left="2380"/>
              <w:spacing w:after="0"/>
              <w:rPr>
                <w:sz w:val="20"/>
                <w:szCs w:val="20"/>
                <w:color w:val="auto"/>
              </w:rPr>
            </w:pPr>
            <w:r>
              <w:rPr>
                <w:rFonts w:ascii="Arial" w:cs="Arial" w:eastAsia="Arial" w:hAnsi="Arial"/>
                <w:sz w:val="16"/>
                <w:szCs w:val="16"/>
                <w:color w:val="333740"/>
                <w:w w:val="89"/>
              </w:rPr>
              <w:t>$2,100,000</w:t>
            </w:r>
          </w:p>
        </w:tc>
      </w:tr>
      <w:tr>
        <w:trPr>
          <w:trHeight w:val="287"/>
        </w:trPr>
        <w:tc>
          <w:tcPr>
            <w:tcW w:w="4840" w:type="dxa"/>
            <w:vAlign w:val="bottom"/>
          </w:tcPr>
          <w:p>
            <w:pPr>
              <w:ind w:left="40"/>
              <w:spacing w:after="0"/>
              <w:rPr>
                <w:sz w:val="20"/>
                <w:szCs w:val="20"/>
                <w:color w:val="auto"/>
              </w:rPr>
            </w:pPr>
            <w:r>
              <w:rPr>
                <w:rFonts w:ascii="Arial" w:cs="Arial" w:eastAsia="Arial" w:hAnsi="Arial"/>
                <w:sz w:val="16"/>
                <w:szCs w:val="16"/>
                <w:b w:val="1"/>
                <w:bCs w:val="1"/>
                <w:color w:val="333740"/>
              </w:rPr>
              <w:t>Justin Rounce</w:t>
            </w:r>
          </w:p>
        </w:tc>
        <w:tc>
          <w:tcPr>
            <w:tcW w:w="6420" w:type="dxa"/>
            <w:vAlign w:val="bottom"/>
          </w:tcPr>
          <w:p>
            <w:pPr>
              <w:jc w:val="center"/>
              <w:ind w:left="2380"/>
              <w:spacing w:after="0"/>
              <w:rPr>
                <w:sz w:val="20"/>
                <w:szCs w:val="20"/>
                <w:color w:val="auto"/>
              </w:rPr>
            </w:pPr>
            <w:r>
              <w:rPr>
                <w:rFonts w:ascii="Arial" w:cs="Arial" w:eastAsia="Arial" w:hAnsi="Arial"/>
                <w:sz w:val="16"/>
                <w:szCs w:val="16"/>
                <w:color w:val="333740"/>
                <w:w w:val="89"/>
              </w:rPr>
              <w:t>$1,800,000</w:t>
            </w:r>
          </w:p>
        </w:tc>
      </w:tr>
      <w:tr>
        <w:trPr>
          <w:trHeight w:val="287"/>
        </w:trPr>
        <w:tc>
          <w:tcPr>
            <w:tcW w:w="4840" w:type="dxa"/>
            <w:vAlign w:val="bottom"/>
          </w:tcPr>
          <w:p>
            <w:pPr>
              <w:ind w:left="40"/>
              <w:spacing w:after="0"/>
              <w:rPr>
                <w:sz w:val="20"/>
                <w:szCs w:val="20"/>
                <w:color w:val="auto"/>
              </w:rPr>
            </w:pPr>
            <w:r>
              <w:rPr>
                <w:rFonts w:ascii="Arial" w:cs="Arial" w:eastAsia="Arial" w:hAnsi="Arial"/>
                <w:sz w:val="16"/>
                <w:szCs w:val="16"/>
                <w:b w:val="1"/>
                <w:bCs w:val="1"/>
                <w:color w:val="333740"/>
              </w:rPr>
              <w:t>Nello Uccelletti</w:t>
            </w:r>
          </w:p>
        </w:tc>
        <w:tc>
          <w:tcPr>
            <w:tcW w:w="6420" w:type="dxa"/>
            <w:vAlign w:val="bottom"/>
          </w:tcPr>
          <w:p>
            <w:pPr>
              <w:jc w:val="center"/>
              <w:ind w:left="2380"/>
              <w:spacing w:after="0"/>
              <w:rPr>
                <w:sz w:val="20"/>
                <w:szCs w:val="20"/>
                <w:color w:val="auto"/>
              </w:rPr>
            </w:pPr>
            <w:r>
              <w:rPr>
                <w:rFonts w:ascii="Arial" w:cs="Arial" w:eastAsia="Arial" w:hAnsi="Arial"/>
                <w:sz w:val="16"/>
                <w:szCs w:val="16"/>
                <w:color w:val="333740"/>
                <w:w w:val="89"/>
              </w:rPr>
              <w:t>$1,300,000</w:t>
            </w:r>
          </w:p>
        </w:tc>
      </w:tr>
    </w:tbl>
    <w:p>
      <w:pPr>
        <w:spacing w:after="0" w:line="22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2019 Performance Stock Unit Awards (60% of Equity Award)</w:t>
      </w:r>
    </w:p>
    <w:p>
      <w:pPr>
        <w:spacing w:after="0" w:line="24" w:lineRule="exact"/>
        <w:rPr>
          <w:sz w:val="20"/>
          <w:szCs w:val="20"/>
          <w:color w:val="auto"/>
        </w:rPr>
      </w:pPr>
    </w:p>
    <w:p>
      <w:pPr>
        <w:ind w:left="4" w:right="60"/>
        <w:spacing w:after="0" w:line="258" w:lineRule="auto"/>
        <w:rPr>
          <w:sz w:val="20"/>
          <w:szCs w:val="20"/>
          <w:color w:val="auto"/>
        </w:rPr>
      </w:pPr>
      <w:r>
        <w:rPr>
          <w:rFonts w:ascii="Arial" w:cs="Arial" w:eastAsia="Arial" w:hAnsi="Arial"/>
          <w:sz w:val="16"/>
          <w:szCs w:val="16"/>
          <w:color w:val="333740"/>
        </w:rPr>
        <w:t>The Compensation Committee sets the performance targets associated with PSU awards prior to the beginning of each three-year performance period. For awards in 2019, PSU awards comprised 60% of the total long-term equity award and included the following two equally weighted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8195" cy="13963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8195" cy="1396365"/>
                    </a:xfrm>
                    <a:prstGeom prst="rect">
                      <a:avLst/>
                    </a:prstGeom>
                    <a:noFill/>
                  </pic:spPr>
                </pic:pic>
              </a:graphicData>
            </a:graphic>
          </wp:anchor>
        </w:drawing>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335"/>
        </w:trPr>
        <w:tc>
          <w:tcPr>
            <w:tcW w:w="2260" w:type="dxa"/>
            <w:vAlign w:val="bottom"/>
            <w:shd w:val="clear" w:color="auto" w:fill="481F6E"/>
          </w:tcPr>
          <w:p>
            <w:pPr>
              <w:ind w:left="180"/>
              <w:spacing w:after="0"/>
              <w:rPr>
                <w:sz w:val="20"/>
                <w:szCs w:val="20"/>
                <w:color w:val="auto"/>
              </w:rPr>
            </w:pPr>
            <w:r>
              <w:rPr>
                <w:rFonts w:ascii="Arial" w:cs="Arial" w:eastAsia="Arial" w:hAnsi="Arial"/>
                <w:sz w:val="16"/>
                <w:szCs w:val="16"/>
                <w:color w:val="FFFFFF"/>
              </w:rPr>
              <w:t>PSU Measure</w:t>
            </w:r>
          </w:p>
        </w:tc>
        <w:tc>
          <w:tcPr>
            <w:tcW w:w="1600" w:type="dxa"/>
            <w:vAlign w:val="bottom"/>
            <w:shd w:val="clear" w:color="auto" w:fill="00B2EC"/>
          </w:tcPr>
          <w:p>
            <w:pPr>
              <w:ind w:left="200"/>
              <w:spacing w:after="0"/>
              <w:rPr>
                <w:sz w:val="20"/>
                <w:szCs w:val="20"/>
                <w:color w:val="auto"/>
              </w:rPr>
            </w:pPr>
            <w:r>
              <w:rPr>
                <w:rFonts w:ascii="Arial" w:cs="Arial" w:eastAsia="Arial" w:hAnsi="Arial"/>
                <w:sz w:val="16"/>
                <w:szCs w:val="16"/>
                <w:color w:val="FFFFFF"/>
              </w:rPr>
              <w:t>Weighting</w:t>
            </w:r>
          </w:p>
        </w:tc>
        <w:tc>
          <w:tcPr>
            <w:tcW w:w="3200" w:type="dxa"/>
            <w:vAlign w:val="bottom"/>
            <w:shd w:val="clear" w:color="auto" w:fill="00B2EC"/>
          </w:tcPr>
          <w:p>
            <w:pPr>
              <w:ind w:left="240"/>
              <w:spacing w:after="0"/>
              <w:rPr>
                <w:sz w:val="20"/>
                <w:szCs w:val="20"/>
                <w:color w:val="auto"/>
              </w:rPr>
            </w:pPr>
            <w:r>
              <w:rPr>
                <w:rFonts w:ascii="Arial" w:cs="Arial" w:eastAsia="Arial" w:hAnsi="Arial"/>
                <w:sz w:val="16"/>
                <w:szCs w:val="16"/>
                <w:color w:val="FFFFFF"/>
              </w:rPr>
              <w:t>Definition</w:t>
            </w:r>
          </w:p>
        </w:tc>
        <w:tc>
          <w:tcPr>
            <w:tcW w:w="4200" w:type="dxa"/>
            <w:vAlign w:val="bottom"/>
            <w:shd w:val="clear" w:color="auto" w:fill="D72930"/>
          </w:tcPr>
          <w:p>
            <w:pPr>
              <w:ind w:left="200"/>
              <w:spacing w:after="0"/>
              <w:rPr>
                <w:sz w:val="20"/>
                <w:szCs w:val="20"/>
                <w:color w:val="auto"/>
              </w:rPr>
            </w:pPr>
            <w:r>
              <w:rPr>
                <w:rFonts w:ascii="Arial" w:cs="Arial" w:eastAsia="Arial" w:hAnsi="Arial"/>
                <w:sz w:val="16"/>
                <w:szCs w:val="16"/>
                <w:color w:val="FFFFFF"/>
              </w:rPr>
              <w:t>Why It Matters</w:t>
            </w:r>
          </w:p>
        </w:tc>
      </w:tr>
      <w:tr>
        <w:trPr>
          <w:trHeight w:val="131"/>
        </w:trPr>
        <w:tc>
          <w:tcPr>
            <w:tcW w:w="2260" w:type="dxa"/>
            <w:vAlign w:val="bottom"/>
            <w:shd w:val="clear" w:color="auto" w:fill="481F6E"/>
          </w:tcPr>
          <w:p>
            <w:pPr>
              <w:spacing w:after="0"/>
              <w:rPr>
                <w:sz w:val="11"/>
                <w:szCs w:val="11"/>
                <w:color w:val="auto"/>
              </w:rPr>
            </w:pPr>
          </w:p>
        </w:tc>
        <w:tc>
          <w:tcPr>
            <w:tcW w:w="1600" w:type="dxa"/>
            <w:vAlign w:val="bottom"/>
            <w:shd w:val="clear" w:color="auto" w:fill="00B2EC"/>
          </w:tcPr>
          <w:p>
            <w:pPr>
              <w:spacing w:after="0"/>
              <w:rPr>
                <w:sz w:val="11"/>
                <w:szCs w:val="11"/>
                <w:color w:val="auto"/>
              </w:rPr>
            </w:pPr>
          </w:p>
        </w:tc>
        <w:tc>
          <w:tcPr>
            <w:tcW w:w="3200" w:type="dxa"/>
            <w:vAlign w:val="bottom"/>
            <w:shd w:val="clear" w:color="auto" w:fill="00B2EC"/>
          </w:tcPr>
          <w:p>
            <w:pPr>
              <w:spacing w:after="0"/>
              <w:rPr>
                <w:sz w:val="11"/>
                <w:szCs w:val="11"/>
                <w:color w:val="auto"/>
              </w:rPr>
            </w:pPr>
          </w:p>
        </w:tc>
        <w:tc>
          <w:tcPr>
            <w:tcW w:w="4200" w:type="dxa"/>
            <w:vAlign w:val="bottom"/>
            <w:shd w:val="clear" w:color="auto" w:fill="D72930"/>
          </w:tcPr>
          <w:p>
            <w:pPr>
              <w:spacing w:after="0"/>
              <w:rPr>
                <w:sz w:val="11"/>
                <w:szCs w:val="11"/>
                <w:color w:val="auto"/>
              </w:rPr>
            </w:pPr>
          </w:p>
        </w:tc>
      </w:tr>
      <w:tr>
        <w:trPr>
          <w:trHeight w:val="226"/>
        </w:trPr>
        <w:tc>
          <w:tcPr>
            <w:tcW w:w="226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333740"/>
              </w:rPr>
              <w:t>ROIC</w:t>
            </w:r>
          </w:p>
        </w:tc>
        <w:tc>
          <w:tcPr>
            <w:tcW w:w="160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30% of total long-</w:t>
            </w:r>
          </w:p>
        </w:tc>
        <w:tc>
          <w:tcPr>
            <w:tcW w:w="3200" w:type="dxa"/>
            <w:vAlign w:val="bottom"/>
            <w:shd w:val="clear" w:color="auto" w:fill="D7D8D6"/>
          </w:tcPr>
          <w:p>
            <w:pPr>
              <w:ind w:left="240"/>
              <w:spacing w:after="0"/>
              <w:rPr>
                <w:sz w:val="20"/>
                <w:szCs w:val="20"/>
                <w:color w:val="auto"/>
              </w:rPr>
            </w:pPr>
            <w:r>
              <w:rPr>
                <w:rFonts w:ascii="Arial" w:cs="Arial" w:eastAsia="Arial" w:hAnsi="Arial"/>
                <w:sz w:val="16"/>
                <w:szCs w:val="16"/>
                <w:color w:val="333740"/>
              </w:rPr>
              <w:t>Annual net income divided by equity plus</w:t>
            </w:r>
          </w:p>
        </w:tc>
        <w:tc>
          <w:tcPr>
            <w:tcW w:w="4200" w:type="dxa"/>
            <w:vAlign w:val="bottom"/>
            <w:shd w:val="clear" w:color="auto" w:fill="D7D8D6"/>
          </w:tcPr>
          <w:p>
            <w:pPr>
              <w:ind w:left="200"/>
              <w:spacing w:after="0"/>
              <w:rPr>
                <w:sz w:val="20"/>
                <w:szCs w:val="20"/>
                <w:color w:val="auto"/>
              </w:rPr>
            </w:pPr>
            <w:r>
              <w:rPr>
                <w:rFonts w:ascii="Arial" w:cs="Arial" w:eastAsia="Arial" w:hAnsi="Arial"/>
                <w:sz w:val="16"/>
                <w:szCs w:val="16"/>
                <w:color w:val="333740"/>
                <w:w w:val="95"/>
              </w:rPr>
              <w:t>Assesses our profitability and how effectively the Company</w:t>
            </w:r>
          </w:p>
        </w:tc>
      </w:tr>
      <w:tr>
        <w:trPr>
          <w:trHeight w:val="191"/>
        </w:trPr>
        <w:tc>
          <w:tcPr>
            <w:tcW w:w="2260" w:type="dxa"/>
            <w:vAlign w:val="bottom"/>
            <w:shd w:val="clear" w:color="auto" w:fill="D7D8D6"/>
          </w:tcPr>
          <w:p>
            <w:pPr>
              <w:spacing w:after="0"/>
              <w:rPr>
                <w:sz w:val="16"/>
                <w:szCs w:val="16"/>
                <w:color w:val="auto"/>
              </w:rPr>
            </w:pPr>
          </w:p>
        </w:tc>
        <w:tc>
          <w:tcPr>
            <w:tcW w:w="160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term equity</w:t>
            </w:r>
          </w:p>
        </w:tc>
        <w:tc>
          <w:tcPr>
            <w:tcW w:w="3200" w:type="dxa"/>
            <w:vAlign w:val="bottom"/>
            <w:shd w:val="clear" w:color="auto" w:fill="D7D8D6"/>
          </w:tcPr>
          <w:p>
            <w:pPr>
              <w:ind w:left="240"/>
              <w:spacing w:after="0"/>
              <w:rPr>
                <w:sz w:val="20"/>
                <w:szCs w:val="20"/>
                <w:color w:val="auto"/>
              </w:rPr>
            </w:pPr>
            <w:r>
              <w:rPr>
                <w:rFonts w:ascii="Arial" w:cs="Arial" w:eastAsia="Arial" w:hAnsi="Arial"/>
                <w:sz w:val="16"/>
                <w:szCs w:val="16"/>
                <w:color w:val="333740"/>
              </w:rPr>
              <w:t>long-term debt</w:t>
            </w:r>
          </w:p>
        </w:tc>
        <w:tc>
          <w:tcPr>
            <w:tcW w:w="4200" w:type="dxa"/>
            <w:vAlign w:val="bottom"/>
            <w:shd w:val="clear" w:color="auto" w:fill="D7D8D6"/>
          </w:tcPr>
          <w:p>
            <w:pPr>
              <w:ind w:left="200"/>
              <w:spacing w:after="0"/>
              <w:rPr>
                <w:sz w:val="20"/>
                <w:szCs w:val="20"/>
                <w:color w:val="auto"/>
              </w:rPr>
            </w:pPr>
            <w:r>
              <w:rPr>
                <w:rFonts w:ascii="Arial" w:cs="Arial" w:eastAsia="Arial" w:hAnsi="Arial"/>
                <w:sz w:val="16"/>
                <w:szCs w:val="16"/>
                <w:color w:val="333740"/>
                <w:w w:val="90"/>
              </w:rPr>
              <w:t>is using capital over the three-year period to generate income.</w:t>
            </w:r>
          </w:p>
        </w:tc>
      </w:tr>
      <w:tr>
        <w:trPr>
          <w:trHeight w:val="191"/>
        </w:trPr>
        <w:tc>
          <w:tcPr>
            <w:tcW w:w="2260" w:type="dxa"/>
            <w:vAlign w:val="bottom"/>
            <w:shd w:val="clear" w:color="auto" w:fill="D7D8D6"/>
          </w:tcPr>
          <w:p>
            <w:pPr>
              <w:spacing w:after="0"/>
              <w:rPr>
                <w:sz w:val="16"/>
                <w:szCs w:val="16"/>
                <w:color w:val="auto"/>
              </w:rPr>
            </w:pPr>
          </w:p>
        </w:tc>
        <w:tc>
          <w:tcPr>
            <w:tcW w:w="1600" w:type="dxa"/>
            <w:vAlign w:val="bottom"/>
            <w:shd w:val="clear" w:color="auto" w:fill="D7D8D6"/>
          </w:tcPr>
          <w:p>
            <w:pPr>
              <w:spacing w:after="0"/>
              <w:rPr>
                <w:sz w:val="16"/>
                <w:szCs w:val="16"/>
                <w:color w:val="auto"/>
              </w:rPr>
            </w:pPr>
          </w:p>
        </w:tc>
        <w:tc>
          <w:tcPr>
            <w:tcW w:w="3200" w:type="dxa"/>
            <w:vAlign w:val="bottom"/>
            <w:shd w:val="clear" w:color="auto" w:fill="D7D8D6"/>
          </w:tcPr>
          <w:p>
            <w:pPr>
              <w:spacing w:after="0"/>
              <w:rPr>
                <w:sz w:val="16"/>
                <w:szCs w:val="16"/>
                <w:color w:val="auto"/>
              </w:rPr>
            </w:pPr>
          </w:p>
        </w:tc>
        <w:tc>
          <w:tcPr>
            <w:tcW w:w="420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Given the capital-intensive nature of our business, it is</w:t>
            </w:r>
          </w:p>
        </w:tc>
      </w:tr>
      <w:tr>
        <w:trPr>
          <w:trHeight w:val="204"/>
        </w:trPr>
        <w:tc>
          <w:tcPr>
            <w:tcW w:w="2260" w:type="dxa"/>
            <w:vAlign w:val="bottom"/>
            <w:shd w:val="clear" w:color="auto" w:fill="D7D8D6"/>
          </w:tcPr>
          <w:p>
            <w:pPr>
              <w:spacing w:after="0"/>
              <w:rPr>
                <w:sz w:val="17"/>
                <w:szCs w:val="17"/>
                <w:color w:val="auto"/>
              </w:rPr>
            </w:pPr>
          </w:p>
        </w:tc>
        <w:tc>
          <w:tcPr>
            <w:tcW w:w="1600" w:type="dxa"/>
            <w:vAlign w:val="bottom"/>
            <w:shd w:val="clear" w:color="auto" w:fill="D7D8D6"/>
          </w:tcPr>
          <w:p>
            <w:pPr>
              <w:spacing w:after="0"/>
              <w:rPr>
                <w:sz w:val="17"/>
                <w:szCs w:val="17"/>
                <w:color w:val="auto"/>
              </w:rPr>
            </w:pPr>
          </w:p>
        </w:tc>
        <w:tc>
          <w:tcPr>
            <w:tcW w:w="3200" w:type="dxa"/>
            <w:vAlign w:val="bottom"/>
            <w:shd w:val="clear" w:color="auto" w:fill="D7D8D6"/>
          </w:tcPr>
          <w:p>
            <w:pPr>
              <w:spacing w:after="0"/>
              <w:rPr>
                <w:sz w:val="17"/>
                <w:szCs w:val="17"/>
                <w:color w:val="auto"/>
              </w:rPr>
            </w:pPr>
          </w:p>
        </w:tc>
        <w:tc>
          <w:tcPr>
            <w:tcW w:w="4200" w:type="dxa"/>
            <w:vAlign w:val="bottom"/>
            <w:shd w:val="clear" w:color="auto" w:fill="D7D8D6"/>
          </w:tcPr>
          <w:p>
            <w:pPr>
              <w:ind w:left="200"/>
              <w:spacing w:after="0"/>
              <w:rPr>
                <w:sz w:val="20"/>
                <w:szCs w:val="20"/>
                <w:color w:val="auto"/>
              </w:rPr>
            </w:pPr>
            <w:r>
              <w:rPr>
                <w:rFonts w:ascii="Arial" w:cs="Arial" w:eastAsia="Arial" w:hAnsi="Arial"/>
                <w:sz w:val="16"/>
                <w:szCs w:val="16"/>
                <w:color w:val="333740"/>
                <w:w w:val="96"/>
              </w:rPr>
              <w:t>critical that we effectively use our investments and assets.</w:t>
            </w:r>
          </w:p>
        </w:tc>
      </w:tr>
      <w:tr>
        <w:trPr>
          <w:trHeight w:val="286"/>
        </w:trPr>
        <w:tc>
          <w:tcPr>
            <w:tcW w:w="226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333740"/>
              </w:rPr>
              <w:t>Relative TSR</w:t>
            </w:r>
          </w:p>
        </w:tc>
        <w:tc>
          <w:tcPr>
            <w:tcW w:w="160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30% of total long-</w:t>
            </w:r>
          </w:p>
        </w:tc>
        <w:tc>
          <w:tcPr>
            <w:tcW w:w="3200" w:type="dxa"/>
            <w:vAlign w:val="bottom"/>
            <w:shd w:val="clear" w:color="auto" w:fill="D7D8D6"/>
          </w:tcPr>
          <w:p>
            <w:pPr>
              <w:ind w:left="240"/>
              <w:spacing w:after="0"/>
              <w:rPr>
                <w:sz w:val="20"/>
                <w:szCs w:val="20"/>
                <w:color w:val="auto"/>
              </w:rPr>
            </w:pPr>
            <w:r>
              <w:rPr>
                <w:rFonts w:ascii="Arial" w:cs="Arial" w:eastAsia="Arial" w:hAnsi="Arial"/>
                <w:sz w:val="16"/>
                <w:szCs w:val="16"/>
                <w:color w:val="333740"/>
                <w:w w:val="97"/>
              </w:rPr>
              <w:t>Cumulative three-year increase in volume-</w:t>
            </w:r>
          </w:p>
        </w:tc>
        <w:tc>
          <w:tcPr>
            <w:tcW w:w="420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Assesses our overall performance in the eyes of our</w:t>
            </w:r>
          </w:p>
        </w:tc>
      </w:tr>
      <w:tr>
        <w:trPr>
          <w:trHeight w:val="191"/>
        </w:trPr>
        <w:tc>
          <w:tcPr>
            <w:tcW w:w="2260" w:type="dxa"/>
            <w:vAlign w:val="bottom"/>
            <w:shd w:val="clear" w:color="auto" w:fill="D7D8D6"/>
          </w:tcPr>
          <w:p>
            <w:pPr>
              <w:spacing w:after="0"/>
              <w:rPr>
                <w:sz w:val="16"/>
                <w:szCs w:val="16"/>
                <w:color w:val="auto"/>
              </w:rPr>
            </w:pPr>
          </w:p>
        </w:tc>
        <w:tc>
          <w:tcPr>
            <w:tcW w:w="160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term equity</w:t>
            </w:r>
          </w:p>
        </w:tc>
        <w:tc>
          <w:tcPr>
            <w:tcW w:w="3200" w:type="dxa"/>
            <w:vAlign w:val="bottom"/>
            <w:shd w:val="clear" w:color="auto" w:fill="D7D8D6"/>
          </w:tcPr>
          <w:p>
            <w:pPr>
              <w:ind w:left="240"/>
              <w:spacing w:after="0"/>
              <w:rPr>
                <w:sz w:val="20"/>
                <w:szCs w:val="20"/>
                <w:color w:val="auto"/>
              </w:rPr>
            </w:pPr>
            <w:r>
              <w:rPr>
                <w:rFonts w:ascii="Arial" w:cs="Arial" w:eastAsia="Arial" w:hAnsi="Arial"/>
                <w:sz w:val="16"/>
                <w:szCs w:val="16"/>
                <w:color w:val="333740"/>
              </w:rPr>
              <w:t>weighted average price and reinvested</w:t>
            </w:r>
          </w:p>
        </w:tc>
        <w:tc>
          <w:tcPr>
            <w:tcW w:w="420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shareholders and the broader stock market, relative to</w:t>
            </w:r>
          </w:p>
        </w:tc>
      </w:tr>
      <w:tr>
        <w:trPr>
          <w:trHeight w:val="191"/>
        </w:trPr>
        <w:tc>
          <w:tcPr>
            <w:tcW w:w="2260" w:type="dxa"/>
            <w:vAlign w:val="bottom"/>
            <w:shd w:val="clear" w:color="auto" w:fill="D7D8D6"/>
          </w:tcPr>
          <w:p>
            <w:pPr>
              <w:spacing w:after="0"/>
              <w:rPr>
                <w:sz w:val="16"/>
                <w:szCs w:val="16"/>
                <w:color w:val="auto"/>
              </w:rPr>
            </w:pPr>
          </w:p>
        </w:tc>
        <w:tc>
          <w:tcPr>
            <w:tcW w:w="1600" w:type="dxa"/>
            <w:vAlign w:val="bottom"/>
            <w:shd w:val="clear" w:color="auto" w:fill="D7D8D6"/>
          </w:tcPr>
          <w:p>
            <w:pPr>
              <w:spacing w:after="0"/>
              <w:rPr>
                <w:sz w:val="16"/>
                <w:szCs w:val="16"/>
                <w:color w:val="auto"/>
              </w:rPr>
            </w:pPr>
          </w:p>
        </w:tc>
        <w:tc>
          <w:tcPr>
            <w:tcW w:w="3200" w:type="dxa"/>
            <w:vAlign w:val="bottom"/>
            <w:shd w:val="clear" w:color="auto" w:fill="D7D8D6"/>
          </w:tcPr>
          <w:p>
            <w:pPr>
              <w:ind w:left="240"/>
              <w:spacing w:after="0"/>
              <w:rPr>
                <w:sz w:val="20"/>
                <w:szCs w:val="20"/>
                <w:color w:val="auto"/>
              </w:rPr>
            </w:pPr>
            <w:r>
              <w:rPr>
                <w:rFonts w:ascii="Arial" w:cs="Arial" w:eastAsia="Arial" w:hAnsi="Arial"/>
                <w:sz w:val="16"/>
                <w:szCs w:val="16"/>
                <w:color w:val="333740"/>
              </w:rPr>
              <w:t>dividends relative to peers</w:t>
            </w:r>
          </w:p>
        </w:tc>
        <w:tc>
          <w:tcPr>
            <w:tcW w:w="420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companies with whom we compete for customers and</w:t>
            </w:r>
          </w:p>
        </w:tc>
      </w:tr>
      <w:tr>
        <w:trPr>
          <w:trHeight w:val="204"/>
        </w:trPr>
        <w:tc>
          <w:tcPr>
            <w:tcW w:w="2260" w:type="dxa"/>
            <w:vAlign w:val="bottom"/>
            <w:shd w:val="clear" w:color="auto" w:fill="D7D8D6"/>
          </w:tcPr>
          <w:p>
            <w:pPr>
              <w:spacing w:after="0"/>
              <w:rPr>
                <w:sz w:val="17"/>
                <w:szCs w:val="17"/>
                <w:color w:val="auto"/>
              </w:rPr>
            </w:pPr>
          </w:p>
        </w:tc>
        <w:tc>
          <w:tcPr>
            <w:tcW w:w="1600" w:type="dxa"/>
            <w:vAlign w:val="bottom"/>
            <w:shd w:val="clear" w:color="auto" w:fill="D7D8D6"/>
          </w:tcPr>
          <w:p>
            <w:pPr>
              <w:spacing w:after="0"/>
              <w:rPr>
                <w:sz w:val="17"/>
                <w:szCs w:val="17"/>
                <w:color w:val="auto"/>
              </w:rPr>
            </w:pPr>
          </w:p>
        </w:tc>
        <w:tc>
          <w:tcPr>
            <w:tcW w:w="3200" w:type="dxa"/>
            <w:vAlign w:val="bottom"/>
            <w:shd w:val="clear" w:color="auto" w:fill="D7D8D6"/>
          </w:tcPr>
          <w:p>
            <w:pPr>
              <w:spacing w:after="0"/>
              <w:rPr>
                <w:sz w:val="17"/>
                <w:szCs w:val="17"/>
                <w:color w:val="auto"/>
              </w:rPr>
            </w:pPr>
          </w:p>
        </w:tc>
        <w:tc>
          <w:tcPr>
            <w:tcW w:w="4200" w:type="dxa"/>
            <w:vAlign w:val="bottom"/>
            <w:shd w:val="clear" w:color="auto" w:fill="D7D8D6"/>
          </w:tcPr>
          <w:p>
            <w:pPr>
              <w:ind w:left="200"/>
              <w:spacing w:after="0"/>
              <w:rPr>
                <w:sz w:val="20"/>
                <w:szCs w:val="20"/>
                <w:color w:val="auto"/>
              </w:rPr>
            </w:pPr>
            <w:r>
              <w:rPr>
                <w:rFonts w:ascii="Arial" w:cs="Arial" w:eastAsia="Arial" w:hAnsi="Arial"/>
                <w:sz w:val="16"/>
                <w:szCs w:val="16"/>
                <w:color w:val="333740"/>
                <w:w w:val="92"/>
              </w:rPr>
              <w:t>investors that are subject to similar macro- economic factors.</w:t>
            </w:r>
          </w:p>
        </w:tc>
      </w:tr>
      <w:tr>
        <w:trPr>
          <w:trHeight w:val="48"/>
        </w:trPr>
        <w:tc>
          <w:tcPr>
            <w:tcW w:w="2260" w:type="dxa"/>
            <w:vAlign w:val="bottom"/>
            <w:shd w:val="clear" w:color="auto" w:fill="D7D8D6"/>
          </w:tcPr>
          <w:p>
            <w:pPr>
              <w:spacing w:after="0"/>
              <w:rPr>
                <w:sz w:val="4"/>
                <w:szCs w:val="4"/>
                <w:color w:val="auto"/>
              </w:rPr>
            </w:pPr>
          </w:p>
        </w:tc>
        <w:tc>
          <w:tcPr>
            <w:tcW w:w="1600" w:type="dxa"/>
            <w:vAlign w:val="bottom"/>
            <w:shd w:val="clear" w:color="auto" w:fill="D7D8D6"/>
          </w:tcPr>
          <w:p>
            <w:pPr>
              <w:spacing w:after="0"/>
              <w:rPr>
                <w:sz w:val="4"/>
                <w:szCs w:val="4"/>
                <w:color w:val="auto"/>
              </w:rPr>
            </w:pPr>
          </w:p>
        </w:tc>
        <w:tc>
          <w:tcPr>
            <w:tcW w:w="3200" w:type="dxa"/>
            <w:vAlign w:val="bottom"/>
            <w:shd w:val="clear" w:color="auto" w:fill="D7D8D6"/>
          </w:tcPr>
          <w:p>
            <w:pPr>
              <w:spacing w:after="0"/>
              <w:rPr>
                <w:sz w:val="4"/>
                <w:szCs w:val="4"/>
                <w:color w:val="auto"/>
              </w:rPr>
            </w:pPr>
          </w:p>
        </w:tc>
        <w:tc>
          <w:tcPr>
            <w:tcW w:w="4200" w:type="dxa"/>
            <w:vAlign w:val="bottom"/>
            <w:shd w:val="clear" w:color="auto" w:fill="D7D8D6"/>
          </w:tcPr>
          <w:p>
            <w:pPr>
              <w:spacing w:after="0"/>
              <w:rPr>
                <w:sz w:val="4"/>
                <w:szCs w:val="4"/>
                <w:color w:val="auto"/>
              </w:rPr>
            </w:pPr>
          </w:p>
        </w:tc>
      </w:tr>
    </w:tbl>
    <w:p>
      <w:pPr>
        <w:spacing w:after="0" w:line="175" w:lineRule="exact"/>
        <w:rPr>
          <w:sz w:val="20"/>
          <w:szCs w:val="20"/>
          <w:color w:val="auto"/>
        </w:rPr>
      </w:pPr>
    </w:p>
    <w:p>
      <w:pPr>
        <w:jc w:val="both"/>
        <w:ind w:left="4" w:right="160"/>
        <w:spacing w:after="0" w:line="265" w:lineRule="auto"/>
        <w:rPr>
          <w:sz w:val="20"/>
          <w:szCs w:val="20"/>
          <w:color w:val="auto"/>
        </w:rPr>
      </w:pPr>
      <w:r>
        <w:rPr>
          <w:rFonts w:ascii="Arial" w:cs="Arial" w:eastAsia="Arial" w:hAnsi="Arial"/>
          <w:sz w:val="16"/>
          <w:szCs w:val="16"/>
          <w:color w:val="333740"/>
        </w:rPr>
        <w:t>The relative TSR performance for our 2019 PSU awards will be measured against a group of 13 companies (“</w:t>
      </w:r>
      <w:r>
        <w:rPr>
          <w:rFonts w:ascii="Arial" w:cs="Arial" w:eastAsia="Arial" w:hAnsi="Arial"/>
          <w:sz w:val="16"/>
          <w:szCs w:val="16"/>
          <w:b w:val="1"/>
          <w:bCs w:val="1"/>
          <w:color w:val="333740"/>
        </w:rPr>
        <w:t>Relative TSR Peer Group</w:t>
      </w:r>
      <w:r>
        <w:rPr>
          <w:rFonts w:ascii="Arial" w:cs="Arial" w:eastAsia="Arial" w:hAnsi="Arial"/>
          <w:sz w:val="16"/>
          <w:szCs w:val="16"/>
          <w:color w:val="333740"/>
        </w:rPr>
        <w:t>”) that the Compensation Committee believes best reflect the companies that we compete with for both investments and customers. The financial and operational performance of these companies is therefore most directly relevant to TechnipFMC, and we are all subject to similar macro-economic factors.</w:t>
      </w:r>
    </w:p>
    <w:p>
      <w:pPr>
        <w:spacing w:after="0" w:line="159" w:lineRule="exact"/>
        <w:rPr>
          <w:sz w:val="20"/>
          <w:szCs w:val="20"/>
          <w:color w:val="auto"/>
        </w:rPr>
      </w:pPr>
    </w:p>
    <w:p>
      <w:pPr>
        <w:ind w:left="4" w:right="100"/>
        <w:spacing w:after="0" w:line="309" w:lineRule="auto"/>
        <w:rPr>
          <w:sz w:val="20"/>
          <w:szCs w:val="20"/>
          <w:color w:val="auto"/>
        </w:rPr>
      </w:pPr>
      <w:r>
        <w:rPr>
          <w:rFonts w:ascii="Arial" w:cs="Arial" w:eastAsia="Arial" w:hAnsi="Arial"/>
          <w:sz w:val="15"/>
          <w:szCs w:val="15"/>
          <w:color w:val="333740"/>
        </w:rPr>
        <w:t>We use relative TSR to motivate our NEOs to achieve superior share price compared to our key competitors, thus aligning their interests with shareholder interests. We further reinforce this by requiring a minimum threshold of relative performance for payout, and by capping payout in the case of negative shareholder return.</w:t>
      </w:r>
    </w:p>
    <w:p>
      <w:pPr>
        <w:spacing w:after="0" w:line="313" w:lineRule="exact"/>
        <w:rPr>
          <w:sz w:val="20"/>
          <w:szCs w:val="20"/>
          <w:color w:val="auto"/>
        </w:rPr>
      </w:pPr>
    </w:p>
    <w:p>
      <w:pPr>
        <w:ind w:left="564" w:hanging="564"/>
        <w:spacing w:after="0"/>
        <w:tabs>
          <w:tab w:leader="none" w:pos="564" w:val="left"/>
        </w:tabs>
        <w:numPr>
          <w:ilvl w:val="0"/>
          <w:numId w:val="9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81" w:name="page82"/>
    <w:bookmarkEnd w:id="81"/>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9" w:lineRule="exact"/>
        <w:rPr>
          <w:sz w:val="20"/>
          <w:szCs w:val="20"/>
          <w:color w:val="auto"/>
        </w:rPr>
      </w:pPr>
    </w:p>
    <w:p>
      <w:pPr>
        <w:ind w:left="4" w:right="100"/>
        <w:spacing w:after="0" w:line="262" w:lineRule="auto"/>
        <w:rPr>
          <w:sz w:val="20"/>
          <w:szCs w:val="20"/>
          <w:color w:val="auto"/>
        </w:rPr>
      </w:pPr>
      <w:r>
        <w:rPr>
          <w:rFonts w:ascii="Arial" w:cs="Arial" w:eastAsia="Arial" w:hAnsi="Arial"/>
          <w:sz w:val="16"/>
          <w:szCs w:val="16"/>
          <w:color w:val="333740"/>
        </w:rPr>
        <w:t>The Compensation Committee reviewed our 2018 Performance Peer Group as defined in our 2019 Proxy Statement, and no changes were made for 2019 since they were deemed appropriate based on the factors stated above. For awards made in 2019, the Performance Peer Group (now referred to as our Relative TSR Peer Group) comprised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8195" cy="2349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8195" cy="234950"/>
                    </a:xfrm>
                    <a:prstGeom prst="rect">
                      <a:avLst/>
                    </a:prstGeom>
                    <a:noFill/>
                  </pic:spPr>
                </pic:pic>
              </a:graphicData>
            </a:graphic>
          </wp:anchor>
        </w:drawing>
      </w:r>
    </w:p>
    <w:p>
      <w:pPr>
        <w:spacing w:after="0" w:line="238" w:lineRule="exact"/>
        <w:rPr>
          <w:sz w:val="20"/>
          <w:szCs w:val="20"/>
          <w:color w:val="auto"/>
        </w:rPr>
      </w:pPr>
    </w:p>
    <w:p>
      <w:pPr>
        <w:ind w:left="104"/>
        <w:spacing w:after="0"/>
        <w:rPr>
          <w:sz w:val="20"/>
          <w:szCs w:val="20"/>
          <w:color w:val="auto"/>
        </w:rPr>
      </w:pPr>
      <w:r>
        <w:rPr>
          <w:rFonts w:ascii="Arial" w:cs="Arial" w:eastAsia="Arial" w:hAnsi="Arial"/>
          <w:sz w:val="16"/>
          <w:szCs w:val="16"/>
          <w:color w:val="FFFFFF"/>
        </w:rPr>
        <w:t>2019 Relative TSR Peer Group</w:t>
      </w:r>
    </w:p>
    <w:p>
      <w:pPr>
        <w:spacing w:after="0" w:line="103" w:lineRule="exact"/>
        <w:rPr>
          <w:sz w:val="20"/>
          <w:szCs w:val="20"/>
          <w:color w:val="auto"/>
        </w:rPr>
      </w:pPr>
    </w:p>
    <w:tbl>
      <w:tblPr>
        <w:tblLayout w:type="fixed"/>
        <w:tblInd w:w="4" w:type="dxa"/>
        <w:tblCellMar>
          <w:top w:w="0" w:type="dxa"/>
          <w:left w:w="0" w:type="dxa"/>
          <w:bottom w:w="0" w:type="dxa"/>
          <w:right w:w="0" w:type="dxa"/>
        </w:tblCellMar>
      </w:tblPr>
      <w:tr>
        <w:trPr>
          <w:trHeight w:val="239"/>
        </w:trPr>
        <w:tc>
          <w:tcPr>
            <w:tcW w:w="367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Baker Hughes Company</w:t>
            </w:r>
          </w:p>
        </w:tc>
        <w:tc>
          <w:tcPr>
            <w:tcW w:w="3530" w:type="dxa"/>
            <w:vAlign w:val="bottom"/>
            <w:shd w:val="clear" w:color="auto" w:fill="D7D8D6"/>
          </w:tcPr>
          <w:p>
            <w:pPr>
              <w:ind w:left="110"/>
              <w:spacing w:after="0"/>
              <w:rPr>
                <w:sz w:val="20"/>
                <w:szCs w:val="20"/>
                <w:color w:val="auto"/>
              </w:rPr>
            </w:pPr>
            <w:r>
              <w:rPr>
                <w:rFonts w:ascii="Arial" w:cs="Arial" w:eastAsia="Arial" w:hAnsi="Arial"/>
                <w:sz w:val="16"/>
                <w:szCs w:val="16"/>
                <w:color w:val="333740"/>
              </w:rPr>
              <w:t>McDermott International Inc.</w:t>
            </w:r>
          </w:p>
        </w:tc>
        <w:tc>
          <w:tcPr>
            <w:tcW w:w="406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Saipem S.p.A.</w:t>
            </w:r>
          </w:p>
        </w:tc>
      </w:tr>
      <w:tr>
        <w:trPr>
          <w:trHeight w:val="287"/>
        </w:trPr>
        <w:tc>
          <w:tcPr>
            <w:tcW w:w="367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Chicago Bridge &amp; Iron Company N.V.</w:t>
            </w:r>
          </w:p>
        </w:tc>
        <w:tc>
          <w:tcPr>
            <w:tcW w:w="3530" w:type="dxa"/>
            <w:vAlign w:val="bottom"/>
            <w:shd w:val="clear" w:color="auto" w:fill="D7D8D6"/>
          </w:tcPr>
          <w:p>
            <w:pPr>
              <w:ind w:left="110"/>
              <w:spacing w:after="0"/>
              <w:rPr>
                <w:sz w:val="20"/>
                <w:szCs w:val="20"/>
                <w:color w:val="auto"/>
              </w:rPr>
            </w:pPr>
            <w:r>
              <w:rPr>
                <w:rFonts w:ascii="Arial" w:cs="Arial" w:eastAsia="Arial" w:hAnsi="Arial"/>
                <w:sz w:val="16"/>
                <w:szCs w:val="16"/>
                <w:color w:val="333740"/>
              </w:rPr>
              <w:t>National Oilwell Varco, Inc.</w:t>
            </w:r>
          </w:p>
        </w:tc>
        <w:tc>
          <w:tcPr>
            <w:tcW w:w="406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Subsea 7 S.A.</w:t>
            </w:r>
          </w:p>
        </w:tc>
      </w:tr>
      <w:tr>
        <w:trPr>
          <w:trHeight w:val="287"/>
        </w:trPr>
        <w:tc>
          <w:tcPr>
            <w:tcW w:w="367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Fluor Corporation</w:t>
            </w:r>
          </w:p>
        </w:tc>
        <w:tc>
          <w:tcPr>
            <w:tcW w:w="3530" w:type="dxa"/>
            <w:vAlign w:val="bottom"/>
            <w:shd w:val="clear" w:color="auto" w:fill="D7D8D6"/>
          </w:tcPr>
          <w:p>
            <w:pPr>
              <w:ind w:left="110"/>
              <w:spacing w:after="0"/>
              <w:rPr>
                <w:sz w:val="20"/>
                <w:szCs w:val="20"/>
                <w:color w:val="auto"/>
              </w:rPr>
            </w:pPr>
            <w:r>
              <w:rPr>
                <w:rFonts w:ascii="Arial" w:cs="Arial" w:eastAsia="Arial" w:hAnsi="Arial"/>
                <w:sz w:val="16"/>
                <w:szCs w:val="16"/>
                <w:color w:val="333740"/>
              </w:rPr>
              <w:t>Oceaneering International, Inc.</w:t>
            </w:r>
          </w:p>
        </w:tc>
        <w:tc>
          <w:tcPr>
            <w:tcW w:w="406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Weatherford International plc</w:t>
            </w:r>
          </w:p>
        </w:tc>
      </w:tr>
      <w:tr>
        <w:trPr>
          <w:trHeight w:val="287"/>
        </w:trPr>
        <w:tc>
          <w:tcPr>
            <w:tcW w:w="367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Halliburton Company</w:t>
            </w:r>
          </w:p>
        </w:tc>
        <w:tc>
          <w:tcPr>
            <w:tcW w:w="3530" w:type="dxa"/>
            <w:vAlign w:val="bottom"/>
            <w:shd w:val="clear" w:color="auto" w:fill="D7D8D6"/>
          </w:tcPr>
          <w:p>
            <w:pPr>
              <w:ind w:left="110"/>
              <w:spacing w:after="0"/>
              <w:rPr>
                <w:sz w:val="20"/>
                <w:szCs w:val="20"/>
                <w:color w:val="auto"/>
              </w:rPr>
            </w:pPr>
            <w:r>
              <w:rPr>
                <w:rFonts w:ascii="Arial" w:cs="Arial" w:eastAsia="Arial" w:hAnsi="Arial"/>
                <w:sz w:val="16"/>
                <w:szCs w:val="16"/>
                <w:color w:val="333740"/>
              </w:rPr>
              <w:t>Oil States International, Inc.</w:t>
            </w:r>
          </w:p>
        </w:tc>
        <w:tc>
          <w:tcPr>
            <w:tcW w:w="4060" w:type="dxa"/>
            <w:vAlign w:val="bottom"/>
            <w:shd w:val="clear" w:color="auto" w:fill="D7D8D6"/>
          </w:tcPr>
          <w:p>
            <w:pPr>
              <w:spacing w:after="0"/>
              <w:rPr>
                <w:sz w:val="24"/>
                <w:szCs w:val="24"/>
                <w:color w:val="auto"/>
              </w:rPr>
            </w:pPr>
          </w:p>
        </w:tc>
      </w:tr>
      <w:tr>
        <w:trPr>
          <w:trHeight w:val="287"/>
        </w:trPr>
        <w:tc>
          <w:tcPr>
            <w:tcW w:w="3670" w:type="dxa"/>
            <w:vAlign w:val="bottom"/>
            <w:shd w:val="clear" w:color="auto" w:fill="D7D8D6"/>
          </w:tcPr>
          <w:p>
            <w:pPr>
              <w:ind w:left="180"/>
              <w:spacing w:after="0"/>
              <w:rPr>
                <w:sz w:val="20"/>
                <w:szCs w:val="20"/>
                <w:color w:val="auto"/>
              </w:rPr>
            </w:pPr>
            <w:r>
              <w:rPr>
                <w:rFonts w:ascii="Arial" w:cs="Arial" w:eastAsia="Arial" w:hAnsi="Arial"/>
                <w:sz w:val="16"/>
                <w:szCs w:val="16"/>
                <w:color w:val="333740"/>
              </w:rPr>
              <w:t>John Wood Group plc</w:t>
            </w:r>
          </w:p>
        </w:tc>
        <w:tc>
          <w:tcPr>
            <w:tcW w:w="3530" w:type="dxa"/>
            <w:vAlign w:val="bottom"/>
            <w:shd w:val="clear" w:color="auto" w:fill="D7D8D6"/>
          </w:tcPr>
          <w:p>
            <w:pPr>
              <w:ind w:left="110"/>
              <w:spacing w:after="0"/>
              <w:rPr>
                <w:sz w:val="20"/>
                <w:szCs w:val="20"/>
                <w:color w:val="auto"/>
              </w:rPr>
            </w:pPr>
            <w:r>
              <w:rPr>
                <w:rFonts w:ascii="Arial" w:cs="Arial" w:eastAsia="Arial" w:hAnsi="Arial"/>
                <w:sz w:val="16"/>
                <w:szCs w:val="16"/>
                <w:color w:val="333740"/>
              </w:rPr>
              <w:t>Schlumberger Limited</w:t>
            </w:r>
          </w:p>
        </w:tc>
        <w:tc>
          <w:tcPr>
            <w:tcW w:w="4060" w:type="dxa"/>
            <w:vAlign w:val="bottom"/>
            <w:shd w:val="clear" w:color="auto" w:fill="D7D8D6"/>
          </w:tcPr>
          <w:p>
            <w:pPr>
              <w:spacing w:after="0"/>
              <w:rPr>
                <w:sz w:val="24"/>
                <w:szCs w:val="24"/>
                <w:color w:val="auto"/>
              </w:rPr>
            </w:pPr>
          </w:p>
        </w:tc>
      </w:tr>
      <w:tr>
        <w:trPr>
          <w:trHeight w:val="48"/>
        </w:trPr>
        <w:tc>
          <w:tcPr>
            <w:tcW w:w="3670" w:type="dxa"/>
            <w:vAlign w:val="bottom"/>
            <w:shd w:val="clear" w:color="auto" w:fill="D7D8D6"/>
          </w:tcPr>
          <w:p>
            <w:pPr>
              <w:spacing w:after="0"/>
              <w:rPr>
                <w:sz w:val="4"/>
                <w:szCs w:val="4"/>
                <w:color w:val="auto"/>
              </w:rPr>
            </w:pPr>
          </w:p>
        </w:tc>
        <w:tc>
          <w:tcPr>
            <w:tcW w:w="3530" w:type="dxa"/>
            <w:vAlign w:val="bottom"/>
            <w:shd w:val="clear" w:color="auto" w:fill="D7D8D6"/>
          </w:tcPr>
          <w:p>
            <w:pPr>
              <w:spacing w:after="0"/>
              <w:rPr>
                <w:sz w:val="4"/>
                <w:szCs w:val="4"/>
                <w:color w:val="auto"/>
              </w:rPr>
            </w:pPr>
          </w:p>
        </w:tc>
        <w:tc>
          <w:tcPr>
            <w:tcW w:w="4060" w:type="dxa"/>
            <w:vAlign w:val="bottom"/>
            <w:shd w:val="clear" w:color="auto" w:fill="D7D8D6"/>
          </w:tcPr>
          <w:p>
            <w:pPr>
              <w:spacing w:after="0"/>
              <w:rPr>
                <w:sz w:val="4"/>
                <w:szCs w:val="4"/>
                <w:color w:val="auto"/>
              </w:rPr>
            </w:pPr>
          </w:p>
        </w:tc>
      </w:tr>
    </w:tbl>
    <w:p>
      <w:pPr>
        <w:spacing w:after="0" w:line="179" w:lineRule="exact"/>
        <w:rPr>
          <w:sz w:val="20"/>
          <w:szCs w:val="20"/>
          <w:color w:val="auto"/>
        </w:rPr>
      </w:pPr>
    </w:p>
    <w:p>
      <w:pPr>
        <w:ind w:left="4"/>
        <w:spacing w:after="0"/>
        <w:rPr>
          <w:sz w:val="20"/>
          <w:szCs w:val="20"/>
          <w:color w:val="auto"/>
        </w:rPr>
      </w:pPr>
      <w:r>
        <w:rPr>
          <w:rFonts w:ascii="Arial" w:cs="Arial" w:eastAsia="Arial" w:hAnsi="Arial"/>
          <w:sz w:val="16"/>
          <w:szCs w:val="16"/>
          <w:color w:val="333740"/>
        </w:rPr>
        <w:t>The vesting date for these PSU awards is March 8, 2022, with a performance period of January 1, 2019 through December 31, 2021.</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333740"/>
        </w:rPr>
        <w:t>The Compensation Committee approved the following targets in relation to the 2019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5736590</wp:posOffset>
            </wp:positionH>
            <wp:positionV relativeFrom="paragraph">
              <wp:posOffset>133985</wp:posOffset>
            </wp:positionV>
            <wp:extent cx="7620" cy="4171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20" cy="41719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133985</wp:posOffset>
            </wp:positionV>
            <wp:extent cx="7620" cy="4171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20" cy="417195"/>
                    </a:xfrm>
                    <a:prstGeom prst="rect">
                      <a:avLst/>
                    </a:prstGeom>
                    <a:noFill/>
                  </pic:spPr>
                </pic:pic>
              </a:graphicData>
            </a:graphic>
          </wp:anchor>
        </w:drawing>
        <w:drawing>
          <wp:anchor simplePos="0" relativeHeight="251657728" behindDoc="1" locked="0" layoutInCell="0" allowOverlap="1">
            <wp:simplePos x="0" y="0"/>
            <wp:positionH relativeFrom="column">
              <wp:posOffset>1896745</wp:posOffset>
            </wp:positionH>
            <wp:positionV relativeFrom="paragraph">
              <wp:posOffset>133985</wp:posOffset>
            </wp:positionV>
            <wp:extent cx="7620" cy="4171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20" cy="417195"/>
                    </a:xfrm>
                    <a:prstGeom prst="rect">
                      <a:avLst/>
                    </a:prstGeom>
                    <a:noFill/>
                  </pic:spPr>
                </pic:pic>
              </a:graphicData>
            </a:graphic>
          </wp:anchor>
        </w:drawing>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322"/>
        </w:trPr>
        <w:tc>
          <w:tcPr>
            <w:tcW w:w="2900" w:type="dxa"/>
            <w:vAlign w:val="bottom"/>
            <w:shd w:val="clear" w:color="auto" w:fill="481F6E"/>
          </w:tcPr>
          <w:p>
            <w:pPr>
              <w:ind w:left="140"/>
              <w:spacing w:after="0"/>
              <w:rPr>
                <w:sz w:val="20"/>
                <w:szCs w:val="20"/>
                <w:color w:val="auto"/>
              </w:rPr>
            </w:pPr>
            <w:r>
              <w:rPr>
                <w:rFonts w:ascii="Arial" w:cs="Arial" w:eastAsia="Arial" w:hAnsi="Arial"/>
                <w:sz w:val="16"/>
                <w:szCs w:val="16"/>
                <w:color w:val="FFFFFF"/>
              </w:rPr>
              <w:t>Performance Achievement</w:t>
            </w:r>
          </w:p>
        </w:tc>
        <w:tc>
          <w:tcPr>
            <w:tcW w:w="3300" w:type="dxa"/>
            <w:vAlign w:val="bottom"/>
            <w:shd w:val="clear" w:color="auto" w:fill="481F6E"/>
          </w:tcPr>
          <w:p>
            <w:pPr>
              <w:jc w:val="right"/>
              <w:ind w:right="920"/>
              <w:spacing w:after="0"/>
              <w:rPr>
                <w:sz w:val="20"/>
                <w:szCs w:val="20"/>
                <w:color w:val="auto"/>
              </w:rPr>
            </w:pPr>
            <w:r>
              <w:rPr>
                <w:rFonts w:ascii="Arial" w:cs="Arial" w:eastAsia="Arial" w:hAnsi="Arial"/>
                <w:sz w:val="16"/>
                <w:szCs w:val="16"/>
                <w:color w:val="FFFFFF"/>
              </w:rPr>
              <w:t>ROIC Performance</w:t>
            </w:r>
          </w:p>
        </w:tc>
        <w:tc>
          <w:tcPr>
            <w:tcW w:w="3140" w:type="dxa"/>
            <w:vAlign w:val="bottom"/>
            <w:shd w:val="clear" w:color="auto" w:fill="481F6E"/>
          </w:tcPr>
          <w:p>
            <w:pPr>
              <w:jc w:val="right"/>
              <w:ind w:right="560"/>
              <w:spacing w:after="0"/>
              <w:rPr>
                <w:sz w:val="20"/>
                <w:szCs w:val="20"/>
                <w:color w:val="auto"/>
              </w:rPr>
            </w:pPr>
            <w:r>
              <w:rPr>
                <w:rFonts w:ascii="Arial" w:cs="Arial" w:eastAsia="Arial" w:hAnsi="Arial"/>
                <w:sz w:val="16"/>
                <w:szCs w:val="16"/>
                <w:color w:val="FFFFFF"/>
              </w:rPr>
              <w:t>Relative TSR Ranking</w:t>
            </w:r>
          </w:p>
        </w:tc>
        <w:tc>
          <w:tcPr>
            <w:tcW w:w="1920" w:type="dxa"/>
            <w:vAlign w:val="bottom"/>
            <w:shd w:val="clear" w:color="auto" w:fill="481F6E"/>
          </w:tcPr>
          <w:p>
            <w:pPr>
              <w:jc w:val="right"/>
              <w:spacing w:after="0"/>
              <w:rPr>
                <w:sz w:val="20"/>
                <w:szCs w:val="20"/>
                <w:color w:val="auto"/>
              </w:rPr>
            </w:pPr>
            <w:r>
              <w:rPr>
                <w:rFonts w:ascii="Arial" w:cs="Arial" w:eastAsia="Arial" w:hAnsi="Arial"/>
                <w:sz w:val="16"/>
                <w:szCs w:val="16"/>
                <w:color w:val="FFFFFF"/>
              </w:rPr>
              <w:t>Payout</w:t>
            </w:r>
          </w:p>
        </w:tc>
      </w:tr>
      <w:tr>
        <w:trPr>
          <w:trHeight w:val="204"/>
        </w:trPr>
        <w:tc>
          <w:tcPr>
            <w:tcW w:w="2900" w:type="dxa"/>
            <w:vAlign w:val="bottom"/>
            <w:shd w:val="clear" w:color="auto" w:fill="481F6E"/>
          </w:tcPr>
          <w:p>
            <w:pPr>
              <w:spacing w:after="0"/>
              <w:rPr>
                <w:sz w:val="17"/>
                <w:szCs w:val="17"/>
                <w:color w:val="auto"/>
              </w:rPr>
            </w:pPr>
          </w:p>
        </w:tc>
        <w:tc>
          <w:tcPr>
            <w:tcW w:w="3300" w:type="dxa"/>
            <w:vAlign w:val="bottom"/>
            <w:shd w:val="clear" w:color="auto" w:fill="481F6E"/>
          </w:tcPr>
          <w:p>
            <w:pPr>
              <w:spacing w:after="0"/>
              <w:rPr>
                <w:sz w:val="17"/>
                <w:szCs w:val="17"/>
                <w:color w:val="auto"/>
              </w:rPr>
            </w:pPr>
          </w:p>
        </w:tc>
        <w:tc>
          <w:tcPr>
            <w:tcW w:w="3140" w:type="dxa"/>
            <w:vAlign w:val="bottom"/>
            <w:shd w:val="clear" w:color="auto" w:fill="481F6E"/>
          </w:tcPr>
          <w:p>
            <w:pPr>
              <w:spacing w:after="0"/>
              <w:rPr>
                <w:sz w:val="17"/>
                <w:szCs w:val="17"/>
                <w:color w:val="auto"/>
              </w:rPr>
            </w:pPr>
          </w:p>
        </w:tc>
        <w:tc>
          <w:tcPr>
            <w:tcW w:w="1920" w:type="dxa"/>
            <w:vAlign w:val="bottom"/>
            <w:shd w:val="clear" w:color="auto" w:fill="481F6E"/>
          </w:tcPr>
          <w:p>
            <w:pPr>
              <w:jc w:val="right"/>
              <w:spacing w:after="0"/>
              <w:rPr>
                <w:sz w:val="20"/>
                <w:szCs w:val="20"/>
                <w:color w:val="auto"/>
              </w:rPr>
            </w:pPr>
            <w:r>
              <w:rPr>
                <w:rFonts w:ascii="Arial" w:cs="Arial" w:eastAsia="Arial" w:hAnsi="Arial"/>
                <w:sz w:val="16"/>
                <w:szCs w:val="16"/>
                <w:color w:val="FFFFFF"/>
              </w:rPr>
              <w:t>(% of earned PSUs)</w:t>
            </w:r>
          </w:p>
        </w:tc>
      </w:tr>
      <w:tr>
        <w:trPr>
          <w:trHeight w:val="131"/>
        </w:trPr>
        <w:tc>
          <w:tcPr>
            <w:tcW w:w="2900" w:type="dxa"/>
            <w:vAlign w:val="bottom"/>
            <w:shd w:val="clear" w:color="auto" w:fill="481F6E"/>
          </w:tcPr>
          <w:p>
            <w:pPr>
              <w:spacing w:after="0"/>
              <w:rPr>
                <w:sz w:val="11"/>
                <w:szCs w:val="11"/>
                <w:color w:val="auto"/>
              </w:rPr>
            </w:pPr>
          </w:p>
        </w:tc>
        <w:tc>
          <w:tcPr>
            <w:tcW w:w="3300" w:type="dxa"/>
            <w:vAlign w:val="bottom"/>
            <w:shd w:val="clear" w:color="auto" w:fill="481F6E"/>
          </w:tcPr>
          <w:p>
            <w:pPr>
              <w:spacing w:after="0"/>
              <w:rPr>
                <w:sz w:val="11"/>
                <w:szCs w:val="11"/>
                <w:color w:val="auto"/>
              </w:rPr>
            </w:pPr>
          </w:p>
        </w:tc>
        <w:tc>
          <w:tcPr>
            <w:tcW w:w="3140" w:type="dxa"/>
            <w:vAlign w:val="bottom"/>
            <w:shd w:val="clear" w:color="auto" w:fill="481F6E"/>
          </w:tcPr>
          <w:p>
            <w:pPr>
              <w:spacing w:after="0"/>
              <w:rPr>
                <w:sz w:val="11"/>
                <w:szCs w:val="11"/>
                <w:color w:val="auto"/>
              </w:rPr>
            </w:pPr>
          </w:p>
        </w:tc>
        <w:tc>
          <w:tcPr>
            <w:tcW w:w="1920" w:type="dxa"/>
            <w:vAlign w:val="bottom"/>
            <w:shd w:val="clear" w:color="auto" w:fill="481F6E"/>
          </w:tcPr>
          <w:p>
            <w:pPr>
              <w:spacing w:after="0"/>
              <w:rPr>
                <w:sz w:val="11"/>
                <w:szCs w:val="11"/>
                <w:color w:val="auto"/>
              </w:rPr>
            </w:pPr>
          </w:p>
        </w:tc>
      </w:tr>
      <w:tr>
        <w:trPr>
          <w:trHeight w:val="239"/>
        </w:trPr>
        <w:tc>
          <w:tcPr>
            <w:tcW w:w="2900" w:type="dxa"/>
            <w:vAlign w:val="bottom"/>
          </w:tcPr>
          <w:p>
            <w:pPr>
              <w:ind w:left="80"/>
              <w:spacing w:after="0"/>
              <w:rPr>
                <w:sz w:val="20"/>
                <w:szCs w:val="20"/>
                <w:color w:val="auto"/>
              </w:rPr>
            </w:pPr>
            <w:r>
              <w:rPr>
                <w:rFonts w:ascii="Arial" w:cs="Arial" w:eastAsia="Arial" w:hAnsi="Arial"/>
                <w:sz w:val="16"/>
                <w:szCs w:val="16"/>
                <w:color w:val="333740"/>
              </w:rPr>
              <w:t>Below Threshold</w:t>
            </w:r>
          </w:p>
        </w:tc>
        <w:tc>
          <w:tcPr>
            <w:tcW w:w="3300" w:type="dxa"/>
            <w:vAlign w:val="bottom"/>
          </w:tcPr>
          <w:p>
            <w:pPr>
              <w:jc w:val="right"/>
              <w:ind w:right="880"/>
              <w:spacing w:after="0"/>
              <w:rPr>
                <w:sz w:val="20"/>
                <w:szCs w:val="20"/>
                <w:color w:val="auto"/>
              </w:rPr>
            </w:pPr>
            <w:r>
              <w:rPr>
                <w:rFonts w:ascii="Arial" w:cs="Arial" w:eastAsia="Arial" w:hAnsi="Arial"/>
                <w:sz w:val="16"/>
                <w:szCs w:val="16"/>
                <w:color w:val="333740"/>
              </w:rPr>
              <w:t>Below Plan</w:t>
            </w:r>
          </w:p>
        </w:tc>
        <w:tc>
          <w:tcPr>
            <w:tcW w:w="3140" w:type="dxa"/>
            <w:vAlign w:val="bottom"/>
          </w:tcPr>
          <w:p>
            <w:pPr>
              <w:jc w:val="right"/>
              <w:ind w:right="520"/>
              <w:spacing w:after="0"/>
              <w:rPr>
                <w:sz w:val="20"/>
                <w:szCs w:val="20"/>
                <w:color w:val="auto"/>
              </w:rPr>
            </w:pPr>
            <w:r>
              <w:rPr>
                <w:rFonts w:ascii="Arial" w:cs="Arial" w:eastAsia="Arial" w:hAnsi="Arial"/>
                <w:sz w:val="16"/>
                <w:szCs w:val="16"/>
                <w:color w:val="333740"/>
              </w:rPr>
              <w:t>Below 25th percentile</w:t>
            </w:r>
          </w:p>
        </w:tc>
        <w:tc>
          <w:tcPr>
            <w:tcW w:w="1920" w:type="dxa"/>
            <w:vAlign w:val="bottom"/>
          </w:tcPr>
          <w:p>
            <w:pPr>
              <w:jc w:val="right"/>
              <w:ind w:right="20"/>
              <w:spacing w:after="0"/>
              <w:rPr>
                <w:sz w:val="20"/>
                <w:szCs w:val="20"/>
                <w:color w:val="auto"/>
              </w:rPr>
            </w:pPr>
            <w:r>
              <w:rPr>
                <w:rFonts w:ascii="Arial" w:cs="Arial" w:eastAsia="Arial" w:hAnsi="Arial"/>
                <w:sz w:val="16"/>
                <w:szCs w:val="16"/>
                <w:color w:val="333740"/>
              </w:rPr>
              <w:t>0%</w:t>
            </w:r>
          </w:p>
        </w:tc>
      </w:tr>
      <w:tr>
        <w:trPr>
          <w:trHeight w:val="287"/>
        </w:trPr>
        <w:tc>
          <w:tcPr>
            <w:tcW w:w="2900" w:type="dxa"/>
            <w:vAlign w:val="bottom"/>
          </w:tcPr>
          <w:p>
            <w:pPr>
              <w:ind w:left="80"/>
              <w:spacing w:after="0"/>
              <w:rPr>
                <w:sz w:val="20"/>
                <w:szCs w:val="20"/>
                <w:color w:val="auto"/>
              </w:rPr>
            </w:pPr>
            <w:r>
              <w:rPr>
                <w:rFonts w:ascii="Arial" w:cs="Arial" w:eastAsia="Arial" w:hAnsi="Arial"/>
                <w:sz w:val="16"/>
                <w:szCs w:val="16"/>
                <w:color w:val="333740"/>
              </w:rPr>
              <w:t>Threshold</w:t>
            </w:r>
          </w:p>
        </w:tc>
        <w:tc>
          <w:tcPr>
            <w:tcW w:w="3300" w:type="dxa"/>
            <w:vAlign w:val="bottom"/>
          </w:tcPr>
          <w:p>
            <w:pPr>
              <w:jc w:val="right"/>
              <w:ind w:right="880"/>
              <w:spacing w:after="0"/>
              <w:rPr>
                <w:sz w:val="20"/>
                <w:szCs w:val="20"/>
                <w:color w:val="auto"/>
              </w:rPr>
            </w:pPr>
            <w:r>
              <w:rPr>
                <w:rFonts w:ascii="Arial" w:cs="Arial" w:eastAsia="Arial" w:hAnsi="Arial"/>
                <w:sz w:val="16"/>
                <w:szCs w:val="16"/>
                <w:color w:val="333740"/>
              </w:rPr>
              <w:t>6%</w:t>
            </w:r>
          </w:p>
        </w:tc>
        <w:tc>
          <w:tcPr>
            <w:tcW w:w="3140" w:type="dxa"/>
            <w:vAlign w:val="bottom"/>
          </w:tcPr>
          <w:p>
            <w:pPr>
              <w:jc w:val="right"/>
              <w:ind w:right="520"/>
              <w:spacing w:after="0"/>
              <w:rPr>
                <w:sz w:val="20"/>
                <w:szCs w:val="20"/>
                <w:color w:val="auto"/>
              </w:rPr>
            </w:pPr>
            <w:r>
              <w:rPr>
                <w:rFonts w:ascii="Arial" w:cs="Arial" w:eastAsia="Arial" w:hAnsi="Arial"/>
                <w:sz w:val="16"/>
                <w:szCs w:val="16"/>
                <w:color w:val="333740"/>
              </w:rPr>
              <w:t>25th percentile</w:t>
            </w:r>
          </w:p>
        </w:tc>
        <w:tc>
          <w:tcPr>
            <w:tcW w:w="1920" w:type="dxa"/>
            <w:vAlign w:val="bottom"/>
          </w:tcPr>
          <w:p>
            <w:pPr>
              <w:jc w:val="right"/>
              <w:ind w:right="20"/>
              <w:spacing w:after="0"/>
              <w:rPr>
                <w:sz w:val="20"/>
                <w:szCs w:val="20"/>
                <w:color w:val="auto"/>
              </w:rPr>
            </w:pPr>
            <w:r>
              <w:rPr>
                <w:rFonts w:ascii="Arial" w:cs="Arial" w:eastAsia="Arial" w:hAnsi="Arial"/>
                <w:sz w:val="16"/>
                <w:szCs w:val="16"/>
                <w:color w:val="333740"/>
              </w:rPr>
              <w:t>50%</w:t>
            </w:r>
          </w:p>
        </w:tc>
      </w:tr>
      <w:tr>
        <w:trPr>
          <w:trHeight w:val="287"/>
        </w:trPr>
        <w:tc>
          <w:tcPr>
            <w:tcW w:w="2900" w:type="dxa"/>
            <w:vAlign w:val="bottom"/>
          </w:tcPr>
          <w:p>
            <w:pPr>
              <w:ind w:left="80"/>
              <w:spacing w:after="0"/>
              <w:rPr>
                <w:sz w:val="20"/>
                <w:szCs w:val="20"/>
                <w:color w:val="auto"/>
              </w:rPr>
            </w:pPr>
            <w:r>
              <w:rPr>
                <w:rFonts w:ascii="Arial" w:cs="Arial" w:eastAsia="Arial" w:hAnsi="Arial"/>
                <w:sz w:val="16"/>
                <w:szCs w:val="16"/>
                <w:color w:val="333740"/>
              </w:rPr>
              <w:t>Target</w:t>
            </w:r>
          </w:p>
        </w:tc>
        <w:tc>
          <w:tcPr>
            <w:tcW w:w="3300" w:type="dxa"/>
            <w:vAlign w:val="bottom"/>
          </w:tcPr>
          <w:p>
            <w:pPr>
              <w:jc w:val="right"/>
              <w:ind w:right="880"/>
              <w:spacing w:after="0"/>
              <w:rPr>
                <w:sz w:val="20"/>
                <w:szCs w:val="20"/>
                <w:color w:val="auto"/>
              </w:rPr>
            </w:pPr>
            <w:r>
              <w:rPr>
                <w:rFonts w:ascii="Arial" w:cs="Arial" w:eastAsia="Arial" w:hAnsi="Arial"/>
                <w:sz w:val="16"/>
                <w:szCs w:val="16"/>
                <w:color w:val="333740"/>
              </w:rPr>
              <w:t>7%</w:t>
            </w:r>
          </w:p>
        </w:tc>
        <w:tc>
          <w:tcPr>
            <w:tcW w:w="3140" w:type="dxa"/>
            <w:vAlign w:val="bottom"/>
          </w:tcPr>
          <w:p>
            <w:pPr>
              <w:jc w:val="right"/>
              <w:ind w:right="520"/>
              <w:spacing w:after="0"/>
              <w:rPr>
                <w:sz w:val="20"/>
                <w:szCs w:val="20"/>
                <w:color w:val="auto"/>
              </w:rPr>
            </w:pPr>
            <w:r>
              <w:rPr>
                <w:rFonts w:ascii="Arial" w:cs="Arial" w:eastAsia="Arial" w:hAnsi="Arial"/>
                <w:sz w:val="16"/>
                <w:szCs w:val="16"/>
                <w:color w:val="333740"/>
              </w:rPr>
              <w:t>42nd percentile</w:t>
            </w:r>
          </w:p>
        </w:tc>
        <w:tc>
          <w:tcPr>
            <w:tcW w:w="1920" w:type="dxa"/>
            <w:vAlign w:val="bottom"/>
          </w:tcPr>
          <w:p>
            <w:pPr>
              <w:jc w:val="right"/>
              <w:ind w:right="20"/>
              <w:spacing w:after="0"/>
              <w:rPr>
                <w:sz w:val="20"/>
                <w:szCs w:val="20"/>
                <w:color w:val="auto"/>
              </w:rPr>
            </w:pPr>
            <w:r>
              <w:rPr>
                <w:rFonts w:ascii="Arial" w:cs="Arial" w:eastAsia="Arial" w:hAnsi="Arial"/>
                <w:sz w:val="16"/>
                <w:szCs w:val="16"/>
                <w:color w:val="333740"/>
              </w:rPr>
              <w:t>100%</w:t>
            </w:r>
          </w:p>
        </w:tc>
      </w:tr>
      <w:tr>
        <w:trPr>
          <w:trHeight w:val="287"/>
        </w:trPr>
        <w:tc>
          <w:tcPr>
            <w:tcW w:w="2900" w:type="dxa"/>
            <w:vAlign w:val="bottom"/>
          </w:tcPr>
          <w:p>
            <w:pPr>
              <w:ind w:left="80"/>
              <w:spacing w:after="0"/>
              <w:rPr>
                <w:sz w:val="20"/>
                <w:szCs w:val="20"/>
                <w:color w:val="auto"/>
              </w:rPr>
            </w:pPr>
            <w:r>
              <w:rPr>
                <w:rFonts w:ascii="Arial" w:cs="Arial" w:eastAsia="Arial" w:hAnsi="Arial"/>
                <w:sz w:val="16"/>
                <w:szCs w:val="16"/>
                <w:color w:val="333740"/>
              </w:rPr>
              <w:t>Maximum or above</w:t>
            </w:r>
          </w:p>
        </w:tc>
        <w:tc>
          <w:tcPr>
            <w:tcW w:w="3300" w:type="dxa"/>
            <w:vAlign w:val="bottom"/>
          </w:tcPr>
          <w:p>
            <w:pPr>
              <w:jc w:val="right"/>
              <w:ind w:right="880"/>
              <w:spacing w:after="0"/>
              <w:rPr>
                <w:sz w:val="20"/>
                <w:szCs w:val="20"/>
                <w:color w:val="auto"/>
              </w:rPr>
            </w:pPr>
            <w:r>
              <w:rPr>
                <w:rFonts w:ascii="Arial" w:cs="Arial" w:eastAsia="Arial" w:hAnsi="Arial"/>
                <w:sz w:val="16"/>
                <w:szCs w:val="16"/>
                <w:color w:val="333740"/>
              </w:rPr>
              <w:t>8%</w:t>
            </w:r>
          </w:p>
        </w:tc>
        <w:tc>
          <w:tcPr>
            <w:tcW w:w="3140" w:type="dxa"/>
            <w:vAlign w:val="bottom"/>
          </w:tcPr>
          <w:p>
            <w:pPr>
              <w:jc w:val="right"/>
              <w:ind w:right="520"/>
              <w:spacing w:after="0"/>
              <w:rPr>
                <w:sz w:val="20"/>
                <w:szCs w:val="20"/>
                <w:color w:val="auto"/>
              </w:rPr>
            </w:pPr>
            <w:r>
              <w:rPr>
                <w:rFonts w:ascii="Arial" w:cs="Arial" w:eastAsia="Arial" w:hAnsi="Arial"/>
                <w:sz w:val="16"/>
                <w:szCs w:val="16"/>
                <w:color w:val="333740"/>
              </w:rPr>
              <w:t>75th percentile or greater</w:t>
            </w:r>
          </w:p>
        </w:tc>
        <w:tc>
          <w:tcPr>
            <w:tcW w:w="1920" w:type="dxa"/>
            <w:vAlign w:val="bottom"/>
          </w:tcPr>
          <w:p>
            <w:pPr>
              <w:jc w:val="right"/>
              <w:ind w:right="20"/>
              <w:spacing w:after="0"/>
              <w:rPr>
                <w:sz w:val="20"/>
                <w:szCs w:val="20"/>
                <w:color w:val="auto"/>
              </w:rPr>
            </w:pPr>
            <w:r>
              <w:rPr>
                <w:rFonts w:ascii="Arial" w:cs="Arial" w:eastAsia="Arial" w:hAnsi="Arial"/>
                <w:sz w:val="16"/>
                <w:szCs w:val="16"/>
                <w:color w:val="333740"/>
              </w:rPr>
              <w:t>200%</w:t>
            </w:r>
          </w:p>
        </w:tc>
      </w:tr>
    </w:tbl>
    <w:p>
      <w:pPr>
        <w:spacing w:after="0" w:line="223" w:lineRule="exact"/>
        <w:rPr>
          <w:sz w:val="20"/>
          <w:szCs w:val="20"/>
          <w:color w:val="auto"/>
        </w:rPr>
      </w:pPr>
    </w:p>
    <w:p>
      <w:pPr>
        <w:ind w:left="4"/>
        <w:spacing w:after="0"/>
        <w:rPr>
          <w:sz w:val="20"/>
          <w:szCs w:val="20"/>
          <w:color w:val="auto"/>
        </w:rPr>
      </w:pPr>
      <w:r>
        <w:rPr>
          <w:rFonts w:ascii="Arial" w:cs="Arial" w:eastAsia="Arial" w:hAnsi="Arial"/>
          <w:sz w:val="13"/>
          <w:szCs w:val="13"/>
          <w:color w:val="333740"/>
        </w:rPr>
        <w:t>Note: If the Company’s TSR is negative for the performance period, the payout in respect of the TSR element will be capped at target, regardless of our relative performance.</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6"/>
          <w:szCs w:val="16"/>
          <w:color w:val="333740"/>
        </w:rPr>
        <w:t>For performance achievement between the levels identified above, payout percentage will be interpolated on a straight- line basis.</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2019 Stock Options (20% of Equity Award)</w:t>
      </w:r>
    </w:p>
    <w:p>
      <w:pPr>
        <w:spacing w:after="0" w:line="24" w:lineRule="exact"/>
        <w:rPr>
          <w:sz w:val="20"/>
          <w:szCs w:val="20"/>
          <w:color w:val="auto"/>
        </w:rPr>
      </w:pPr>
    </w:p>
    <w:p>
      <w:pPr>
        <w:ind w:left="4" w:right="300"/>
        <w:spacing w:after="0" w:line="258" w:lineRule="auto"/>
        <w:rPr>
          <w:sz w:val="20"/>
          <w:szCs w:val="20"/>
          <w:color w:val="auto"/>
        </w:rPr>
      </w:pPr>
      <w:r>
        <w:rPr>
          <w:rFonts w:ascii="Arial" w:cs="Arial" w:eastAsia="Arial" w:hAnsi="Arial"/>
          <w:sz w:val="16"/>
          <w:szCs w:val="16"/>
          <w:color w:val="333740"/>
        </w:rPr>
        <w:t>In addition to PSUs, NEOs received an annual grant of stock options in 2019. This award aimed at aligning pay with the performance of our stock, aligning NEOs’ interests with our shareholders’ interests, as well as retaining NEOs over the long-term.</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5"/>
          <w:szCs w:val="15"/>
          <w:color w:val="333740"/>
        </w:rPr>
        <w:t>Based on feedback received from shareholders, we plan to eliminate stock options in 2020, thereby increasing the share of PSUs to further align pay with performance.</w:t>
      </w:r>
    </w:p>
    <w:p>
      <w:pPr>
        <w:spacing w:after="0" w:line="210" w:lineRule="exact"/>
        <w:rPr>
          <w:sz w:val="20"/>
          <w:szCs w:val="20"/>
          <w:color w:val="auto"/>
        </w:rPr>
      </w:pPr>
    </w:p>
    <w:p>
      <w:pPr>
        <w:ind w:left="4" w:right="20"/>
        <w:spacing w:after="0" w:line="317" w:lineRule="auto"/>
        <w:rPr>
          <w:sz w:val="20"/>
          <w:szCs w:val="20"/>
          <w:color w:val="auto"/>
        </w:rPr>
      </w:pPr>
      <w:r>
        <w:rPr>
          <w:rFonts w:ascii="Arial" w:cs="Arial" w:eastAsia="Arial" w:hAnsi="Arial"/>
          <w:sz w:val="14"/>
          <w:szCs w:val="14"/>
          <w:color w:val="333740"/>
        </w:rPr>
        <w:t>NEOs’ 2019 stock option awards are subject to a three-year cliff vesting, with no phased vesting, meaning the NEO must remain employed through the vesting date of March 8, 2022 for any of the options to become exercisable, with exceptions for retirement, death, and disability in line with market norms. Options are exercisable for a period of 10 years from the date of grant and have an exercise price equal to the closing price of the Company’s Ordinary Shares as reported by the NYSE on the grant date.</w:t>
      </w:r>
    </w:p>
    <w:p>
      <w:pPr>
        <w:spacing w:after="0" w:line="127" w:lineRule="exact"/>
        <w:rPr>
          <w:sz w:val="20"/>
          <w:szCs w:val="20"/>
          <w:color w:val="auto"/>
        </w:rPr>
      </w:pPr>
    </w:p>
    <w:p>
      <w:pPr>
        <w:ind w:left="4" w:right="100"/>
        <w:spacing w:after="0" w:line="275" w:lineRule="auto"/>
        <w:rPr>
          <w:sz w:val="20"/>
          <w:szCs w:val="20"/>
          <w:color w:val="auto"/>
        </w:rPr>
      </w:pPr>
      <w:r>
        <w:rPr>
          <w:rFonts w:ascii="Arial" w:cs="Arial" w:eastAsia="Arial" w:hAnsi="Arial"/>
          <w:sz w:val="16"/>
          <w:szCs w:val="16"/>
          <w:color w:val="333740"/>
        </w:rPr>
        <w:t>The number of stock options granted to each of the NEOs is determined by dividing the approved target award value by the expected value of each option (calculated using the Black-Scholes option pricing model) on the grant date.</w:t>
      </w:r>
    </w:p>
    <w:p>
      <w:pPr>
        <w:spacing w:after="0" w:line="336" w:lineRule="exact"/>
        <w:rPr>
          <w:sz w:val="20"/>
          <w:szCs w:val="20"/>
          <w:color w:val="auto"/>
        </w:rPr>
      </w:pPr>
    </w:p>
    <w:p>
      <w:pPr>
        <w:ind w:left="564" w:hanging="564"/>
        <w:spacing w:after="0"/>
        <w:tabs>
          <w:tab w:leader="none" w:pos="564" w:val="left"/>
        </w:tabs>
        <w:numPr>
          <w:ilvl w:val="0"/>
          <w:numId w:val="95"/>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82" w:name="page83"/>
    <w:bookmarkEnd w:id="82"/>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2019 Time-Based RSU Awards (20% of Equity Award)</w:t>
      </w:r>
    </w:p>
    <w:p>
      <w:pPr>
        <w:spacing w:after="0" w:line="24" w:lineRule="exact"/>
        <w:rPr>
          <w:sz w:val="20"/>
          <w:szCs w:val="20"/>
          <w:color w:val="auto"/>
        </w:rPr>
      </w:pPr>
    </w:p>
    <w:p>
      <w:pPr>
        <w:ind w:left="4" w:right="140"/>
        <w:spacing w:after="0" w:line="258" w:lineRule="auto"/>
        <w:rPr>
          <w:sz w:val="20"/>
          <w:szCs w:val="20"/>
          <w:color w:val="auto"/>
        </w:rPr>
      </w:pPr>
      <w:r>
        <w:rPr>
          <w:rFonts w:ascii="Arial" w:cs="Arial" w:eastAsia="Arial" w:hAnsi="Arial"/>
          <w:sz w:val="16"/>
          <w:szCs w:val="16"/>
          <w:color w:val="333740"/>
        </w:rPr>
        <w:t>The final component of the long-term incentive mix is RSU awards. These awards further align NEOs’ interests with the interests of our shareholders by incentivizing them to increase share price, while reinforcing the retention impact of our compensation program.</w:t>
      </w:r>
    </w:p>
    <w:p>
      <w:pPr>
        <w:spacing w:after="0" w:line="165" w:lineRule="exact"/>
        <w:rPr>
          <w:sz w:val="20"/>
          <w:szCs w:val="20"/>
          <w:color w:val="auto"/>
        </w:rPr>
      </w:pPr>
    </w:p>
    <w:p>
      <w:pPr>
        <w:ind w:left="4" w:right="20"/>
        <w:spacing w:after="0" w:line="258" w:lineRule="auto"/>
        <w:rPr>
          <w:sz w:val="20"/>
          <w:szCs w:val="20"/>
          <w:color w:val="auto"/>
        </w:rPr>
      </w:pPr>
      <w:r>
        <w:rPr>
          <w:rFonts w:ascii="Arial" w:cs="Arial" w:eastAsia="Arial" w:hAnsi="Arial"/>
          <w:sz w:val="16"/>
          <w:szCs w:val="16"/>
          <w:color w:val="333740"/>
        </w:rPr>
        <w:t>RSUs are subject to three-year cliff vesting terms, with no phased vesting, meaning the NEO must remain employed through the vesting date of March 8, 2022, with exceptions only for retirement, death, and disability. Once vested, the executive receives ownership and the voting rights of the underlying Ordinary Shares. The number of RSUs granted to each of the NEOs was determined by dividing the target value set for each executive officer by the closing price of the Company’s Ordinary Shares on the NYSE on the grant date.</w:t>
      </w:r>
    </w:p>
    <w:p>
      <w:pPr>
        <w:spacing w:after="0" w:line="165"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333740"/>
        </w:rPr>
        <w:t>On vesting, 50% of the after-tax number of RSUs must be held for a period of at least one year to incentivize NEOs to retain the shares and increase share price, further aligning NEOs’ interests with those of our shareholders.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Vesting of 2017 PSU Awards</w:t>
      </w:r>
    </w:p>
    <w:p>
      <w:pPr>
        <w:spacing w:after="0" w:line="24" w:lineRule="exact"/>
        <w:rPr>
          <w:sz w:val="20"/>
          <w:szCs w:val="20"/>
          <w:color w:val="auto"/>
        </w:rPr>
      </w:pPr>
    </w:p>
    <w:p>
      <w:pPr>
        <w:ind w:left="4" w:right="120"/>
        <w:spacing w:after="0" w:line="307" w:lineRule="auto"/>
        <w:rPr>
          <w:sz w:val="20"/>
          <w:szCs w:val="20"/>
          <w:color w:val="auto"/>
        </w:rPr>
      </w:pPr>
      <w:r>
        <w:rPr>
          <w:rFonts w:ascii="Arial" w:cs="Arial" w:eastAsia="Arial" w:hAnsi="Arial"/>
          <w:sz w:val="14"/>
          <w:szCs w:val="14"/>
          <w:color w:val="333740"/>
        </w:rPr>
        <w:t>Following the Merger in 2017, the Compensation Committee approved PSU awards subject to a three-year performance period. As with the awards made in 2018 and 2019, vesting was contingent on performance delivered in two areas: ROIC and relative TSR. The Compensation Committee believes that the continued use of these metrics remains relevant for the long-term since they focus executives on the achievement of specific financial long-term goals directly aligned with our operating and strategic plans.</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16"/>
          <w:szCs w:val="16"/>
          <w:color w:val="333740"/>
        </w:rPr>
        <w:t>As a result of our 2017-2019 performance, our NEOs achieved a payout of 50% of target on their 2017 PSUs.</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6138545</wp:posOffset>
            </wp:positionH>
            <wp:positionV relativeFrom="paragraph">
              <wp:posOffset>15240</wp:posOffset>
            </wp:positionV>
            <wp:extent cx="7620" cy="2425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20" cy="242570"/>
                    </a:xfrm>
                    <a:prstGeom prst="rect">
                      <a:avLst/>
                    </a:prstGeom>
                    <a:noFill/>
                  </pic:spPr>
                </pic:pic>
              </a:graphicData>
            </a:graphic>
          </wp:anchor>
        </w:drawing>
        <w:drawing>
          <wp:anchor simplePos="0" relativeHeight="251657728" behindDoc="1" locked="0" layoutInCell="0" allowOverlap="1">
            <wp:simplePos x="0" y="0"/>
            <wp:positionH relativeFrom="column">
              <wp:posOffset>5046345</wp:posOffset>
            </wp:positionH>
            <wp:positionV relativeFrom="paragraph">
              <wp:posOffset>15240</wp:posOffset>
            </wp:positionV>
            <wp:extent cx="7620" cy="2425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20" cy="24257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15240</wp:posOffset>
            </wp:positionV>
            <wp:extent cx="7620" cy="2425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20" cy="24257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15240</wp:posOffset>
            </wp:positionV>
            <wp:extent cx="7620" cy="2425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20" cy="24257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84"/>
        </w:trPr>
        <w:tc>
          <w:tcPr>
            <w:tcW w:w="2700" w:type="dxa"/>
            <w:vAlign w:val="bottom"/>
            <w:shd w:val="clear" w:color="auto" w:fill="481F6E"/>
          </w:tcPr>
          <w:p>
            <w:pPr>
              <w:ind w:left="120"/>
              <w:spacing w:after="0"/>
              <w:rPr>
                <w:sz w:val="20"/>
                <w:szCs w:val="20"/>
                <w:color w:val="auto"/>
              </w:rPr>
            </w:pPr>
            <w:r>
              <w:rPr>
                <w:rFonts w:ascii="Arial" w:cs="Arial" w:eastAsia="Arial" w:hAnsi="Arial"/>
                <w:sz w:val="16"/>
                <w:szCs w:val="16"/>
                <w:color w:val="FFFFFF"/>
              </w:rPr>
              <w:t>Goal/Weightings</w:t>
            </w:r>
          </w:p>
        </w:tc>
        <w:tc>
          <w:tcPr>
            <w:tcW w:w="3420" w:type="dxa"/>
            <w:vAlign w:val="bottom"/>
            <w:shd w:val="clear" w:color="auto" w:fill="481F6E"/>
          </w:tcPr>
          <w:p>
            <w:pPr>
              <w:ind w:left="580"/>
              <w:spacing w:after="0"/>
              <w:rPr>
                <w:sz w:val="20"/>
                <w:szCs w:val="20"/>
                <w:color w:val="auto"/>
              </w:rPr>
            </w:pPr>
            <w:r>
              <w:rPr>
                <w:rFonts w:ascii="Arial" w:cs="Arial" w:eastAsia="Arial" w:hAnsi="Arial"/>
                <w:sz w:val="16"/>
                <w:szCs w:val="16"/>
                <w:color w:val="FFFFFF"/>
              </w:rPr>
              <w:t>Performance Measure</w:t>
            </w:r>
          </w:p>
        </w:tc>
        <w:tc>
          <w:tcPr>
            <w:tcW w:w="2280" w:type="dxa"/>
            <w:vAlign w:val="bottom"/>
            <w:shd w:val="clear" w:color="auto" w:fill="481F6E"/>
          </w:tcPr>
          <w:p>
            <w:pPr>
              <w:jc w:val="right"/>
              <w:ind w:right="380"/>
              <w:spacing w:after="0"/>
              <w:rPr>
                <w:sz w:val="20"/>
                <w:szCs w:val="20"/>
                <w:color w:val="auto"/>
              </w:rPr>
            </w:pPr>
            <w:r>
              <w:rPr>
                <w:rFonts w:ascii="Arial" w:cs="Arial" w:eastAsia="Arial" w:hAnsi="Arial"/>
                <w:sz w:val="16"/>
                <w:szCs w:val="16"/>
                <w:color w:val="FFFFFF"/>
              </w:rPr>
              <w:t>Threshold</w:t>
            </w:r>
          </w:p>
        </w:tc>
        <w:tc>
          <w:tcPr>
            <w:tcW w:w="1660" w:type="dxa"/>
            <w:vAlign w:val="bottom"/>
            <w:shd w:val="clear" w:color="auto" w:fill="481F6E"/>
          </w:tcPr>
          <w:p>
            <w:pPr>
              <w:jc w:val="right"/>
              <w:ind w:right="320"/>
              <w:spacing w:after="0"/>
              <w:rPr>
                <w:sz w:val="20"/>
                <w:szCs w:val="20"/>
                <w:color w:val="auto"/>
              </w:rPr>
            </w:pPr>
            <w:r>
              <w:rPr>
                <w:rFonts w:ascii="Arial" w:cs="Arial" w:eastAsia="Arial" w:hAnsi="Arial"/>
                <w:sz w:val="16"/>
                <w:szCs w:val="16"/>
                <w:color w:val="FFFFFF"/>
              </w:rPr>
              <w:t>Target</w:t>
            </w:r>
          </w:p>
        </w:tc>
        <w:tc>
          <w:tcPr>
            <w:tcW w:w="1200" w:type="dxa"/>
            <w:vAlign w:val="bottom"/>
            <w:shd w:val="clear" w:color="auto" w:fill="481F6E"/>
          </w:tcPr>
          <w:p>
            <w:pPr>
              <w:jc w:val="right"/>
              <w:spacing w:after="0"/>
              <w:rPr>
                <w:sz w:val="20"/>
                <w:szCs w:val="20"/>
                <w:color w:val="auto"/>
              </w:rPr>
            </w:pPr>
            <w:r>
              <w:rPr>
                <w:rFonts w:ascii="Arial" w:cs="Arial" w:eastAsia="Arial" w:hAnsi="Arial"/>
                <w:sz w:val="16"/>
                <w:szCs w:val="16"/>
                <w:color w:val="FFFFFF"/>
              </w:rPr>
              <w:t>Maximum</w:t>
            </w:r>
          </w:p>
        </w:tc>
      </w:tr>
      <w:tr>
        <w:trPr>
          <w:trHeight w:val="204"/>
        </w:trPr>
        <w:tc>
          <w:tcPr>
            <w:tcW w:w="2700" w:type="dxa"/>
            <w:vAlign w:val="bottom"/>
            <w:shd w:val="clear" w:color="auto" w:fill="481F6E"/>
          </w:tcPr>
          <w:p>
            <w:pPr>
              <w:spacing w:after="0"/>
              <w:rPr>
                <w:sz w:val="17"/>
                <w:szCs w:val="17"/>
                <w:color w:val="auto"/>
              </w:rPr>
            </w:pPr>
          </w:p>
        </w:tc>
        <w:tc>
          <w:tcPr>
            <w:tcW w:w="3420" w:type="dxa"/>
            <w:vAlign w:val="bottom"/>
            <w:shd w:val="clear" w:color="auto" w:fill="481F6E"/>
          </w:tcPr>
          <w:p>
            <w:pPr>
              <w:spacing w:after="0"/>
              <w:rPr>
                <w:sz w:val="17"/>
                <w:szCs w:val="17"/>
                <w:color w:val="auto"/>
              </w:rPr>
            </w:pPr>
          </w:p>
        </w:tc>
        <w:tc>
          <w:tcPr>
            <w:tcW w:w="2280" w:type="dxa"/>
            <w:vAlign w:val="bottom"/>
            <w:shd w:val="clear" w:color="auto" w:fill="481F6E"/>
          </w:tcPr>
          <w:p>
            <w:pPr>
              <w:jc w:val="right"/>
              <w:ind w:right="380"/>
              <w:spacing w:after="0"/>
              <w:rPr>
                <w:sz w:val="20"/>
                <w:szCs w:val="20"/>
                <w:color w:val="auto"/>
              </w:rPr>
            </w:pPr>
            <w:r>
              <w:rPr>
                <w:rFonts w:ascii="Arial" w:cs="Arial" w:eastAsia="Arial" w:hAnsi="Arial"/>
                <w:sz w:val="16"/>
                <w:szCs w:val="16"/>
                <w:color w:val="FFFFFF"/>
              </w:rPr>
              <w:t>Performance</w:t>
            </w:r>
          </w:p>
        </w:tc>
        <w:tc>
          <w:tcPr>
            <w:tcW w:w="1660" w:type="dxa"/>
            <w:vAlign w:val="bottom"/>
            <w:shd w:val="clear" w:color="auto" w:fill="481F6E"/>
          </w:tcPr>
          <w:p>
            <w:pPr>
              <w:jc w:val="right"/>
              <w:ind w:right="320"/>
              <w:spacing w:after="0"/>
              <w:rPr>
                <w:sz w:val="20"/>
                <w:szCs w:val="20"/>
                <w:color w:val="auto"/>
              </w:rPr>
            </w:pPr>
            <w:r>
              <w:rPr>
                <w:rFonts w:ascii="Arial" w:cs="Arial" w:eastAsia="Arial" w:hAnsi="Arial"/>
                <w:sz w:val="16"/>
                <w:szCs w:val="16"/>
                <w:color w:val="FFFFFF"/>
              </w:rPr>
              <w:t>Performance</w:t>
            </w:r>
          </w:p>
        </w:tc>
        <w:tc>
          <w:tcPr>
            <w:tcW w:w="1200" w:type="dxa"/>
            <w:vAlign w:val="bottom"/>
            <w:shd w:val="clear" w:color="auto" w:fill="481F6E"/>
          </w:tcPr>
          <w:p>
            <w:pPr>
              <w:jc w:val="right"/>
              <w:spacing w:after="0"/>
              <w:rPr>
                <w:sz w:val="20"/>
                <w:szCs w:val="20"/>
                <w:color w:val="auto"/>
              </w:rPr>
            </w:pPr>
            <w:r>
              <w:rPr>
                <w:rFonts w:ascii="Arial" w:cs="Arial" w:eastAsia="Arial" w:hAnsi="Arial"/>
                <w:sz w:val="16"/>
                <w:szCs w:val="16"/>
                <w:color w:val="FFFFFF"/>
              </w:rPr>
              <w:t>Performance</w:t>
            </w:r>
          </w:p>
        </w:tc>
      </w:tr>
      <w:tr>
        <w:trPr>
          <w:trHeight w:val="179"/>
        </w:trPr>
        <w:tc>
          <w:tcPr>
            <w:tcW w:w="2700" w:type="dxa"/>
            <w:vAlign w:val="bottom"/>
          </w:tcPr>
          <w:p>
            <w:pPr>
              <w:ind w:left="120"/>
              <w:spacing w:after="0" w:line="179" w:lineRule="exact"/>
              <w:rPr>
                <w:sz w:val="20"/>
                <w:szCs w:val="20"/>
                <w:color w:val="auto"/>
              </w:rPr>
            </w:pPr>
            <w:r>
              <w:rPr>
                <w:rFonts w:ascii="Arial" w:cs="Arial" w:eastAsia="Arial" w:hAnsi="Arial"/>
                <w:sz w:val="16"/>
                <w:szCs w:val="16"/>
                <w:color w:val="333740"/>
              </w:rPr>
              <w:t>ROIC</w:t>
            </w:r>
          </w:p>
        </w:tc>
        <w:tc>
          <w:tcPr>
            <w:tcW w:w="3420" w:type="dxa"/>
            <w:vAlign w:val="bottom"/>
          </w:tcPr>
          <w:p>
            <w:pPr>
              <w:ind w:left="580"/>
              <w:spacing w:after="0" w:line="179" w:lineRule="exact"/>
              <w:rPr>
                <w:sz w:val="20"/>
                <w:szCs w:val="20"/>
                <w:color w:val="auto"/>
              </w:rPr>
            </w:pPr>
            <w:r>
              <w:rPr>
                <w:rFonts w:ascii="Arial" w:cs="Arial" w:eastAsia="Arial" w:hAnsi="Arial"/>
                <w:sz w:val="16"/>
                <w:szCs w:val="16"/>
                <w:color w:val="333740"/>
              </w:rPr>
              <w:t>Achievement of stated target</w:t>
            </w:r>
          </w:p>
        </w:tc>
        <w:tc>
          <w:tcPr>
            <w:tcW w:w="2280" w:type="dxa"/>
            <w:vAlign w:val="bottom"/>
          </w:tcPr>
          <w:p>
            <w:pPr>
              <w:jc w:val="right"/>
              <w:ind w:right="380"/>
              <w:spacing w:after="0" w:line="179" w:lineRule="exact"/>
              <w:rPr>
                <w:sz w:val="20"/>
                <w:szCs w:val="20"/>
                <w:color w:val="auto"/>
              </w:rPr>
            </w:pPr>
            <w:r>
              <w:rPr>
                <w:rFonts w:ascii="Arial" w:cs="Arial" w:eastAsia="Arial" w:hAnsi="Arial"/>
                <w:sz w:val="16"/>
                <w:szCs w:val="16"/>
                <w:color w:val="333740"/>
              </w:rPr>
              <w:t>0%</w:t>
            </w:r>
          </w:p>
        </w:tc>
        <w:tc>
          <w:tcPr>
            <w:tcW w:w="1660" w:type="dxa"/>
            <w:vAlign w:val="bottom"/>
          </w:tcPr>
          <w:p>
            <w:pPr>
              <w:jc w:val="right"/>
              <w:ind w:right="320"/>
              <w:spacing w:after="0" w:line="179" w:lineRule="exact"/>
              <w:rPr>
                <w:sz w:val="20"/>
                <w:szCs w:val="20"/>
                <w:color w:val="auto"/>
              </w:rPr>
            </w:pPr>
            <w:r>
              <w:rPr>
                <w:rFonts w:ascii="Arial" w:cs="Arial" w:eastAsia="Arial" w:hAnsi="Arial"/>
                <w:sz w:val="16"/>
                <w:szCs w:val="16"/>
                <w:color w:val="333740"/>
              </w:rPr>
              <w:t>100%</w:t>
            </w:r>
          </w:p>
        </w:tc>
        <w:tc>
          <w:tcPr>
            <w:tcW w:w="1200" w:type="dxa"/>
            <w:vAlign w:val="bottom"/>
          </w:tcPr>
          <w:p>
            <w:pPr>
              <w:jc w:val="right"/>
              <w:spacing w:after="0" w:line="179" w:lineRule="exact"/>
              <w:rPr>
                <w:sz w:val="20"/>
                <w:szCs w:val="20"/>
                <w:color w:val="auto"/>
              </w:rPr>
            </w:pPr>
            <w:r>
              <w:rPr>
                <w:rFonts w:ascii="Arial" w:cs="Arial" w:eastAsia="Arial" w:hAnsi="Arial"/>
                <w:sz w:val="16"/>
                <w:szCs w:val="16"/>
                <w:color w:val="333740"/>
              </w:rPr>
              <w:t>200%</w:t>
            </w:r>
          </w:p>
        </w:tc>
      </w:tr>
      <w:tr>
        <w:trPr>
          <w:trHeight w:val="191"/>
        </w:trPr>
        <w:tc>
          <w:tcPr>
            <w:tcW w:w="2700" w:type="dxa"/>
            <w:vAlign w:val="bottom"/>
          </w:tcPr>
          <w:p>
            <w:pPr>
              <w:ind w:left="120"/>
              <w:spacing w:after="0"/>
              <w:rPr>
                <w:sz w:val="20"/>
                <w:szCs w:val="20"/>
                <w:color w:val="auto"/>
              </w:rPr>
            </w:pPr>
            <w:r>
              <w:rPr>
                <w:rFonts w:ascii="Arial" w:cs="Arial" w:eastAsia="Arial" w:hAnsi="Arial"/>
                <w:sz w:val="16"/>
                <w:szCs w:val="16"/>
                <w:color w:val="333740"/>
              </w:rPr>
              <w:t>(30% of total long-term equity)</w:t>
            </w:r>
          </w:p>
        </w:tc>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2700" w:type="dxa"/>
            <w:vAlign w:val="bottom"/>
          </w:tcPr>
          <w:p>
            <w:pPr>
              <w:ind w:left="120"/>
              <w:spacing w:after="0"/>
              <w:rPr>
                <w:sz w:val="20"/>
                <w:szCs w:val="20"/>
                <w:color w:val="auto"/>
              </w:rPr>
            </w:pPr>
            <w:r>
              <w:rPr>
                <w:rFonts w:ascii="Arial" w:cs="Arial" w:eastAsia="Arial" w:hAnsi="Arial"/>
                <w:sz w:val="16"/>
                <w:szCs w:val="16"/>
                <w:color w:val="333740"/>
              </w:rPr>
              <w:t>Relative TSR</w:t>
            </w:r>
          </w:p>
        </w:tc>
        <w:tc>
          <w:tcPr>
            <w:tcW w:w="3420" w:type="dxa"/>
            <w:vAlign w:val="bottom"/>
          </w:tcPr>
          <w:p>
            <w:pPr>
              <w:ind w:left="580"/>
              <w:spacing w:after="0"/>
              <w:rPr>
                <w:sz w:val="20"/>
                <w:szCs w:val="20"/>
                <w:color w:val="auto"/>
              </w:rPr>
            </w:pPr>
            <w:r>
              <w:rPr>
                <w:rFonts w:ascii="Arial" w:cs="Arial" w:eastAsia="Arial" w:hAnsi="Arial"/>
                <w:sz w:val="16"/>
                <w:szCs w:val="16"/>
                <w:color w:val="333740"/>
              </w:rPr>
              <w:t>Ranking against the 2017</w:t>
            </w:r>
          </w:p>
        </w:tc>
        <w:tc>
          <w:tcPr>
            <w:tcW w:w="2280" w:type="dxa"/>
            <w:vAlign w:val="bottom"/>
          </w:tcPr>
          <w:p>
            <w:pPr>
              <w:jc w:val="right"/>
              <w:ind w:right="380"/>
              <w:spacing w:after="0"/>
              <w:rPr>
                <w:sz w:val="20"/>
                <w:szCs w:val="20"/>
                <w:color w:val="auto"/>
              </w:rPr>
            </w:pPr>
            <w:r>
              <w:rPr>
                <w:rFonts w:ascii="Arial" w:cs="Arial" w:eastAsia="Arial" w:hAnsi="Arial"/>
                <w:sz w:val="16"/>
                <w:szCs w:val="16"/>
                <w:color w:val="333740"/>
              </w:rPr>
              <w:t>0%</w:t>
            </w:r>
          </w:p>
        </w:tc>
        <w:tc>
          <w:tcPr>
            <w:tcW w:w="1660" w:type="dxa"/>
            <w:vAlign w:val="bottom"/>
          </w:tcPr>
          <w:p>
            <w:pPr>
              <w:jc w:val="right"/>
              <w:ind w:right="320"/>
              <w:spacing w:after="0"/>
              <w:rPr>
                <w:sz w:val="20"/>
                <w:szCs w:val="20"/>
                <w:color w:val="auto"/>
              </w:rPr>
            </w:pPr>
            <w:r>
              <w:rPr>
                <w:rFonts w:ascii="Arial" w:cs="Arial" w:eastAsia="Arial" w:hAnsi="Arial"/>
                <w:sz w:val="16"/>
                <w:szCs w:val="16"/>
                <w:color w:val="333740"/>
              </w:rPr>
              <w:t>100%</w:t>
            </w:r>
          </w:p>
        </w:tc>
        <w:tc>
          <w:tcPr>
            <w:tcW w:w="1200" w:type="dxa"/>
            <w:vAlign w:val="bottom"/>
          </w:tcPr>
          <w:p>
            <w:pPr>
              <w:jc w:val="right"/>
              <w:spacing w:after="0"/>
              <w:rPr>
                <w:sz w:val="20"/>
                <w:szCs w:val="20"/>
                <w:color w:val="auto"/>
              </w:rPr>
            </w:pPr>
            <w:r>
              <w:rPr>
                <w:rFonts w:ascii="Arial" w:cs="Arial" w:eastAsia="Arial" w:hAnsi="Arial"/>
                <w:sz w:val="16"/>
                <w:szCs w:val="16"/>
                <w:color w:val="333740"/>
              </w:rPr>
              <w:t>200%</w:t>
            </w:r>
          </w:p>
        </w:tc>
      </w:tr>
      <w:tr>
        <w:trPr>
          <w:trHeight w:val="204"/>
        </w:trPr>
        <w:tc>
          <w:tcPr>
            <w:tcW w:w="2700" w:type="dxa"/>
            <w:vAlign w:val="bottom"/>
          </w:tcPr>
          <w:p>
            <w:pPr>
              <w:ind w:left="120"/>
              <w:spacing w:after="0"/>
              <w:rPr>
                <w:sz w:val="20"/>
                <w:szCs w:val="20"/>
                <w:color w:val="auto"/>
              </w:rPr>
            </w:pPr>
            <w:r>
              <w:rPr>
                <w:rFonts w:ascii="Arial" w:cs="Arial" w:eastAsia="Arial" w:hAnsi="Arial"/>
                <w:sz w:val="16"/>
                <w:szCs w:val="16"/>
                <w:color w:val="333740"/>
              </w:rPr>
              <w:t>(30% of total long-term equity)</w:t>
            </w:r>
          </w:p>
        </w:tc>
        <w:tc>
          <w:tcPr>
            <w:tcW w:w="3420" w:type="dxa"/>
            <w:vAlign w:val="bottom"/>
          </w:tcPr>
          <w:p>
            <w:pPr>
              <w:ind w:left="580"/>
              <w:spacing w:after="0"/>
              <w:rPr>
                <w:sz w:val="20"/>
                <w:szCs w:val="20"/>
                <w:color w:val="auto"/>
              </w:rPr>
            </w:pPr>
            <w:r>
              <w:rPr>
                <w:rFonts w:ascii="Arial" w:cs="Arial" w:eastAsia="Arial" w:hAnsi="Arial"/>
                <w:sz w:val="16"/>
                <w:szCs w:val="16"/>
                <w:color w:val="333740"/>
              </w:rPr>
              <w:t>Performance Peer Group</w:t>
            </w:r>
          </w:p>
        </w:tc>
        <w:tc>
          <w:tcPr>
            <w:tcW w:w="2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178" w:lineRule="exact"/>
        <w:rPr>
          <w:sz w:val="20"/>
          <w:szCs w:val="20"/>
          <w:color w:val="auto"/>
        </w:rPr>
      </w:pPr>
    </w:p>
    <w:p>
      <w:pPr>
        <w:ind w:left="4" w:right="80"/>
        <w:spacing w:after="0" w:line="275" w:lineRule="auto"/>
        <w:rPr>
          <w:sz w:val="20"/>
          <w:szCs w:val="20"/>
          <w:color w:val="auto"/>
        </w:rPr>
      </w:pPr>
      <w:r>
        <w:rPr>
          <w:rFonts w:ascii="Arial" w:cs="Arial" w:eastAsia="Arial" w:hAnsi="Arial"/>
          <w:sz w:val="16"/>
          <w:szCs w:val="16"/>
          <w:color w:val="333740"/>
        </w:rPr>
        <w:t>For the ROIC measure, the Performance Targets and earned PSUs are as noted below. For performance achievement between the levels identified below, the payout percentage is interpolated on a straight-line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5721350</wp:posOffset>
            </wp:positionH>
            <wp:positionV relativeFrom="paragraph">
              <wp:posOffset>104140</wp:posOffset>
            </wp:positionV>
            <wp:extent cx="7620" cy="1822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20" cy="182245"/>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104140</wp:posOffset>
            </wp:positionV>
            <wp:extent cx="7620" cy="1822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20" cy="182245"/>
                    </a:xfrm>
                    <a:prstGeom prst="rect">
                      <a:avLst/>
                    </a:prstGeom>
                    <a:noFill/>
                  </pic:spPr>
                </pic:pic>
              </a:graphicData>
            </a:graphic>
          </wp:anchor>
        </w:drawing>
      </w:r>
    </w:p>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267"/>
        </w:trPr>
        <w:tc>
          <w:tcPr>
            <w:tcW w:w="4920" w:type="dxa"/>
            <w:vAlign w:val="bottom"/>
            <w:tcBorders>
              <w:bottom w:val="single" w:sz="8" w:color="481F6E"/>
            </w:tcBorders>
            <w:shd w:val="clear" w:color="auto" w:fill="481F6E"/>
          </w:tcPr>
          <w:p>
            <w:pPr>
              <w:ind w:left="40"/>
              <w:spacing w:after="0"/>
              <w:rPr>
                <w:sz w:val="20"/>
                <w:szCs w:val="20"/>
                <w:color w:val="auto"/>
              </w:rPr>
            </w:pPr>
            <w:r>
              <w:rPr>
                <w:rFonts w:ascii="Arial" w:cs="Arial" w:eastAsia="Arial" w:hAnsi="Arial"/>
                <w:sz w:val="16"/>
                <w:szCs w:val="16"/>
                <w:color w:val="FFFFFF"/>
              </w:rPr>
              <w:t>Achieved Performance</w:t>
            </w:r>
          </w:p>
        </w:tc>
        <w:tc>
          <w:tcPr>
            <w:tcW w:w="4740" w:type="dxa"/>
            <w:vAlign w:val="bottom"/>
            <w:tcBorders>
              <w:bottom w:val="single" w:sz="8" w:color="481F6E"/>
            </w:tcBorders>
            <w:shd w:val="clear" w:color="auto" w:fill="481F6E"/>
          </w:tcPr>
          <w:p>
            <w:pPr>
              <w:jc w:val="right"/>
              <w:ind w:right="620"/>
              <w:spacing w:after="0"/>
              <w:rPr>
                <w:sz w:val="20"/>
                <w:szCs w:val="20"/>
                <w:color w:val="auto"/>
              </w:rPr>
            </w:pPr>
            <w:r>
              <w:rPr>
                <w:rFonts w:ascii="Arial" w:cs="Arial" w:eastAsia="Arial" w:hAnsi="Arial"/>
                <w:sz w:val="16"/>
                <w:szCs w:val="16"/>
                <w:color w:val="FFFFFF"/>
              </w:rPr>
              <w:t>Performance Target</w:t>
            </w:r>
          </w:p>
        </w:tc>
        <w:tc>
          <w:tcPr>
            <w:tcW w:w="1600" w:type="dxa"/>
            <w:vAlign w:val="bottom"/>
            <w:tcBorders>
              <w:bottom w:val="single" w:sz="8" w:color="481F6E"/>
            </w:tcBorders>
            <w:shd w:val="clear" w:color="auto" w:fill="481F6E"/>
          </w:tcPr>
          <w:p>
            <w:pPr>
              <w:jc w:val="right"/>
              <w:spacing w:after="0"/>
              <w:rPr>
                <w:sz w:val="20"/>
                <w:szCs w:val="20"/>
                <w:color w:val="auto"/>
              </w:rPr>
            </w:pPr>
            <w:r>
              <w:rPr>
                <w:rFonts w:ascii="Arial" w:cs="Arial" w:eastAsia="Arial" w:hAnsi="Arial"/>
                <w:sz w:val="16"/>
                <w:szCs w:val="16"/>
                <w:color w:val="FFFFFF"/>
              </w:rPr>
              <w:t>Earned PSUs</w:t>
            </w:r>
          </w:p>
        </w:tc>
      </w:tr>
      <w:tr>
        <w:trPr>
          <w:trHeight w:val="239"/>
        </w:trPr>
        <w:tc>
          <w:tcPr>
            <w:tcW w:w="4920" w:type="dxa"/>
            <w:vAlign w:val="bottom"/>
          </w:tcPr>
          <w:p>
            <w:pPr>
              <w:ind w:left="40"/>
              <w:spacing w:after="0"/>
              <w:rPr>
                <w:sz w:val="20"/>
                <w:szCs w:val="20"/>
                <w:color w:val="auto"/>
              </w:rPr>
            </w:pPr>
            <w:r>
              <w:rPr>
                <w:rFonts w:ascii="Arial" w:cs="Arial" w:eastAsia="Arial" w:hAnsi="Arial"/>
                <w:sz w:val="16"/>
                <w:szCs w:val="16"/>
                <w:color w:val="333740"/>
              </w:rPr>
              <w:t>Below Threshold</w:t>
            </w:r>
          </w:p>
        </w:tc>
        <w:tc>
          <w:tcPr>
            <w:tcW w:w="4740" w:type="dxa"/>
            <w:vAlign w:val="bottom"/>
          </w:tcPr>
          <w:p>
            <w:pPr>
              <w:jc w:val="right"/>
              <w:ind w:right="620"/>
              <w:spacing w:after="0"/>
              <w:rPr>
                <w:sz w:val="20"/>
                <w:szCs w:val="20"/>
                <w:color w:val="auto"/>
              </w:rPr>
            </w:pPr>
            <w:r>
              <w:rPr>
                <w:rFonts w:ascii="Arial" w:cs="Arial" w:eastAsia="Arial" w:hAnsi="Arial"/>
                <w:sz w:val="16"/>
                <w:szCs w:val="16"/>
                <w:color w:val="333740"/>
              </w:rPr>
              <w:t>Below 10%</w:t>
            </w:r>
          </w:p>
        </w:tc>
        <w:tc>
          <w:tcPr>
            <w:tcW w:w="1600" w:type="dxa"/>
            <w:vAlign w:val="bottom"/>
          </w:tcPr>
          <w:p>
            <w:pPr>
              <w:jc w:val="right"/>
              <w:spacing w:after="0"/>
              <w:rPr>
                <w:sz w:val="20"/>
                <w:szCs w:val="20"/>
                <w:color w:val="auto"/>
              </w:rPr>
            </w:pPr>
            <w:r>
              <w:rPr>
                <w:rFonts w:ascii="Arial" w:cs="Arial" w:eastAsia="Arial" w:hAnsi="Arial"/>
                <w:sz w:val="16"/>
                <w:szCs w:val="16"/>
                <w:color w:val="333740"/>
              </w:rPr>
              <w:t>0%</w:t>
            </w:r>
          </w:p>
        </w:tc>
      </w:tr>
      <w:tr>
        <w:trPr>
          <w:trHeight w:val="287"/>
        </w:trPr>
        <w:tc>
          <w:tcPr>
            <w:tcW w:w="4920" w:type="dxa"/>
            <w:vAlign w:val="bottom"/>
          </w:tcPr>
          <w:p>
            <w:pPr>
              <w:ind w:left="40"/>
              <w:spacing w:after="0"/>
              <w:rPr>
                <w:sz w:val="20"/>
                <w:szCs w:val="20"/>
                <w:color w:val="auto"/>
              </w:rPr>
            </w:pPr>
            <w:r>
              <w:rPr>
                <w:rFonts w:ascii="Arial" w:cs="Arial" w:eastAsia="Arial" w:hAnsi="Arial"/>
                <w:sz w:val="16"/>
                <w:szCs w:val="16"/>
                <w:color w:val="333740"/>
              </w:rPr>
              <w:t>Threshold Performance</w:t>
            </w:r>
          </w:p>
        </w:tc>
        <w:tc>
          <w:tcPr>
            <w:tcW w:w="4740" w:type="dxa"/>
            <w:vAlign w:val="bottom"/>
          </w:tcPr>
          <w:p>
            <w:pPr>
              <w:jc w:val="right"/>
              <w:ind w:right="620"/>
              <w:spacing w:after="0"/>
              <w:rPr>
                <w:sz w:val="20"/>
                <w:szCs w:val="20"/>
                <w:color w:val="auto"/>
              </w:rPr>
            </w:pPr>
            <w:r>
              <w:rPr>
                <w:rFonts w:ascii="Arial" w:cs="Arial" w:eastAsia="Arial" w:hAnsi="Arial"/>
                <w:sz w:val="16"/>
                <w:szCs w:val="16"/>
                <w:color w:val="333740"/>
              </w:rPr>
              <w:t>10%</w:t>
            </w:r>
          </w:p>
        </w:tc>
        <w:tc>
          <w:tcPr>
            <w:tcW w:w="1600" w:type="dxa"/>
            <w:vAlign w:val="bottom"/>
          </w:tcPr>
          <w:p>
            <w:pPr>
              <w:jc w:val="right"/>
              <w:spacing w:after="0"/>
              <w:rPr>
                <w:sz w:val="20"/>
                <w:szCs w:val="20"/>
                <w:color w:val="auto"/>
              </w:rPr>
            </w:pPr>
            <w:r>
              <w:rPr>
                <w:rFonts w:ascii="Arial" w:cs="Arial" w:eastAsia="Arial" w:hAnsi="Arial"/>
                <w:sz w:val="16"/>
                <w:szCs w:val="16"/>
                <w:color w:val="333740"/>
              </w:rPr>
              <w:t>50%</w:t>
            </w:r>
          </w:p>
        </w:tc>
      </w:tr>
      <w:tr>
        <w:trPr>
          <w:trHeight w:val="287"/>
        </w:trPr>
        <w:tc>
          <w:tcPr>
            <w:tcW w:w="4920" w:type="dxa"/>
            <w:vAlign w:val="bottom"/>
          </w:tcPr>
          <w:p>
            <w:pPr>
              <w:ind w:left="40"/>
              <w:spacing w:after="0"/>
              <w:rPr>
                <w:sz w:val="20"/>
                <w:szCs w:val="20"/>
                <w:color w:val="auto"/>
              </w:rPr>
            </w:pPr>
            <w:r>
              <w:rPr>
                <w:rFonts w:ascii="Arial" w:cs="Arial" w:eastAsia="Arial" w:hAnsi="Arial"/>
                <w:sz w:val="16"/>
                <w:szCs w:val="16"/>
                <w:color w:val="333740"/>
              </w:rPr>
              <w:t>Target Performance</w:t>
            </w:r>
          </w:p>
        </w:tc>
        <w:tc>
          <w:tcPr>
            <w:tcW w:w="4740" w:type="dxa"/>
            <w:vAlign w:val="bottom"/>
          </w:tcPr>
          <w:p>
            <w:pPr>
              <w:jc w:val="right"/>
              <w:ind w:right="620"/>
              <w:spacing w:after="0"/>
              <w:rPr>
                <w:sz w:val="20"/>
                <w:szCs w:val="20"/>
                <w:color w:val="auto"/>
              </w:rPr>
            </w:pPr>
            <w:r>
              <w:rPr>
                <w:rFonts w:ascii="Arial" w:cs="Arial" w:eastAsia="Arial" w:hAnsi="Arial"/>
                <w:sz w:val="16"/>
                <w:szCs w:val="16"/>
                <w:color w:val="333740"/>
              </w:rPr>
              <w:t>11%</w:t>
            </w:r>
          </w:p>
        </w:tc>
        <w:tc>
          <w:tcPr>
            <w:tcW w:w="1600" w:type="dxa"/>
            <w:vAlign w:val="bottom"/>
          </w:tcPr>
          <w:p>
            <w:pPr>
              <w:jc w:val="right"/>
              <w:spacing w:after="0"/>
              <w:rPr>
                <w:sz w:val="20"/>
                <w:szCs w:val="20"/>
                <w:color w:val="auto"/>
              </w:rPr>
            </w:pPr>
            <w:r>
              <w:rPr>
                <w:rFonts w:ascii="Arial" w:cs="Arial" w:eastAsia="Arial" w:hAnsi="Arial"/>
                <w:sz w:val="16"/>
                <w:szCs w:val="16"/>
                <w:color w:val="333740"/>
              </w:rPr>
              <w:t>100%</w:t>
            </w:r>
          </w:p>
        </w:tc>
      </w:tr>
      <w:tr>
        <w:trPr>
          <w:trHeight w:val="287"/>
        </w:trPr>
        <w:tc>
          <w:tcPr>
            <w:tcW w:w="4920" w:type="dxa"/>
            <w:vAlign w:val="bottom"/>
          </w:tcPr>
          <w:p>
            <w:pPr>
              <w:ind w:left="40"/>
              <w:spacing w:after="0"/>
              <w:rPr>
                <w:sz w:val="20"/>
                <w:szCs w:val="20"/>
                <w:color w:val="auto"/>
              </w:rPr>
            </w:pPr>
            <w:r>
              <w:rPr>
                <w:rFonts w:ascii="Arial" w:cs="Arial" w:eastAsia="Arial" w:hAnsi="Arial"/>
                <w:sz w:val="16"/>
                <w:szCs w:val="16"/>
                <w:color w:val="333740"/>
              </w:rPr>
              <w:t>Maximum Performance or above</w:t>
            </w:r>
          </w:p>
        </w:tc>
        <w:tc>
          <w:tcPr>
            <w:tcW w:w="4740" w:type="dxa"/>
            <w:vAlign w:val="bottom"/>
          </w:tcPr>
          <w:p>
            <w:pPr>
              <w:jc w:val="right"/>
              <w:ind w:right="620"/>
              <w:spacing w:after="0"/>
              <w:rPr>
                <w:sz w:val="20"/>
                <w:szCs w:val="20"/>
                <w:color w:val="auto"/>
              </w:rPr>
            </w:pPr>
            <w:r>
              <w:rPr>
                <w:rFonts w:ascii="Arial" w:cs="Arial" w:eastAsia="Arial" w:hAnsi="Arial"/>
                <w:sz w:val="16"/>
                <w:szCs w:val="16"/>
                <w:color w:val="333740"/>
              </w:rPr>
              <w:t>12%</w:t>
            </w:r>
          </w:p>
        </w:tc>
        <w:tc>
          <w:tcPr>
            <w:tcW w:w="1600" w:type="dxa"/>
            <w:vAlign w:val="bottom"/>
          </w:tcPr>
          <w:p>
            <w:pPr>
              <w:jc w:val="right"/>
              <w:spacing w:after="0"/>
              <w:rPr>
                <w:sz w:val="20"/>
                <w:szCs w:val="20"/>
                <w:color w:val="auto"/>
              </w:rPr>
            </w:pPr>
            <w:r>
              <w:rPr>
                <w:rFonts w:ascii="Arial" w:cs="Arial" w:eastAsia="Arial" w:hAnsi="Arial"/>
                <w:sz w:val="16"/>
                <w:szCs w:val="16"/>
                <w:color w:val="333740"/>
              </w:rPr>
              <w:t>200%</w:t>
            </w:r>
          </w:p>
        </w:tc>
      </w:tr>
    </w:tbl>
    <w:p>
      <w:pPr>
        <w:spacing w:after="0" w:line="200" w:lineRule="exact"/>
        <w:rPr>
          <w:sz w:val="20"/>
          <w:szCs w:val="20"/>
          <w:color w:val="auto"/>
        </w:rPr>
      </w:pPr>
    </w:p>
    <w:p>
      <w:pPr>
        <w:spacing w:after="0" w:line="210" w:lineRule="exact"/>
        <w:rPr>
          <w:sz w:val="20"/>
          <w:szCs w:val="20"/>
          <w:color w:val="auto"/>
        </w:rPr>
      </w:pPr>
    </w:p>
    <w:p>
      <w:pPr>
        <w:ind w:left="564" w:hanging="564"/>
        <w:spacing w:after="0"/>
        <w:tabs>
          <w:tab w:leader="none" w:pos="564" w:val="left"/>
        </w:tabs>
        <w:numPr>
          <w:ilvl w:val="0"/>
          <w:numId w:val="9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83" w:name="page84"/>
    <w:bookmarkEnd w:id="83"/>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4"/>
          <w:szCs w:val="14"/>
          <w:color w:val="333740"/>
        </w:rPr>
        <w:t>For the relative TSR measure, the earned PSUs were based on a percentile ranking of the Company’s TSR against the constituents of the 2017 Performance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148590</wp:posOffset>
            </wp:positionV>
            <wp:extent cx="7620" cy="2959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20" cy="295910"/>
                    </a:xfrm>
                    <a:prstGeom prst="rect">
                      <a:avLst/>
                    </a:prstGeom>
                    <a:noFill/>
                  </pic:spPr>
                </pic:pic>
              </a:graphicData>
            </a:graphic>
          </wp:anchor>
        </w:drawing>
      </w:r>
    </w:p>
    <w:p>
      <w:pPr>
        <w:spacing w:after="0" w:line="214" w:lineRule="exact"/>
        <w:rPr>
          <w:sz w:val="20"/>
          <w:szCs w:val="20"/>
          <w:color w:val="auto"/>
        </w:rPr>
      </w:pPr>
    </w:p>
    <w:tbl>
      <w:tblPr>
        <w:tblLayout w:type="fixed"/>
        <w:tblInd w:w="4" w:type="dxa"/>
        <w:tblCellMar>
          <w:top w:w="0" w:type="dxa"/>
          <w:left w:w="0" w:type="dxa"/>
          <w:bottom w:w="0" w:type="dxa"/>
          <w:right w:w="0" w:type="dxa"/>
        </w:tblCellMar>
      </w:tblPr>
      <w:tr>
        <w:trPr>
          <w:trHeight w:val="335"/>
        </w:trPr>
        <w:tc>
          <w:tcPr>
            <w:tcW w:w="5640" w:type="dxa"/>
            <w:vAlign w:val="bottom"/>
            <w:shd w:val="clear" w:color="auto" w:fill="481F6E"/>
          </w:tcPr>
          <w:p>
            <w:pPr>
              <w:ind w:left="40"/>
              <w:spacing w:after="0"/>
              <w:rPr>
                <w:sz w:val="20"/>
                <w:szCs w:val="20"/>
                <w:color w:val="auto"/>
              </w:rPr>
            </w:pPr>
            <w:r>
              <w:rPr>
                <w:rFonts w:ascii="Arial" w:cs="Arial" w:eastAsia="Arial" w:hAnsi="Arial"/>
                <w:sz w:val="16"/>
                <w:szCs w:val="16"/>
                <w:color w:val="FFFFFF"/>
              </w:rPr>
              <w:t>Ranking</w:t>
            </w:r>
          </w:p>
        </w:tc>
        <w:tc>
          <w:tcPr>
            <w:tcW w:w="5620" w:type="dxa"/>
            <w:vAlign w:val="bottom"/>
            <w:shd w:val="clear" w:color="auto" w:fill="481F6E"/>
          </w:tcPr>
          <w:p>
            <w:pPr>
              <w:jc w:val="right"/>
              <w:spacing w:after="0"/>
              <w:rPr>
                <w:sz w:val="20"/>
                <w:szCs w:val="20"/>
                <w:color w:val="auto"/>
              </w:rPr>
            </w:pPr>
            <w:r>
              <w:rPr>
                <w:rFonts w:ascii="Arial" w:cs="Arial" w:eastAsia="Arial" w:hAnsi="Arial"/>
                <w:sz w:val="16"/>
                <w:szCs w:val="16"/>
                <w:color w:val="FFFFFF"/>
              </w:rPr>
              <w:t>Earned PSUs</w:t>
            </w:r>
            <w:r>
              <w:rPr>
                <w:rFonts w:ascii="Arial" w:cs="Arial" w:eastAsia="Arial" w:hAnsi="Arial"/>
                <w:sz w:val="10"/>
                <w:szCs w:val="10"/>
                <w:color w:val="FFFFFF"/>
              </w:rPr>
              <w:t>1</w:t>
            </w:r>
          </w:p>
        </w:tc>
      </w:tr>
      <w:tr>
        <w:trPr>
          <w:trHeight w:val="131"/>
        </w:trPr>
        <w:tc>
          <w:tcPr>
            <w:tcW w:w="5640" w:type="dxa"/>
            <w:vAlign w:val="bottom"/>
            <w:shd w:val="clear" w:color="auto" w:fill="481F6E"/>
          </w:tcPr>
          <w:p>
            <w:pPr>
              <w:spacing w:after="0"/>
              <w:rPr>
                <w:sz w:val="11"/>
                <w:szCs w:val="11"/>
                <w:color w:val="auto"/>
              </w:rPr>
            </w:pPr>
          </w:p>
        </w:tc>
        <w:tc>
          <w:tcPr>
            <w:tcW w:w="5620" w:type="dxa"/>
            <w:vAlign w:val="bottom"/>
            <w:shd w:val="clear" w:color="auto" w:fill="481F6E"/>
          </w:tcPr>
          <w:p>
            <w:pPr>
              <w:spacing w:after="0"/>
              <w:rPr>
                <w:sz w:val="11"/>
                <w:szCs w:val="11"/>
                <w:color w:val="auto"/>
              </w:rPr>
            </w:pPr>
          </w:p>
        </w:tc>
      </w:tr>
      <w:tr>
        <w:trPr>
          <w:trHeight w:val="239"/>
        </w:trPr>
        <w:tc>
          <w:tcPr>
            <w:tcW w:w="5640" w:type="dxa"/>
            <w:vAlign w:val="bottom"/>
          </w:tcPr>
          <w:p>
            <w:pPr>
              <w:ind w:left="40"/>
              <w:spacing w:after="0"/>
              <w:rPr>
                <w:sz w:val="20"/>
                <w:szCs w:val="20"/>
                <w:color w:val="auto"/>
              </w:rPr>
            </w:pPr>
            <w:r>
              <w:rPr>
                <w:rFonts w:ascii="Arial" w:cs="Arial" w:eastAsia="Arial" w:hAnsi="Arial"/>
                <w:sz w:val="16"/>
                <w:szCs w:val="16"/>
                <w:color w:val="333740"/>
              </w:rPr>
              <w:t>13th or Lower</w:t>
            </w:r>
          </w:p>
        </w:tc>
        <w:tc>
          <w:tcPr>
            <w:tcW w:w="5620" w:type="dxa"/>
            <w:vAlign w:val="bottom"/>
          </w:tcPr>
          <w:p>
            <w:pPr>
              <w:jc w:val="right"/>
              <w:spacing w:after="0"/>
              <w:rPr>
                <w:sz w:val="20"/>
                <w:szCs w:val="20"/>
                <w:color w:val="auto"/>
              </w:rPr>
            </w:pPr>
            <w:r>
              <w:rPr>
                <w:rFonts w:ascii="Arial" w:cs="Arial" w:eastAsia="Arial" w:hAnsi="Arial"/>
                <w:sz w:val="16"/>
                <w:szCs w:val="16"/>
                <w:color w:val="333740"/>
              </w:rPr>
              <w:t>0%</w:t>
            </w:r>
          </w:p>
        </w:tc>
      </w:tr>
      <w:tr>
        <w:trPr>
          <w:trHeight w:val="287"/>
        </w:trPr>
        <w:tc>
          <w:tcPr>
            <w:tcW w:w="5640" w:type="dxa"/>
            <w:vAlign w:val="bottom"/>
          </w:tcPr>
          <w:p>
            <w:pPr>
              <w:ind w:left="40"/>
              <w:spacing w:after="0"/>
              <w:rPr>
                <w:sz w:val="20"/>
                <w:szCs w:val="20"/>
                <w:color w:val="auto"/>
              </w:rPr>
            </w:pPr>
            <w:r>
              <w:rPr>
                <w:rFonts w:ascii="Arial" w:cs="Arial" w:eastAsia="Arial" w:hAnsi="Arial"/>
                <w:sz w:val="16"/>
                <w:szCs w:val="16"/>
                <w:color w:val="333740"/>
              </w:rPr>
              <w:t>11th or 12th</w:t>
            </w:r>
          </w:p>
        </w:tc>
        <w:tc>
          <w:tcPr>
            <w:tcW w:w="5620" w:type="dxa"/>
            <w:vAlign w:val="bottom"/>
          </w:tcPr>
          <w:p>
            <w:pPr>
              <w:jc w:val="right"/>
              <w:spacing w:after="0"/>
              <w:rPr>
                <w:sz w:val="20"/>
                <w:szCs w:val="20"/>
                <w:color w:val="auto"/>
              </w:rPr>
            </w:pPr>
            <w:r>
              <w:rPr>
                <w:rFonts w:ascii="Arial" w:cs="Arial" w:eastAsia="Arial" w:hAnsi="Arial"/>
                <w:sz w:val="16"/>
                <w:szCs w:val="16"/>
                <w:color w:val="333740"/>
              </w:rPr>
              <w:t>50%</w:t>
            </w:r>
          </w:p>
        </w:tc>
      </w:tr>
      <w:tr>
        <w:trPr>
          <w:trHeight w:val="287"/>
        </w:trPr>
        <w:tc>
          <w:tcPr>
            <w:tcW w:w="5640" w:type="dxa"/>
            <w:vAlign w:val="bottom"/>
          </w:tcPr>
          <w:p>
            <w:pPr>
              <w:ind w:left="40"/>
              <w:spacing w:after="0"/>
              <w:rPr>
                <w:sz w:val="20"/>
                <w:szCs w:val="20"/>
                <w:color w:val="auto"/>
              </w:rPr>
            </w:pPr>
            <w:r>
              <w:rPr>
                <w:rFonts w:ascii="Arial" w:cs="Arial" w:eastAsia="Arial" w:hAnsi="Arial"/>
                <w:sz w:val="16"/>
                <w:szCs w:val="16"/>
                <w:color w:val="333740"/>
              </w:rPr>
              <w:t>9th or 10th</w:t>
            </w:r>
          </w:p>
        </w:tc>
        <w:tc>
          <w:tcPr>
            <w:tcW w:w="5620" w:type="dxa"/>
            <w:vAlign w:val="bottom"/>
          </w:tcPr>
          <w:p>
            <w:pPr>
              <w:jc w:val="right"/>
              <w:spacing w:after="0"/>
              <w:rPr>
                <w:sz w:val="20"/>
                <w:szCs w:val="20"/>
                <w:color w:val="auto"/>
              </w:rPr>
            </w:pPr>
            <w:r>
              <w:rPr>
                <w:rFonts w:ascii="Arial" w:cs="Arial" w:eastAsia="Arial" w:hAnsi="Arial"/>
                <w:sz w:val="16"/>
                <w:szCs w:val="16"/>
                <w:color w:val="333740"/>
              </w:rPr>
              <w:t>75%</w:t>
            </w:r>
          </w:p>
        </w:tc>
      </w:tr>
      <w:tr>
        <w:trPr>
          <w:trHeight w:val="287"/>
        </w:trPr>
        <w:tc>
          <w:tcPr>
            <w:tcW w:w="5640" w:type="dxa"/>
            <w:vAlign w:val="bottom"/>
          </w:tcPr>
          <w:p>
            <w:pPr>
              <w:ind w:left="40"/>
              <w:spacing w:after="0"/>
              <w:rPr>
                <w:sz w:val="20"/>
                <w:szCs w:val="20"/>
                <w:color w:val="auto"/>
              </w:rPr>
            </w:pPr>
            <w:r>
              <w:rPr>
                <w:rFonts w:ascii="Arial" w:cs="Arial" w:eastAsia="Arial" w:hAnsi="Arial"/>
                <w:sz w:val="16"/>
                <w:szCs w:val="16"/>
                <w:color w:val="333740"/>
              </w:rPr>
              <w:t>8th</w:t>
            </w:r>
          </w:p>
        </w:tc>
        <w:tc>
          <w:tcPr>
            <w:tcW w:w="5620" w:type="dxa"/>
            <w:vAlign w:val="bottom"/>
          </w:tcPr>
          <w:p>
            <w:pPr>
              <w:jc w:val="right"/>
              <w:spacing w:after="0"/>
              <w:rPr>
                <w:sz w:val="20"/>
                <w:szCs w:val="20"/>
                <w:color w:val="auto"/>
              </w:rPr>
            </w:pPr>
            <w:r>
              <w:rPr>
                <w:rFonts w:ascii="Arial" w:cs="Arial" w:eastAsia="Arial" w:hAnsi="Arial"/>
                <w:sz w:val="16"/>
                <w:szCs w:val="16"/>
                <w:color w:val="333740"/>
              </w:rPr>
              <w:t>100%</w:t>
            </w:r>
          </w:p>
        </w:tc>
      </w:tr>
      <w:tr>
        <w:trPr>
          <w:trHeight w:val="287"/>
        </w:trPr>
        <w:tc>
          <w:tcPr>
            <w:tcW w:w="5640" w:type="dxa"/>
            <w:vAlign w:val="bottom"/>
          </w:tcPr>
          <w:p>
            <w:pPr>
              <w:ind w:left="40"/>
              <w:spacing w:after="0"/>
              <w:rPr>
                <w:sz w:val="20"/>
                <w:szCs w:val="20"/>
                <w:color w:val="auto"/>
              </w:rPr>
            </w:pPr>
            <w:r>
              <w:rPr>
                <w:rFonts w:ascii="Arial" w:cs="Arial" w:eastAsia="Arial" w:hAnsi="Arial"/>
                <w:sz w:val="16"/>
                <w:szCs w:val="16"/>
                <w:color w:val="333740"/>
              </w:rPr>
              <w:t>7th</w:t>
            </w:r>
          </w:p>
        </w:tc>
        <w:tc>
          <w:tcPr>
            <w:tcW w:w="5620" w:type="dxa"/>
            <w:vAlign w:val="bottom"/>
          </w:tcPr>
          <w:p>
            <w:pPr>
              <w:jc w:val="right"/>
              <w:spacing w:after="0"/>
              <w:rPr>
                <w:sz w:val="20"/>
                <w:szCs w:val="20"/>
                <w:color w:val="auto"/>
              </w:rPr>
            </w:pPr>
            <w:r>
              <w:rPr>
                <w:rFonts w:ascii="Arial" w:cs="Arial" w:eastAsia="Arial" w:hAnsi="Arial"/>
                <w:sz w:val="16"/>
                <w:szCs w:val="16"/>
                <w:color w:val="333740"/>
              </w:rPr>
              <w:t>120%</w:t>
            </w:r>
          </w:p>
        </w:tc>
      </w:tr>
      <w:tr>
        <w:trPr>
          <w:trHeight w:val="287"/>
        </w:trPr>
        <w:tc>
          <w:tcPr>
            <w:tcW w:w="5640" w:type="dxa"/>
            <w:vAlign w:val="bottom"/>
          </w:tcPr>
          <w:p>
            <w:pPr>
              <w:ind w:left="40"/>
              <w:spacing w:after="0"/>
              <w:rPr>
                <w:sz w:val="20"/>
                <w:szCs w:val="20"/>
                <w:color w:val="auto"/>
              </w:rPr>
            </w:pPr>
            <w:r>
              <w:rPr>
                <w:rFonts w:ascii="Arial" w:cs="Arial" w:eastAsia="Arial" w:hAnsi="Arial"/>
                <w:sz w:val="16"/>
                <w:szCs w:val="16"/>
                <w:color w:val="333740"/>
              </w:rPr>
              <w:t>6th</w:t>
            </w:r>
          </w:p>
        </w:tc>
        <w:tc>
          <w:tcPr>
            <w:tcW w:w="5620" w:type="dxa"/>
            <w:vAlign w:val="bottom"/>
          </w:tcPr>
          <w:p>
            <w:pPr>
              <w:jc w:val="right"/>
              <w:spacing w:after="0"/>
              <w:rPr>
                <w:sz w:val="20"/>
                <w:szCs w:val="20"/>
                <w:color w:val="auto"/>
              </w:rPr>
            </w:pPr>
            <w:r>
              <w:rPr>
                <w:rFonts w:ascii="Arial" w:cs="Arial" w:eastAsia="Arial" w:hAnsi="Arial"/>
                <w:sz w:val="16"/>
                <w:szCs w:val="16"/>
                <w:color w:val="333740"/>
              </w:rPr>
              <w:t>140%</w:t>
            </w:r>
          </w:p>
        </w:tc>
      </w:tr>
      <w:tr>
        <w:trPr>
          <w:trHeight w:val="287"/>
        </w:trPr>
        <w:tc>
          <w:tcPr>
            <w:tcW w:w="5640" w:type="dxa"/>
            <w:vAlign w:val="bottom"/>
          </w:tcPr>
          <w:p>
            <w:pPr>
              <w:ind w:left="40"/>
              <w:spacing w:after="0"/>
              <w:rPr>
                <w:sz w:val="20"/>
                <w:szCs w:val="20"/>
                <w:color w:val="auto"/>
              </w:rPr>
            </w:pPr>
            <w:r>
              <w:rPr>
                <w:rFonts w:ascii="Arial" w:cs="Arial" w:eastAsia="Arial" w:hAnsi="Arial"/>
                <w:sz w:val="16"/>
                <w:szCs w:val="16"/>
                <w:color w:val="333740"/>
              </w:rPr>
              <w:t>5th</w:t>
            </w:r>
          </w:p>
        </w:tc>
        <w:tc>
          <w:tcPr>
            <w:tcW w:w="5620" w:type="dxa"/>
            <w:vAlign w:val="bottom"/>
          </w:tcPr>
          <w:p>
            <w:pPr>
              <w:jc w:val="right"/>
              <w:spacing w:after="0"/>
              <w:rPr>
                <w:sz w:val="20"/>
                <w:szCs w:val="20"/>
                <w:color w:val="auto"/>
              </w:rPr>
            </w:pPr>
            <w:r>
              <w:rPr>
                <w:rFonts w:ascii="Arial" w:cs="Arial" w:eastAsia="Arial" w:hAnsi="Arial"/>
                <w:sz w:val="16"/>
                <w:szCs w:val="16"/>
                <w:color w:val="333740"/>
              </w:rPr>
              <w:t>160%</w:t>
            </w:r>
          </w:p>
        </w:tc>
      </w:tr>
      <w:tr>
        <w:trPr>
          <w:trHeight w:val="287"/>
        </w:trPr>
        <w:tc>
          <w:tcPr>
            <w:tcW w:w="5640" w:type="dxa"/>
            <w:vAlign w:val="bottom"/>
          </w:tcPr>
          <w:p>
            <w:pPr>
              <w:ind w:left="40"/>
              <w:spacing w:after="0"/>
              <w:rPr>
                <w:sz w:val="20"/>
                <w:szCs w:val="20"/>
                <w:color w:val="auto"/>
              </w:rPr>
            </w:pPr>
            <w:r>
              <w:rPr>
                <w:rFonts w:ascii="Arial" w:cs="Arial" w:eastAsia="Arial" w:hAnsi="Arial"/>
                <w:sz w:val="16"/>
                <w:szCs w:val="16"/>
                <w:color w:val="333740"/>
              </w:rPr>
              <w:t>4th</w:t>
            </w:r>
          </w:p>
        </w:tc>
        <w:tc>
          <w:tcPr>
            <w:tcW w:w="5620" w:type="dxa"/>
            <w:vAlign w:val="bottom"/>
          </w:tcPr>
          <w:p>
            <w:pPr>
              <w:jc w:val="right"/>
              <w:spacing w:after="0"/>
              <w:rPr>
                <w:sz w:val="20"/>
                <w:szCs w:val="20"/>
                <w:color w:val="auto"/>
              </w:rPr>
            </w:pPr>
            <w:r>
              <w:rPr>
                <w:rFonts w:ascii="Arial" w:cs="Arial" w:eastAsia="Arial" w:hAnsi="Arial"/>
                <w:sz w:val="16"/>
                <w:szCs w:val="16"/>
                <w:color w:val="333740"/>
              </w:rPr>
              <w:t>180%</w:t>
            </w:r>
          </w:p>
        </w:tc>
      </w:tr>
      <w:tr>
        <w:trPr>
          <w:trHeight w:val="287"/>
        </w:trPr>
        <w:tc>
          <w:tcPr>
            <w:tcW w:w="5640" w:type="dxa"/>
            <w:vAlign w:val="bottom"/>
          </w:tcPr>
          <w:p>
            <w:pPr>
              <w:ind w:left="40"/>
              <w:spacing w:after="0"/>
              <w:rPr>
                <w:sz w:val="20"/>
                <w:szCs w:val="20"/>
                <w:color w:val="auto"/>
              </w:rPr>
            </w:pPr>
            <w:r>
              <w:rPr>
                <w:rFonts w:ascii="Arial" w:cs="Arial" w:eastAsia="Arial" w:hAnsi="Arial"/>
                <w:sz w:val="16"/>
                <w:szCs w:val="16"/>
                <w:color w:val="333740"/>
              </w:rPr>
              <w:t>3rd or higher</w:t>
            </w:r>
          </w:p>
        </w:tc>
        <w:tc>
          <w:tcPr>
            <w:tcW w:w="5620" w:type="dxa"/>
            <w:vAlign w:val="bottom"/>
          </w:tcPr>
          <w:p>
            <w:pPr>
              <w:jc w:val="right"/>
              <w:spacing w:after="0"/>
              <w:rPr>
                <w:sz w:val="20"/>
                <w:szCs w:val="20"/>
                <w:color w:val="auto"/>
              </w:rPr>
            </w:pPr>
            <w:r>
              <w:rPr>
                <w:rFonts w:ascii="Arial" w:cs="Arial" w:eastAsia="Arial" w:hAnsi="Arial"/>
                <w:sz w:val="16"/>
                <w:szCs w:val="16"/>
                <w:color w:val="333740"/>
              </w:rPr>
              <w:t>200%</w:t>
            </w:r>
          </w:p>
        </w:tc>
      </w:tr>
    </w:tbl>
    <w:p>
      <w:pPr>
        <w:spacing w:after="0" w:line="223" w:lineRule="exact"/>
        <w:rPr>
          <w:sz w:val="20"/>
          <w:szCs w:val="20"/>
          <w:color w:val="auto"/>
        </w:rPr>
      </w:pPr>
    </w:p>
    <w:p>
      <w:pPr>
        <w:ind w:left="4"/>
        <w:spacing w:after="0"/>
        <w:rPr>
          <w:sz w:val="20"/>
          <w:szCs w:val="20"/>
          <w:color w:val="auto"/>
        </w:rPr>
      </w:pPr>
      <w:r>
        <w:rPr>
          <w:rFonts w:ascii="Arial" w:cs="Arial" w:eastAsia="Arial" w:hAnsi="Arial"/>
          <w:sz w:val="13"/>
          <w:szCs w:val="13"/>
          <w:color w:val="333740"/>
        </w:rPr>
        <w:t>(1) If the Company’s TSR is negative for the performance period, the payout in respect of the TSR element will be capped at target, regardless of our relative performance.</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6"/>
          <w:szCs w:val="16"/>
          <w:color w:val="333740"/>
        </w:rPr>
        <w:t>The overall achievement for the performance element of our 2017 PSU awards was 50% based on the following:</w:t>
      </w:r>
    </w:p>
    <w:p>
      <w:pPr>
        <w:spacing w:after="0" w:line="198" w:lineRule="exact"/>
        <w:rPr>
          <w:sz w:val="20"/>
          <w:szCs w:val="20"/>
          <w:color w:val="auto"/>
        </w:rPr>
      </w:pPr>
    </w:p>
    <w:p>
      <w:pPr>
        <w:ind w:left="184" w:right="100"/>
        <w:spacing w:after="0" w:line="275" w:lineRule="auto"/>
        <w:rPr>
          <w:sz w:val="20"/>
          <w:szCs w:val="20"/>
          <w:color w:val="auto"/>
        </w:rPr>
      </w:pPr>
      <w:r>
        <w:rPr>
          <w:rFonts w:ascii="Arial" w:cs="Arial" w:eastAsia="Arial" w:hAnsi="Arial"/>
          <w:sz w:val="16"/>
          <w:szCs w:val="16"/>
          <w:color w:val="333740"/>
        </w:rPr>
        <w:t>Three-year ROIC performance for 2017-2019 was 6.9%. This ROIC performance was below the threshold for payout on the payout scale provided above, and therefore, the ROIC component of the 2017 PSU awards paid out at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38100" cy="755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32" w:lineRule="exact"/>
        <w:rPr>
          <w:sz w:val="20"/>
          <w:szCs w:val="20"/>
          <w:color w:val="auto"/>
        </w:rPr>
      </w:pPr>
    </w:p>
    <w:p>
      <w:pPr>
        <w:ind w:left="184" w:right="320"/>
        <w:spacing w:after="0" w:line="275" w:lineRule="auto"/>
        <w:rPr>
          <w:sz w:val="20"/>
          <w:szCs w:val="20"/>
          <w:color w:val="auto"/>
        </w:rPr>
      </w:pPr>
      <w:r>
        <w:rPr>
          <w:rFonts w:ascii="Arial" w:cs="Arial" w:eastAsia="Arial" w:hAnsi="Arial"/>
          <w:sz w:val="16"/>
          <w:szCs w:val="16"/>
          <w:color w:val="333740"/>
        </w:rPr>
        <w:t>Three-year relative TSR performance for the Company for 2017-2019 was –37.8%, which placed the Company at a ranking of 5th relative to the 2017 Performance Peer Group. This resulted in a payout for the relative TSR metric of 100%, based on the payout scale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38100" cy="755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32" w:lineRule="exact"/>
        <w:rPr>
          <w:sz w:val="20"/>
          <w:szCs w:val="20"/>
          <w:color w:val="auto"/>
        </w:rPr>
      </w:pPr>
    </w:p>
    <w:p>
      <w:pPr>
        <w:ind w:left="144" w:right="220"/>
        <w:spacing w:after="0" w:line="262" w:lineRule="auto"/>
        <w:rPr>
          <w:sz w:val="20"/>
          <w:szCs w:val="20"/>
          <w:color w:val="auto"/>
        </w:rPr>
      </w:pPr>
      <w:r>
        <w:rPr>
          <w:sz w:val="1"/>
          <w:szCs w:val="1"/>
          <w:color w:val="auto"/>
        </w:rPr>
        <w:drawing>
          <wp:inline distT="0" distB="0" distL="0" distR="0">
            <wp:extent cx="38100" cy="75565"/>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100" cy="75565"/>
                    </a:xfrm>
                    <a:prstGeom prst="rect">
                      <a:avLst/>
                    </a:prstGeom>
                    <a:noFill/>
                    <a:ln>
                      <a:noFill/>
                    </a:ln>
                  </pic:spPr>
                </pic:pic>
              </a:graphicData>
            </a:graphic>
          </wp:inline>
        </w:drawing>
      </w:r>
      <w:r>
        <w:rPr>
          <w:rFonts w:ascii="Arial" w:cs="Arial" w:eastAsia="Arial" w:hAnsi="Arial"/>
          <w:sz w:val="16"/>
          <w:szCs w:val="16"/>
          <w:color w:val="333740"/>
        </w:rPr>
        <w:t>We achieved above-target performance for the relative TSR measure for our 2017-2019 performance period based on our performance relative to the Performance Peer Group. However, our absolute relative TSR performance was negative given the overall oil and gas market conditions during the same period. Therefore, our payout under our incentive plan was capped at target (100%) given the absolute TSR performance.</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333740"/>
        </w:rPr>
        <w:t>2017 Long-Term Incentive (Equity Award) Plan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133985</wp:posOffset>
            </wp:positionV>
            <wp:extent cx="5767070" cy="248158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767070" cy="2481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4" w:hanging="564"/>
        <w:spacing w:after="0"/>
        <w:tabs>
          <w:tab w:leader="none" w:pos="564" w:val="left"/>
        </w:tabs>
        <w:numPr>
          <w:ilvl w:val="0"/>
          <w:numId w:val="97"/>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84" w:name="page85"/>
    <w:bookmarkEnd w:id="84"/>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2020 Long-Term Incentive Plan Grants</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333740"/>
        </w:rPr>
        <w:t>The Compensation Committee granted long-term equity incentives to our NEOs on March 9, 2020, consisting of the following:</w:t>
      </w:r>
    </w:p>
    <w:p>
      <w:pPr>
        <w:spacing w:after="0" w:line="186" w:lineRule="exact"/>
        <w:rPr>
          <w:sz w:val="20"/>
          <w:szCs w:val="20"/>
          <w:color w:val="auto"/>
        </w:rPr>
      </w:pPr>
    </w:p>
    <w:p>
      <w:pPr>
        <w:ind w:left="64"/>
        <w:spacing w:after="0"/>
        <w:rPr>
          <w:sz w:val="20"/>
          <w:szCs w:val="20"/>
          <w:color w:val="auto"/>
        </w:rPr>
      </w:pPr>
      <w:r>
        <w:rPr>
          <w:sz w:val="1"/>
          <w:szCs w:val="1"/>
          <w:color w:val="auto"/>
        </w:rPr>
        <w:drawing>
          <wp:inline distT="0" distB="0" distL="0" distR="0">
            <wp:extent cx="38100" cy="75565"/>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8100" cy="75565"/>
                    </a:xfrm>
                    <a:prstGeom prst="rect">
                      <a:avLst/>
                    </a:prstGeom>
                    <a:noFill/>
                    <a:ln>
                      <a:noFill/>
                    </a:ln>
                  </pic:spPr>
                </pic:pic>
              </a:graphicData>
            </a:graphic>
          </wp:inline>
        </w:drawing>
      </w:r>
      <w:r>
        <w:rPr>
          <w:rFonts w:ascii="Arial" w:cs="Arial" w:eastAsia="Arial" w:hAnsi="Arial"/>
          <w:sz w:val="16"/>
          <w:szCs w:val="16"/>
          <w:color w:val="333740"/>
        </w:rPr>
        <w:t xml:space="preserve"> Based on feedback from shareholders in 2019, we eliminated the use of stock options in the 2020 long-term equity incentive awards.</w:t>
      </w:r>
    </w:p>
    <w:p>
      <w:pPr>
        <w:spacing w:after="0" w:line="198" w:lineRule="exact"/>
        <w:rPr>
          <w:sz w:val="20"/>
          <w:szCs w:val="20"/>
          <w:color w:val="auto"/>
        </w:rPr>
      </w:pPr>
    </w:p>
    <w:p>
      <w:pPr>
        <w:ind w:left="64"/>
        <w:spacing w:after="0"/>
        <w:rPr>
          <w:sz w:val="20"/>
          <w:szCs w:val="20"/>
          <w:color w:val="auto"/>
        </w:rPr>
      </w:pPr>
      <w:r>
        <w:rPr>
          <w:sz w:val="1"/>
          <w:szCs w:val="1"/>
          <w:color w:val="auto"/>
        </w:rPr>
        <w:drawing>
          <wp:inline distT="0" distB="0" distL="0" distR="0">
            <wp:extent cx="38100" cy="75565"/>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100" cy="75565"/>
                    </a:xfrm>
                    <a:prstGeom prst="rect">
                      <a:avLst/>
                    </a:prstGeom>
                    <a:noFill/>
                    <a:ln>
                      <a:noFill/>
                    </a:ln>
                  </pic:spPr>
                </pic:pic>
              </a:graphicData>
            </a:graphic>
          </wp:inline>
        </w:drawing>
      </w:r>
      <w:r>
        <w:rPr>
          <w:rFonts w:ascii="Arial" w:cs="Arial" w:eastAsia="Arial" w:hAnsi="Arial"/>
          <w:sz w:val="16"/>
          <w:szCs w:val="16"/>
          <w:color w:val="333740"/>
        </w:rPr>
        <w:t xml:space="preserve"> 30% of awards granted are time-based RSUs.</w:t>
      </w:r>
    </w:p>
    <w:p>
      <w:pPr>
        <w:spacing w:after="0" w:line="198" w:lineRule="exact"/>
        <w:rPr>
          <w:sz w:val="20"/>
          <w:szCs w:val="20"/>
          <w:color w:val="auto"/>
        </w:rPr>
      </w:pPr>
    </w:p>
    <w:p>
      <w:pPr>
        <w:jc w:val="both"/>
        <w:ind w:left="184" w:hanging="119"/>
        <w:spacing w:after="0"/>
        <w:rPr>
          <w:sz w:val="20"/>
          <w:szCs w:val="20"/>
          <w:color w:val="auto"/>
        </w:rPr>
      </w:pPr>
      <w:r>
        <w:rPr>
          <w:sz w:val="1"/>
          <w:szCs w:val="1"/>
          <w:color w:val="auto"/>
        </w:rPr>
        <w:drawing>
          <wp:inline distT="0" distB="0" distL="0" distR="0">
            <wp:extent cx="38100" cy="75565"/>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100" cy="75565"/>
                    </a:xfrm>
                    <a:prstGeom prst="rect">
                      <a:avLst/>
                    </a:prstGeom>
                    <a:noFill/>
                    <a:ln>
                      <a:noFill/>
                    </a:ln>
                  </pic:spPr>
                </pic:pic>
              </a:graphicData>
            </a:graphic>
          </wp:inline>
        </w:drawing>
      </w:r>
      <w:r>
        <w:rPr>
          <w:rFonts w:ascii="Arial" w:cs="Arial" w:eastAsia="Arial" w:hAnsi="Arial"/>
          <w:sz w:val="16"/>
          <w:szCs w:val="16"/>
          <w:color w:val="333740"/>
        </w:rPr>
        <w:t xml:space="preserve"> 70% of awards granted are PSUs. The performance period was set from January 1, 2020 to December 31, 2022. Due to the announced spin-off of Technip Energies, the performance metrics for the PSUs will be pro-rated based on two separate periods: January 1, 2020 to the closing date of the spin-off (“</w:t>
      </w:r>
      <w:r>
        <w:rPr>
          <w:rFonts w:ascii="Arial" w:cs="Arial" w:eastAsia="Arial" w:hAnsi="Arial"/>
          <w:sz w:val="16"/>
          <w:szCs w:val="16"/>
          <w:b w:val="1"/>
          <w:bCs w:val="1"/>
          <w:color w:val="333740"/>
        </w:rPr>
        <w:t>Pre-spin Period</w:t>
      </w:r>
      <w:r>
        <w:rPr>
          <w:rFonts w:ascii="Arial" w:cs="Arial" w:eastAsia="Arial" w:hAnsi="Arial"/>
          <w:sz w:val="16"/>
          <w:szCs w:val="16"/>
          <w:color w:val="333740"/>
        </w:rPr>
        <w:t>”) and from the closing date of the spin-off to December 31, 2022 (“</w:t>
      </w:r>
      <w:r>
        <w:rPr>
          <w:rFonts w:ascii="Arial" w:cs="Arial" w:eastAsia="Arial" w:hAnsi="Arial"/>
          <w:sz w:val="16"/>
          <w:szCs w:val="16"/>
          <w:b w:val="1"/>
          <w:bCs w:val="1"/>
          <w:color w:val="333740"/>
        </w:rPr>
        <w:t>Post-spin Period</w:t>
      </w:r>
      <w:r>
        <w:rPr>
          <w:rFonts w:ascii="Arial" w:cs="Arial" w:eastAsia="Arial" w:hAnsi="Arial"/>
          <w:sz w:val="16"/>
          <w:szCs w:val="16"/>
          <w:color w:val="333740"/>
        </w:rPr>
        <w:t>”).</w:t>
      </w:r>
    </w:p>
    <w:p>
      <w:pPr>
        <w:spacing w:after="0" w:line="178" w:lineRule="exact"/>
        <w:rPr>
          <w:sz w:val="20"/>
          <w:szCs w:val="20"/>
          <w:color w:val="auto"/>
        </w:rPr>
      </w:pPr>
    </w:p>
    <w:p>
      <w:pPr>
        <w:ind w:left="284"/>
        <w:spacing w:after="0"/>
        <w:rPr>
          <w:sz w:val="20"/>
          <w:szCs w:val="20"/>
          <w:color w:val="auto"/>
        </w:rPr>
      </w:pPr>
      <w:r>
        <w:rPr>
          <w:sz w:val="1"/>
          <w:szCs w:val="1"/>
          <w:color w:val="auto"/>
        </w:rPr>
        <w:drawing>
          <wp:inline distT="0" distB="0" distL="0" distR="0">
            <wp:extent cx="38100" cy="75565"/>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100" cy="75565"/>
                    </a:xfrm>
                    <a:prstGeom prst="rect">
                      <a:avLst/>
                    </a:prstGeom>
                    <a:noFill/>
                    <a:ln>
                      <a:noFill/>
                    </a:ln>
                  </pic:spPr>
                </pic:pic>
              </a:graphicData>
            </a:graphic>
          </wp:inline>
        </w:drawing>
      </w:r>
      <w:r>
        <w:rPr>
          <w:rFonts w:ascii="Arial" w:cs="Arial" w:eastAsia="Arial" w:hAnsi="Arial"/>
          <w:sz w:val="14"/>
          <w:szCs w:val="14"/>
          <w:color w:val="333740"/>
        </w:rPr>
        <w:t>For the Pre-spin Period, the PSU performance metric will be based on relative TSR performance versus our Relative TSR Peer Group, using the payout scale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148590</wp:posOffset>
            </wp:positionV>
            <wp:extent cx="7620" cy="2959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20" cy="295910"/>
                    </a:xfrm>
                    <a:prstGeom prst="rect">
                      <a:avLst/>
                    </a:prstGeom>
                    <a:noFill/>
                  </pic:spPr>
                </pic:pic>
              </a:graphicData>
            </a:graphic>
          </wp:anchor>
        </w:drawing>
      </w:r>
    </w:p>
    <w:p>
      <w:pPr>
        <w:spacing w:after="0" w:line="214" w:lineRule="exact"/>
        <w:rPr>
          <w:sz w:val="20"/>
          <w:szCs w:val="20"/>
          <w:color w:val="auto"/>
        </w:rPr>
      </w:pPr>
    </w:p>
    <w:tbl>
      <w:tblPr>
        <w:tblLayout w:type="fixed"/>
        <w:tblInd w:w="4" w:type="dxa"/>
        <w:tblCellMar>
          <w:top w:w="0" w:type="dxa"/>
          <w:left w:w="0" w:type="dxa"/>
          <w:bottom w:w="0" w:type="dxa"/>
          <w:right w:w="0" w:type="dxa"/>
        </w:tblCellMar>
      </w:tblPr>
      <w:tr>
        <w:trPr>
          <w:trHeight w:val="335"/>
        </w:trPr>
        <w:tc>
          <w:tcPr>
            <w:tcW w:w="4180" w:type="dxa"/>
            <w:vAlign w:val="bottom"/>
            <w:shd w:val="clear" w:color="auto" w:fill="481F6E"/>
          </w:tcPr>
          <w:p>
            <w:pPr>
              <w:ind w:left="40"/>
              <w:spacing w:after="0"/>
              <w:rPr>
                <w:sz w:val="20"/>
                <w:szCs w:val="20"/>
                <w:color w:val="auto"/>
              </w:rPr>
            </w:pPr>
            <w:r>
              <w:rPr>
                <w:rFonts w:ascii="Arial" w:cs="Arial" w:eastAsia="Arial" w:hAnsi="Arial"/>
                <w:sz w:val="16"/>
                <w:szCs w:val="16"/>
                <w:color w:val="FFFFFF"/>
              </w:rPr>
              <w:t>Relative TSR Ranking</w:t>
            </w:r>
          </w:p>
        </w:tc>
        <w:tc>
          <w:tcPr>
            <w:tcW w:w="4820" w:type="dxa"/>
            <w:vAlign w:val="bottom"/>
            <w:shd w:val="clear" w:color="auto" w:fill="481F6E"/>
          </w:tcPr>
          <w:p>
            <w:pPr>
              <w:ind w:left="2540"/>
              <w:spacing w:after="0"/>
              <w:rPr>
                <w:sz w:val="20"/>
                <w:szCs w:val="20"/>
                <w:color w:val="auto"/>
              </w:rPr>
            </w:pPr>
            <w:r>
              <w:rPr>
                <w:rFonts w:ascii="Arial" w:cs="Arial" w:eastAsia="Arial" w:hAnsi="Arial"/>
                <w:sz w:val="16"/>
                <w:szCs w:val="16"/>
                <w:color w:val="FFFFFF"/>
              </w:rPr>
              <w:t>Payout (% of earned PSUs)</w:t>
            </w:r>
          </w:p>
        </w:tc>
      </w:tr>
      <w:tr>
        <w:trPr>
          <w:trHeight w:val="131"/>
        </w:trPr>
        <w:tc>
          <w:tcPr>
            <w:tcW w:w="4180" w:type="dxa"/>
            <w:vAlign w:val="bottom"/>
            <w:shd w:val="clear" w:color="auto" w:fill="481F6E"/>
          </w:tcPr>
          <w:p>
            <w:pPr>
              <w:spacing w:after="0"/>
              <w:rPr>
                <w:sz w:val="11"/>
                <w:szCs w:val="11"/>
                <w:color w:val="auto"/>
              </w:rPr>
            </w:pPr>
          </w:p>
        </w:tc>
        <w:tc>
          <w:tcPr>
            <w:tcW w:w="4820" w:type="dxa"/>
            <w:vAlign w:val="bottom"/>
            <w:shd w:val="clear" w:color="auto" w:fill="481F6E"/>
          </w:tcPr>
          <w:p>
            <w:pPr>
              <w:spacing w:after="0"/>
              <w:rPr>
                <w:sz w:val="11"/>
                <w:szCs w:val="11"/>
                <w:color w:val="auto"/>
              </w:rPr>
            </w:pPr>
          </w:p>
        </w:tc>
      </w:tr>
      <w:tr>
        <w:trPr>
          <w:trHeight w:val="239"/>
        </w:trPr>
        <w:tc>
          <w:tcPr>
            <w:tcW w:w="4180" w:type="dxa"/>
            <w:vAlign w:val="bottom"/>
          </w:tcPr>
          <w:p>
            <w:pPr>
              <w:ind w:left="40"/>
              <w:spacing w:after="0"/>
              <w:rPr>
                <w:sz w:val="20"/>
                <w:szCs w:val="20"/>
                <w:color w:val="auto"/>
              </w:rPr>
            </w:pPr>
            <w:r>
              <w:rPr>
                <w:rFonts w:ascii="Arial" w:cs="Arial" w:eastAsia="Arial" w:hAnsi="Arial"/>
                <w:sz w:val="16"/>
                <w:szCs w:val="16"/>
                <w:color w:val="333740"/>
              </w:rPr>
              <w:t>Below 25th percentile</w:t>
            </w:r>
          </w:p>
        </w:tc>
        <w:tc>
          <w:tcPr>
            <w:tcW w:w="4820" w:type="dxa"/>
            <w:vAlign w:val="bottom"/>
          </w:tcPr>
          <w:p>
            <w:pPr>
              <w:jc w:val="center"/>
              <w:ind w:left="1900"/>
              <w:spacing w:after="0"/>
              <w:rPr>
                <w:sz w:val="20"/>
                <w:szCs w:val="20"/>
                <w:color w:val="auto"/>
              </w:rPr>
            </w:pPr>
            <w:r>
              <w:rPr>
                <w:rFonts w:ascii="Arial" w:cs="Arial" w:eastAsia="Arial" w:hAnsi="Arial"/>
                <w:sz w:val="16"/>
                <w:szCs w:val="16"/>
                <w:color w:val="333740"/>
                <w:w w:val="86"/>
              </w:rPr>
              <w:t>0%</w:t>
            </w:r>
          </w:p>
        </w:tc>
      </w:tr>
      <w:tr>
        <w:trPr>
          <w:trHeight w:val="287"/>
        </w:trPr>
        <w:tc>
          <w:tcPr>
            <w:tcW w:w="4180" w:type="dxa"/>
            <w:vAlign w:val="bottom"/>
          </w:tcPr>
          <w:p>
            <w:pPr>
              <w:ind w:left="40"/>
              <w:spacing w:after="0"/>
              <w:rPr>
                <w:sz w:val="20"/>
                <w:szCs w:val="20"/>
                <w:color w:val="auto"/>
              </w:rPr>
            </w:pPr>
            <w:r>
              <w:rPr>
                <w:rFonts w:ascii="Arial" w:cs="Arial" w:eastAsia="Arial" w:hAnsi="Arial"/>
                <w:sz w:val="16"/>
                <w:szCs w:val="16"/>
                <w:color w:val="333740"/>
              </w:rPr>
              <w:t>25th percentile</w:t>
            </w:r>
          </w:p>
        </w:tc>
        <w:tc>
          <w:tcPr>
            <w:tcW w:w="4820" w:type="dxa"/>
            <w:vAlign w:val="bottom"/>
          </w:tcPr>
          <w:p>
            <w:pPr>
              <w:jc w:val="center"/>
              <w:ind w:left="1900"/>
              <w:spacing w:after="0"/>
              <w:rPr>
                <w:sz w:val="20"/>
                <w:szCs w:val="20"/>
                <w:color w:val="auto"/>
              </w:rPr>
            </w:pPr>
            <w:r>
              <w:rPr>
                <w:rFonts w:ascii="Arial" w:cs="Arial" w:eastAsia="Arial" w:hAnsi="Arial"/>
                <w:sz w:val="16"/>
                <w:szCs w:val="16"/>
                <w:color w:val="333740"/>
                <w:w w:val="87"/>
              </w:rPr>
              <w:t>50%</w:t>
            </w:r>
          </w:p>
        </w:tc>
      </w:tr>
      <w:tr>
        <w:trPr>
          <w:trHeight w:val="287"/>
        </w:trPr>
        <w:tc>
          <w:tcPr>
            <w:tcW w:w="4180" w:type="dxa"/>
            <w:vAlign w:val="bottom"/>
          </w:tcPr>
          <w:p>
            <w:pPr>
              <w:ind w:left="40"/>
              <w:spacing w:after="0"/>
              <w:rPr>
                <w:sz w:val="20"/>
                <w:szCs w:val="20"/>
                <w:color w:val="auto"/>
              </w:rPr>
            </w:pPr>
            <w:r>
              <w:rPr>
                <w:rFonts w:ascii="Arial" w:cs="Arial" w:eastAsia="Arial" w:hAnsi="Arial"/>
                <w:sz w:val="16"/>
                <w:szCs w:val="16"/>
                <w:color w:val="333740"/>
              </w:rPr>
              <w:t>75th percentile or greater</w:t>
            </w:r>
          </w:p>
        </w:tc>
        <w:tc>
          <w:tcPr>
            <w:tcW w:w="4820" w:type="dxa"/>
            <w:vAlign w:val="bottom"/>
          </w:tcPr>
          <w:p>
            <w:pPr>
              <w:jc w:val="center"/>
              <w:ind w:left="1900"/>
              <w:spacing w:after="0"/>
              <w:rPr>
                <w:sz w:val="20"/>
                <w:szCs w:val="20"/>
                <w:color w:val="auto"/>
              </w:rPr>
            </w:pPr>
            <w:r>
              <w:rPr>
                <w:rFonts w:ascii="Arial" w:cs="Arial" w:eastAsia="Arial" w:hAnsi="Arial"/>
                <w:sz w:val="16"/>
                <w:szCs w:val="16"/>
                <w:color w:val="333740"/>
                <w:w w:val="87"/>
              </w:rPr>
              <w:t>200%</w:t>
            </w:r>
          </w:p>
        </w:tc>
      </w:tr>
    </w:tbl>
    <w:p>
      <w:pPr>
        <w:spacing w:after="0" w:line="223" w:lineRule="exact"/>
        <w:rPr>
          <w:sz w:val="20"/>
          <w:szCs w:val="20"/>
          <w:color w:val="auto"/>
        </w:rPr>
      </w:pPr>
    </w:p>
    <w:p>
      <w:pPr>
        <w:ind w:left="4"/>
        <w:spacing w:after="0"/>
        <w:rPr>
          <w:sz w:val="20"/>
          <w:szCs w:val="20"/>
          <w:color w:val="auto"/>
        </w:rPr>
      </w:pPr>
      <w:r>
        <w:rPr>
          <w:rFonts w:ascii="Arial" w:cs="Arial" w:eastAsia="Arial" w:hAnsi="Arial"/>
          <w:sz w:val="13"/>
          <w:szCs w:val="13"/>
          <w:color w:val="333740"/>
        </w:rPr>
        <w:t>Note: If the Company’s TSR is negative for the performance period, the payout in respect of the TSR element will be capped at target, regardless of our relative performance.</w:t>
      </w:r>
    </w:p>
    <w:p>
      <w:pPr>
        <w:spacing w:after="0" w:line="181" w:lineRule="exact"/>
        <w:rPr>
          <w:sz w:val="20"/>
          <w:szCs w:val="20"/>
          <w:color w:val="auto"/>
        </w:rPr>
      </w:pPr>
    </w:p>
    <w:p>
      <w:pPr>
        <w:ind w:left="184" w:right="240" w:hanging="119"/>
        <w:spacing w:after="0"/>
        <w:rPr>
          <w:sz w:val="20"/>
          <w:szCs w:val="20"/>
          <w:color w:val="auto"/>
        </w:rPr>
      </w:pPr>
      <w:r>
        <w:rPr>
          <w:sz w:val="1"/>
          <w:szCs w:val="1"/>
          <w:color w:val="auto"/>
        </w:rPr>
        <w:drawing>
          <wp:inline distT="0" distB="0" distL="0" distR="0">
            <wp:extent cx="38100" cy="75565"/>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8100" cy="75565"/>
                    </a:xfrm>
                    <a:prstGeom prst="rect">
                      <a:avLst/>
                    </a:prstGeom>
                    <a:noFill/>
                    <a:ln>
                      <a:noFill/>
                    </a:ln>
                  </pic:spPr>
                </pic:pic>
              </a:graphicData>
            </a:graphic>
          </wp:inline>
        </w:drawing>
      </w:r>
      <w:r>
        <w:rPr>
          <w:rFonts w:ascii="Arial" w:cs="Arial" w:eastAsia="Arial" w:hAnsi="Arial"/>
          <w:sz w:val="14"/>
          <w:szCs w:val="14"/>
          <w:color w:val="333740"/>
        </w:rPr>
        <w:t xml:space="preserve"> For the Post-spin Period, each of TechnipFMC and Technip Energies will set its performance metrics and targets related to the Post-spin Period as soon as practicable after the closing of the spin-off.</w:t>
      </w:r>
    </w:p>
    <w:p>
      <w:pPr>
        <w:spacing w:after="0" w:line="189" w:lineRule="exact"/>
        <w:rPr>
          <w:sz w:val="20"/>
          <w:szCs w:val="20"/>
          <w:color w:val="auto"/>
        </w:rPr>
      </w:pPr>
    </w:p>
    <w:p>
      <w:pPr>
        <w:ind w:left="64"/>
        <w:spacing w:after="0"/>
        <w:rPr>
          <w:sz w:val="20"/>
          <w:szCs w:val="20"/>
          <w:color w:val="auto"/>
        </w:rPr>
      </w:pPr>
      <w:r>
        <w:rPr>
          <w:sz w:val="1"/>
          <w:szCs w:val="1"/>
          <w:color w:val="auto"/>
        </w:rPr>
        <w:drawing>
          <wp:inline distT="0" distB="0" distL="0" distR="0">
            <wp:extent cx="38100" cy="75565"/>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8100" cy="75565"/>
                    </a:xfrm>
                    <a:prstGeom prst="rect">
                      <a:avLst/>
                    </a:prstGeom>
                    <a:noFill/>
                    <a:ln>
                      <a:noFill/>
                    </a:ln>
                  </pic:spPr>
                </pic:pic>
              </a:graphicData>
            </a:graphic>
          </wp:inline>
        </w:drawing>
      </w:r>
      <w:r>
        <w:rPr>
          <w:rFonts w:ascii="Arial" w:cs="Arial" w:eastAsia="Arial" w:hAnsi="Arial"/>
          <w:sz w:val="14"/>
          <w:szCs w:val="14"/>
          <w:color w:val="333740"/>
        </w:rPr>
        <w:t xml:space="preserve"> Each company will include TechnipFMC’s Pre-spin Period performance in a weighted calculation of its performance for the 2020-2022 performance period.</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481F6E"/>
        </w:rPr>
        <w:t>Indirect Compensation</w:t>
      </w:r>
    </w:p>
    <w:p>
      <w:pPr>
        <w:spacing w:after="0" w:line="23" w:lineRule="exact"/>
        <w:rPr>
          <w:sz w:val="20"/>
          <w:szCs w:val="20"/>
          <w:color w:val="auto"/>
        </w:rPr>
      </w:pPr>
    </w:p>
    <w:p>
      <w:pPr>
        <w:ind w:left="4" w:right="20"/>
        <w:spacing w:after="0" w:line="257" w:lineRule="auto"/>
        <w:rPr>
          <w:sz w:val="20"/>
          <w:szCs w:val="20"/>
          <w:color w:val="auto"/>
        </w:rPr>
      </w:pPr>
      <w:r>
        <w:rPr>
          <w:rFonts w:ascii="Arial" w:cs="Arial" w:eastAsia="Arial" w:hAnsi="Arial"/>
          <w:sz w:val="16"/>
          <w:szCs w:val="16"/>
          <w:color w:val="333740"/>
        </w:rPr>
        <w:t>The final element of our compensation comprises market-aligned benefits and perquisites. These are intended to both facilitate the performance of our NEOs in their roles while ensuring we are market competitive in what we provide.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Retirement Benefits</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4"/>
          <w:szCs w:val="14"/>
          <w:color w:val="333740"/>
        </w:rPr>
        <w:t>Eligibility for retirement savings plan participation depends on an NEO’s tenure and the country in which he or she is based. The majority of our NEOs participate in the U.S.</w:t>
      </w:r>
    </w:p>
    <w:p>
      <w:pPr>
        <w:spacing w:after="0" w:line="30" w:lineRule="exact"/>
        <w:rPr>
          <w:sz w:val="20"/>
          <w:szCs w:val="20"/>
          <w:color w:val="auto"/>
        </w:rPr>
      </w:pPr>
    </w:p>
    <w:p>
      <w:pPr>
        <w:ind w:left="4"/>
        <w:spacing w:after="0"/>
        <w:rPr>
          <w:sz w:val="20"/>
          <w:szCs w:val="20"/>
          <w:color w:val="auto"/>
        </w:rPr>
      </w:pPr>
      <w:r>
        <w:rPr>
          <w:rFonts w:ascii="Arial" w:cs="Arial" w:eastAsia="Arial" w:hAnsi="Arial"/>
          <w:sz w:val="16"/>
          <w:szCs w:val="16"/>
          <w:color w:val="333740"/>
        </w:rPr>
        <w:t>Qualified and Non-Qualified Savings Plans on the same terms as other eligible employees.</w:t>
      </w:r>
    </w:p>
    <w:p>
      <w:pPr>
        <w:spacing w:after="0" w:line="370" w:lineRule="exact"/>
        <w:rPr>
          <w:sz w:val="20"/>
          <w:szCs w:val="20"/>
          <w:color w:val="auto"/>
        </w:rPr>
      </w:pPr>
    </w:p>
    <w:p>
      <w:pPr>
        <w:ind w:left="564" w:hanging="564"/>
        <w:spacing w:after="0"/>
        <w:tabs>
          <w:tab w:leader="none" w:pos="564" w:val="left"/>
        </w:tabs>
        <w:numPr>
          <w:ilvl w:val="0"/>
          <w:numId w:val="98"/>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85" w:name="page86"/>
    <w:bookmarkEnd w:id="85"/>
    <w:tbl>
      <w:tblPr>
        <w:tblLayout w:type="fixed"/>
        <w:tblInd w:w="4" w:type="dxa"/>
        <w:tblCellMar>
          <w:top w:w="0" w:type="dxa"/>
          <w:left w:w="0" w:type="dxa"/>
          <w:bottom w:w="0" w:type="dxa"/>
          <w:right w:w="0" w:type="dxa"/>
        </w:tblCellMar>
      </w:tblPr>
      <w:tr>
        <w:trPr>
          <w:trHeight w:val="169"/>
        </w:trPr>
        <w:tc>
          <w:tcPr>
            <w:tcW w:w="2240" w:type="dxa"/>
            <w:vAlign w:val="bottom"/>
          </w:tcPr>
          <w:p>
            <w:pPr>
              <w:ind w:left="20"/>
              <w:spacing w:after="0"/>
              <w:rPr>
                <w:sz w:val="20"/>
                <w:szCs w:val="20"/>
                <w:color w:val="auto"/>
              </w:rPr>
            </w:pPr>
            <w:r>
              <w:rPr>
                <w:rFonts w:ascii="Arial" w:cs="Arial" w:eastAsia="Arial" w:hAnsi="Arial"/>
                <w:sz w:val="13"/>
                <w:szCs w:val="13"/>
                <w:b w:val="1"/>
                <w:bCs w:val="1"/>
                <w:color w:val="481F6E"/>
              </w:rPr>
              <w:t>TechnipFMC Proxy Statement 2020</w:t>
            </w:r>
          </w:p>
        </w:tc>
        <w:tc>
          <w:tcPr>
            <w:tcW w:w="25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240" w:type="dxa"/>
            <w:vAlign w:val="bottom"/>
            <w:tcBorders>
              <w:bottom w:val="single" w:sz="8" w:color="481F6E"/>
            </w:tcBorders>
            <w:shd w:val="clear" w:color="auto" w:fill="481F6E"/>
          </w:tcPr>
          <w:p>
            <w:pPr>
              <w:ind w:left="180"/>
              <w:spacing w:after="0"/>
              <w:rPr>
                <w:sz w:val="20"/>
                <w:szCs w:val="20"/>
                <w:color w:val="auto"/>
              </w:rPr>
            </w:pPr>
            <w:r>
              <w:rPr>
                <w:rFonts w:ascii="Arial" w:cs="Arial" w:eastAsia="Arial" w:hAnsi="Arial"/>
                <w:sz w:val="16"/>
                <w:szCs w:val="16"/>
                <w:color w:val="FFFFFF"/>
              </w:rPr>
              <w:t>Plan</w:t>
            </w:r>
          </w:p>
        </w:tc>
        <w:tc>
          <w:tcPr>
            <w:tcW w:w="2560" w:type="dxa"/>
            <w:vAlign w:val="bottom"/>
            <w:tcBorders>
              <w:bottom w:val="single" w:sz="8" w:color="00B2EC"/>
            </w:tcBorders>
            <w:shd w:val="clear" w:color="auto" w:fill="00B2EC"/>
          </w:tcPr>
          <w:p>
            <w:pPr>
              <w:ind w:left="200"/>
              <w:spacing w:after="0"/>
              <w:rPr>
                <w:sz w:val="20"/>
                <w:szCs w:val="20"/>
                <w:color w:val="auto"/>
              </w:rPr>
            </w:pPr>
            <w:r>
              <w:rPr>
                <w:rFonts w:ascii="Arial" w:cs="Arial" w:eastAsia="Arial" w:hAnsi="Arial"/>
                <w:sz w:val="16"/>
                <w:szCs w:val="16"/>
                <w:color w:val="FFFFFF"/>
              </w:rPr>
              <w:t>Eligibility</w:t>
            </w:r>
          </w:p>
        </w:tc>
        <w:tc>
          <w:tcPr>
            <w:tcW w:w="6460" w:type="dxa"/>
            <w:vAlign w:val="bottom"/>
            <w:tcBorders>
              <w:bottom w:val="single" w:sz="8" w:color="D72930"/>
            </w:tcBorders>
            <w:shd w:val="clear" w:color="auto" w:fill="D72930"/>
          </w:tcPr>
          <w:p>
            <w:pPr>
              <w:ind w:left="200"/>
              <w:spacing w:after="0"/>
              <w:rPr>
                <w:sz w:val="20"/>
                <w:szCs w:val="20"/>
                <w:color w:val="auto"/>
              </w:rPr>
            </w:pPr>
            <w:r>
              <w:rPr>
                <w:rFonts w:ascii="Arial" w:cs="Arial" w:eastAsia="Arial" w:hAnsi="Arial"/>
                <w:sz w:val="16"/>
                <w:szCs w:val="16"/>
                <w:color w:val="FFFFFF"/>
              </w:rPr>
              <w:t>Features</w:t>
            </w:r>
          </w:p>
        </w:tc>
        <w:tc>
          <w:tcPr>
            <w:tcW w:w="0" w:type="dxa"/>
            <w:vAlign w:val="bottom"/>
          </w:tcPr>
          <w:p>
            <w:pPr>
              <w:spacing w:after="0"/>
              <w:rPr>
                <w:sz w:val="1"/>
                <w:szCs w:val="1"/>
                <w:color w:val="auto"/>
              </w:rPr>
            </w:pPr>
          </w:p>
        </w:tc>
      </w:tr>
      <w:tr>
        <w:trPr>
          <w:trHeight w:val="226"/>
        </w:trPr>
        <w:tc>
          <w:tcPr>
            <w:tcW w:w="224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333740"/>
                <w:w w:val="98"/>
              </w:rPr>
              <w:t>U.S. Qualified Savings Plan</w:t>
            </w:r>
          </w:p>
        </w:tc>
        <w:tc>
          <w:tcPr>
            <w:tcW w:w="2560" w:type="dxa"/>
            <w:vAlign w:val="bottom"/>
            <w:shd w:val="clear" w:color="auto" w:fill="D7D8D6"/>
          </w:tcPr>
          <w:p>
            <w:pPr>
              <w:ind w:left="200"/>
              <w:spacing w:after="0"/>
              <w:rPr>
                <w:sz w:val="20"/>
                <w:szCs w:val="20"/>
                <w:color w:val="auto"/>
              </w:rPr>
            </w:pPr>
            <w:r>
              <w:rPr>
                <w:rFonts w:ascii="Arial" w:cs="Arial" w:eastAsia="Arial" w:hAnsi="Arial"/>
                <w:sz w:val="16"/>
                <w:szCs w:val="16"/>
                <w:color w:val="333740"/>
                <w:w w:val="93"/>
              </w:rPr>
              <w:t>U.S. employees working more than</w:t>
            </w: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8"/>
              </w:rPr>
              <w:t>Employees can contribute between 1% and 75% of eligible compensation (salary and</w:t>
            </w: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30 hours a week</w:t>
            </w: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3"/>
              </w:rPr>
              <w:t>eligible incentives) on a pre-and after- tax basis up to statutory limits for tax qualified plans</w:t>
            </w: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vMerge w:val="restart"/>
            <w:shd w:val="clear" w:color="auto" w:fill="D7D8D6"/>
          </w:tcPr>
          <w:p>
            <w:pPr>
              <w:ind w:left="200"/>
              <w:spacing w:after="0"/>
              <w:rPr>
                <w:sz w:val="20"/>
                <w:szCs w:val="20"/>
                <w:color w:val="auto"/>
              </w:rPr>
            </w:pPr>
            <w:r>
              <w:rPr>
                <w:rFonts w:ascii="Arial" w:cs="Arial" w:eastAsia="Arial" w:hAnsi="Arial"/>
                <w:sz w:val="16"/>
                <w:szCs w:val="16"/>
                <w:i w:val="1"/>
                <w:iCs w:val="1"/>
                <w:color w:val="333740"/>
                <w:w w:val="98"/>
              </w:rPr>
              <w:t>All NEOs other than Mr. Uccelletti</w:t>
            </w: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Company matches 100% of the first 5% of eligible contributions</w:t>
            </w:r>
          </w:p>
        </w:tc>
        <w:tc>
          <w:tcPr>
            <w:tcW w:w="0" w:type="dxa"/>
            <w:vAlign w:val="bottom"/>
          </w:tcPr>
          <w:p>
            <w:pPr>
              <w:spacing w:after="0"/>
              <w:rPr>
                <w:sz w:val="1"/>
                <w:szCs w:val="1"/>
                <w:color w:val="auto"/>
              </w:rPr>
            </w:pPr>
          </w:p>
        </w:tc>
      </w:tr>
      <w:tr>
        <w:trPr>
          <w:trHeight w:val="84"/>
        </w:trPr>
        <w:tc>
          <w:tcPr>
            <w:tcW w:w="2240" w:type="dxa"/>
            <w:vAlign w:val="bottom"/>
            <w:shd w:val="clear" w:color="auto" w:fill="D7D8D6"/>
          </w:tcPr>
          <w:p>
            <w:pPr>
              <w:spacing w:after="0"/>
              <w:rPr>
                <w:sz w:val="7"/>
                <w:szCs w:val="7"/>
                <w:color w:val="auto"/>
              </w:rPr>
            </w:pPr>
          </w:p>
        </w:tc>
        <w:tc>
          <w:tcPr>
            <w:tcW w:w="2560" w:type="dxa"/>
            <w:vAlign w:val="bottom"/>
            <w:vMerge w:val="continue"/>
            <w:shd w:val="clear" w:color="auto" w:fill="D7D8D6"/>
          </w:tcPr>
          <w:p>
            <w:pPr>
              <w:spacing w:after="0"/>
              <w:rPr>
                <w:sz w:val="7"/>
                <w:szCs w:val="7"/>
                <w:color w:val="auto"/>
              </w:rPr>
            </w:pPr>
          </w:p>
        </w:tc>
        <w:tc>
          <w:tcPr>
            <w:tcW w:w="6460" w:type="dxa"/>
            <w:vAlign w:val="bottom"/>
            <w:vMerge w:val="restart"/>
            <w:shd w:val="clear" w:color="auto" w:fill="D7D8D6"/>
          </w:tcPr>
          <w:p>
            <w:pPr>
              <w:ind w:left="480"/>
              <w:spacing w:after="0"/>
              <w:rPr>
                <w:sz w:val="20"/>
                <w:szCs w:val="20"/>
                <w:color w:val="auto"/>
              </w:rPr>
            </w:pPr>
            <w:r>
              <w:rPr>
                <w:rFonts w:ascii="Arial" w:cs="Arial" w:eastAsia="Arial" w:hAnsi="Arial"/>
                <w:sz w:val="16"/>
                <w:szCs w:val="16"/>
                <w:color w:val="333740"/>
              </w:rPr>
              <w:t>Participants are 100% vested in their contributions and matching contributions</w:t>
            </w:r>
          </w:p>
        </w:tc>
        <w:tc>
          <w:tcPr>
            <w:tcW w:w="0" w:type="dxa"/>
            <w:vAlign w:val="bottom"/>
          </w:tcPr>
          <w:p>
            <w:pPr>
              <w:spacing w:after="0"/>
              <w:rPr>
                <w:sz w:val="1"/>
                <w:szCs w:val="1"/>
                <w:color w:val="auto"/>
              </w:rPr>
            </w:pPr>
          </w:p>
        </w:tc>
      </w:tr>
      <w:tr>
        <w:trPr>
          <w:trHeight w:val="108"/>
        </w:trPr>
        <w:tc>
          <w:tcPr>
            <w:tcW w:w="2240" w:type="dxa"/>
            <w:vAlign w:val="bottom"/>
            <w:shd w:val="clear" w:color="auto" w:fill="D7D8D6"/>
          </w:tcPr>
          <w:p>
            <w:pPr>
              <w:spacing w:after="0"/>
              <w:rPr>
                <w:sz w:val="9"/>
                <w:szCs w:val="9"/>
                <w:color w:val="auto"/>
              </w:rPr>
            </w:pPr>
          </w:p>
        </w:tc>
        <w:tc>
          <w:tcPr>
            <w:tcW w:w="2560" w:type="dxa"/>
            <w:vAlign w:val="bottom"/>
            <w:vMerge w:val="restart"/>
            <w:shd w:val="clear" w:color="auto" w:fill="D7D8D6"/>
          </w:tcPr>
          <w:p>
            <w:pPr>
              <w:ind w:left="200"/>
              <w:spacing w:after="0"/>
              <w:rPr>
                <w:sz w:val="20"/>
                <w:szCs w:val="20"/>
                <w:color w:val="auto"/>
              </w:rPr>
            </w:pPr>
            <w:r>
              <w:rPr>
                <w:rFonts w:ascii="Arial" w:cs="Arial" w:eastAsia="Arial" w:hAnsi="Arial"/>
                <w:sz w:val="16"/>
                <w:szCs w:val="16"/>
                <w:i w:val="1"/>
                <w:iCs w:val="1"/>
                <w:color w:val="333740"/>
              </w:rPr>
              <w:t>are eligible</w:t>
            </w:r>
          </w:p>
        </w:tc>
        <w:tc>
          <w:tcPr>
            <w:tcW w:w="6460" w:type="dxa"/>
            <w:vAlign w:val="bottom"/>
            <w:vMerge w:val="continue"/>
            <w:shd w:val="clear" w:color="auto" w:fill="D7D8D6"/>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240" w:type="dxa"/>
            <w:vAlign w:val="bottom"/>
            <w:shd w:val="clear" w:color="auto" w:fill="D7D8D6"/>
          </w:tcPr>
          <w:p>
            <w:pPr>
              <w:spacing w:after="0"/>
              <w:rPr>
                <w:sz w:val="8"/>
                <w:szCs w:val="8"/>
                <w:color w:val="auto"/>
              </w:rPr>
            </w:pPr>
          </w:p>
        </w:tc>
        <w:tc>
          <w:tcPr>
            <w:tcW w:w="2560" w:type="dxa"/>
            <w:vAlign w:val="bottom"/>
            <w:vMerge w:val="continue"/>
            <w:shd w:val="clear" w:color="auto" w:fill="D7D8D6"/>
          </w:tcPr>
          <w:p>
            <w:pPr>
              <w:spacing w:after="0"/>
              <w:rPr>
                <w:sz w:val="8"/>
                <w:szCs w:val="8"/>
                <w:color w:val="auto"/>
              </w:rPr>
            </w:pPr>
          </w:p>
        </w:tc>
        <w:tc>
          <w:tcPr>
            <w:tcW w:w="6460" w:type="dxa"/>
            <w:vAlign w:val="bottom"/>
            <w:vMerge w:val="restart"/>
            <w:shd w:val="clear" w:color="auto" w:fill="D7D8D6"/>
          </w:tcPr>
          <w:p>
            <w:pPr>
              <w:ind w:left="480"/>
              <w:spacing w:after="0"/>
              <w:rPr>
                <w:sz w:val="20"/>
                <w:szCs w:val="20"/>
                <w:color w:val="auto"/>
              </w:rPr>
            </w:pPr>
            <w:r>
              <w:rPr>
                <w:rFonts w:ascii="Arial" w:cs="Arial" w:eastAsia="Arial" w:hAnsi="Arial"/>
                <w:sz w:val="16"/>
                <w:szCs w:val="16"/>
                <w:color w:val="333740"/>
                <w:w w:val="96"/>
              </w:rPr>
              <w:t>Employees receive an additional 2% non-elective Company contribution that vests after</w:t>
            </w:r>
          </w:p>
        </w:tc>
        <w:tc>
          <w:tcPr>
            <w:tcW w:w="0" w:type="dxa"/>
            <w:vAlign w:val="bottom"/>
          </w:tcPr>
          <w:p>
            <w:pPr>
              <w:spacing w:after="0"/>
              <w:rPr>
                <w:sz w:val="1"/>
                <w:szCs w:val="1"/>
                <w:color w:val="auto"/>
              </w:rPr>
            </w:pPr>
          </w:p>
        </w:tc>
      </w:tr>
      <w:tr>
        <w:trPr>
          <w:trHeight w:val="95"/>
        </w:trPr>
        <w:tc>
          <w:tcPr>
            <w:tcW w:w="2240" w:type="dxa"/>
            <w:vAlign w:val="bottom"/>
            <w:shd w:val="clear" w:color="auto" w:fill="D7D8D6"/>
          </w:tcPr>
          <w:p>
            <w:pPr>
              <w:spacing w:after="0"/>
              <w:rPr>
                <w:sz w:val="8"/>
                <w:szCs w:val="8"/>
                <w:color w:val="auto"/>
              </w:rPr>
            </w:pPr>
          </w:p>
        </w:tc>
        <w:tc>
          <w:tcPr>
            <w:tcW w:w="2560" w:type="dxa"/>
            <w:vAlign w:val="bottom"/>
            <w:shd w:val="clear" w:color="auto" w:fill="D7D8D6"/>
          </w:tcPr>
          <w:p>
            <w:pPr>
              <w:spacing w:after="0"/>
              <w:rPr>
                <w:sz w:val="8"/>
                <w:szCs w:val="8"/>
                <w:color w:val="auto"/>
              </w:rPr>
            </w:pPr>
          </w:p>
        </w:tc>
        <w:tc>
          <w:tcPr>
            <w:tcW w:w="6460" w:type="dxa"/>
            <w:vAlign w:val="bottom"/>
            <w:vMerge w:val="continue"/>
            <w:shd w:val="clear" w:color="auto" w:fill="D7D8D6"/>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shd w:val="clear" w:color="auto" w:fill="D7D8D6"/>
          </w:tcPr>
          <w:p>
            <w:pPr>
              <w:spacing w:after="0"/>
              <w:rPr>
                <w:sz w:val="16"/>
                <w:szCs w:val="16"/>
                <w:color w:val="auto"/>
              </w:rPr>
            </w:pP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three years of service</w:t>
            </w: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shd w:val="clear" w:color="auto" w:fill="D7D8D6"/>
          </w:tcPr>
          <w:p>
            <w:pPr>
              <w:spacing w:after="0"/>
              <w:rPr>
                <w:sz w:val="16"/>
                <w:szCs w:val="16"/>
                <w:color w:val="auto"/>
              </w:rPr>
            </w:pP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6"/>
              </w:rPr>
              <w:t>For annual compensation that exceeds the limit required for the plan to be qualified, the</w:t>
            </w: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shd w:val="clear" w:color="auto" w:fill="D7D8D6"/>
          </w:tcPr>
          <w:p>
            <w:pPr>
              <w:spacing w:after="0"/>
              <w:rPr>
                <w:sz w:val="16"/>
                <w:szCs w:val="16"/>
                <w:color w:val="auto"/>
              </w:rPr>
            </w:pP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2"/>
              </w:rPr>
              <w:t>Company contributes 5% of such excess to the employee’s non-qualified savings plan (see</w:t>
            </w:r>
          </w:p>
        </w:tc>
        <w:tc>
          <w:tcPr>
            <w:tcW w:w="0" w:type="dxa"/>
            <w:vAlign w:val="bottom"/>
          </w:tcPr>
          <w:p>
            <w:pPr>
              <w:spacing w:after="0"/>
              <w:rPr>
                <w:sz w:val="1"/>
                <w:szCs w:val="1"/>
                <w:color w:val="auto"/>
              </w:rPr>
            </w:pPr>
          </w:p>
        </w:tc>
      </w:tr>
      <w:tr>
        <w:trPr>
          <w:trHeight w:val="204"/>
        </w:trPr>
        <w:tc>
          <w:tcPr>
            <w:tcW w:w="2240" w:type="dxa"/>
            <w:vAlign w:val="bottom"/>
            <w:shd w:val="clear" w:color="auto" w:fill="D7D8D6"/>
          </w:tcPr>
          <w:p>
            <w:pPr>
              <w:spacing w:after="0"/>
              <w:rPr>
                <w:sz w:val="17"/>
                <w:szCs w:val="17"/>
                <w:color w:val="auto"/>
              </w:rPr>
            </w:pPr>
          </w:p>
        </w:tc>
        <w:tc>
          <w:tcPr>
            <w:tcW w:w="2560" w:type="dxa"/>
            <w:vAlign w:val="bottom"/>
            <w:shd w:val="clear" w:color="auto" w:fill="D7D8D6"/>
          </w:tcPr>
          <w:p>
            <w:pPr>
              <w:spacing w:after="0"/>
              <w:rPr>
                <w:sz w:val="17"/>
                <w:szCs w:val="17"/>
                <w:color w:val="auto"/>
              </w:rPr>
            </w:pP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below)</w:t>
            </w:r>
          </w:p>
        </w:tc>
        <w:tc>
          <w:tcPr>
            <w:tcW w:w="0" w:type="dxa"/>
            <w:vAlign w:val="bottom"/>
          </w:tcPr>
          <w:p>
            <w:pPr>
              <w:spacing w:after="0"/>
              <w:rPr>
                <w:sz w:val="1"/>
                <w:szCs w:val="1"/>
                <w:color w:val="auto"/>
              </w:rPr>
            </w:pPr>
          </w:p>
        </w:tc>
      </w:tr>
      <w:tr>
        <w:trPr>
          <w:trHeight w:val="282"/>
        </w:trPr>
        <w:tc>
          <w:tcPr>
            <w:tcW w:w="224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333740"/>
                <w:w w:val="96"/>
              </w:rPr>
              <w:t>U.S. Non- Qualified Savings</w:t>
            </w:r>
          </w:p>
        </w:tc>
        <w:tc>
          <w:tcPr>
            <w:tcW w:w="2560" w:type="dxa"/>
            <w:vAlign w:val="bottom"/>
            <w:shd w:val="clear" w:color="auto" w:fill="D7D8D6"/>
          </w:tcPr>
          <w:p>
            <w:pPr>
              <w:ind w:left="200"/>
              <w:spacing w:after="0"/>
              <w:rPr>
                <w:sz w:val="20"/>
                <w:szCs w:val="20"/>
                <w:color w:val="auto"/>
              </w:rPr>
            </w:pPr>
            <w:r>
              <w:rPr>
                <w:rFonts w:ascii="Arial" w:cs="Arial" w:eastAsia="Arial" w:hAnsi="Arial"/>
                <w:sz w:val="16"/>
                <w:szCs w:val="16"/>
                <w:color w:val="333740"/>
                <w:w w:val="98"/>
              </w:rPr>
              <w:t>U.S. executives and other eligible</w:t>
            </w: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2"/>
              </w:rPr>
              <w:t>The Company contributes an amount equal to any missed Company contribution under the</w:t>
            </w:r>
          </w:p>
        </w:tc>
        <w:tc>
          <w:tcPr>
            <w:tcW w:w="0" w:type="dxa"/>
            <w:vAlign w:val="bottom"/>
          </w:tcPr>
          <w:p>
            <w:pPr>
              <w:spacing w:after="0"/>
              <w:rPr>
                <w:sz w:val="1"/>
                <w:szCs w:val="1"/>
                <w:color w:val="auto"/>
              </w:rPr>
            </w:pPr>
          </w:p>
        </w:tc>
      </w:tr>
      <w:tr>
        <w:trPr>
          <w:trHeight w:val="195"/>
        </w:trPr>
        <w:tc>
          <w:tcPr>
            <w:tcW w:w="224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333740"/>
              </w:rPr>
              <w:t>Plan</w:t>
            </w:r>
          </w:p>
        </w:tc>
        <w:tc>
          <w:tcPr>
            <w:tcW w:w="256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senior employees</w:t>
            </w: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8"/>
              </w:rPr>
              <w:t>U.S. Qualified Savings Plan on annual compensation that exceeds the maximum limit</w:t>
            </w: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vMerge w:val="restart"/>
            <w:shd w:val="clear" w:color="auto" w:fill="D7D8D6"/>
          </w:tcPr>
          <w:p>
            <w:pPr>
              <w:ind w:left="200"/>
              <w:spacing w:after="0"/>
              <w:rPr>
                <w:sz w:val="20"/>
                <w:szCs w:val="20"/>
                <w:color w:val="auto"/>
              </w:rPr>
            </w:pPr>
            <w:r>
              <w:rPr>
                <w:rFonts w:ascii="Arial" w:cs="Arial" w:eastAsia="Arial" w:hAnsi="Arial"/>
                <w:sz w:val="16"/>
                <w:szCs w:val="16"/>
                <w:i w:val="1"/>
                <w:iCs w:val="1"/>
                <w:color w:val="333740"/>
                <w:w w:val="98"/>
              </w:rPr>
              <w:t>All NEOs other than Mr. Uccelletti</w:t>
            </w: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required for the plan to be qualified</w:t>
            </w:r>
          </w:p>
        </w:tc>
        <w:tc>
          <w:tcPr>
            <w:tcW w:w="0" w:type="dxa"/>
            <w:vAlign w:val="bottom"/>
          </w:tcPr>
          <w:p>
            <w:pPr>
              <w:spacing w:after="0"/>
              <w:rPr>
                <w:sz w:val="1"/>
                <w:szCs w:val="1"/>
                <w:color w:val="auto"/>
              </w:rPr>
            </w:pPr>
          </w:p>
        </w:tc>
      </w:tr>
      <w:tr>
        <w:trPr>
          <w:trHeight w:val="84"/>
        </w:trPr>
        <w:tc>
          <w:tcPr>
            <w:tcW w:w="2240" w:type="dxa"/>
            <w:vAlign w:val="bottom"/>
            <w:shd w:val="clear" w:color="auto" w:fill="D7D8D6"/>
          </w:tcPr>
          <w:p>
            <w:pPr>
              <w:spacing w:after="0"/>
              <w:rPr>
                <w:sz w:val="7"/>
                <w:szCs w:val="7"/>
                <w:color w:val="auto"/>
              </w:rPr>
            </w:pPr>
          </w:p>
        </w:tc>
        <w:tc>
          <w:tcPr>
            <w:tcW w:w="2560" w:type="dxa"/>
            <w:vAlign w:val="bottom"/>
            <w:vMerge w:val="continue"/>
            <w:shd w:val="clear" w:color="auto" w:fill="D7D8D6"/>
          </w:tcPr>
          <w:p>
            <w:pPr>
              <w:spacing w:after="0"/>
              <w:rPr>
                <w:sz w:val="7"/>
                <w:szCs w:val="7"/>
                <w:color w:val="auto"/>
              </w:rPr>
            </w:pPr>
          </w:p>
        </w:tc>
        <w:tc>
          <w:tcPr>
            <w:tcW w:w="6460" w:type="dxa"/>
            <w:vAlign w:val="bottom"/>
            <w:vMerge w:val="restart"/>
            <w:shd w:val="clear" w:color="auto" w:fill="D7D8D6"/>
          </w:tcPr>
          <w:p>
            <w:pPr>
              <w:ind w:left="480"/>
              <w:spacing w:after="0"/>
              <w:rPr>
                <w:sz w:val="20"/>
                <w:szCs w:val="20"/>
                <w:color w:val="auto"/>
              </w:rPr>
            </w:pPr>
            <w:r>
              <w:rPr>
                <w:rFonts w:ascii="Arial" w:cs="Arial" w:eastAsia="Arial" w:hAnsi="Arial"/>
                <w:sz w:val="16"/>
                <w:szCs w:val="16"/>
                <w:color w:val="333740"/>
              </w:rPr>
              <w:t>Intent of the plan is to ensure eligible employees receive the same contribution as a</w:t>
            </w:r>
          </w:p>
        </w:tc>
        <w:tc>
          <w:tcPr>
            <w:tcW w:w="0" w:type="dxa"/>
            <w:vAlign w:val="bottom"/>
          </w:tcPr>
          <w:p>
            <w:pPr>
              <w:spacing w:after="0"/>
              <w:rPr>
                <w:sz w:val="1"/>
                <w:szCs w:val="1"/>
                <w:color w:val="auto"/>
              </w:rPr>
            </w:pPr>
          </w:p>
        </w:tc>
      </w:tr>
      <w:tr>
        <w:trPr>
          <w:trHeight w:val="108"/>
        </w:trPr>
        <w:tc>
          <w:tcPr>
            <w:tcW w:w="2240" w:type="dxa"/>
            <w:vAlign w:val="bottom"/>
            <w:shd w:val="clear" w:color="auto" w:fill="D7D8D6"/>
          </w:tcPr>
          <w:p>
            <w:pPr>
              <w:spacing w:after="0"/>
              <w:rPr>
                <w:sz w:val="9"/>
                <w:szCs w:val="9"/>
                <w:color w:val="auto"/>
              </w:rPr>
            </w:pPr>
          </w:p>
        </w:tc>
        <w:tc>
          <w:tcPr>
            <w:tcW w:w="2560" w:type="dxa"/>
            <w:vAlign w:val="bottom"/>
            <w:vMerge w:val="restart"/>
            <w:shd w:val="clear" w:color="auto" w:fill="D7D8D6"/>
          </w:tcPr>
          <w:p>
            <w:pPr>
              <w:ind w:left="200"/>
              <w:spacing w:after="0"/>
              <w:rPr>
                <w:sz w:val="20"/>
                <w:szCs w:val="20"/>
                <w:color w:val="auto"/>
              </w:rPr>
            </w:pPr>
            <w:r>
              <w:rPr>
                <w:rFonts w:ascii="Arial" w:cs="Arial" w:eastAsia="Arial" w:hAnsi="Arial"/>
                <w:sz w:val="16"/>
                <w:szCs w:val="16"/>
                <w:i w:val="1"/>
                <w:iCs w:val="1"/>
                <w:color w:val="333740"/>
              </w:rPr>
              <w:t>are eligible</w:t>
            </w:r>
          </w:p>
        </w:tc>
        <w:tc>
          <w:tcPr>
            <w:tcW w:w="6460" w:type="dxa"/>
            <w:vAlign w:val="bottom"/>
            <w:vMerge w:val="continue"/>
            <w:shd w:val="clear" w:color="auto" w:fill="D7D8D6"/>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240" w:type="dxa"/>
            <w:vAlign w:val="bottom"/>
            <w:shd w:val="clear" w:color="auto" w:fill="D7D8D6"/>
          </w:tcPr>
          <w:p>
            <w:pPr>
              <w:spacing w:after="0"/>
              <w:rPr>
                <w:sz w:val="8"/>
                <w:szCs w:val="8"/>
                <w:color w:val="auto"/>
              </w:rPr>
            </w:pPr>
          </w:p>
        </w:tc>
        <w:tc>
          <w:tcPr>
            <w:tcW w:w="2560" w:type="dxa"/>
            <w:vAlign w:val="bottom"/>
            <w:vMerge w:val="continue"/>
            <w:shd w:val="clear" w:color="auto" w:fill="D7D8D6"/>
          </w:tcPr>
          <w:p>
            <w:pPr>
              <w:spacing w:after="0"/>
              <w:rPr>
                <w:sz w:val="8"/>
                <w:szCs w:val="8"/>
                <w:color w:val="auto"/>
              </w:rPr>
            </w:pPr>
          </w:p>
        </w:tc>
        <w:tc>
          <w:tcPr>
            <w:tcW w:w="6460" w:type="dxa"/>
            <w:vAlign w:val="bottom"/>
            <w:vMerge w:val="restart"/>
            <w:shd w:val="clear" w:color="auto" w:fill="D7D8D6"/>
          </w:tcPr>
          <w:p>
            <w:pPr>
              <w:ind w:left="480"/>
              <w:spacing w:after="0"/>
              <w:rPr>
                <w:sz w:val="20"/>
                <w:szCs w:val="20"/>
                <w:color w:val="auto"/>
              </w:rPr>
            </w:pPr>
            <w:r>
              <w:rPr>
                <w:rFonts w:ascii="Arial" w:cs="Arial" w:eastAsia="Arial" w:hAnsi="Arial"/>
                <w:sz w:val="16"/>
                <w:szCs w:val="16"/>
                <w:color w:val="333740"/>
                <w:w w:val="94"/>
              </w:rPr>
              <w:t>percentage of eligible earnings from the Company regardless of their compensation level</w:t>
            </w:r>
          </w:p>
        </w:tc>
        <w:tc>
          <w:tcPr>
            <w:tcW w:w="0" w:type="dxa"/>
            <w:vAlign w:val="bottom"/>
          </w:tcPr>
          <w:p>
            <w:pPr>
              <w:spacing w:after="0"/>
              <w:rPr>
                <w:sz w:val="1"/>
                <w:szCs w:val="1"/>
                <w:color w:val="auto"/>
              </w:rPr>
            </w:pPr>
          </w:p>
        </w:tc>
      </w:tr>
      <w:tr>
        <w:trPr>
          <w:trHeight w:val="95"/>
        </w:trPr>
        <w:tc>
          <w:tcPr>
            <w:tcW w:w="2240" w:type="dxa"/>
            <w:vAlign w:val="bottom"/>
            <w:shd w:val="clear" w:color="auto" w:fill="D7D8D6"/>
          </w:tcPr>
          <w:p>
            <w:pPr>
              <w:spacing w:after="0"/>
              <w:rPr>
                <w:sz w:val="8"/>
                <w:szCs w:val="8"/>
                <w:color w:val="auto"/>
              </w:rPr>
            </w:pPr>
          </w:p>
        </w:tc>
        <w:tc>
          <w:tcPr>
            <w:tcW w:w="2560" w:type="dxa"/>
            <w:vAlign w:val="bottom"/>
            <w:shd w:val="clear" w:color="auto" w:fill="D7D8D6"/>
          </w:tcPr>
          <w:p>
            <w:pPr>
              <w:spacing w:after="0"/>
              <w:rPr>
                <w:sz w:val="8"/>
                <w:szCs w:val="8"/>
                <w:color w:val="auto"/>
              </w:rPr>
            </w:pPr>
          </w:p>
        </w:tc>
        <w:tc>
          <w:tcPr>
            <w:tcW w:w="6460" w:type="dxa"/>
            <w:vAlign w:val="bottom"/>
            <w:vMerge w:val="continue"/>
            <w:shd w:val="clear" w:color="auto" w:fill="D7D8D6"/>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shd w:val="clear" w:color="auto" w:fill="D7D8D6"/>
          </w:tcPr>
          <w:p>
            <w:pPr>
              <w:spacing w:after="0"/>
              <w:rPr>
                <w:sz w:val="16"/>
                <w:szCs w:val="16"/>
                <w:color w:val="auto"/>
              </w:rPr>
            </w:pP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Terms mirror those of the U.S. Qualified Savings Plan</w:t>
            </w: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shd w:val="clear" w:color="auto" w:fill="D7D8D6"/>
          </w:tcPr>
          <w:p>
            <w:pPr>
              <w:spacing w:after="0"/>
              <w:rPr>
                <w:sz w:val="16"/>
                <w:szCs w:val="16"/>
                <w:color w:val="auto"/>
              </w:rPr>
            </w:pP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6"/>
              </w:rPr>
              <w:t>Participants can contribute up to 75% of their eligible compensation (salary and eligible</w:t>
            </w: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shd w:val="clear" w:color="auto" w:fill="D7D8D6"/>
          </w:tcPr>
          <w:p>
            <w:pPr>
              <w:spacing w:after="0"/>
              <w:rPr>
                <w:sz w:val="16"/>
                <w:szCs w:val="16"/>
                <w:color w:val="auto"/>
              </w:rPr>
            </w:pP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incentives) on a pre-tax basis</w:t>
            </w: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shd w:val="clear" w:color="auto" w:fill="D7D8D6"/>
          </w:tcPr>
          <w:p>
            <w:pPr>
              <w:spacing w:after="0"/>
              <w:rPr>
                <w:sz w:val="16"/>
                <w:szCs w:val="16"/>
                <w:color w:val="auto"/>
              </w:rPr>
            </w:pP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Company matches 100% of the first 5% of eligible contributions</w:t>
            </w: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shd w:val="clear" w:color="auto" w:fill="D7D8D6"/>
          </w:tcPr>
          <w:p>
            <w:pPr>
              <w:spacing w:after="0"/>
              <w:rPr>
                <w:sz w:val="16"/>
                <w:szCs w:val="16"/>
                <w:color w:val="auto"/>
              </w:rPr>
            </w:pP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Participants are 100% vested in their contributions and matching contributions</w:t>
            </w: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shd w:val="clear" w:color="auto" w:fill="D7D8D6"/>
          </w:tcPr>
          <w:p>
            <w:pPr>
              <w:spacing w:after="0"/>
              <w:rPr>
                <w:sz w:val="16"/>
                <w:szCs w:val="16"/>
                <w:color w:val="auto"/>
              </w:rPr>
            </w:pP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6"/>
              </w:rPr>
              <w:t>Employees receive an additional 2% non-elective Company contribution that vests after</w:t>
            </w: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shd w:val="clear" w:color="auto" w:fill="D7D8D6"/>
          </w:tcPr>
          <w:p>
            <w:pPr>
              <w:spacing w:after="0"/>
              <w:rPr>
                <w:sz w:val="16"/>
                <w:szCs w:val="16"/>
                <w:color w:val="auto"/>
              </w:rPr>
            </w:pP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three years of service</w:t>
            </w: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shd w:val="clear" w:color="auto" w:fill="D7D8D6"/>
          </w:tcPr>
          <w:p>
            <w:pPr>
              <w:spacing w:after="0"/>
              <w:rPr>
                <w:sz w:val="16"/>
                <w:szCs w:val="16"/>
                <w:color w:val="auto"/>
              </w:rPr>
            </w:pP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4"/>
              </w:rPr>
              <w:t>All vested funds must be distributed upon an employee’s separation from service with the</w:t>
            </w:r>
          </w:p>
        </w:tc>
        <w:tc>
          <w:tcPr>
            <w:tcW w:w="0" w:type="dxa"/>
            <w:vAlign w:val="bottom"/>
          </w:tcPr>
          <w:p>
            <w:pPr>
              <w:spacing w:after="0"/>
              <w:rPr>
                <w:sz w:val="1"/>
                <w:szCs w:val="1"/>
                <w:color w:val="auto"/>
              </w:rPr>
            </w:pPr>
          </w:p>
        </w:tc>
      </w:tr>
      <w:tr>
        <w:trPr>
          <w:trHeight w:val="204"/>
        </w:trPr>
        <w:tc>
          <w:tcPr>
            <w:tcW w:w="2240" w:type="dxa"/>
            <w:vAlign w:val="bottom"/>
            <w:shd w:val="clear" w:color="auto" w:fill="D7D8D6"/>
          </w:tcPr>
          <w:p>
            <w:pPr>
              <w:spacing w:after="0"/>
              <w:rPr>
                <w:sz w:val="17"/>
                <w:szCs w:val="17"/>
                <w:color w:val="auto"/>
              </w:rPr>
            </w:pPr>
          </w:p>
        </w:tc>
        <w:tc>
          <w:tcPr>
            <w:tcW w:w="2560" w:type="dxa"/>
            <w:vAlign w:val="bottom"/>
            <w:shd w:val="clear" w:color="auto" w:fill="D7D8D6"/>
          </w:tcPr>
          <w:p>
            <w:pPr>
              <w:spacing w:after="0"/>
              <w:rPr>
                <w:sz w:val="17"/>
                <w:szCs w:val="17"/>
                <w:color w:val="auto"/>
              </w:rPr>
            </w:pP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Company; provided, however, that there is a six-month delay for key employees</w:t>
            </w:r>
          </w:p>
        </w:tc>
        <w:tc>
          <w:tcPr>
            <w:tcW w:w="0" w:type="dxa"/>
            <w:vAlign w:val="bottom"/>
          </w:tcPr>
          <w:p>
            <w:pPr>
              <w:spacing w:after="0"/>
              <w:rPr>
                <w:sz w:val="1"/>
                <w:szCs w:val="1"/>
                <w:color w:val="auto"/>
              </w:rPr>
            </w:pPr>
          </w:p>
        </w:tc>
      </w:tr>
      <w:tr>
        <w:trPr>
          <w:trHeight w:val="286"/>
        </w:trPr>
        <w:tc>
          <w:tcPr>
            <w:tcW w:w="2240" w:type="dxa"/>
            <w:vAlign w:val="bottom"/>
            <w:shd w:val="clear" w:color="auto" w:fill="D7D8D6"/>
          </w:tcPr>
          <w:p>
            <w:pPr>
              <w:ind w:left="180"/>
              <w:spacing w:after="0"/>
              <w:rPr>
                <w:sz w:val="20"/>
                <w:szCs w:val="20"/>
                <w:color w:val="auto"/>
              </w:rPr>
            </w:pPr>
            <w:r>
              <w:rPr>
                <w:rFonts w:ascii="Arial" w:cs="Arial" w:eastAsia="Arial" w:hAnsi="Arial"/>
                <w:sz w:val="16"/>
                <w:szCs w:val="16"/>
                <w:b w:val="1"/>
                <w:bCs w:val="1"/>
                <w:color w:val="333740"/>
              </w:rPr>
              <w:t>U.S. Pension Plan</w:t>
            </w:r>
          </w:p>
        </w:tc>
        <w:tc>
          <w:tcPr>
            <w:tcW w:w="256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U.S. employees of FMC</w:t>
            </w: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A tax-qualified defined benefit plan</w:t>
            </w: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Technologies with five years of</w:t>
            </w: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w w:val="90"/>
              </w:rPr>
              <w:t>Pension based on final average pay, calculated as the highest 60 consecutive months of pay</w:t>
            </w:r>
          </w:p>
        </w:tc>
        <w:tc>
          <w:tcPr>
            <w:tcW w:w="0" w:type="dxa"/>
            <w:vAlign w:val="bottom"/>
          </w:tcPr>
          <w:p>
            <w:pPr>
              <w:spacing w:after="0"/>
              <w:rPr>
                <w:sz w:val="1"/>
                <w:szCs w:val="1"/>
                <w:color w:val="auto"/>
              </w:rPr>
            </w:pPr>
          </w:p>
        </w:tc>
      </w:tr>
      <w:tr>
        <w:trPr>
          <w:trHeight w:val="191"/>
        </w:trPr>
        <w:tc>
          <w:tcPr>
            <w:tcW w:w="2240" w:type="dxa"/>
            <w:vAlign w:val="bottom"/>
            <w:shd w:val="clear" w:color="auto" w:fill="D7D8D6"/>
          </w:tcPr>
          <w:p>
            <w:pPr>
              <w:spacing w:after="0"/>
              <w:rPr>
                <w:sz w:val="16"/>
                <w:szCs w:val="16"/>
                <w:color w:val="auto"/>
              </w:rPr>
            </w:pPr>
          </w:p>
        </w:tc>
        <w:tc>
          <w:tcPr>
            <w:tcW w:w="2560" w:type="dxa"/>
            <w:vAlign w:val="bottom"/>
            <w:shd w:val="clear" w:color="auto" w:fill="D7D8D6"/>
          </w:tcPr>
          <w:p>
            <w:pPr>
              <w:ind w:left="200"/>
              <w:spacing w:after="0"/>
              <w:rPr>
                <w:sz w:val="20"/>
                <w:szCs w:val="20"/>
                <w:color w:val="auto"/>
              </w:rPr>
            </w:pPr>
            <w:r>
              <w:rPr>
                <w:rFonts w:ascii="Arial" w:cs="Arial" w:eastAsia="Arial" w:hAnsi="Arial"/>
                <w:sz w:val="16"/>
                <w:szCs w:val="16"/>
                <w:color w:val="333740"/>
              </w:rPr>
              <w:t>service prior to January 1, 2010</w:t>
            </w: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(base salary and annual cash incentive bonus) in the final 120 months of service</w:t>
            </w:r>
          </w:p>
        </w:tc>
        <w:tc>
          <w:tcPr>
            <w:tcW w:w="0" w:type="dxa"/>
            <w:vAlign w:val="bottom"/>
          </w:tcPr>
          <w:p>
            <w:pPr>
              <w:spacing w:after="0"/>
              <w:rPr>
                <w:sz w:val="1"/>
                <w:szCs w:val="1"/>
                <w:color w:val="auto"/>
              </w:rPr>
            </w:pPr>
          </w:p>
        </w:tc>
      </w:tr>
      <w:tr>
        <w:trPr>
          <w:trHeight w:val="204"/>
        </w:trPr>
        <w:tc>
          <w:tcPr>
            <w:tcW w:w="2240" w:type="dxa"/>
            <w:vAlign w:val="bottom"/>
            <w:shd w:val="clear" w:color="auto" w:fill="D7D8D6"/>
          </w:tcPr>
          <w:p>
            <w:pPr>
              <w:spacing w:after="0"/>
              <w:rPr>
                <w:sz w:val="17"/>
                <w:szCs w:val="17"/>
                <w:color w:val="auto"/>
              </w:rPr>
            </w:pPr>
          </w:p>
        </w:tc>
        <w:tc>
          <w:tcPr>
            <w:tcW w:w="2560" w:type="dxa"/>
            <w:vAlign w:val="bottom"/>
            <w:vMerge w:val="restart"/>
            <w:shd w:val="clear" w:color="auto" w:fill="D7D8D6"/>
          </w:tcPr>
          <w:p>
            <w:pPr>
              <w:ind w:left="200"/>
              <w:spacing w:after="0"/>
              <w:rPr>
                <w:sz w:val="20"/>
                <w:szCs w:val="20"/>
                <w:color w:val="auto"/>
              </w:rPr>
            </w:pPr>
            <w:r>
              <w:rPr>
                <w:rFonts w:ascii="Arial" w:cs="Arial" w:eastAsia="Arial" w:hAnsi="Arial"/>
                <w:sz w:val="16"/>
                <w:szCs w:val="16"/>
                <w:i w:val="1"/>
                <w:iCs w:val="1"/>
                <w:color w:val="333740"/>
              </w:rPr>
              <w:t>Ms. Mannen is the only eligible</w:t>
            </w:r>
          </w:p>
        </w:tc>
        <w:tc>
          <w:tcPr>
            <w:tcW w:w="6460" w:type="dxa"/>
            <w:vAlign w:val="bottom"/>
            <w:shd w:val="clear" w:color="auto" w:fill="D7D8D6"/>
          </w:tcPr>
          <w:p>
            <w:pPr>
              <w:ind w:left="480"/>
              <w:spacing w:after="0"/>
              <w:rPr>
                <w:sz w:val="20"/>
                <w:szCs w:val="20"/>
                <w:color w:val="auto"/>
              </w:rPr>
            </w:pPr>
            <w:r>
              <w:rPr>
                <w:rFonts w:ascii="Arial" w:cs="Arial" w:eastAsia="Arial" w:hAnsi="Arial"/>
                <w:sz w:val="16"/>
                <w:szCs w:val="16"/>
                <w:color w:val="333740"/>
              </w:rPr>
              <w:t>Benefit accruals frozen for non-union employees effective December 31, 2017</w:t>
            </w:r>
          </w:p>
        </w:tc>
        <w:tc>
          <w:tcPr>
            <w:tcW w:w="0" w:type="dxa"/>
            <w:vAlign w:val="bottom"/>
          </w:tcPr>
          <w:p>
            <w:pPr>
              <w:spacing w:after="0"/>
              <w:rPr>
                <w:sz w:val="1"/>
                <w:szCs w:val="1"/>
                <w:color w:val="auto"/>
              </w:rPr>
            </w:pPr>
          </w:p>
        </w:tc>
      </w:tr>
      <w:tr>
        <w:trPr>
          <w:trHeight w:val="71"/>
        </w:trPr>
        <w:tc>
          <w:tcPr>
            <w:tcW w:w="2240" w:type="dxa"/>
            <w:vAlign w:val="bottom"/>
            <w:shd w:val="clear" w:color="auto" w:fill="D7D8D6"/>
          </w:tcPr>
          <w:p>
            <w:pPr>
              <w:spacing w:after="0"/>
              <w:rPr>
                <w:sz w:val="6"/>
                <w:szCs w:val="6"/>
                <w:color w:val="auto"/>
              </w:rPr>
            </w:pPr>
          </w:p>
        </w:tc>
        <w:tc>
          <w:tcPr>
            <w:tcW w:w="2560" w:type="dxa"/>
            <w:vAlign w:val="bottom"/>
            <w:vMerge w:val="continue"/>
            <w:shd w:val="clear" w:color="auto" w:fill="D7D8D6"/>
          </w:tcPr>
          <w:p>
            <w:pPr>
              <w:spacing w:after="0"/>
              <w:rPr>
                <w:sz w:val="6"/>
                <w:szCs w:val="6"/>
                <w:color w:val="auto"/>
              </w:rPr>
            </w:pPr>
          </w:p>
        </w:tc>
        <w:tc>
          <w:tcPr>
            <w:tcW w:w="6460" w:type="dxa"/>
            <w:vAlign w:val="bottom"/>
            <w:shd w:val="clear" w:color="auto" w:fill="D7D8D6"/>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240" w:type="dxa"/>
            <w:vAlign w:val="bottom"/>
            <w:shd w:val="clear" w:color="auto" w:fill="D7D8D6"/>
          </w:tcPr>
          <w:p>
            <w:pPr>
              <w:spacing w:after="0"/>
              <w:rPr>
                <w:sz w:val="17"/>
                <w:szCs w:val="17"/>
                <w:color w:val="auto"/>
              </w:rPr>
            </w:pPr>
          </w:p>
        </w:tc>
        <w:tc>
          <w:tcPr>
            <w:tcW w:w="2560" w:type="dxa"/>
            <w:vAlign w:val="bottom"/>
            <w:shd w:val="clear" w:color="auto" w:fill="D7D8D6"/>
          </w:tcPr>
          <w:p>
            <w:pPr>
              <w:ind w:left="200"/>
              <w:spacing w:after="0"/>
              <w:rPr>
                <w:sz w:val="20"/>
                <w:szCs w:val="20"/>
                <w:color w:val="auto"/>
              </w:rPr>
            </w:pPr>
            <w:r>
              <w:rPr>
                <w:rFonts w:ascii="Arial" w:cs="Arial" w:eastAsia="Arial" w:hAnsi="Arial"/>
                <w:sz w:val="16"/>
                <w:szCs w:val="16"/>
                <w:i w:val="1"/>
                <w:iCs w:val="1"/>
                <w:color w:val="333740"/>
              </w:rPr>
              <w:t>NEO</w:t>
            </w:r>
          </w:p>
        </w:tc>
        <w:tc>
          <w:tcPr>
            <w:tcW w:w="6460" w:type="dxa"/>
            <w:vAlign w:val="bottom"/>
            <w:shd w:val="clear" w:color="auto" w:fill="D7D8D6"/>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240" w:type="dxa"/>
            <w:vAlign w:val="bottom"/>
            <w:shd w:val="clear" w:color="auto" w:fill="D7D8D6"/>
          </w:tcPr>
          <w:p>
            <w:pPr>
              <w:spacing w:after="0"/>
              <w:rPr>
                <w:sz w:val="4"/>
                <w:szCs w:val="4"/>
                <w:color w:val="auto"/>
              </w:rPr>
            </w:pPr>
          </w:p>
        </w:tc>
        <w:tc>
          <w:tcPr>
            <w:tcW w:w="2560" w:type="dxa"/>
            <w:vAlign w:val="bottom"/>
            <w:shd w:val="clear" w:color="auto" w:fill="D7D8D6"/>
          </w:tcPr>
          <w:p>
            <w:pPr>
              <w:spacing w:after="0"/>
              <w:rPr>
                <w:sz w:val="4"/>
                <w:szCs w:val="4"/>
                <w:color w:val="auto"/>
              </w:rPr>
            </w:pPr>
          </w:p>
        </w:tc>
        <w:tc>
          <w:tcPr>
            <w:tcW w:w="6460" w:type="dxa"/>
            <w:vAlign w:val="bottom"/>
            <w:shd w:val="clear" w:color="auto" w:fill="D7D8D6"/>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-3831590</wp:posOffset>
            </wp:positionV>
            <wp:extent cx="7148195" cy="38322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8195" cy="3832225"/>
                    </a:xfrm>
                    <a:prstGeom prst="rect">
                      <a:avLst/>
                    </a:prstGeom>
                    <a:noFill/>
                  </pic:spPr>
                </pic:pic>
              </a:graphicData>
            </a:graphic>
          </wp:anchor>
        </w:drawing>
      </w:r>
    </w:p>
    <w:p>
      <w:pPr>
        <w:spacing w:after="0" w:line="343" w:lineRule="exact"/>
        <w:rPr>
          <w:sz w:val="20"/>
          <w:szCs w:val="20"/>
          <w:color w:val="auto"/>
        </w:rPr>
      </w:pPr>
    </w:p>
    <w:p>
      <w:pPr>
        <w:ind w:left="564" w:hanging="564"/>
        <w:spacing w:after="0"/>
        <w:tabs>
          <w:tab w:leader="none" w:pos="564" w:val="left"/>
        </w:tabs>
        <w:numPr>
          <w:ilvl w:val="0"/>
          <w:numId w:val="99"/>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86" w:name="page87"/>
    <w:bookmarkEnd w:id="86"/>
    <w:tbl>
      <w:tblPr>
        <w:tblLayout w:type="fixed"/>
        <w:tblInd w:w="4" w:type="dxa"/>
        <w:tblCellMar>
          <w:top w:w="0" w:type="dxa"/>
          <w:left w:w="0" w:type="dxa"/>
          <w:bottom w:w="0" w:type="dxa"/>
          <w:right w:w="0" w:type="dxa"/>
        </w:tblCellMar>
      </w:tblPr>
      <w:tr>
        <w:trPr>
          <w:trHeight w:val="169"/>
        </w:trPr>
        <w:tc>
          <w:tcPr>
            <w:tcW w:w="2360" w:type="dxa"/>
            <w:vAlign w:val="bottom"/>
          </w:tcPr>
          <w:p>
            <w:pPr>
              <w:ind w:left="20"/>
              <w:spacing w:after="0"/>
              <w:rPr>
                <w:sz w:val="20"/>
                <w:szCs w:val="20"/>
                <w:color w:val="auto"/>
              </w:rPr>
            </w:pPr>
            <w:r>
              <w:rPr>
                <w:rFonts w:ascii="Arial" w:cs="Arial" w:eastAsia="Arial" w:hAnsi="Arial"/>
                <w:sz w:val="13"/>
                <w:szCs w:val="13"/>
                <w:b w:val="1"/>
                <w:bCs w:val="1"/>
                <w:color w:val="481F6E"/>
              </w:rPr>
              <w:t>TechnipFMC Proxy Statement 2020</w:t>
            </w:r>
          </w:p>
        </w:tc>
        <w:tc>
          <w:tcPr>
            <w:tcW w:w="2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3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360" w:type="dxa"/>
            <w:vAlign w:val="bottom"/>
            <w:tcBorders>
              <w:bottom w:val="single" w:sz="8" w:color="4B1F67"/>
            </w:tcBorders>
            <w:shd w:val="clear" w:color="auto" w:fill="4B1F67"/>
          </w:tcPr>
          <w:p>
            <w:pPr>
              <w:ind w:left="180"/>
              <w:spacing w:after="0"/>
              <w:rPr>
                <w:sz w:val="20"/>
                <w:szCs w:val="20"/>
                <w:color w:val="auto"/>
              </w:rPr>
            </w:pPr>
            <w:r>
              <w:rPr>
                <w:rFonts w:ascii="Arial" w:cs="Arial" w:eastAsia="Arial" w:hAnsi="Arial"/>
                <w:sz w:val="14"/>
                <w:szCs w:val="14"/>
                <w:color w:val="FFFFFF"/>
              </w:rPr>
              <w:t>Plan</w:t>
            </w:r>
          </w:p>
        </w:tc>
        <w:tc>
          <w:tcPr>
            <w:tcW w:w="2400" w:type="dxa"/>
            <w:vAlign w:val="bottom"/>
            <w:tcBorders>
              <w:bottom w:val="single" w:sz="8" w:color="00B2EC"/>
            </w:tcBorders>
            <w:shd w:val="clear" w:color="auto" w:fill="00B2EC"/>
          </w:tcPr>
          <w:p>
            <w:pPr>
              <w:ind w:left="200"/>
              <w:spacing w:after="0"/>
              <w:rPr>
                <w:sz w:val="20"/>
                <w:szCs w:val="20"/>
                <w:color w:val="auto"/>
              </w:rPr>
            </w:pPr>
            <w:r>
              <w:rPr>
                <w:rFonts w:ascii="Arial" w:cs="Arial" w:eastAsia="Arial" w:hAnsi="Arial"/>
                <w:sz w:val="14"/>
                <w:szCs w:val="14"/>
                <w:b w:val="1"/>
                <w:bCs w:val="1"/>
                <w:color w:val="FFFFFF"/>
              </w:rPr>
              <w:t>Eligibility</w:t>
            </w:r>
          </w:p>
        </w:tc>
        <w:tc>
          <w:tcPr>
            <w:tcW w:w="6500" w:type="dxa"/>
            <w:vAlign w:val="bottom"/>
            <w:tcBorders>
              <w:bottom w:val="single" w:sz="8" w:color="D21A22"/>
            </w:tcBorders>
            <w:gridSpan w:val="2"/>
            <w:shd w:val="clear" w:color="auto" w:fill="D21A22"/>
          </w:tcPr>
          <w:p>
            <w:pPr>
              <w:ind w:left="200"/>
              <w:spacing w:after="0"/>
              <w:rPr>
                <w:sz w:val="20"/>
                <w:szCs w:val="20"/>
                <w:color w:val="auto"/>
              </w:rPr>
            </w:pPr>
            <w:r>
              <w:rPr>
                <w:rFonts w:ascii="Arial" w:cs="Arial" w:eastAsia="Arial" w:hAnsi="Arial"/>
                <w:sz w:val="14"/>
                <w:szCs w:val="14"/>
                <w:b w:val="1"/>
                <w:bCs w:val="1"/>
                <w:color w:val="FFFFFF"/>
              </w:rPr>
              <w:t>Features</w:t>
            </w:r>
          </w:p>
        </w:tc>
        <w:tc>
          <w:tcPr>
            <w:tcW w:w="0" w:type="dxa"/>
            <w:vAlign w:val="bottom"/>
          </w:tcPr>
          <w:p>
            <w:pPr>
              <w:spacing w:after="0"/>
              <w:rPr>
                <w:sz w:val="1"/>
                <w:szCs w:val="1"/>
                <w:color w:val="auto"/>
              </w:rPr>
            </w:pPr>
          </w:p>
        </w:tc>
      </w:tr>
      <w:tr>
        <w:trPr>
          <w:trHeight w:val="179"/>
        </w:trPr>
        <w:tc>
          <w:tcPr>
            <w:tcW w:w="2360" w:type="dxa"/>
            <w:vAlign w:val="bottom"/>
            <w:shd w:val="clear" w:color="auto" w:fill="E0E1DF"/>
          </w:tcPr>
          <w:p>
            <w:pPr>
              <w:ind w:left="180"/>
              <w:spacing w:after="0"/>
              <w:rPr>
                <w:sz w:val="20"/>
                <w:szCs w:val="20"/>
                <w:color w:val="auto"/>
              </w:rPr>
            </w:pPr>
            <w:r>
              <w:rPr>
                <w:rFonts w:ascii="Arial" w:cs="Arial" w:eastAsia="Arial" w:hAnsi="Arial"/>
                <w:sz w:val="14"/>
                <w:szCs w:val="14"/>
                <w:b w:val="1"/>
                <w:bCs w:val="1"/>
                <w:color w:val="333740"/>
              </w:rPr>
              <w:t>U.S. Non- Qualified Pension</w:t>
            </w:r>
          </w:p>
        </w:tc>
        <w:tc>
          <w:tcPr>
            <w:tcW w:w="2400" w:type="dxa"/>
            <w:vAlign w:val="bottom"/>
            <w:shd w:val="clear" w:color="auto" w:fill="E0E1DF"/>
          </w:tcPr>
          <w:p>
            <w:pPr>
              <w:ind w:left="200"/>
              <w:spacing w:after="0"/>
              <w:rPr>
                <w:sz w:val="20"/>
                <w:szCs w:val="20"/>
                <w:color w:val="auto"/>
              </w:rPr>
            </w:pPr>
            <w:r>
              <w:rPr>
                <w:rFonts w:ascii="Arial" w:cs="Arial" w:eastAsia="Arial" w:hAnsi="Arial"/>
                <w:sz w:val="14"/>
                <w:szCs w:val="14"/>
                <w:color w:val="333740"/>
              </w:rPr>
              <w:t>U.S. executives and other</w:t>
            </w:r>
          </w:p>
        </w:tc>
        <w:tc>
          <w:tcPr>
            <w:tcW w:w="500" w:type="dxa"/>
            <w:vAlign w:val="bottom"/>
            <w:shd w:val="clear" w:color="auto" w:fill="E0E1DF"/>
          </w:tcPr>
          <w:p>
            <w:pPr>
              <w:spacing w:after="0"/>
              <w:rPr>
                <w:sz w:val="15"/>
                <w:szCs w:val="15"/>
                <w:color w:val="auto"/>
              </w:rPr>
            </w:pPr>
          </w:p>
        </w:tc>
        <w:tc>
          <w:tcPr>
            <w:tcW w:w="6000" w:type="dxa"/>
            <w:vAlign w:val="bottom"/>
            <w:vMerge w:val="restart"/>
            <w:shd w:val="clear" w:color="auto" w:fill="E0E1DF"/>
          </w:tcPr>
          <w:p>
            <w:pPr>
              <w:ind w:left="20"/>
              <w:spacing w:after="0"/>
              <w:rPr>
                <w:sz w:val="20"/>
                <w:szCs w:val="20"/>
                <w:color w:val="auto"/>
              </w:rPr>
            </w:pPr>
            <w:r>
              <w:rPr>
                <w:rFonts w:ascii="Arial" w:cs="Arial" w:eastAsia="Arial" w:hAnsi="Arial"/>
                <w:sz w:val="14"/>
                <w:szCs w:val="14"/>
                <w:color w:val="333740"/>
              </w:rPr>
              <w:t>A non-qualified defined benefit pension plan</w:t>
            </w:r>
          </w:p>
        </w:tc>
        <w:tc>
          <w:tcPr>
            <w:tcW w:w="0" w:type="dxa"/>
            <w:vAlign w:val="bottom"/>
          </w:tcPr>
          <w:p>
            <w:pPr>
              <w:spacing w:after="0"/>
              <w:rPr>
                <w:sz w:val="1"/>
                <w:szCs w:val="1"/>
                <w:color w:val="auto"/>
              </w:rPr>
            </w:pPr>
          </w:p>
        </w:tc>
      </w:tr>
      <w:tr>
        <w:trPr>
          <w:trHeight w:val="167"/>
        </w:trPr>
        <w:tc>
          <w:tcPr>
            <w:tcW w:w="2360" w:type="dxa"/>
            <w:vAlign w:val="bottom"/>
            <w:shd w:val="clear" w:color="auto" w:fill="E0E1DF"/>
          </w:tcPr>
          <w:p>
            <w:pPr>
              <w:ind w:left="180"/>
              <w:spacing w:after="0"/>
              <w:rPr>
                <w:sz w:val="20"/>
                <w:szCs w:val="20"/>
                <w:color w:val="auto"/>
              </w:rPr>
            </w:pPr>
            <w:r>
              <w:rPr>
                <w:rFonts w:ascii="Arial" w:cs="Arial" w:eastAsia="Arial" w:hAnsi="Arial"/>
                <w:sz w:val="14"/>
                <w:szCs w:val="14"/>
                <w:b w:val="1"/>
                <w:bCs w:val="1"/>
                <w:color w:val="333740"/>
              </w:rPr>
              <w:t>Plan</w:t>
            </w:r>
          </w:p>
        </w:tc>
        <w:tc>
          <w:tcPr>
            <w:tcW w:w="2400" w:type="dxa"/>
            <w:vAlign w:val="bottom"/>
            <w:shd w:val="clear" w:color="auto" w:fill="E0E1DF"/>
          </w:tcPr>
          <w:p>
            <w:pPr>
              <w:ind w:left="200"/>
              <w:spacing w:after="0"/>
              <w:rPr>
                <w:sz w:val="20"/>
                <w:szCs w:val="20"/>
                <w:color w:val="auto"/>
              </w:rPr>
            </w:pPr>
            <w:r>
              <w:rPr>
                <w:rFonts w:ascii="Arial" w:cs="Arial" w:eastAsia="Arial" w:hAnsi="Arial"/>
                <w:sz w:val="14"/>
                <w:szCs w:val="14"/>
                <w:color w:val="333740"/>
              </w:rPr>
              <w:t>eligible senior employees of</w:t>
            </w:r>
          </w:p>
        </w:tc>
        <w:tc>
          <w:tcPr>
            <w:tcW w:w="500" w:type="dxa"/>
            <w:vAlign w:val="bottom"/>
            <w:shd w:val="clear" w:color="auto" w:fill="E0E1DF"/>
          </w:tcPr>
          <w:p>
            <w:pPr>
              <w:spacing w:after="0"/>
              <w:rPr>
                <w:sz w:val="14"/>
                <w:szCs w:val="14"/>
                <w:color w:val="auto"/>
              </w:rPr>
            </w:pPr>
          </w:p>
        </w:tc>
        <w:tc>
          <w:tcPr>
            <w:tcW w:w="6000" w:type="dxa"/>
            <w:vAlign w:val="bottom"/>
            <w:vMerge w:val="continue"/>
            <w:shd w:val="clear" w:color="auto" w:fill="E0E1D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60" w:type="dxa"/>
            <w:vAlign w:val="bottom"/>
            <w:shd w:val="clear" w:color="auto" w:fill="E0E1DF"/>
          </w:tcPr>
          <w:p>
            <w:pPr>
              <w:spacing w:after="0"/>
              <w:rPr>
                <w:sz w:val="14"/>
                <w:szCs w:val="14"/>
                <w:color w:val="auto"/>
              </w:rPr>
            </w:pPr>
          </w:p>
        </w:tc>
        <w:tc>
          <w:tcPr>
            <w:tcW w:w="2400" w:type="dxa"/>
            <w:vAlign w:val="bottom"/>
            <w:shd w:val="clear" w:color="auto" w:fill="E0E1DF"/>
          </w:tcPr>
          <w:p>
            <w:pPr>
              <w:ind w:left="200"/>
              <w:spacing w:after="0"/>
              <w:rPr>
                <w:sz w:val="20"/>
                <w:szCs w:val="20"/>
                <w:color w:val="auto"/>
              </w:rPr>
            </w:pPr>
            <w:r>
              <w:rPr>
                <w:rFonts w:ascii="Arial" w:cs="Arial" w:eastAsia="Arial" w:hAnsi="Arial"/>
                <w:sz w:val="14"/>
                <w:szCs w:val="14"/>
                <w:color w:val="333740"/>
              </w:rPr>
              <w:t>FMC Technologies with five</w:t>
            </w:r>
          </w:p>
        </w:tc>
        <w:tc>
          <w:tcPr>
            <w:tcW w:w="500" w:type="dxa"/>
            <w:vAlign w:val="bottom"/>
            <w:shd w:val="clear" w:color="auto" w:fill="E0E1DF"/>
          </w:tcPr>
          <w:p>
            <w:pPr>
              <w:spacing w:after="0"/>
              <w:rPr>
                <w:sz w:val="14"/>
                <w:szCs w:val="14"/>
                <w:color w:val="auto"/>
              </w:rPr>
            </w:pPr>
          </w:p>
        </w:tc>
        <w:tc>
          <w:tcPr>
            <w:tcW w:w="6000" w:type="dxa"/>
            <w:vAlign w:val="bottom"/>
            <w:shd w:val="clear" w:color="auto" w:fill="E0E1DF"/>
          </w:tcPr>
          <w:p>
            <w:pPr>
              <w:ind w:left="80"/>
              <w:spacing w:after="0"/>
              <w:rPr>
                <w:sz w:val="20"/>
                <w:szCs w:val="20"/>
                <w:color w:val="auto"/>
              </w:rPr>
            </w:pPr>
            <w:r>
              <w:rPr>
                <w:rFonts w:ascii="Arial" w:cs="Arial" w:eastAsia="Arial" w:hAnsi="Arial"/>
                <w:sz w:val="14"/>
                <w:szCs w:val="14"/>
                <w:color w:val="333740"/>
              </w:rPr>
              <w:t>Pension based on final average pay, calculated as the highest 60 consecutive</w:t>
            </w:r>
          </w:p>
        </w:tc>
        <w:tc>
          <w:tcPr>
            <w:tcW w:w="0" w:type="dxa"/>
            <w:vAlign w:val="bottom"/>
          </w:tcPr>
          <w:p>
            <w:pPr>
              <w:spacing w:after="0"/>
              <w:rPr>
                <w:sz w:val="1"/>
                <w:szCs w:val="1"/>
                <w:color w:val="auto"/>
              </w:rPr>
            </w:pPr>
          </w:p>
        </w:tc>
      </w:tr>
      <w:tr>
        <w:trPr>
          <w:trHeight w:val="167"/>
        </w:trPr>
        <w:tc>
          <w:tcPr>
            <w:tcW w:w="2360" w:type="dxa"/>
            <w:vAlign w:val="bottom"/>
            <w:shd w:val="clear" w:color="auto" w:fill="E0E1DF"/>
          </w:tcPr>
          <w:p>
            <w:pPr>
              <w:spacing w:after="0"/>
              <w:rPr>
                <w:sz w:val="14"/>
                <w:szCs w:val="14"/>
                <w:color w:val="auto"/>
              </w:rPr>
            </w:pPr>
          </w:p>
        </w:tc>
        <w:tc>
          <w:tcPr>
            <w:tcW w:w="2400" w:type="dxa"/>
            <w:vAlign w:val="bottom"/>
            <w:shd w:val="clear" w:color="auto" w:fill="E0E1DF"/>
          </w:tcPr>
          <w:p>
            <w:pPr>
              <w:ind w:left="200"/>
              <w:spacing w:after="0"/>
              <w:rPr>
                <w:sz w:val="20"/>
                <w:szCs w:val="20"/>
                <w:color w:val="auto"/>
              </w:rPr>
            </w:pPr>
            <w:r>
              <w:rPr>
                <w:rFonts w:ascii="Arial" w:cs="Arial" w:eastAsia="Arial" w:hAnsi="Arial"/>
                <w:sz w:val="14"/>
                <w:szCs w:val="14"/>
                <w:color w:val="333740"/>
              </w:rPr>
              <w:t>years of service prior to</w:t>
            </w:r>
          </w:p>
        </w:tc>
        <w:tc>
          <w:tcPr>
            <w:tcW w:w="6500" w:type="dxa"/>
            <w:vAlign w:val="bottom"/>
            <w:gridSpan w:val="2"/>
            <w:shd w:val="clear" w:color="auto" w:fill="E0E1DF"/>
          </w:tcPr>
          <w:p>
            <w:pPr>
              <w:ind w:left="480"/>
              <w:spacing w:after="0"/>
              <w:rPr>
                <w:sz w:val="20"/>
                <w:szCs w:val="20"/>
                <w:color w:val="auto"/>
              </w:rPr>
            </w:pPr>
            <w:r>
              <w:rPr>
                <w:rFonts w:ascii="Arial" w:cs="Arial" w:eastAsia="Arial" w:hAnsi="Arial"/>
                <w:sz w:val="14"/>
                <w:szCs w:val="14"/>
                <w:color w:val="333740"/>
              </w:rPr>
              <w:t>months of pay (base salary, annual cash incentive bonus, and employee contributions</w:t>
            </w:r>
          </w:p>
        </w:tc>
        <w:tc>
          <w:tcPr>
            <w:tcW w:w="0" w:type="dxa"/>
            <w:vAlign w:val="bottom"/>
          </w:tcPr>
          <w:p>
            <w:pPr>
              <w:spacing w:after="0"/>
              <w:rPr>
                <w:sz w:val="1"/>
                <w:szCs w:val="1"/>
                <w:color w:val="auto"/>
              </w:rPr>
            </w:pPr>
          </w:p>
        </w:tc>
      </w:tr>
      <w:tr>
        <w:trPr>
          <w:trHeight w:val="167"/>
        </w:trPr>
        <w:tc>
          <w:tcPr>
            <w:tcW w:w="2360" w:type="dxa"/>
            <w:vAlign w:val="bottom"/>
            <w:shd w:val="clear" w:color="auto" w:fill="E0E1DF"/>
          </w:tcPr>
          <w:p>
            <w:pPr>
              <w:spacing w:after="0"/>
              <w:rPr>
                <w:sz w:val="14"/>
                <w:szCs w:val="14"/>
                <w:color w:val="auto"/>
              </w:rPr>
            </w:pPr>
          </w:p>
        </w:tc>
        <w:tc>
          <w:tcPr>
            <w:tcW w:w="2400" w:type="dxa"/>
            <w:vAlign w:val="bottom"/>
            <w:shd w:val="clear" w:color="auto" w:fill="E0E1DF"/>
          </w:tcPr>
          <w:p>
            <w:pPr>
              <w:ind w:left="200"/>
              <w:spacing w:after="0"/>
              <w:rPr>
                <w:sz w:val="20"/>
                <w:szCs w:val="20"/>
                <w:color w:val="auto"/>
              </w:rPr>
            </w:pPr>
            <w:r>
              <w:rPr>
                <w:rFonts w:ascii="Arial" w:cs="Arial" w:eastAsia="Arial" w:hAnsi="Arial"/>
                <w:sz w:val="14"/>
                <w:szCs w:val="14"/>
                <w:color w:val="333740"/>
              </w:rPr>
              <w:t>January 1, 2010</w:t>
            </w:r>
          </w:p>
        </w:tc>
        <w:tc>
          <w:tcPr>
            <w:tcW w:w="6500" w:type="dxa"/>
            <w:vAlign w:val="bottom"/>
            <w:gridSpan w:val="2"/>
            <w:shd w:val="clear" w:color="auto" w:fill="E0E1DF"/>
          </w:tcPr>
          <w:p>
            <w:pPr>
              <w:ind w:left="480"/>
              <w:spacing w:after="0"/>
              <w:rPr>
                <w:sz w:val="20"/>
                <w:szCs w:val="20"/>
                <w:color w:val="auto"/>
              </w:rPr>
            </w:pPr>
            <w:r>
              <w:rPr>
                <w:rFonts w:ascii="Arial" w:cs="Arial" w:eastAsia="Arial" w:hAnsi="Arial"/>
                <w:sz w:val="14"/>
                <w:szCs w:val="14"/>
                <w:color w:val="333740"/>
              </w:rPr>
              <w:t>made to the U.S. Non-Qualified Savings Plan) in the final 120 months of service up to</w:t>
            </w:r>
          </w:p>
        </w:tc>
        <w:tc>
          <w:tcPr>
            <w:tcW w:w="0" w:type="dxa"/>
            <w:vAlign w:val="bottom"/>
          </w:tcPr>
          <w:p>
            <w:pPr>
              <w:spacing w:after="0"/>
              <w:rPr>
                <w:sz w:val="1"/>
                <w:szCs w:val="1"/>
                <w:color w:val="auto"/>
              </w:rPr>
            </w:pPr>
          </w:p>
        </w:tc>
      </w:tr>
      <w:tr>
        <w:trPr>
          <w:trHeight w:val="225"/>
        </w:trPr>
        <w:tc>
          <w:tcPr>
            <w:tcW w:w="2360" w:type="dxa"/>
            <w:vAlign w:val="bottom"/>
            <w:shd w:val="clear" w:color="auto" w:fill="E0E1DF"/>
          </w:tcPr>
          <w:p>
            <w:pPr>
              <w:spacing w:after="0"/>
              <w:rPr>
                <w:sz w:val="19"/>
                <w:szCs w:val="19"/>
                <w:color w:val="auto"/>
              </w:rPr>
            </w:pPr>
          </w:p>
        </w:tc>
        <w:tc>
          <w:tcPr>
            <w:tcW w:w="2400" w:type="dxa"/>
            <w:vAlign w:val="bottom"/>
            <w:vMerge w:val="restart"/>
            <w:shd w:val="clear" w:color="auto" w:fill="E0E1DF"/>
          </w:tcPr>
          <w:p>
            <w:pPr>
              <w:ind w:left="200"/>
              <w:spacing w:after="0"/>
              <w:rPr>
                <w:sz w:val="20"/>
                <w:szCs w:val="20"/>
                <w:color w:val="auto"/>
              </w:rPr>
            </w:pPr>
            <w:r>
              <w:rPr>
                <w:rFonts w:ascii="Arial" w:cs="Arial" w:eastAsia="Arial" w:hAnsi="Arial"/>
                <w:sz w:val="14"/>
                <w:szCs w:val="14"/>
                <w:i w:val="1"/>
                <w:iCs w:val="1"/>
                <w:color w:val="333740"/>
              </w:rPr>
              <w:t>Ms. Mannen is the only eligible</w:t>
            </w:r>
          </w:p>
        </w:tc>
        <w:tc>
          <w:tcPr>
            <w:tcW w:w="6500" w:type="dxa"/>
            <w:vAlign w:val="bottom"/>
            <w:gridSpan w:val="2"/>
            <w:shd w:val="clear" w:color="auto" w:fill="E0E1DF"/>
          </w:tcPr>
          <w:p>
            <w:pPr>
              <w:ind w:left="480"/>
              <w:spacing w:after="0"/>
              <w:rPr>
                <w:sz w:val="20"/>
                <w:szCs w:val="20"/>
                <w:color w:val="auto"/>
              </w:rPr>
            </w:pPr>
            <w:r>
              <w:rPr>
                <w:rFonts w:ascii="Arial" w:cs="Arial" w:eastAsia="Arial" w:hAnsi="Arial"/>
                <w:sz w:val="14"/>
                <w:szCs w:val="14"/>
                <w:color w:val="333740"/>
              </w:rPr>
              <w:t>statutory limits for tax qualified plans</w:t>
            </w:r>
          </w:p>
        </w:tc>
        <w:tc>
          <w:tcPr>
            <w:tcW w:w="0" w:type="dxa"/>
            <w:vAlign w:val="bottom"/>
          </w:tcPr>
          <w:p>
            <w:pPr>
              <w:spacing w:after="0"/>
              <w:rPr>
                <w:sz w:val="1"/>
                <w:szCs w:val="1"/>
                <w:color w:val="auto"/>
              </w:rPr>
            </w:pPr>
          </w:p>
        </w:tc>
      </w:tr>
      <w:tr>
        <w:trPr>
          <w:trHeight w:val="61"/>
        </w:trPr>
        <w:tc>
          <w:tcPr>
            <w:tcW w:w="2360" w:type="dxa"/>
            <w:vAlign w:val="bottom"/>
            <w:shd w:val="clear" w:color="auto" w:fill="E0E1DF"/>
          </w:tcPr>
          <w:p>
            <w:pPr>
              <w:spacing w:after="0"/>
              <w:rPr>
                <w:sz w:val="5"/>
                <w:szCs w:val="5"/>
                <w:color w:val="auto"/>
              </w:rPr>
            </w:pPr>
          </w:p>
        </w:tc>
        <w:tc>
          <w:tcPr>
            <w:tcW w:w="2400" w:type="dxa"/>
            <w:vAlign w:val="bottom"/>
            <w:vMerge w:val="continue"/>
            <w:shd w:val="clear" w:color="auto" w:fill="E0E1DF"/>
          </w:tcPr>
          <w:p>
            <w:pPr>
              <w:spacing w:after="0"/>
              <w:rPr>
                <w:sz w:val="5"/>
                <w:szCs w:val="5"/>
                <w:color w:val="auto"/>
              </w:rPr>
            </w:pPr>
          </w:p>
        </w:tc>
        <w:tc>
          <w:tcPr>
            <w:tcW w:w="500" w:type="dxa"/>
            <w:vAlign w:val="bottom"/>
            <w:shd w:val="clear" w:color="auto" w:fill="E0E1DF"/>
          </w:tcPr>
          <w:p>
            <w:pPr>
              <w:spacing w:after="0"/>
              <w:rPr>
                <w:sz w:val="5"/>
                <w:szCs w:val="5"/>
                <w:color w:val="auto"/>
              </w:rPr>
            </w:pPr>
          </w:p>
        </w:tc>
        <w:tc>
          <w:tcPr>
            <w:tcW w:w="6000" w:type="dxa"/>
            <w:vAlign w:val="bottom"/>
            <w:vMerge w:val="restart"/>
            <w:shd w:val="clear" w:color="auto" w:fill="E0E1DF"/>
          </w:tcPr>
          <w:p>
            <w:pPr>
              <w:ind w:left="20"/>
              <w:spacing w:after="0"/>
              <w:rPr>
                <w:sz w:val="20"/>
                <w:szCs w:val="20"/>
                <w:color w:val="auto"/>
              </w:rPr>
            </w:pPr>
            <w:r>
              <w:rPr>
                <w:rFonts w:ascii="Arial" w:cs="Arial" w:eastAsia="Arial" w:hAnsi="Arial"/>
                <w:sz w:val="14"/>
                <w:szCs w:val="14"/>
                <w:color w:val="333740"/>
              </w:rPr>
              <w:t>Benefit accruals frozen for non-union employees effective December 31, 2017</w:t>
            </w:r>
          </w:p>
        </w:tc>
        <w:tc>
          <w:tcPr>
            <w:tcW w:w="0" w:type="dxa"/>
            <w:vAlign w:val="bottom"/>
          </w:tcPr>
          <w:p>
            <w:pPr>
              <w:spacing w:after="0"/>
              <w:rPr>
                <w:sz w:val="1"/>
                <w:szCs w:val="1"/>
                <w:color w:val="auto"/>
              </w:rPr>
            </w:pPr>
          </w:p>
        </w:tc>
      </w:tr>
      <w:tr>
        <w:trPr>
          <w:trHeight w:val="186"/>
        </w:trPr>
        <w:tc>
          <w:tcPr>
            <w:tcW w:w="2360" w:type="dxa"/>
            <w:vAlign w:val="bottom"/>
            <w:shd w:val="clear" w:color="auto" w:fill="E0E1DF"/>
          </w:tcPr>
          <w:p>
            <w:pPr>
              <w:spacing w:after="0"/>
              <w:rPr>
                <w:sz w:val="16"/>
                <w:szCs w:val="16"/>
                <w:color w:val="auto"/>
              </w:rPr>
            </w:pPr>
          </w:p>
        </w:tc>
        <w:tc>
          <w:tcPr>
            <w:tcW w:w="2400" w:type="dxa"/>
            <w:vAlign w:val="bottom"/>
            <w:shd w:val="clear" w:color="auto" w:fill="E0E1DF"/>
          </w:tcPr>
          <w:p>
            <w:pPr>
              <w:ind w:left="200"/>
              <w:spacing w:after="0"/>
              <w:rPr>
                <w:sz w:val="20"/>
                <w:szCs w:val="20"/>
                <w:color w:val="auto"/>
              </w:rPr>
            </w:pPr>
            <w:r>
              <w:rPr>
                <w:rFonts w:ascii="Arial" w:cs="Arial" w:eastAsia="Arial" w:hAnsi="Arial"/>
                <w:sz w:val="14"/>
                <w:szCs w:val="14"/>
                <w:i w:val="1"/>
                <w:iCs w:val="1"/>
                <w:color w:val="333740"/>
              </w:rPr>
              <w:t>NEO</w:t>
            </w:r>
          </w:p>
        </w:tc>
        <w:tc>
          <w:tcPr>
            <w:tcW w:w="500" w:type="dxa"/>
            <w:vAlign w:val="bottom"/>
            <w:shd w:val="clear" w:color="auto" w:fill="E0E1DF"/>
          </w:tcPr>
          <w:p>
            <w:pPr>
              <w:spacing w:after="0"/>
              <w:rPr>
                <w:sz w:val="16"/>
                <w:szCs w:val="16"/>
                <w:color w:val="auto"/>
              </w:rPr>
            </w:pPr>
          </w:p>
        </w:tc>
        <w:tc>
          <w:tcPr>
            <w:tcW w:w="6000" w:type="dxa"/>
            <w:vAlign w:val="bottom"/>
            <w:vMerge w:val="continue"/>
            <w:shd w:val="clear" w:color="auto" w:fill="E0E1D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360" w:type="dxa"/>
            <w:vAlign w:val="bottom"/>
            <w:shd w:val="clear" w:color="auto" w:fill="E0E1DF"/>
          </w:tcPr>
          <w:p>
            <w:pPr>
              <w:ind w:left="180"/>
              <w:spacing w:after="0"/>
              <w:rPr>
                <w:sz w:val="20"/>
                <w:szCs w:val="20"/>
                <w:color w:val="auto"/>
              </w:rPr>
            </w:pPr>
            <w:r>
              <w:rPr>
                <w:rFonts w:ascii="Arial" w:cs="Arial" w:eastAsia="Arial" w:hAnsi="Arial"/>
                <w:sz w:val="14"/>
                <w:szCs w:val="14"/>
                <w:b w:val="1"/>
                <w:bCs w:val="1"/>
                <w:color w:val="333740"/>
              </w:rPr>
              <w:t>Italian Statutory Pension</w:t>
            </w:r>
          </w:p>
        </w:tc>
        <w:tc>
          <w:tcPr>
            <w:tcW w:w="2400" w:type="dxa"/>
            <w:vAlign w:val="bottom"/>
            <w:shd w:val="clear" w:color="auto" w:fill="E0E1DF"/>
          </w:tcPr>
          <w:p>
            <w:pPr>
              <w:ind w:left="200"/>
              <w:spacing w:after="0"/>
              <w:rPr>
                <w:sz w:val="20"/>
                <w:szCs w:val="20"/>
                <w:color w:val="auto"/>
              </w:rPr>
            </w:pPr>
            <w:r>
              <w:rPr>
                <w:rFonts w:ascii="Arial" w:cs="Arial" w:eastAsia="Arial" w:hAnsi="Arial"/>
                <w:sz w:val="14"/>
                <w:szCs w:val="14"/>
                <w:color w:val="333740"/>
              </w:rPr>
              <w:t>All employees of Technip Italy</w:t>
            </w:r>
          </w:p>
        </w:tc>
        <w:tc>
          <w:tcPr>
            <w:tcW w:w="500" w:type="dxa"/>
            <w:vAlign w:val="bottom"/>
            <w:shd w:val="clear" w:color="auto" w:fill="E0E1DF"/>
          </w:tcPr>
          <w:p>
            <w:pPr>
              <w:spacing w:after="0"/>
              <w:rPr>
                <w:sz w:val="20"/>
                <w:szCs w:val="20"/>
                <w:color w:val="auto"/>
              </w:rPr>
            </w:pPr>
          </w:p>
        </w:tc>
        <w:tc>
          <w:tcPr>
            <w:tcW w:w="6000" w:type="dxa"/>
            <w:vAlign w:val="bottom"/>
            <w:vMerge w:val="restart"/>
            <w:shd w:val="clear" w:color="auto" w:fill="E0E1DF"/>
          </w:tcPr>
          <w:p>
            <w:pPr>
              <w:ind w:left="20"/>
              <w:spacing w:after="0"/>
              <w:rPr>
                <w:sz w:val="20"/>
                <w:szCs w:val="20"/>
                <w:color w:val="auto"/>
              </w:rPr>
            </w:pPr>
            <w:r>
              <w:rPr>
                <w:rFonts w:ascii="Arial" w:cs="Arial" w:eastAsia="Arial" w:hAnsi="Arial"/>
                <w:sz w:val="14"/>
                <w:szCs w:val="14"/>
                <w:color w:val="333740"/>
              </w:rPr>
              <w:t>The TFR (Trattamento di fine rapport) is paid in any case of termination of employment</w:t>
            </w:r>
          </w:p>
        </w:tc>
        <w:tc>
          <w:tcPr>
            <w:tcW w:w="0" w:type="dxa"/>
            <w:vAlign w:val="bottom"/>
          </w:tcPr>
          <w:p>
            <w:pPr>
              <w:spacing w:after="0"/>
              <w:rPr>
                <w:sz w:val="1"/>
                <w:szCs w:val="1"/>
                <w:color w:val="auto"/>
              </w:rPr>
            </w:pPr>
          </w:p>
        </w:tc>
      </w:tr>
      <w:tr>
        <w:trPr>
          <w:trHeight w:val="102"/>
        </w:trPr>
        <w:tc>
          <w:tcPr>
            <w:tcW w:w="2360" w:type="dxa"/>
            <w:vAlign w:val="bottom"/>
            <w:vMerge w:val="restart"/>
            <w:shd w:val="clear" w:color="auto" w:fill="E0E1DF"/>
          </w:tcPr>
          <w:p>
            <w:pPr>
              <w:ind w:left="180"/>
              <w:spacing w:after="0"/>
              <w:rPr>
                <w:sz w:val="20"/>
                <w:szCs w:val="20"/>
                <w:color w:val="auto"/>
              </w:rPr>
            </w:pPr>
            <w:r>
              <w:rPr>
                <w:rFonts w:ascii="Arial" w:cs="Arial" w:eastAsia="Arial" w:hAnsi="Arial"/>
                <w:sz w:val="14"/>
                <w:szCs w:val="14"/>
                <w:b w:val="1"/>
                <w:bCs w:val="1"/>
                <w:color w:val="333740"/>
              </w:rPr>
              <w:t>Plan</w:t>
            </w:r>
          </w:p>
        </w:tc>
        <w:tc>
          <w:tcPr>
            <w:tcW w:w="2400" w:type="dxa"/>
            <w:vAlign w:val="bottom"/>
            <w:shd w:val="clear" w:color="auto" w:fill="E0E1DF"/>
          </w:tcPr>
          <w:p>
            <w:pPr>
              <w:spacing w:after="0"/>
              <w:rPr>
                <w:sz w:val="8"/>
                <w:szCs w:val="8"/>
                <w:color w:val="auto"/>
              </w:rPr>
            </w:pPr>
          </w:p>
        </w:tc>
        <w:tc>
          <w:tcPr>
            <w:tcW w:w="500" w:type="dxa"/>
            <w:vAlign w:val="bottom"/>
            <w:shd w:val="clear" w:color="auto" w:fill="E0E1DF"/>
          </w:tcPr>
          <w:p>
            <w:pPr>
              <w:spacing w:after="0"/>
              <w:rPr>
                <w:sz w:val="8"/>
                <w:szCs w:val="8"/>
                <w:color w:val="auto"/>
              </w:rPr>
            </w:pPr>
          </w:p>
        </w:tc>
        <w:tc>
          <w:tcPr>
            <w:tcW w:w="6000" w:type="dxa"/>
            <w:vAlign w:val="bottom"/>
            <w:vMerge w:val="continue"/>
            <w:shd w:val="clear" w:color="auto" w:fill="E0E1D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360" w:type="dxa"/>
            <w:vAlign w:val="bottom"/>
            <w:vMerge w:val="continue"/>
            <w:shd w:val="clear" w:color="auto" w:fill="E0E1DF"/>
          </w:tcPr>
          <w:p>
            <w:pPr>
              <w:spacing w:after="0"/>
              <w:rPr>
                <w:sz w:val="10"/>
                <w:szCs w:val="10"/>
                <w:color w:val="auto"/>
              </w:rPr>
            </w:pPr>
          </w:p>
        </w:tc>
        <w:tc>
          <w:tcPr>
            <w:tcW w:w="2400" w:type="dxa"/>
            <w:vAlign w:val="bottom"/>
            <w:vMerge w:val="restart"/>
            <w:shd w:val="clear" w:color="auto" w:fill="E0E1DF"/>
          </w:tcPr>
          <w:p>
            <w:pPr>
              <w:ind w:left="200"/>
              <w:spacing w:after="0"/>
              <w:rPr>
                <w:sz w:val="20"/>
                <w:szCs w:val="20"/>
                <w:color w:val="auto"/>
              </w:rPr>
            </w:pPr>
            <w:r>
              <w:rPr>
                <w:rFonts w:ascii="Arial" w:cs="Arial" w:eastAsia="Arial" w:hAnsi="Arial"/>
                <w:sz w:val="14"/>
                <w:szCs w:val="14"/>
                <w:i w:val="1"/>
                <w:iCs w:val="1"/>
                <w:color w:val="333740"/>
              </w:rPr>
              <w:t>Mr. Uccelletti is the only eligible</w:t>
            </w:r>
          </w:p>
        </w:tc>
        <w:tc>
          <w:tcPr>
            <w:tcW w:w="6500" w:type="dxa"/>
            <w:vAlign w:val="bottom"/>
            <w:gridSpan w:val="2"/>
            <w:vMerge w:val="restart"/>
            <w:shd w:val="clear" w:color="auto" w:fill="E0E1DF"/>
          </w:tcPr>
          <w:p>
            <w:pPr>
              <w:ind w:left="480"/>
              <w:spacing w:after="0"/>
              <w:rPr>
                <w:sz w:val="20"/>
                <w:szCs w:val="20"/>
                <w:color w:val="auto"/>
              </w:rPr>
            </w:pPr>
            <w:r>
              <w:rPr>
                <w:rFonts w:ascii="Arial" w:cs="Arial" w:eastAsia="Arial" w:hAnsi="Arial"/>
                <w:sz w:val="14"/>
                <w:szCs w:val="14"/>
                <w:color w:val="333740"/>
              </w:rPr>
              <w:t>(including retirement)</w:t>
            </w:r>
          </w:p>
        </w:tc>
        <w:tc>
          <w:tcPr>
            <w:tcW w:w="0" w:type="dxa"/>
            <w:vAlign w:val="bottom"/>
          </w:tcPr>
          <w:p>
            <w:pPr>
              <w:spacing w:after="0"/>
              <w:rPr>
                <w:sz w:val="1"/>
                <w:szCs w:val="1"/>
                <w:color w:val="auto"/>
              </w:rPr>
            </w:pPr>
          </w:p>
        </w:tc>
      </w:tr>
      <w:tr>
        <w:trPr>
          <w:trHeight w:val="61"/>
        </w:trPr>
        <w:tc>
          <w:tcPr>
            <w:tcW w:w="2360" w:type="dxa"/>
            <w:vAlign w:val="bottom"/>
            <w:shd w:val="clear" w:color="auto" w:fill="E0E1DF"/>
          </w:tcPr>
          <w:p>
            <w:pPr>
              <w:spacing w:after="0"/>
              <w:rPr>
                <w:sz w:val="5"/>
                <w:szCs w:val="5"/>
                <w:color w:val="auto"/>
              </w:rPr>
            </w:pPr>
          </w:p>
        </w:tc>
        <w:tc>
          <w:tcPr>
            <w:tcW w:w="2400" w:type="dxa"/>
            <w:vAlign w:val="bottom"/>
            <w:vMerge w:val="continue"/>
            <w:shd w:val="clear" w:color="auto" w:fill="E0E1DF"/>
          </w:tcPr>
          <w:p>
            <w:pPr>
              <w:spacing w:after="0"/>
              <w:rPr>
                <w:sz w:val="5"/>
                <w:szCs w:val="5"/>
                <w:color w:val="auto"/>
              </w:rPr>
            </w:pPr>
          </w:p>
        </w:tc>
        <w:tc>
          <w:tcPr>
            <w:tcW w:w="6500" w:type="dxa"/>
            <w:vAlign w:val="bottom"/>
            <w:gridSpan w:val="2"/>
            <w:vMerge w:val="continue"/>
            <w:shd w:val="clear" w:color="auto" w:fill="E0E1DF"/>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360" w:type="dxa"/>
            <w:vAlign w:val="bottom"/>
            <w:shd w:val="clear" w:color="auto" w:fill="E0E1DF"/>
          </w:tcPr>
          <w:p>
            <w:pPr>
              <w:spacing w:after="0"/>
              <w:rPr>
                <w:sz w:val="18"/>
                <w:szCs w:val="18"/>
                <w:color w:val="auto"/>
              </w:rPr>
            </w:pPr>
          </w:p>
        </w:tc>
        <w:tc>
          <w:tcPr>
            <w:tcW w:w="2400" w:type="dxa"/>
            <w:vAlign w:val="bottom"/>
            <w:shd w:val="clear" w:color="auto" w:fill="E0E1DF"/>
          </w:tcPr>
          <w:p>
            <w:pPr>
              <w:ind w:left="200"/>
              <w:spacing w:after="0"/>
              <w:rPr>
                <w:sz w:val="20"/>
                <w:szCs w:val="20"/>
                <w:color w:val="auto"/>
              </w:rPr>
            </w:pPr>
            <w:r>
              <w:rPr>
                <w:rFonts w:ascii="Arial" w:cs="Arial" w:eastAsia="Arial" w:hAnsi="Arial"/>
                <w:sz w:val="14"/>
                <w:szCs w:val="14"/>
                <w:i w:val="1"/>
                <w:iCs w:val="1"/>
                <w:color w:val="333740"/>
              </w:rPr>
              <w:t>NEO</w:t>
            </w:r>
          </w:p>
        </w:tc>
        <w:tc>
          <w:tcPr>
            <w:tcW w:w="500" w:type="dxa"/>
            <w:vAlign w:val="bottom"/>
            <w:shd w:val="clear" w:color="auto" w:fill="E0E1DF"/>
          </w:tcPr>
          <w:p>
            <w:pPr>
              <w:spacing w:after="0"/>
              <w:rPr>
                <w:sz w:val="18"/>
                <w:szCs w:val="18"/>
                <w:color w:val="auto"/>
              </w:rPr>
            </w:pPr>
          </w:p>
        </w:tc>
        <w:tc>
          <w:tcPr>
            <w:tcW w:w="6000" w:type="dxa"/>
            <w:vAlign w:val="bottom"/>
            <w:shd w:val="clear" w:color="auto" w:fill="E0E1DF"/>
          </w:tcPr>
          <w:p>
            <w:pPr>
              <w:spacing w:after="0"/>
              <w:rPr>
                <w:sz w:val="20"/>
                <w:szCs w:val="20"/>
                <w:color w:val="auto"/>
              </w:rPr>
            </w:pPr>
            <w:r>
              <w:rPr>
                <w:rFonts w:ascii="Arial" w:cs="Arial" w:eastAsia="Arial" w:hAnsi="Arial"/>
                <w:sz w:val="14"/>
                <w:szCs w:val="14"/>
                <w:color w:val="333740"/>
                <w:shd w:val="clear" w:color="auto" w:fill="E0E1DF"/>
              </w:rPr>
              <w:t>Annual accrual is salary divided by 13.5</w:t>
            </w:r>
          </w:p>
        </w:tc>
        <w:tc>
          <w:tcPr>
            <w:tcW w:w="0" w:type="dxa"/>
            <w:vAlign w:val="bottom"/>
          </w:tcPr>
          <w:p>
            <w:pPr>
              <w:spacing w:after="0"/>
              <w:rPr>
                <w:sz w:val="1"/>
                <w:szCs w:val="1"/>
                <w:color w:val="auto"/>
              </w:rPr>
            </w:pPr>
          </w:p>
        </w:tc>
      </w:tr>
      <w:tr>
        <w:trPr>
          <w:trHeight w:val="245"/>
        </w:trPr>
        <w:tc>
          <w:tcPr>
            <w:tcW w:w="2360" w:type="dxa"/>
            <w:vAlign w:val="bottom"/>
            <w:shd w:val="clear" w:color="auto" w:fill="E0E1DF"/>
          </w:tcPr>
          <w:p>
            <w:pPr>
              <w:spacing w:after="0"/>
              <w:rPr>
                <w:sz w:val="21"/>
                <w:szCs w:val="21"/>
                <w:color w:val="auto"/>
              </w:rPr>
            </w:pPr>
          </w:p>
        </w:tc>
        <w:tc>
          <w:tcPr>
            <w:tcW w:w="2400" w:type="dxa"/>
            <w:vAlign w:val="bottom"/>
            <w:shd w:val="clear" w:color="auto" w:fill="E0E1DF"/>
          </w:tcPr>
          <w:p>
            <w:pPr>
              <w:spacing w:after="0"/>
              <w:rPr>
                <w:sz w:val="21"/>
                <w:szCs w:val="21"/>
                <w:color w:val="auto"/>
              </w:rPr>
            </w:pPr>
          </w:p>
        </w:tc>
        <w:tc>
          <w:tcPr>
            <w:tcW w:w="500" w:type="dxa"/>
            <w:vAlign w:val="bottom"/>
            <w:shd w:val="clear" w:color="auto" w:fill="E0E1DF"/>
          </w:tcPr>
          <w:p>
            <w:pPr>
              <w:spacing w:after="0"/>
              <w:rPr>
                <w:sz w:val="21"/>
                <w:szCs w:val="21"/>
                <w:color w:val="auto"/>
              </w:rPr>
            </w:pPr>
          </w:p>
        </w:tc>
        <w:tc>
          <w:tcPr>
            <w:tcW w:w="6000" w:type="dxa"/>
            <w:vAlign w:val="bottom"/>
            <w:shd w:val="clear" w:color="auto" w:fill="E0E1DF"/>
          </w:tcPr>
          <w:p>
            <w:pPr>
              <w:spacing w:after="0"/>
              <w:rPr>
                <w:sz w:val="20"/>
                <w:szCs w:val="20"/>
                <w:color w:val="auto"/>
              </w:rPr>
            </w:pPr>
            <w:r>
              <w:rPr>
                <w:rFonts w:ascii="Arial" w:cs="Arial" w:eastAsia="Arial" w:hAnsi="Arial"/>
                <w:sz w:val="14"/>
                <w:szCs w:val="14"/>
                <w:color w:val="auto"/>
              </w:rPr>
              <w:t>At the employee’s request, this amount can be transferred to a private pension fund</w:t>
            </w:r>
          </w:p>
        </w:tc>
        <w:tc>
          <w:tcPr>
            <w:tcW w:w="0" w:type="dxa"/>
            <w:vAlign w:val="bottom"/>
          </w:tcPr>
          <w:p>
            <w:pPr>
              <w:spacing w:after="0"/>
              <w:rPr>
                <w:sz w:val="1"/>
                <w:szCs w:val="1"/>
                <w:color w:val="auto"/>
              </w:rPr>
            </w:pPr>
          </w:p>
        </w:tc>
      </w:tr>
      <w:tr>
        <w:trPr>
          <w:trHeight w:val="42"/>
        </w:trPr>
        <w:tc>
          <w:tcPr>
            <w:tcW w:w="2360" w:type="dxa"/>
            <w:vAlign w:val="bottom"/>
            <w:shd w:val="clear" w:color="auto" w:fill="E0E1DF"/>
          </w:tcPr>
          <w:p>
            <w:pPr>
              <w:spacing w:after="0"/>
              <w:rPr>
                <w:sz w:val="3"/>
                <w:szCs w:val="3"/>
                <w:color w:val="auto"/>
              </w:rPr>
            </w:pPr>
          </w:p>
        </w:tc>
        <w:tc>
          <w:tcPr>
            <w:tcW w:w="2400" w:type="dxa"/>
            <w:vAlign w:val="bottom"/>
            <w:shd w:val="clear" w:color="auto" w:fill="E0E1DF"/>
          </w:tcPr>
          <w:p>
            <w:pPr>
              <w:spacing w:after="0"/>
              <w:rPr>
                <w:sz w:val="3"/>
                <w:szCs w:val="3"/>
                <w:color w:val="auto"/>
              </w:rPr>
            </w:pPr>
          </w:p>
        </w:tc>
        <w:tc>
          <w:tcPr>
            <w:tcW w:w="500" w:type="dxa"/>
            <w:vAlign w:val="bottom"/>
            <w:shd w:val="clear" w:color="auto" w:fill="E0E1DF"/>
          </w:tcPr>
          <w:p>
            <w:pPr>
              <w:spacing w:after="0"/>
              <w:rPr>
                <w:sz w:val="3"/>
                <w:szCs w:val="3"/>
                <w:color w:val="auto"/>
              </w:rPr>
            </w:pPr>
          </w:p>
        </w:tc>
        <w:tc>
          <w:tcPr>
            <w:tcW w:w="6000" w:type="dxa"/>
            <w:vAlign w:val="bottom"/>
            <w:shd w:val="clear" w:color="auto" w:fill="E0E1D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-1653540</wp:posOffset>
            </wp:positionV>
            <wp:extent cx="7148195" cy="16541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8195" cy="1654175"/>
                    </a:xfrm>
                    <a:prstGeom prst="rect">
                      <a:avLst/>
                    </a:prstGeom>
                    <a:noFill/>
                  </pic:spPr>
                </pic:pic>
              </a:graphicData>
            </a:graphic>
          </wp:anchor>
        </w:drawing>
      </w:r>
    </w:p>
    <w:p>
      <w:pPr>
        <w:spacing w:after="0" w:line="4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Perquisites</w:t>
      </w:r>
    </w:p>
    <w:p>
      <w:pPr>
        <w:spacing w:after="0" w:line="51" w:lineRule="exact"/>
        <w:rPr>
          <w:sz w:val="20"/>
          <w:szCs w:val="20"/>
          <w:color w:val="auto"/>
        </w:rPr>
      </w:pPr>
    </w:p>
    <w:p>
      <w:pPr>
        <w:jc w:val="both"/>
        <w:ind w:left="4" w:right="240"/>
        <w:spacing w:after="0" w:line="236" w:lineRule="auto"/>
        <w:rPr>
          <w:sz w:val="20"/>
          <w:szCs w:val="20"/>
          <w:color w:val="auto"/>
        </w:rPr>
      </w:pPr>
      <w:r>
        <w:rPr>
          <w:rFonts w:ascii="Arial" w:cs="Arial" w:eastAsia="Arial" w:hAnsi="Arial"/>
          <w:sz w:val="16"/>
          <w:szCs w:val="16"/>
          <w:color w:val="333740"/>
        </w:rPr>
        <w:t>The Company also provides limited perquisites to NEOs, facilitating the performance of their roles and to ensure a competitive total compensation package. The perquisites we provide to our executives may include financial planning and personal tax assistance, personal use of Company automobiles, dining club memberships and country club memberships, executive physicals, 100% match of charitable contributions up to an aggregate of $10,000 per year, and other minor expenses associated with their business responsibilities. The value of perquisites deemed to be personal is imputed as income to an executive officer, and we do not gross up for the taxes due on such imputed income. Additional allowances or benefits may be granted to NEOs, if considered appropriate and reasonable.</w:t>
      </w:r>
    </w:p>
    <w:p>
      <w:pPr>
        <w:spacing w:after="0" w:line="86" w:lineRule="exact"/>
        <w:rPr>
          <w:sz w:val="20"/>
          <w:szCs w:val="20"/>
          <w:color w:val="auto"/>
        </w:rPr>
      </w:pPr>
    </w:p>
    <w:p>
      <w:pPr>
        <w:ind w:left="4" w:right="60"/>
        <w:spacing w:after="0" w:line="236" w:lineRule="auto"/>
        <w:rPr>
          <w:sz w:val="20"/>
          <w:szCs w:val="20"/>
          <w:color w:val="auto"/>
        </w:rPr>
      </w:pPr>
      <w:r>
        <w:rPr>
          <w:rFonts w:ascii="Arial" w:cs="Arial" w:eastAsia="Arial" w:hAnsi="Arial"/>
          <w:sz w:val="16"/>
          <w:szCs w:val="16"/>
          <w:color w:val="333740"/>
        </w:rPr>
        <w:t>Reflecting the safety concerns associated with their roles, the Company provides a security program for our executive officers. The Compensation Committee believes this is in the best interests of shareholders as the personal safety and security of our executive officers is critical to the stability of the Company. The security program was developed based on a risk assessment determined to be appropriate by our security team and an outside consultant. We do not consider the security measures provided to our executive officers to be a personal benefit, but rather reasonable and necessary expenses for the benefit of the Company. However, in accordance with SEC disclosure rules, the aggregate incremental cost of these services is reported in the Summary Compensation Table.</w:t>
      </w:r>
    </w:p>
    <w:p>
      <w:pPr>
        <w:spacing w:after="0" w:line="330" w:lineRule="exact"/>
        <w:rPr>
          <w:sz w:val="20"/>
          <w:szCs w:val="20"/>
          <w:color w:val="auto"/>
        </w:rPr>
      </w:pPr>
    </w:p>
    <w:p>
      <w:pPr>
        <w:ind w:left="564" w:hanging="564"/>
        <w:spacing w:after="0"/>
        <w:tabs>
          <w:tab w:leader="none" w:pos="564" w:val="left"/>
        </w:tabs>
        <w:numPr>
          <w:ilvl w:val="0"/>
          <w:numId w:val="100"/>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87" w:name="page88"/>
    <w:bookmarkEnd w:id="87"/>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3"/>
          <w:szCs w:val="33"/>
          <w:color w:val="481F6E"/>
        </w:rPr>
        <w:t>Other Compensation, Benefits, and Considerations</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Executive Severance Benefits</w:t>
      </w:r>
    </w:p>
    <w:p>
      <w:pPr>
        <w:spacing w:after="0" w:line="91" w:lineRule="exact"/>
        <w:rPr>
          <w:sz w:val="20"/>
          <w:szCs w:val="20"/>
          <w:color w:val="auto"/>
        </w:rPr>
      </w:pPr>
    </w:p>
    <w:p>
      <w:pPr>
        <w:jc w:val="both"/>
        <w:ind w:left="4"/>
        <w:spacing w:after="0" w:line="239" w:lineRule="auto"/>
        <w:rPr>
          <w:sz w:val="20"/>
          <w:szCs w:val="20"/>
          <w:color w:val="auto"/>
        </w:rPr>
      </w:pPr>
      <w:r>
        <w:rPr>
          <w:rFonts w:ascii="Arial" w:cs="Arial" w:eastAsia="Arial" w:hAnsi="Arial"/>
          <w:sz w:val="16"/>
          <w:szCs w:val="16"/>
          <w:color w:val="333740"/>
        </w:rPr>
        <w:t>It is our policy to offer severance benefits to our executive officers because we believe that severance benefits provide important financial protection to executive officers in the event of involuntary job loss, are consistent with the practices of peer companies, and are appropriate for the retention of executive talent.</w:t>
      </w:r>
    </w:p>
    <w:p>
      <w:pPr>
        <w:spacing w:after="0" w:line="72" w:lineRule="exact"/>
        <w:rPr>
          <w:sz w:val="20"/>
          <w:szCs w:val="20"/>
          <w:color w:val="auto"/>
        </w:rPr>
      </w:pPr>
    </w:p>
    <w:p>
      <w:pPr>
        <w:ind w:left="4" w:right="180"/>
        <w:spacing w:after="0" w:line="237" w:lineRule="auto"/>
        <w:rPr>
          <w:sz w:val="20"/>
          <w:szCs w:val="20"/>
          <w:color w:val="auto"/>
        </w:rPr>
      </w:pPr>
      <w:r>
        <w:rPr>
          <w:rFonts w:ascii="Arial" w:cs="Arial" w:eastAsia="Arial" w:hAnsi="Arial"/>
          <w:sz w:val="16"/>
          <w:szCs w:val="16"/>
          <w:color w:val="333740"/>
        </w:rPr>
        <w:t>Our executive officers, including our NEOs, are entitled to severance benefits outside of a change-in-control context pursuant to our executive severance plan or individual employment agreements, the material terms of which are described in the chart below. Our general executive severance arrangements are consistent with the market practice of large public companies surveyed by Willis Towers Watson. Change-in-control severance benefits, as described below, and general severance benefits are exclusive of one another, and in no circumstance would any NEO receive benefits under both a change-in-control severance agreement and our general executive severance plan.</w:t>
      </w:r>
    </w:p>
    <w:p>
      <w:pPr>
        <w:spacing w:after="0" w:line="83" w:lineRule="exact"/>
        <w:rPr>
          <w:sz w:val="20"/>
          <w:szCs w:val="20"/>
          <w:color w:val="auto"/>
        </w:rPr>
      </w:pPr>
    </w:p>
    <w:p>
      <w:pPr>
        <w:ind w:left="4" w:right="40"/>
        <w:spacing w:after="0" w:line="236" w:lineRule="auto"/>
        <w:rPr>
          <w:sz w:val="20"/>
          <w:szCs w:val="20"/>
          <w:color w:val="auto"/>
        </w:rPr>
      </w:pPr>
      <w:r>
        <w:rPr>
          <w:rFonts w:ascii="Arial" w:cs="Arial" w:eastAsia="Arial" w:hAnsi="Arial"/>
          <w:sz w:val="16"/>
          <w:szCs w:val="16"/>
          <w:color w:val="333740"/>
        </w:rPr>
        <w:t>Each of our NEOs is party to an Executive Severance Agreement, pursuant to which he or she is entitled to enhanced severance in the event of a qualifying termination in connection with a change-in-control. We entered into the Executive Severance Agreements to ensure executives are incentivized to continue to work in the Company’s best interests during the period of time when a change-in-control transaction is taking place and in order to ensure we have the ability to maintain continuity of management. The Compensation Committee believes it is appropriate to provide executives with the assurance they will not be adversely affected by a change-in-control transaction without fair compensation, except in the case of termination for cause. The material terms of the Executive Severance Agreements are described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8195" cy="20485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8195" cy="2048510"/>
                    </a:xfrm>
                    <a:prstGeom prst="rect">
                      <a:avLst/>
                    </a:prstGeom>
                    <a:noFill/>
                  </pic:spPr>
                </pic:pic>
              </a:graphicData>
            </a:graphic>
          </wp:anchor>
        </w:drawing>
      </w:r>
    </w:p>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227"/>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Separation</w:t>
            </w:r>
          </w:p>
        </w:tc>
        <w:tc>
          <w:tcPr>
            <w:tcW w:w="9080" w:type="dxa"/>
            <w:vAlign w:val="bottom"/>
            <w:shd w:val="clear" w:color="auto" w:fill="00B2EC"/>
          </w:tcPr>
          <w:p>
            <w:pPr>
              <w:ind w:left="140"/>
              <w:spacing w:after="0"/>
              <w:rPr>
                <w:sz w:val="20"/>
                <w:szCs w:val="20"/>
                <w:color w:val="auto"/>
              </w:rPr>
            </w:pPr>
            <w:r>
              <w:rPr>
                <w:rFonts w:ascii="Arial" w:cs="Arial" w:eastAsia="Arial" w:hAnsi="Arial"/>
                <w:sz w:val="14"/>
                <w:szCs w:val="14"/>
                <w:b w:val="1"/>
                <w:bCs w:val="1"/>
                <w:color w:val="FFFFFF"/>
              </w:rPr>
              <w:t>Provisions under TechnipFMC Executive Severance Plan, Executive Severance Agreement,</w:t>
            </w:r>
          </w:p>
        </w:tc>
      </w:tr>
      <w:tr>
        <w:trPr>
          <w:trHeight w:val="225"/>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Scenario</w:t>
            </w:r>
          </w:p>
        </w:tc>
        <w:tc>
          <w:tcPr>
            <w:tcW w:w="9080" w:type="dxa"/>
            <w:vAlign w:val="bottom"/>
            <w:shd w:val="clear" w:color="auto" w:fill="00B2EC"/>
          </w:tcPr>
          <w:p>
            <w:pPr>
              <w:ind w:left="140"/>
              <w:spacing w:after="0"/>
              <w:rPr>
                <w:sz w:val="20"/>
                <w:szCs w:val="20"/>
                <w:color w:val="auto"/>
              </w:rPr>
            </w:pPr>
            <w:r>
              <w:rPr>
                <w:rFonts w:ascii="Arial" w:cs="Arial" w:eastAsia="Arial" w:hAnsi="Arial"/>
                <w:sz w:val="14"/>
                <w:szCs w:val="14"/>
                <w:b w:val="1"/>
                <w:bCs w:val="1"/>
                <w:color w:val="FFFFFF"/>
              </w:rPr>
              <w:t>or Relevant Equity Award Agreements</w:t>
            </w:r>
          </w:p>
        </w:tc>
      </w:tr>
      <w:tr>
        <w:trPr>
          <w:trHeight w:val="73"/>
        </w:trPr>
        <w:tc>
          <w:tcPr>
            <w:tcW w:w="2180" w:type="dxa"/>
            <w:vAlign w:val="bottom"/>
            <w:shd w:val="clear" w:color="auto" w:fill="481F6E"/>
          </w:tcPr>
          <w:p>
            <w:pPr>
              <w:spacing w:after="0"/>
              <w:rPr>
                <w:sz w:val="6"/>
                <w:szCs w:val="6"/>
                <w:color w:val="auto"/>
              </w:rPr>
            </w:pPr>
          </w:p>
        </w:tc>
        <w:tc>
          <w:tcPr>
            <w:tcW w:w="9080" w:type="dxa"/>
            <w:vAlign w:val="bottom"/>
            <w:shd w:val="clear" w:color="auto" w:fill="00B2EC"/>
          </w:tcPr>
          <w:p>
            <w:pPr>
              <w:spacing w:after="0"/>
              <w:rPr>
                <w:sz w:val="6"/>
                <w:szCs w:val="6"/>
                <w:color w:val="auto"/>
              </w:rPr>
            </w:pPr>
          </w:p>
        </w:tc>
      </w:tr>
      <w:tr>
        <w:trPr>
          <w:trHeight w:val="270"/>
        </w:trPr>
        <w:tc>
          <w:tcPr>
            <w:tcW w:w="2180" w:type="dxa"/>
            <w:vAlign w:val="bottom"/>
            <w:shd w:val="clear" w:color="auto" w:fill="D7D8D6"/>
          </w:tcPr>
          <w:p>
            <w:pPr>
              <w:ind w:left="140"/>
              <w:spacing w:after="0"/>
              <w:rPr>
                <w:sz w:val="20"/>
                <w:szCs w:val="20"/>
                <w:color w:val="auto"/>
              </w:rPr>
            </w:pPr>
            <w:r>
              <w:rPr>
                <w:rFonts w:ascii="Arial" w:cs="Arial" w:eastAsia="Arial" w:hAnsi="Arial"/>
                <w:sz w:val="14"/>
                <w:szCs w:val="14"/>
                <w:b w:val="1"/>
                <w:bCs w:val="1"/>
                <w:color w:val="333740"/>
              </w:rPr>
              <w:t>Termination without</w:t>
            </w:r>
          </w:p>
        </w:tc>
        <w:tc>
          <w:tcPr>
            <w:tcW w:w="9080" w:type="dxa"/>
            <w:vAlign w:val="bottom"/>
            <w:shd w:val="clear" w:color="auto" w:fill="D7D8D6"/>
          </w:tcPr>
          <w:p>
            <w:pPr>
              <w:ind w:left="300"/>
              <w:spacing w:after="0"/>
              <w:rPr>
                <w:sz w:val="20"/>
                <w:szCs w:val="20"/>
                <w:color w:val="auto"/>
              </w:rPr>
            </w:pPr>
            <w:r>
              <w:rPr>
                <w:rFonts w:ascii="Arial" w:cs="Arial" w:eastAsia="Arial" w:hAnsi="Arial"/>
                <w:sz w:val="14"/>
                <w:szCs w:val="14"/>
                <w:color w:val="333740"/>
              </w:rPr>
              <w:t>Cash severance equal to 18 months of base salary and target annual cash incentive bonus</w:t>
            </w:r>
          </w:p>
        </w:tc>
      </w:tr>
      <w:tr>
        <w:trPr>
          <w:trHeight w:val="226"/>
        </w:trPr>
        <w:tc>
          <w:tcPr>
            <w:tcW w:w="2180" w:type="dxa"/>
            <w:vAlign w:val="bottom"/>
            <w:shd w:val="clear" w:color="auto" w:fill="D7D8D6"/>
          </w:tcPr>
          <w:p>
            <w:pPr>
              <w:ind w:left="140"/>
              <w:spacing w:after="0"/>
              <w:rPr>
                <w:sz w:val="20"/>
                <w:szCs w:val="20"/>
                <w:color w:val="auto"/>
              </w:rPr>
            </w:pPr>
            <w:r>
              <w:rPr>
                <w:rFonts w:ascii="Arial" w:cs="Arial" w:eastAsia="Arial" w:hAnsi="Arial"/>
                <w:sz w:val="14"/>
                <w:szCs w:val="14"/>
                <w:b w:val="1"/>
                <w:bCs w:val="1"/>
                <w:color w:val="333740"/>
              </w:rPr>
              <w:t>cause</w:t>
            </w:r>
          </w:p>
        </w:tc>
        <w:tc>
          <w:tcPr>
            <w:tcW w:w="9080" w:type="dxa"/>
            <w:vAlign w:val="bottom"/>
            <w:shd w:val="clear" w:color="auto" w:fill="D7D8D6"/>
          </w:tcPr>
          <w:p>
            <w:pPr>
              <w:ind w:left="300"/>
              <w:spacing w:after="0"/>
              <w:rPr>
                <w:sz w:val="20"/>
                <w:szCs w:val="20"/>
                <w:color w:val="auto"/>
              </w:rPr>
            </w:pPr>
            <w:r>
              <w:rPr>
                <w:rFonts w:ascii="Arial" w:cs="Arial" w:eastAsia="Arial" w:hAnsi="Arial"/>
                <w:sz w:val="14"/>
                <w:szCs w:val="14"/>
                <w:color w:val="333740"/>
              </w:rPr>
              <w:t>Pro-rated target annual cash incentive bonus for the year of termination</w:t>
            </w:r>
          </w:p>
        </w:tc>
      </w:tr>
      <w:tr>
        <w:trPr>
          <w:trHeight w:val="239"/>
        </w:trPr>
        <w:tc>
          <w:tcPr>
            <w:tcW w:w="2180" w:type="dxa"/>
            <w:vAlign w:val="bottom"/>
            <w:shd w:val="clear" w:color="auto" w:fill="D7D8D6"/>
          </w:tcPr>
          <w:p>
            <w:pPr>
              <w:spacing w:after="0"/>
              <w:rPr>
                <w:sz w:val="20"/>
                <w:szCs w:val="20"/>
                <w:color w:val="auto"/>
              </w:rPr>
            </w:pPr>
          </w:p>
        </w:tc>
        <w:tc>
          <w:tcPr>
            <w:tcW w:w="9080" w:type="dxa"/>
            <w:vAlign w:val="bottom"/>
            <w:shd w:val="clear" w:color="auto" w:fill="D7D8D6"/>
          </w:tcPr>
          <w:p>
            <w:pPr>
              <w:ind w:left="300"/>
              <w:spacing w:after="0"/>
              <w:rPr>
                <w:sz w:val="20"/>
                <w:szCs w:val="20"/>
                <w:color w:val="auto"/>
              </w:rPr>
            </w:pPr>
            <w:r>
              <w:rPr>
                <w:rFonts w:ascii="Arial" w:cs="Arial" w:eastAsia="Arial" w:hAnsi="Arial"/>
                <w:sz w:val="14"/>
                <w:szCs w:val="14"/>
                <w:color w:val="333740"/>
              </w:rPr>
              <w:t>18 months of medical and dental benefits continuation</w:t>
            </w:r>
          </w:p>
        </w:tc>
      </w:tr>
      <w:tr>
        <w:trPr>
          <w:trHeight w:val="227"/>
        </w:trPr>
        <w:tc>
          <w:tcPr>
            <w:tcW w:w="2180" w:type="dxa"/>
            <w:vAlign w:val="bottom"/>
            <w:shd w:val="clear" w:color="auto" w:fill="D7D8D6"/>
          </w:tcPr>
          <w:p>
            <w:pPr>
              <w:spacing w:after="0"/>
              <w:rPr>
                <w:sz w:val="19"/>
                <w:szCs w:val="19"/>
                <w:color w:val="auto"/>
              </w:rPr>
            </w:pPr>
          </w:p>
        </w:tc>
        <w:tc>
          <w:tcPr>
            <w:tcW w:w="9080" w:type="dxa"/>
            <w:vAlign w:val="bottom"/>
            <w:shd w:val="clear" w:color="auto" w:fill="D7D8D6"/>
          </w:tcPr>
          <w:p>
            <w:pPr>
              <w:ind w:left="280"/>
              <w:spacing w:after="0"/>
              <w:rPr>
                <w:sz w:val="20"/>
                <w:szCs w:val="20"/>
                <w:color w:val="auto"/>
              </w:rPr>
            </w:pPr>
            <w:r>
              <w:rPr>
                <w:rFonts w:ascii="Arial" w:cs="Arial" w:eastAsia="Arial" w:hAnsi="Arial"/>
                <w:sz w:val="14"/>
                <w:szCs w:val="14"/>
                <w:color w:val="333740"/>
              </w:rPr>
              <w:t>Outplacement assistance as appropriate</w:t>
            </w:r>
          </w:p>
        </w:tc>
      </w:tr>
      <w:tr>
        <w:trPr>
          <w:trHeight w:val="239"/>
        </w:trPr>
        <w:tc>
          <w:tcPr>
            <w:tcW w:w="2180" w:type="dxa"/>
            <w:vAlign w:val="bottom"/>
            <w:shd w:val="clear" w:color="auto" w:fill="D7D8D6"/>
          </w:tcPr>
          <w:p>
            <w:pPr>
              <w:spacing w:after="0"/>
              <w:rPr>
                <w:sz w:val="20"/>
                <w:szCs w:val="20"/>
                <w:color w:val="auto"/>
              </w:rPr>
            </w:pPr>
          </w:p>
        </w:tc>
        <w:tc>
          <w:tcPr>
            <w:tcW w:w="9080" w:type="dxa"/>
            <w:vAlign w:val="bottom"/>
            <w:shd w:val="clear" w:color="auto" w:fill="D7D8D6"/>
          </w:tcPr>
          <w:p>
            <w:pPr>
              <w:ind w:left="300"/>
              <w:spacing w:after="0"/>
              <w:rPr>
                <w:sz w:val="20"/>
                <w:szCs w:val="20"/>
                <w:color w:val="auto"/>
              </w:rPr>
            </w:pPr>
            <w:r>
              <w:rPr>
                <w:rFonts w:ascii="Arial" w:cs="Arial" w:eastAsia="Arial" w:hAnsi="Arial"/>
                <w:sz w:val="14"/>
                <w:szCs w:val="14"/>
                <w:color w:val="333740"/>
              </w:rPr>
              <w:t>Financial planning and tax preparation assistance for the final calendar year of employment</w:t>
            </w:r>
          </w:p>
        </w:tc>
      </w:tr>
      <w:tr>
        <w:trPr>
          <w:trHeight w:val="227"/>
        </w:trPr>
        <w:tc>
          <w:tcPr>
            <w:tcW w:w="2180" w:type="dxa"/>
            <w:vAlign w:val="bottom"/>
            <w:shd w:val="clear" w:color="auto" w:fill="D7D8D6"/>
          </w:tcPr>
          <w:p>
            <w:pPr>
              <w:spacing w:after="0"/>
              <w:rPr>
                <w:sz w:val="19"/>
                <w:szCs w:val="19"/>
                <w:color w:val="auto"/>
              </w:rPr>
            </w:pPr>
          </w:p>
        </w:tc>
        <w:tc>
          <w:tcPr>
            <w:tcW w:w="9080" w:type="dxa"/>
            <w:vAlign w:val="bottom"/>
            <w:shd w:val="clear" w:color="auto" w:fill="D7D8D6"/>
          </w:tcPr>
          <w:p>
            <w:pPr>
              <w:ind w:left="300"/>
              <w:spacing w:after="0"/>
              <w:rPr>
                <w:sz w:val="20"/>
                <w:szCs w:val="20"/>
                <w:color w:val="auto"/>
              </w:rPr>
            </w:pPr>
            <w:r>
              <w:rPr>
                <w:rFonts w:ascii="Arial" w:cs="Arial" w:eastAsia="Arial" w:hAnsi="Arial"/>
                <w:sz w:val="14"/>
                <w:szCs w:val="14"/>
                <w:color w:val="333740"/>
              </w:rPr>
              <w:t>Severance benefits subject to compliance with non-disclosure, non-compete, and non-solicitation covenants</w:t>
            </w:r>
          </w:p>
        </w:tc>
      </w:tr>
      <w:tr>
        <w:trPr>
          <w:trHeight w:val="263"/>
        </w:trPr>
        <w:tc>
          <w:tcPr>
            <w:tcW w:w="2180" w:type="dxa"/>
            <w:vAlign w:val="bottom"/>
            <w:shd w:val="clear" w:color="auto" w:fill="D7D8D6"/>
          </w:tcPr>
          <w:p>
            <w:pPr>
              <w:spacing w:after="0"/>
              <w:rPr>
                <w:sz w:val="22"/>
                <w:szCs w:val="22"/>
                <w:color w:val="auto"/>
              </w:rPr>
            </w:pPr>
          </w:p>
        </w:tc>
        <w:tc>
          <w:tcPr>
            <w:tcW w:w="9080" w:type="dxa"/>
            <w:vAlign w:val="bottom"/>
            <w:shd w:val="clear" w:color="auto" w:fill="D7D8D6"/>
          </w:tcPr>
          <w:p>
            <w:pPr>
              <w:ind w:left="300"/>
              <w:spacing w:after="0"/>
              <w:rPr>
                <w:sz w:val="20"/>
                <w:szCs w:val="20"/>
                <w:color w:val="auto"/>
              </w:rPr>
            </w:pPr>
            <w:r>
              <w:rPr>
                <w:rFonts w:ascii="Arial" w:cs="Arial" w:eastAsia="Arial" w:hAnsi="Arial"/>
                <w:sz w:val="14"/>
                <w:szCs w:val="14"/>
                <w:color w:val="333740"/>
              </w:rPr>
              <w:t>Equity treated pursuant to the terms of the applicable plan</w:t>
            </w:r>
          </w:p>
        </w:tc>
      </w:tr>
      <w:tr>
        <w:trPr>
          <w:trHeight w:val="233"/>
        </w:trPr>
        <w:tc>
          <w:tcPr>
            <w:tcW w:w="2180" w:type="dxa"/>
            <w:vAlign w:val="bottom"/>
            <w:shd w:val="clear" w:color="auto" w:fill="D7D8D6"/>
          </w:tcPr>
          <w:p>
            <w:pPr>
              <w:spacing w:after="0"/>
              <w:rPr>
                <w:sz w:val="20"/>
                <w:szCs w:val="20"/>
                <w:color w:val="auto"/>
              </w:rPr>
            </w:pPr>
          </w:p>
        </w:tc>
        <w:tc>
          <w:tcPr>
            <w:tcW w:w="9080" w:type="dxa"/>
            <w:vAlign w:val="bottom"/>
            <w:shd w:val="clear" w:color="auto" w:fill="D7D8D6"/>
          </w:tcPr>
          <w:p>
            <w:pPr>
              <w:ind w:left="280"/>
              <w:spacing w:after="0"/>
              <w:rPr>
                <w:sz w:val="20"/>
                <w:szCs w:val="20"/>
                <w:color w:val="auto"/>
              </w:rPr>
            </w:pPr>
            <w:r>
              <w:rPr>
                <w:rFonts w:ascii="Arial" w:cs="Arial" w:eastAsia="Arial" w:hAnsi="Arial"/>
                <w:sz w:val="14"/>
                <w:szCs w:val="14"/>
                <w:color w:val="333740"/>
              </w:rPr>
              <w:t>No tax gross-ups on any payments</w:t>
            </w:r>
          </w:p>
        </w:tc>
      </w:tr>
      <w:tr>
        <w:trPr>
          <w:trHeight w:val="293"/>
        </w:trPr>
        <w:tc>
          <w:tcPr>
            <w:tcW w:w="2180" w:type="dxa"/>
            <w:vAlign w:val="bottom"/>
            <w:shd w:val="clear" w:color="auto" w:fill="D7D8D6"/>
          </w:tcPr>
          <w:p>
            <w:pPr>
              <w:ind w:left="140"/>
              <w:spacing w:after="0"/>
              <w:rPr>
                <w:sz w:val="20"/>
                <w:szCs w:val="20"/>
                <w:color w:val="auto"/>
              </w:rPr>
            </w:pPr>
            <w:r>
              <w:rPr>
                <w:rFonts w:ascii="Arial" w:cs="Arial" w:eastAsia="Arial" w:hAnsi="Arial"/>
                <w:sz w:val="14"/>
                <w:szCs w:val="14"/>
                <w:b w:val="1"/>
                <w:bCs w:val="1"/>
                <w:color w:val="333740"/>
              </w:rPr>
              <w:t>Retirement</w:t>
            </w:r>
          </w:p>
        </w:tc>
        <w:tc>
          <w:tcPr>
            <w:tcW w:w="9080" w:type="dxa"/>
            <w:vAlign w:val="bottom"/>
            <w:shd w:val="clear" w:color="auto" w:fill="D7D8D6"/>
          </w:tcPr>
          <w:p>
            <w:pPr>
              <w:ind w:left="300"/>
              <w:spacing w:after="0"/>
              <w:rPr>
                <w:sz w:val="20"/>
                <w:szCs w:val="20"/>
                <w:color w:val="auto"/>
              </w:rPr>
            </w:pPr>
            <w:r>
              <w:rPr>
                <w:rFonts w:ascii="Arial" w:cs="Arial" w:eastAsia="Arial" w:hAnsi="Arial"/>
                <w:sz w:val="14"/>
                <w:szCs w:val="14"/>
                <w:color w:val="333740"/>
              </w:rPr>
              <w:t>Outstanding equity settled on the originally scheduled date</w:t>
            </w:r>
          </w:p>
        </w:tc>
      </w:tr>
      <w:tr>
        <w:trPr>
          <w:trHeight w:val="203"/>
        </w:trPr>
        <w:tc>
          <w:tcPr>
            <w:tcW w:w="2180" w:type="dxa"/>
            <w:vAlign w:val="bottom"/>
            <w:shd w:val="clear" w:color="auto" w:fill="D7D8D6"/>
          </w:tcPr>
          <w:p>
            <w:pPr>
              <w:spacing w:after="0"/>
              <w:rPr>
                <w:sz w:val="17"/>
                <w:szCs w:val="17"/>
                <w:color w:val="auto"/>
              </w:rPr>
            </w:pPr>
          </w:p>
        </w:tc>
        <w:tc>
          <w:tcPr>
            <w:tcW w:w="9080" w:type="dxa"/>
            <w:vAlign w:val="bottom"/>
            <w:shd w:val="clear" w:color="auto" w:fill="D7D8D6"/>
          </w:tcPr>
          <w:p>
            <w:pPr>
              <w:ind w:left="300"/>
              <w:spacing w:after="0"/>
              <w:rPr>
                <w:sz w:val="20"/>
                <w:szCs w:val="20"/>
                <w:color w:val="auto"/>
              </w:rPr>
            </w:pPr>
            <w:r>
              <w:rPr>
                <w:rFonts w:ascii="Arial" w:cs="Arial" w:eastAsia="Arial" w:hAnsi="Arial"/>
                <w:sz w:val="14"/>
                <w:szCs w:val="14"/>
                <w:color w:val="333740"/>
              </w:rPr>
              <w:t>Outstanding PSUs will remain subject to the original performance conditions, measured at the originally scheduled date</w:t>
            </w:r>
          </w:p>
        </w:tc>
      </w:tr>
      <w:tr>
        <w:trPr>
          <w:trHeight w:val="281"/>
        </w:trPr>
        <w:tc>
          <w:tcPr>
            <w:tcW w:w="2180" w:type="dxa"/>
            <w:vAlign w:val="bottom"/>
            <w:shd w:val="clear" w:color="auto" w:fill="D7D8D6"/>
          </w:tcPr>
          <w:p>
            <w:pPr>
              <w:ind w:left="140"/>
              <w:spacing w:after="0"/>
              <w:rPr>
                <w:sz w:val="20"/>
                <w:szCs w:val="20"/>
                <w:color w:val="auto"/>
              </w:rPr>
            </w:pPr>
            <w:r>
              <w:rPr>
                <w:rFonts w:ascii="Arial" w:cs="Arial" w:eastAsia="Arial" w:hAnsi="Arial"/>
                <w:sz w:val="14"/>
                <w:szCs w:val="14"/>
                <w:b w:val="1"/>
                <w:bCs w:val="1"/>
                <w:color w:val="333740"/>
              </w:rPr>
              <w:t>Death or disability</w:t>
            </w:r>
          </w:p>
        </w:tc>
        <w:tc>
          <w:tcPr>
            <w:tcW w:w="9080" w:type="dxa"/>
            <w:vAlign w:val="bottom"/>
            <w:shd w:val="clear" w:color="auto" w:fill="D7D8D6"/>
          </w:tcPr>
          <w:p>
            <w:pPr>
              <w:ind w:left="300"/>
              <w:spacing w:after="0"/>
              <w:rPr>
                <w:sz w:val="20"/>
                <w:szCs w:val="20"/>
                <w:color w:val="auto"/>
              </w:rPr>
            </w:pPr>
            <w:r>
              <w:rPr>
                <w:rFonts w:ascii="Arial" w:cs="Arial" w:eastAsia="Arial" w:hAnsi="Arial"/>
                <w:sz w:val="14"/>
                <w:szCs w:val="14"/>
                <w:color w:val="333740"/>
              </w:rPr>
              <w:t>Accelerated vesting of all granted and outstanding equity awards, with outstanding PSUs vesting at target</w:t>
            </w:r>
          </w:p>
        </w:tc>
      </w:tr>
    </w:tbl>
    <w:p>
      <w:pPr>
        <w:spacing w:after="0" w:line="339" w:lineRule="exact"/>
        <w:rPr>
          <w:sz w:val="20"/>
          <w:szCs w:val="20"/>
          <w:color w:val="auto"/>
        </w:rPr>
      </w:pPr>
    </w:p>
    <w:p>
      <w:pPr>
        <w:ind w:left="564" w:hanging="564"/>
        <w:spacing w:after="0"/>
        <w:tabs>
          <w:tab w:leader="none" w:pos="564" w:val="left"/>
        </w:tabs>
        <w:numPr>
          <w:ilvl w:val="0"/>
          <w:numId w:val="101"/>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88" w:name="page89"/>
    <w:bookmarkEnd w:id="88"/>
    <w:tbl>
      <w:tblPr>
        <w:tblLayout w:type="fixed"/>
        <w:tblInd w:w="4" w:type="dxa"/>
        <w:tblCellMar>
          <w:top w:w="0" w:type="dxa"/>
          <w:left w:w="0" w:type="dxa"/>
          <w:bottom w:w="0" w:type="dxa"/>
          <w:right w:w="0" w:type="dxa"/>
        </w:tblCellMar>
      </w:tblPr>
      <w:tr>
        <w:trPr>
          <w:trHeight w:val="169"/>
        </w:trPr>
        <w:tc>
          <w:tcPr>
            <w:tcW w:w="2180" w:type="dxa"/>
            <w:vAlign w:val="bottom"/>
          </w:tcPr>
          <w:p>
            <w:pPr>
              <w:ind w:left="20"/>
              <w:spacing w:after="0"/>
              <w:rPr>
                <w:sz w:val="20"/>
                <w:szCs w:val="20"/>
                <w:color w:val="auto"/>
              </w:rPr>
            </w:pPr>
            <w:r>
              <w:rPr>
                <w:rFonts w:ascii="Arial" w:cs="Arial" w:eastAsia="Arial" w:hAnsi="Arial"/>
                <w:sz w:val="13"/>
                <w:szCs w:val="13"/>
                <w:b w:val="1"/>
                <w:bCs w:val="1"/>
                <w:color w:val="481F6E"/>
                <w:w w:val="98"/>
              </w:rPr>
              <w:t>TechnipFMC Proxy Statement 2020</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Separation</w:t>
            </w:r>
          </w:p>
        </w:tc>
        <w:tc>
          <w:tcPr>
            <w:tcW w:w="9080" w:type="dxa"/>
            <w:vAlign w:val="bottom"/>
            <w:gridSpan w:val="4"/>
            <w:shd w:val="clear" w:color="auto" w:fill="00B2EC"/>
          </w:tcPr>
          <w:p>
            <w:pPr>
              <w:ind w:left="140"/>
              <w:spacing w:after="0"/>
              <w:rPr>
                <w:sz w:val="20"/>
                <w:szCs w:val="20"/>
                <w:color w:val="auto"/>
              </w:rPr>
            </w:pPr>
            <w:r>
              <w:rPr>
                <w:rFonts w:ascii="Arial" w:cs="Arial" w:eastAsia="Arial" w:hAnsi="Arial"/>
                <w:sz w:val="14"/>
                <w:szCs w:val="14"/>
                <w:b w:val="1"/>
                <w:bCs w:val="1"/>
                <w:color w:val="FFFFFF"/>
              </w:rPr>
              <w:t>Provisions under TechnipFMC Executive Severance Plan, Executive Severance Agreement,</w:t>
            </w:r>
          </w:p>
        </w:tc>
        <w:tc>
          <w:tcPr>
            <w:tcW w:w="0" w:type="dxa"/>
            <w:vAlign w:val="bottom"/>
          </w:tcPr>
          <w:p>
            <w:pPr>
              <w:spacing w:after="0"/>
              <w:rPr>
                <w:sz w:val="1"/>
                <w:szCs w:val="1"/>
                <w:color w:val="auto"/>
              </w:rPr>
            </w:pPr>
          </w:p>
        </w:tc>
      </w:tr>
      <w:tr>
        <w:trPr>
          <w:trHeight w:val="225"/>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Scenario</w:t>
            </w:r>
          </w:p>
        </w:tc>
        <w:tc>
          <w:tcPr>
            <w:tcW w:w="9080" w:type="dxa"/>
            <w:vAlign w:val="bottom"/>
            <w:gridSpan w:val="4"/>
            <w:shd w:val="clear" w:color="auto" w:fill="00B2EC"/>
          </w:tcPr>
          <w:p>
            <w:pPr>
              <w:ind w:left="140"/>
              <w:spacing w:after="0"/>
              <w:rPr>
                <w:sz w:val="20"/>
                <w:szCs w:val="20"/>
                <w:color w:val="auto"/>
              </w:rPr>
            </w:pPr>
            <w:r>
              <w:rPr>
                <w:rFonts w:ascii="Arial" w:cs="Arial" w:eastAsia="Arial" w:hAnsi="Arial"/>
                <w:sz w:val="14"/>
                <w:szCs w:val="14"/>
                <w:b w:val="1"/>
                <w:bCs w:val="1"/>
                <w:color w:val="FFFFFF"/>
              </w:rPr>
              <w:t>or Relevant Equity Award Agreements</w:t>
            </w:r>
          </w:p>
        </w:tc>
        <w:tc>
          <w:tcPr>
            <w:tcW w:w="0" w:type="dxa"/>
            <w:vAlign w:val="bottom"/>
          </w:tcPr>
          <w:p>
            <w:pPr>
              <w:spacing w:after="0"/>
              <w:rPr>
                <w:sz w:val="1"/>
                <w:szCs w:val="1"/>
                <w:color w:val="auto"/>
              </w:rPr>
            </w:pPr>
          </w:p>
        </w:tc>
      </w:tr>
      <w:tr>
        <w:trPr>
          <w:trHeight w:val="61"/>
        </w:trPr>
        <w:tc>
          <w:tcPr>
            <w:tcW w:w="2180" w:type="dxa"/>
            <w:vAlign w:val="bottom"/>
            <w:shd w:val="clear" w:color="auto" w:fill="481F6E"/>
          </w:tcPr>
          <w:p>
            <w:pPr>
              <w:spacing w:after="0"/>
              <w:rPr>
                <w:sz w:val="5"/>
                <w:szCs w:val="5"/>
                <w:color w:val="auto"/>
              </w:rPr>
            </w:pPr>
          </w:p>
        </w:tc>
        <w:tc>
          <w:tcPr>
            <w:tcW w:w="280" w:type="dxa"/>
            <w:vAlign w:val="bottom"/>
            <w:shd w:val="clear" w:color="auto" w:fill="00B2EC"/>
          </w:tcPr>
          <w:p>
            <w:pPr>
              <w:spacing w:after="0"/>
              <w:rPr>
                <w:sz w:val="5"/>
                <w:szCs w:val="5"/>
                <w:color w:val="auto"/>
              </w:rPr>
            </w:pPr>
          </w:p>
        </w:tc>
        <w:tc>
          <w:tcPr>
            <w:tcW w:w="780" w:type="dxa"/>
            <w:vAlign w:val="bottom"/>
            <w:shd w:val="clear" w:color="auto" w:fill="00B2EC"/>
          </w:tcPr>
          <w:p>
            <w:pPr>
              <w:spacing w:after="0"/>
              <w:rPr>
                <w:sz w:val="5"/>
                <w:szCs w:val="5"/>
                <w:color w:val="auto"/>
              </w:rPr>
            </w:pPr>
          </w:p>
        </w:tc>
        <w:tc>
          <w:tcPr>
            <w:tcW w:w="7400" w:type="dxa"/>
            <w:vAlign w:val="bottom"/>
            <w:shd w:val="clear" w:color="auto" w:fill="00B2EC"/>
          </w:tcPr>
          <w:p>
            <w:pPr>
              <w:spacing w:after="0"/>
              <w:rPr>
                <w:sz w:val="5"/>
                <w:szCs w:val="5"/>
                <w:color w:val="auto"/>
              </w:rPr>
            </w:pPr>
          </w:p>
        </w:tc>
        <w:tc>
          <w:tcPr>
            <w:tcW w:w="620" w:type="dxa"/>
            <w:vAlign w:val="bottom"/>
            <w:shd w:val="clear" w:color="auto" w:fill="00B2EC"/>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180" w:type="dxa"/>
            <w:vAlign w:val="bottom"/>
            <w:vMerge w:val="restart"/>
            <w:shd w:val="clear" w:color="auto" w:fill="D7D8D6"/>
          </w:tcPr>
          <w:p>
            <w:pPr>
              <w:ind w:left="140"/>
              <w:spacing w:after="0"/>
              <w:rPr>
                <w:sz w:val="20"/>
                <w:szCs w:val="20"/>
                <w:color w:val="auto"/>
              </w:rPr>
            </w:pPr>
            <w:r>
              <w:rPr>
                <w:rFonts w:ascii="Arial" w:cs="Arial" w:eastAsia="Arial" w:hAnsi="Arial"/>
                <w:sz w:val="14"/>
                <w:szCs w:val="14"/>
                <w:b w:val="1"/>
                <w:bCs w:val="1"/>
                <w:color w:val="333740"/>
              </w:rPr>
              <w:t>Qualifying termination</w:t>
            </w:r>
          </w:p>
        </w:tc>
        <w:tc>
          <w:tcPr>
            <w:tcW w:w="280" w:type="dxa"/>
            <w:vAlign w:val="bottom"/>
            <w:shd w:val="clear" w:color="auto" w:fill="D7D8D6"/>
          </w:tcPr>
          <w:p>
            <w:pPr>
              <w:spacing w:after="0"/>
              <w:rPr>
                <w:sz w:val="19"/>
                <w:szCs w:val="19"/>
                <w:color w:val="auto"/>
              </w:rPr>
            </w:pPr>
          </w:p>
        </w:tc>
        <w:tc>
          <w:tcPr>
            <w:tcW w:w="8800" w:type="dxa"/>
            <w:vAlign w:val="bottom"/>
            <w:gridSpan w:val="3"/>
            <w:shd w:val="clear" w:color="auto" w:fill="D7D8D6"/>
          </w:tcPr>
          <w:p>
            <w:pPr>
              <w:ind w:left="20"/>
              <w:spacing w:after="0"/>
              <w:rPr>
                <w:sz w:val="20"/>
                <w:szCs w:val="20"/>
                <w:color w:val="auto"/>
              </w:rPr>
            </w:pPr>
            <w:r>
              <w:rPr>
                <w:rFonts w:ascii="Arial" w:cs="Arial" w:eastAsia="Arial" w:hAnsi="Arial"/>
                <w:sz w:val="14"/>
                <w:szCs w:val="14"/>
                <w:color w:val="333740"/>
              </w:rPr>
              <w:t>Double trigger requirements, meaning a change-in-control event must occur, followed by a qualifying termination within</w:t>
            </w:r>
          </w:p>
        </w:tc>
        <w:tc>
          <w:tcPr>
            <w:tcW w:w="0" w:type="dxa"/>
            <w:vAlign w:val="bottom"/>
          </w:tcPr>
          <w:p>
            <w:pPr>
              <w:spacing w:after="0"/>
              <w:rPr>
                <w:sz w:val="1"/>
                <w:szCs w:val="1"/>
                <w:color w:val="auto"/>
              </w:rPr>
            </w:pPr>
          </w:p>
        </w:tc>
      </w:tr>
      <w:tr>
        <w:trPr>
          <w:trHeight w:val="43"/>
        </w:trPr>
        <w:tc>
          <w:tcPr>
            <w:tcW w:w="2180" w:type="dxa"/>
            <w:vAlign w:val="bottom"/>
            <w:vMerge w:val="continue"/>
            <w:shd w:val="clear" w:color="auto" w:fill="D7D8D6"/>
          </w:tcPr>
          <w:p>
            <w:pPr>
              <w:spacing w:after="0"/>
              <w:rPr>
                <w:sz w:val="3"/>
                <w:szCs w:val="3"/>
                <w:color w:val="auto"/>
              </w:rPr>
            </w:pPr>
          </w:p>
        </w:tc>
        <w:tc>
          <w:tcPr>
            <w:tcW w:w="280" w:type="dxa"/>
            <w:vAlign w:val="bottom"/>
            <w:shd w:val="clear" w:color="auto" w:fill="D7D8D6"/>
          </w:tcPr>
          <w:p>
            <w:pPr>
              <w:spacing w:after="0"/>
              <w:rPr>
                <w:sz w:val="3"/>
                <w:szCs w:val="3"/>
                <w:color w:val="auto"/>
              </w:rPr>
            </w:pPr>
          </w:p>
        </w:tc>
        <w:tc>
          <w:tcPr>
            <w:tcW w:w="780" w:type="dxa"/>
            <w:vAlign w:val="bottom"/>
            <w:vMerge w:val="restart"/>
            <w:shd w:val="clear" w:color="auto" w:fill="D7D8D6"/>
          </w:tcPr>
          <w:p>
            <w:pPr>
              <w:spacing w:after="0"/>
              <w:rPr>
                <w:sz w:val="20"/>
                <w:szCs w:val="20"/>
                <w:color w:val="auto"/>
              </w:rPr>
            </w:pPr>
            <w:r>
              <w:rPr>
                <w:rFonts w:ascii="Arial" w:cs="Arial" w:eastAsia="Arial" w:hAnsi="Arial"/>
                <w:sz w:val="14"/>
                <w:szCs w:val="14"/>
                <w:color w:val="333740"/>
                <w:highlight w:val="lightGray"/>
              </w:rPr>
              <w:t>24 months</w:t>
            </w:r>
          </w:p>
        </w:tc>
        <w:tc>
          <w:tcPr>
            <w:tcW w:w="7400" w:type="dxa"/>
            <w:vAlign w:val="bottom"/>
            <w:shd w:val="clear" w:color="auto" w:fill="D7D8D6"/>
          </w:tcPr>
          <w:p>
            <w:pPr>
              <w:spacing w:after="0"/>
              <w:rPr>
                <w:sz w:val="3"/>
                <w:szCs w:val="3"/>
                <w:color w:val="auto"/>
              </w:rPr>
            </w:pPr>
          </w:p>
        </w:tc>
        <w:tc>
          <w:tcPr>
            <w:tcW w:w="620" w:type="dxa"/>
            <w:vAlign w:val="bottom"/>
            <w:shd w:val="clear" w:color="auto" w:fill="D7D8D6"/>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D7D8D6"/>
          </w:tcPr>
          <w:p>
            <w:pPr>
              <w:ind w:left="140"/>
              <w:spacing w:after="0"/>
              <w:rPr>
                <w:sz w:val="20"/>
                <w:szCs w:val="20"/>
                <w:color w:val="auto"/>
              </w:rPr>
            </w:pPr>
            <w:r>
              <w:rPr>
                <w:rFonts w:ascii="Arial" w:cs="Arial" w:eastAsia="Arial" w:hAnsi="Arial"/>
                <w:sz w:val="14"/>
                <w:szCs w:val="14"/>
                <w:b w:val="1"/>
                <w:bCs w:val="1"/>
                <w:color w:val="333740"/>
              </w:rPr>
              <w:t>without cause or resignation</w:t>
            </w:r>
          </w:p>
        </w:tc>
        <w:tc>
          <w:tcPr>
            <w:tcW w:w="280" w:type="dxa"/>
            <w:vAlign w:val="bottom"/>
            <w:shd w:val="clear" w:color="auto" w:fill="D7D8D6"/>
          </w:tcPr>
          <w:p>
            <w:pPr>
              <w:spacing w:after="0"/>
              <w:rPr>
                <w:sz w:val="14"/>
                <w:szCs w:val="14"/>
                <w:color w:val="auto"/>
              </w:rPr>
            </w:pPr>
          </w:p>
        </w:tc>
        <w:tc>
          <w:tcPr>
            <w:tcW w:w="780" w:type="dxa"/>
            <w:vAlign w:val="bottom"/>
            <w:vMerge w:val="continue"/>
            <w:shd w:val="clear" w:color="auto" w:fill="D7D8D6"/>
          </w:tcPr>
          <w:p>
            <w:pPr>
              <w:spacing w:after="0"/>
              <w:rPr>
                <w:sz w:val="14"/>
                <w:szCs w:val="14"/>
                <w:color w:val="auto"/>
              </w:rPr>
            </w:pPr>
          </w:p>
        </w:tc>
        <w:tc>
          <w:tcPr>
            <w:tcW w:w="7400" w:type="dxa"/>
            <w:vAlign w:val="bottom"/>
            <w:shd w:val="clear" w:color="auto" w:fill="D7D8D6"/>
          </w:tcPr>
          <w:p>
            <w:pPr>
              <w:spacing w:after="0"/>
              <w:rPr>
                <w:sz w:val="14"/>
                <w:szCs w:val="14"/>
                <w:color w:val="auto"/>
              </w:rPr>
            </w:pPr>
          </w:p>
        </w:tc>
        <w:tc>
          <w:tcPr>
            <w:tcW w:w="62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80" w:type="dxa"/>
            <w:vAlign w:val="bottom"/>
            <w:shd w:val="clear" w:color="auto" w:fill="D7D8D6"/>
          </w:tcPr>
          <w:p>
            <w:pPr>
              <w:ind w:left="140"/>
              <w:spacing w:after="0"/>
              <w:rPr>
                <w:sz w:val="20"/>
                <w:szCs w:val="20"/>
                <w:color w:val="auto"/>
              </w:rPr>
            </w:pPr>
            <w:r>
              <w:rPr>
                <w:rFonts w:ascii="Arial" w:cs="Arial" w:eastAsia="Arial" w:hAnsi="Arial"/>
                <w:sz w:val="14"/>
                <w:szCs w:val="14"/>
                <w:b w:val="1"/>
                <w:bCs w:val="1"/>
                <w:color w:val="333740"/>
              </w:rPr>
              <w:t>for good reason following a</w:t>
            </w:r>
          </w:p>
        </w:tc>
        <w:tc>
          <w:tcPr>
            <w:tcW w:w="8460" w:type="dxa"/>
            <w:vAlign w:val="bottom"/>
            <w:gridSpan w:val="3"/>
            <w:shd w:val="clear" w:color="auto" w:fill="D7D8D6"/>
          </w:tcPr>
          <w:p>
            <w:pPr>
              <w:ind w:left="260"/>
              <w:spacing w:after="0"/>
              <w:rPr>
                <w:sz w:val="20"/>
                <w:szCs w:val="20"/>
                <w:color w:val="auto"/>
              </w:rPr>
            </w:pPr>
            <w:r>
              <w:rPr>
                <w:rFonts w:ascii="Arial" w:cs="Arial" w:eastAsia="Arial" w:hAnsi="Arial"/>
                <w:sz w:val="14"/>
                <w:szCs w:val="14"/>
                <w:color w:val="333740"/>
                <w:highlight w:val="lightGray"/>
              </w:rPr>
              <w:t>“Qualifying termination” defined as termination by the Company without cause, or if the executive terminates</w:t>
            </w:r>
          </w:p>
        </w:tc>
        <w:tc>
          <w:tcPr>
            <w:tcW w:w="620" w:type="dxa"/>
            <w:vAlign w:val="bottom"/>
            <w:shd w:val="clear" w:color="auto" w:fill="D7D8D6"/>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180" w:type="dxa"/>
            <w:vAlign w:val="bottom"/>
            <w:shd w:val="clear" w:color="auto" w:fill="D7D8D6"/>
          </w:tcPr>
          <w:p>
            <w:pPr>
              <w:ind w:left="140"/>
              <w:spacing w:after="0"/>
              <w:rPr>
                <w:sz w:val="20"/>
                <w:szCs w:val="20"/>
                <w:color w:val="auto"/>
              </w:rPr>
            </w:pPr>
            <w:r>
              <w:rPr>
                <w:rFonts w:ascii="Arial" w:cs="Arial" w:eastAsia="Arial" w:hAnsi="Arial"/>
                <w:sz w:val="14"/>
                <w:szCs w:val="14"/>
                <w:b w:val="1"/>
                <w:bCs w:val="1"/>
                <w:color w:val="333740"/>
              </w:rPr>
              <w:t>change-in-control event</w:t>
            </w:r>
          </w:p>
        </w:tc>
        <w:tc>
          <w:tcPr>
            <w:tcW w:w="280" w:type="dxa"/>
            <w:vAlign w:val="bottom"/>
            <w:shd w:val="clear" w:color="auto" w:fill="D7D8D6"/>
          </w:tcPr>
          <w:p>
            <w:pPr>
              <w:spacing w:after="0"/>
              <w:rPr>
                <w:sz w:val="14"/>
                <w:szCs w:val="14"/>
                <w:color w:val="auto"/>
              </w:rPr>
            </w:pPr>
          </w:p>
        </w:tc>
        <w:tc>
          <w:tcPr>
            <w:tcW w:w="8800" w:type="dxa"/>
            <w:vAlign w:val="bottom"/>
            <w:gridSpan w:val="3"/>
            <w:shd w:val="clear" w:color="auto" w:fill="D7D8D6"/>
          </w:tcPr>
          <w:p>
            <w:pPr>
              <w:spacing w:after="0"/>
              <w:rPr>
                <w:sz w:val="20"/>
                <w:szCs w:val="20"/>
                <w:color w:val="auto"/>
              </w:rPr>
            </w:pPr>
            <w:r>
              <w:rPr>
                <w:rFonts w:ascii="Arial" w:cs="Arial" w:eastAsia="Arial" w:hAnsi="Arial"/>
                <w:sz w:val="14"/>
                <w:szCs w:val="14"/>
                <w:color w:val="333740"/>
                <w:highlight w:val="lightGray"/>
              </w:rPr>
              <w:t>employment for good reason (e.g., material change in responsibilities, material reduction in salary and/or benefits,</w:t>
            </w:r>
          </w:p>
        </w:tc>
        <w:tc>
          <w:tcPr>
            <w:tcW w:w="0" w:type="dxa"/>
            <w:vAlign w:val="bottom"/>
          </w:tcPr>
          <w:p>
            <w:pPr>
              <w:spacing w:after="0"/>
              <w:rPr>
                <w:sz w:val="1"/>
                <w:szCs w:val="1"/>
                <w:color w:val="auto"/>
              </w:rPr>
            </w:pPr>
          </w:p>
        </w:tc>
      </w:tr>
      <w:tr>
        <w:trPr>
          <w:trHeight w:val="203"/>
        </w:trPr>
        <w:tc>
          <w:tcPr>
            <w:tcW w:w="2180" w:type="dxa"/>
            <w:vAlign w:val="bottom"/>
            <w:shd w:val="clear" w:color="auto" w:fill="D7D8D6"/>
          </w:tcPr>
          <w:p>
            <w:pPr>
              <w:spacing w:after="0"/>
              <w:rPr>
                <w:sz w:val="17"/>
                <w:szCs w:val="17"/>
                <w:color w:val="auto"/>
              </w:rPr>
            </w:pPr>
          </w:p>
        </w:tc>
        <w:tc>
          <w:tcPr>
            <w:tcW w:w="280" w:type="dxa"/>
            <w:vAlign w:val="bottom"/>
            <w:shd w:val="clear" w:color="auto" w:fill="D7D8D6"/>
          </w:tcPr>
          <w:p>
            <w:pPr>
              <w:spacing w:after="0"/>
              <w:rPr>
                <w:sz w:val="17"/>
                <w:szCs w:val="17"/>
                <w:color w:val="auto"/>
              </w:rPr>
            </w:pPr>
          </w:p>
        </w:tc>
        <w:tc>
          <w:tcPr>
            <w:tcW w:w="8180" w:type="dxa"/>
            <w:vAlign w:val="bottom"/>
            <w:gridSpan w:val="2"/>
            <w:shd w:val="clear" w:color="auto" w:fill="D7D8D6"/>
          </w:tcPr>
          <w:p>
            <w:pPr>
              <w:spacing w:after="0"/>
              <w:rPr>
                <w:sz w:val="20"/>
                <w:szCs w:val="20"/>
                <w:color w:val="auto"/>
              </w:rPr>
            </w:pPr>
            <w:r>
              <w:rPr>
                <w:rFonts w:ascii="Arial" w:cs="Arial" w:eastAsia="Arial" w:hAnsi="Arial"/>
                <w:sz w:val="14"/>
                <w:szCs w:val="14"/>
                <w:color w:val="333740"/>
                <w:highlight w:val="lightGray"/>
              </w:rPr>
              <w:t>significant change in location of employment)</w:t>
            </w:r>
          </w:p>
        </w:tc>
        <w:tc>
          <w:tcPr>
            <w:tcW w:w="620" w:type="dxa"/>
            <w:vAlign w:val="bottom"/>
            <w:shd w:val="clear" w:color="auto" w:fill="D7D8D6"/>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180" w:type="dxa"/>
            <w:vAlign w:val="bottom"/>
            <w:shd w:val="clear" w:color="auto" w:fill="D7D8D6"/>
          </w:tcPr>
          <w:p>
            <w:pPr>
              <w:spacing w:after="0"/>
              <w:rPr>
                <w:sz w:val="22"/>
                <w:szCs w:val="22"/>
                <w:color w:val="auto"/>
              </w:rPr>
            </w:pPr>
          </w:p>
        </w:tc>
        <w:tc>
          <w:tcPr>
            <w:tcW w:w="280" w:type="dxa"/>
            <w:vAlign w:val="bottom"/>
            <w:shd w:val="clear" w:color="auto" w:fill="D7D8D6"/>
          </w:tcPr>
          <w:p>
            <w:pPr>
              <w:spacing w:after="0"/>
              <w:rPr>
                <w:sz w:val="22"/>
                <w:szCs w:val="22"/>
                <w:color w:val="auto"/>
              </w:rPr>
            </w:pPr>
          </w:p>
        </w:tc>
        <w:tc>
          <w:tcPr>
            <w:tcW w:w="8180" w:type="dxa"/>
            <w:vAlign w:val="bottom"/>
            <w:gridSpan w:val="2"/>
            <w:shd w:val="clear" w:color="auto" w:fill="D7D8D6"/>
          </w:tcPr>
          <w:p>
            <w:pPr>
              <w:ind w:left="20"/>
              <w:spacing w:after="0"/>
              <w:rPr>
                <w:sz w:val="20"/>
                <w:szCs w:val="20"/>
                <w:color w:val="auto"/>
              </w:rPr>
            </w:pPr>
            <w:r>
              <w:rPr>
                <w:rFonts w:ascii="Arial" w:cs="Arial" w:eastAsia="Arial" w:hAnsi="Arial"/>
                <w:sz w:val="14"/>
                <w:szCs w:val="14"/>
                <w:color w:val="333740"/>
                <w:highlight w:val="lightGray"/>
              </w:rPr>
              <w:t>Cash severance equal to two to three times the greater of the executive’s annual base salary on the date of the</w:t>
            </w:r>
          </w:p>
        </w:tc>
        <w:tc>
          <w:tcPr>
            <w:tcW w:w="620" w:type="dxa"/>
            <w:vAlign w:val="bottom"/>
            <w:shd w:val="clear" w:color="auto" w:fill="D7D8D6"/>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D7D8D6"/>
          </w:tcPr>
          <w:p>
            <w:pPr>
              <w:spacing w:after="0"/>
              <w:rPr>
                <w:sz w:val="14"/>
                <w:szCs w:val="14"/>
                <w:color w:val="auto"/>
              </w:rPr>
            </w:pPr>
          </w:p>
        </w:tc>
        <w:tc>
          <w:tcPr>
            <w:tcW w:w="280" w:type="dxa"/>
            <w:vAlign w:val="bottom"/>
            <w:shd w:val="clear" w:color="auto" w:fill="D7D8D6"/>
          </w:tcPr>
          <w:p>
            <w:pPr>
              <w:spacing w:after="0"/>
              <w:rPr>
                <w:sz w:val="14"/>
                <w:szCs w:val="14"/>
                <w:color w:val="auto"/>
              </w:rPr>
            </w:pPr>
          </w:p>
        </w:tc>
        <w:tc>
          <w:tcPr>
            <w:tcW w:w="8180" w:type="dxa"/>
            <w:vAlign w:val="bottom"/>
            <w:gridSpan w:val="2"/>
            <w:shd w:val="clear" w:color="auto" w:fill="D7D8D6"/>
          </w:tcPr>
          <w:p>
            <w:pPr>
              <w:ind w:left="20"/>
              <w:spacing w:after="0"/>
              <w:rPr>
                <w:sz w:val="20"/>
                <w:szCs w:val="20"/>
                <w:color w:val="auto"/>
              </w:rPr>
            </w:pPr>
            <w:r>
              <w:rPr>
                <w:rFonts w:ascii="Arial" w:cs="Arial" w:eastAsia="Arial" w:hAnsi="Arial"/>
                <w:sz w:val="14"/>
                <w:szCs w:val="14"/>
                <w:color w:val="333740"/>
                <w:highlight w:val="lightGray"/>
              </w:rPr>
              <w:t>agreement or the date of termination and two to three times the greater of his or her average actual annual cash</w:t>
            </w:r>
          </w:p>
        </w:tc>
        <w:tc>
          <w:tcPr>
            <w:tcW w:w="62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D7D8D6"/>
          </w:tcPr>
          <w:p>
            <w:pPr>
              <w:spacing w:after="0"/>
              <w:rPr>
                <w:sz w:val="14"/>
                <w:szCs w:val="14"/>
                <w:color w:val="auto"/>
              </w:rPr>
            </w:pPr>
          </w:p>
        </w:tc>
        <w:tc>
          <w:tcPr>
            <w:tcW w:w="280" w:type="dxa"/>
            <w:vAlign w:val="bottom"/>
            <w:shd w:val="clear" w:color="auto" w:fill="D7D8D6"/>
          </w:tcPr>
          <w:p>
            <w:pPr>
              <w:spacing w:after="0"/>
              <w:rPr>
                <w:sz w:val="14"/>
                <w:szCs w:val="14"/>
                <w:color w:val="auto"/>
              </w:rPr>
            </w:pPr>
          </w:p>
        </w:tc>
        <w:tc>
          <w:tcPr>
            <w:tcW w:w="8180" w:type="dxa"/>
            <w:vAlign w:val="bottom"/>
            <w:gridSpan w:val="2"/>
            <w:shd w:val="clear" w:color="auto" w:fill="D7D8D6"/>
          </w:tcPr>
          <w:p>
            <w:pPr>
              <w:spacing w:after="0"/>
              <w:rPr>
                <w:sz w:val="20"/>
                <w:szCs w:val="20"/>
                <w:color w:val="auto"/>
              </w:rPr>
            </w:pPr>
            <w:r>
              <w:rPr>
                <w:rFonts w:ascii="Arial" w:cs="Arial" w:eastAsia="Arial" w:hAnsi="Arial"/>
                <w:sz w:val="14"/>
                <w:szCs w:val="14"/>
                <w:color w:val="333740"/>
                <w:highlight w:val="lightGray"/>
              </w:rPr>
              <w:t>incentive bonuses paid in the three years prior to termination or his or her target annual cash incentive bonus for</w:t>
            </w:r>
          </w:p>
        </w:tc>
        <w:tc>
          <w:tcPr>
            <w:tcW w:w="620" w:type="dxa"/>
            <w:vAlign w:val="bottom"/>
            <w:shd w:val="clear" w:color="auto" w:fill="D7D8D6"/>
          </w:tcPr>
          <w:p>
            <w:pPr>
              <w:ind w:left="40"/>
              <w:spacing w:after="0"/>
              <w:rPr>
                <w:sz w:val="20"/>
                <w:szCs w:val="20"/>
                <w:color w:val="auto"/>
              </w:rPr>
            </w:pPr>
            <w:r>
              <w:rPr>
                <w:rFonts w:ascii="Arial" w:cs="Arial" w:eastAsia="Arial" w:hAnsi="Arial"/>
                <w:sz w:val="14"/>
                <w:szCs w:val="14"/>
                <w:color w:val="333740"/>
                <w:highlight w:val="lightGray"/>
              </w:rPr>
              <w:t>the</w:t>
            </w:r>
          </w:p>
        </w:tc>
        <w:tc>
          <w:tcPr>
            <w:tcW w:w="0" w:type="dxa"/>
            <w:vAlign w:val="bottom"/>
          </w:tcPr>
          <w:p>
            <w:pPr>
              <w:spacing w:after="0"/>
              <w:rPr>
                <w:sz w:val="1"/>
                <w:szCs w:val="1"/>
                <w:color w:val="auto"/>
              </w:rPr>
            </w:pPr>
          </w:p>
        </w:tc>
      </w:tr>
      <w:tr>
        <w:trPr>
          <w:trHeight w:val="203"/>
        </w:trPr>
        <w:tc>
          <w:tcPr>
            <w:tcW w:w="2180" w:type="dxa"/>
            <w:vAlign w:val="bottom"/>
            <w:shd w:val="clear" w:color="auto" w:fill="D7D8D6"/>
          </w:tcPr>
          <w:p>
            <w:pPr>
              <w:spacing w:after="0"/>
              <w:rPr>
                <w:sz w:val="17"/>
                <w:szCs w:val="17"/>
                <w:color w:val="auto"/>
              </w:rPr>
            </w:pPr>
          </w:p>
        </w:tc>
        <w:tc>
          <w:tcPr>
            <w:tcW w:w="280" w:type="dxa"/>
            <w:vAlign w:val="bottom"/>
            <w:shd w:val="clear" w:color="auto" w:fill="D7D8D6"/>
          </w:tcPr>
          <w:p>
            <w:pPr>
              <w:spacing w:after="0"/>
              <w:rPr>
                <w:sz w:val="17"/>
                <w:szCs w:val="17"/>
                <w:color w:val="auto"/>
              </w:rPr>
            </w:pPr>
          </w:p>
        </w:tc>
        <w:tc>
          <w:tcPr>
            <w:tcW w:w="8180" w:type="dxa"/>
            <w:vAlign w:val="bottom"/>
            <w:gridSpan w:val="2"/>
            <w:shd w:val="clear" w:color="auto" w:fill="D7D8D6"/>
          </w:tcPr>
          <w:p>
            <w:pPr>
              <w:spacing w:after="0"/>
              <w:rPr>
                <w:sz w:val="20"/>
                <w:szCs w:val="20"/>
                <w:color w:val="auto"/>
              </w:rPr>
            </w:pPr>
            <w:r>
              <w:rPr>
                <w:rFonts w:ascii="Arial" w:cs="Arial" w:eastAsia="Arial" w:hAnsi="Arial"/>
                <w:sz w:val="14"/>
                <w:szCs w:val="14"/>
                <w:color w:val="333740"/>
                <w:highlight w:val="lightGray"/>
              </w:rPr>
              <w:t>year the executive is terminated</w:t>
            </w:r>
          </w:p>
        </w:tc>
        <w:tc>
          <w:tcPr>
            <w:tcW w:w="620" w:type="dxa"/>
            <w:vAlign w:val="bottom"/>
            <w:shd w:val="clear" w:color="auto" w:fill="D7D8D6"/>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2180" w:type="dxa"/>
            <w:vAlign w:val="bottom"/>
            <w:shd w:val="clear" w:color="auto" w:fill="D7D8D6"/>
          </w:tcPr>
          <w:p>
            <w:pPr>
              <w:spacing w:after="0"/>
              <w:rPr>
                <w:sz w:val="24"/>
                <w:szCs w:val="24"/>
                <w:color w:val="auto"/>
              </w:rPr>
            </w:pPr>
          </w:p>
        </w:tc>
        <w:tc>
          <w:tcPr>
            <w:tcW w:w="280" w:type="dxa"/>
            <w:vAlign w:val="bottom"/>
            <w:shd w:val="clear" w:color="auto" w:fill="D7D8D6"/>
          </w:tcPr>
          <w:p>
            <w:pPr>
              <w:spacing w:after="0"/>
              <w:rPr>
                <w:sz w:val="24"/>
                <w:szCs w:val="24"/>
                <w:color w:val="auto"/>
              </w:rPr>
            </w:pPr>
          </w:p>
        </w:tc>
        <w:tc>
          <w:tcPr>
            <w:tcW w:w="8180" w:type="dxa"/>
            <w:vAlign w:val="bottom"/>
            <w:gridSpan w:val="2"/>
            <w:shd w:val="clear" w:color="auto" w:fill="D7D8D6"/>
          </w:tcPr>
          <w:p>
            <w:pPr>
              <w:ind w:left="20"/>
              <w:spacing w:after="0"/>
              <w:rPr>
                <w:sz w:val="20"/>
                <w:szCs w:val="20"/>
                <w:color w:val="auto"/>
              </w:rPr>
            </w:pPr>
            <w:r>
              <w:rPr>
                <w:rFonts w:ascii="Arial" w:cs="Arial" w:eastAsia="Arial" w:hAnsi="Arial"/>
                <w:sz w:val="14"/>
                <w:szCs w:val="14"/>
                <w:color w:val="333740"/>
              </w:rPr>
              <w:t>Pro-rated target annual cash incentive bonus for the year of termination</w:t>
            </w:r>
          </w:p>
        </w:tc>
        <w:tc>
          <w:tcPr>
            <w:tcW w:w="620" w:type="dxa"/>
            <w:vAlign w:val="bottom"/>
            <w:shd w:val="clear" w:color="auto" w:fill="D7D8D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180" w:type="dxa"/>
            <w:vAlign w:val="bottom"/>
            <w:shd w:val="clear" w:color="auto" w:fill="D7D8D6"/>
          </w:tcPr>
          <w:p>
            <w:pPr>
              <w:spacing w:after="0"/>
              <w:rPr>
                <w:sz w:val="24"/>
                <w:szCs w:val="24"/>
                <w:color w:val="auto"/>
              </w:rPr>
            </w:pPr>
          </w:p>
        </w:tc>
        <w:tc>
          <w:tcPr>
            <w:tcW w:w="280" w:type="dxa"/>
            <w:vAlign w:val="bottom"/>
            <w:shd w:val="clear" w:color="auto" w:fill="D7D8D6"/>
          </w:tcPr>
          <w:p>
            <w:pPr>
              <w:spacing w:after="0"/>
              <w:rPr>
                <w:sz w:val="24"/>
                <w:szCs w:val="24"/>
                <w:color w:val="auto"/>
              </w:rPr>
            </w:pPr>
          </w:p>
        </w:tc>
        <w:tc>
          <w:tcPr>
            <w:tcW w:w="8180" w:type="dxa"/>
            <w:vAlign w:val="bottom"/>
            <w:gridSpan w:val="2"/>
            <w:shd w:val="clear" w:color="auto" w:fill="D7D8D6"/>
          </w:tcPr>
          <w:p>
            <w:pPr>
              <w:ind w:left="20"/>
              <w:spacing w:after="0"/>
              <w:rPr>
                <w:sz w:val="20"/>
                <w:szCs w:val="20"/>
                <w:color w:val="auto"/>
              </w:rPr>
            </w:pPr>
            <w:r>
              <w:rPr>
                <w:rFonts w:ascii="Arial" w:cs="Arial" w:eastAsia="Arial" w:hAnsi="Arial"/>
                <w:sz w:val="14"/>
                <w:szCs w:val="14"/>
                <w:color w:val="333740"/>
                <w:highlight w:val="lightGray"/>
              </w:rPr>
              <w:t>Amount equal to the premiums payable for health and welfare coverage for 24 to 36 months</w:t>
            </w:r>
          </w:p>
        </w:tc>
        <w:tc>
          <w:tcPr>
            <w:tcW w:w="620" w:type="dxa"/>
            <w:vAlign w:val="bottom"/>
            <w:shd w:val="clear" w:color="auto" w:fill="D7D8D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180" w:type="dxa"/>
            <w:vAlign w:val="bottom"/>
            <w:shd w:val="clear" w:color="auto" w:fill="D7D8D6"/>
          </w:tcPr>
          <w:p>
            <w:pPr>
              <w:spacing w:after="0"/>
              <w:rPr>
                <w:sz w:val="24"/>
                <w:szCs w:val="24"/>
                <w:color w:val="auto"/>
              </w:rPr>
            </w:pPr>
          </w:p>
        </w:tc>
        <w:tc>
          <w:tcPr>
            <w:tcW w:w="8460" w:type="dxa"/>
            <w:vAlign w:val="bottom"/>
            <w:gridSpan w:val="3"/>
            <w:shd w:val="clear" w:color="auto" w:fill="D7D8D6"/>
          </w:tcPr>
          <w:p>
            <w:pPr>
              <w:ind w:left="260"/>
              <w:spacing w:after="0"/>
              <w:rPr>
                <w:sz w:val="20"/>
                <w:szCs w:val="20"/>
                <w:color w:val="auto"/>
              </w:rPr>
            </w:pPr>
            <w:r>
              <w:rPr>
                <w:rFonts w:ascii="Arial" w:cs="Arial" w:eastAsia="Arial" w:hAnsi="Arial"/>
                <w:sz w:val="14"/>
                <w:szCs w:val="14"/>
                <w:color w:val="333740"/>
                <w:highlight w:val="lightGray"/>
              </w:rPr>
              <w:t>Up to $50,000 in outplacement assistance</w:t>
            </w:r>
          </w:p>
        </w:tc>
        <w:tc>
          <w:tcPr>
            <w:tcW w:w="620" w:type="dxa"/>
            <w:vAlign w:val="bottom"/>
            <w:shd w:val="clear" w:color="auto" w:fill="D7D8D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180" w:type="dxa"/>
            <w:vAlign w:val="bottom"/>
            <w:shd w:val="clear" w:color="auto" w:fill="D7D8D6"/>
          </w:tcPr>
          <w:p>
            <w:pPr>
              <w:spacing w:after="0"/>
              <w:rPr>
                <w:sz w:val="24"/>
                <w:szCs w:val="24"/>
                <w:color w:val="auto"/>
              </w:rPr>
            </w:pPr>
          </w:p>
        </w:tc>
        <w:tc>
          <w:tcPr>
            <w:tcW w:w="280" w:type="dxa"/>
            <w:vAlign w:val="bottom"/>
            <w:shd w:val="clear" w:color="auto" w:fill="D7D8D6"/>
          </w:tcPr>
          <w:p>
            <w:pPr>
              <w:spacing w:after="0"/>
              <w:rPr>
                <w:sz w:val="24"/>
                <w:szCs w:val="24"/>
                <w:color w:val="auto"/>
              </w:rPr>
            </w:pPr>
          </w:p>
        </w:tc>
        <w:tc>
          <w:tcPr>
            <w:tcW w:w="8180" w:type="dxa"/>
            <w:vAlign w:val="bottom"/>
            <w:gridSpan w:val="2"/>
            <w:shd w:val="clear" w:color="auto" w:fill="D7D8D6"/>
          </w:tcPr>
          <w:p>
            <w:pPr>
              <w:ind w:left="20"/>
              <w:spacing w:after="0"/>
              <w:rPr>
                <w:sz w:val="20"/>
                <w:szCs w:val="20"/>
                <w:color w:val="auto"/>
              </w:rPr>
            </w:pPr>
            <w:r>
              <w:rPr>
                <w:rFonts w:ascii="Arial" w:cs="Arial" w:eastAsia="Arial" w:hAnsi="Arial"/>
                <w:sz w:val="14"/>
                <w:szCs w:val="14"/>
                <w:color w:val="333740"/>
                <w:highlight w:val="lightGray"/>
              </w:rPr>
              <w:t>Accelerated vesting of all granted and outstanding equity awards, with outstanding PSUs vesting at target</w:t>
            </w:r>
          </w:p>
        </w:tc>
        <w:tc>
          <w:tcPr>
            <w:tcW w:w="620" w:type="dxa"/>
            <w:vAlign w:val="bottom"/>
            <w:shd w:val="clear" w:color="auto" w:fill="D7D8D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180" w:type="dxa"/>
            <w:vAlign w:val="bottom"/>
            <w:shd w:val="clear" w:color="auto" w:fill="D7D8D6"/>
          </w:tcPr>
          <w:p>
            <w:pPr>
              <w:spacing w:after="0"/>
              <w:rPr>
                <w:sz w:val="24"/>
                <w:szCs w:val="24"/>
                <w:color w:val="auto"/>
              </w:rPr>
            </w:pPr>
          </w:p>
        </w:tc>
        <w:tc>
          <w:tcPr>
            <w:tcW w:w="8460" w:type="dxa"/>
            <w:vAlign w:val="bottom"/>
            <w:gridSpan w:val="3"/>
            <w:shd w:val="clear" w:color="auto" w:fill="D7D8D6"/>
          </w:tcPr>
          <w:p>
            <w:pPr>
              <w:ind w:left="260"/>
              <w:spacing w:after="0"/>
              <w:rPr>
                <w:sz w:val="20"/>
                <w:szCs w:val="20"/>
                <w:color w:val="auto"/>
              </w:rPr>
            </w:pPr>
            <w:r>
              <w:rPr>
                <w:rFonts w:ascii="Arial" w:cs="Arial" w:eastAsia="Arial" w:hAnsi="Arial"/>
                <w:sz w:val="14"/>
                <w:szCs w:val="14"/>
                <w:color w:val="333740"/>
                <w:highlight w:val="lightGray"/>
              </w:rPr>
              <w:t>No tax gross-ups on any payments</w:t>
            </w:r>
          </w:p>
        </w:tc>
        <w:tc>
          <w:tcPr>
            <w:tcW w:w="620" w:type="dxa"/>
            <w:vAlign w:val="bottom"/>
            <w:shd w:val="clear" w:color="auto" w:fill="D7D8D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180" w:type="dxa"/>
            <w:vAlign w:val="bottom"/>
            <w:shd w:val="clear" w:color="auto" w:fill="D7D8D6"/>
          </w:tcPr>
          <w:p>
            <w:pPr>
              <w:spacing w:after="0"/>
              <w:rPr>
                <w:sz w:val="24"/>
                <w:szCs w:val="24"/>
                <w:color w:val="auto"/>
              </w:rPr>
            </w:pPr>
          </w:p>
        </w:tc>
        <w:tc>
          <w:tcPr>
            <w:tcW w:w="8460" w:type="dxa"/>
            <w:vAlign w:val="bottom"/>
            <w:gridSpan w:val="3"/>
            <w:shd w:val="clear" w:color="auto" w:fill="D7D8D6"/>
          </w:tcPr>
          <w:p>
            <w:pPr>
              <w:ind w:left="260"/>
              <w:spacing w:after="0"/>
              <w:rPr>
                <w:sz w:val="20"/>
                <w:szCs w:val="20"/>
                <w:color w:val="auto"/>
              </w:rPr>
            </w:pPr>
            <w:r>
              <w:rPr>
                <w:rFonts w:ascii="Arial" w:cs="Arial" w:eastAsia="Arial" w:hAnsi="Arial"/>
                <w:sz w:val="14"/>
                <w:szCs w:val="14"/>
                <w:color w:val="333740"/>
                <w:highlight w:val="lightGray"/>
              </w:rPr>
              <w:t>280G best after-tax cutback</w:t>
            </w:r>
          </w:p>
        </w:tc>
        <w:tc>
          <w:tcPr>
            <w:tcW w:w="620" w:type="dxa"/>
            <w:vAlign w:val="bottom"/>
            <w:shd w:val="clear" w:color="auto" w:fill="D7D8D6"/>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180" w:type="dxa"/>
            <w:vAlign w:val="bottom"/>
            <w:shd w:val="clear" w:color="auto" w:fill="D7D8D6"/>
          </w:tcPr>
          <w:p>
            <w:pPr>
              <w:spacing w:after="0"/>
              <w:rPr>
                <w:sz w:val="11"/>
                <w:szCs w:val="11"/>
                <w:color w:val="auto"/>
              </w:rPr>
            </w:pPr>
          </w:p>
        </w:tc>
        <w:tc>
          <w:tcPr>
            <w:tcW w:w="280" w:type="dxa"/>
            <w:vAlign w:val="bottom"/>
            <w:shd w:val="clear" w:color="auto" w:fill="D7D8D6"/>
          </w:tcPr>
          <w:p>
            <w:pPr>
              <w:spacing w:after="0"/>
              <w:rPr>
                <w:sz w:val="11"/>
                <w:szCs w:val="11"/>
                <w:color w:val="auto"/>
              </w:rPr>
            </w:pPr>
          </w:p>
        </w:tc>
        <w:tc>
          <w:tcPr>
            <w:tcW w:w="780" w:type="dxa"/>
            <w:vAlign w:val="bottom"/>
            <w:shd w:val="clear" w:color="auto" w:fill="D7D8D6"/>
          </w:tcPr>
          <w:p>
            <w:pPr>
              <w:spacing w:after="0"/>
              <w:rPr>
                <w:sz w:val="11"/>
                <w:szCs w:val="11"/>
                <w:color w:val="auto"/>
              </w:rPr>
            </w:pPr>
          </w:p>
        </w:tc>
        <w:tc>
          <w:tcPr>
            <w:tcW w:w="7400" w:type="dxa"/>
            <w:vAlign w:val="bottom"/>
            <w:shd w:val="clear" w:color="auto" w:fill="D7D8D6"/>
          </w:tcPr>
          <w:p>
            <w:pPr>
              <w:spacing w:after="0"/>
              <w:rPr>
                <w:sz w:val="11"/>
                <w:szCs w:val="11"/>
                <w:color w:val="auto"/>
              </w:rPr>
            </w:pPr>
          </w:p>
        </w:tc>
        <w:tc>
          <w:tcPr>
            <w:tcW w:w="620" w:type="dxa"/>
            <w:vAlign w:val="bottom"/>
            <w:shd w:val="clear" w:color="auto" w:fill="D7D8D6"/>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-2677795</wp:posOffset>
            </wp:positionV>
            <wp:extent cx="7148195" cy="26860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8195" cy="2686050"/>
                    </a:xfrm>
                    <a:prstGeom prst="rect">
                      <a:avLst/>
                    </a:prstGeom>
                    <a:noFill/>
                  </pic:spPr>
                </pic:pic>
              </a:graphicData>
            </a:graphic>
          </wp:anchor>
        </w:drawing>
      </w:r>
    </w:p>
    <w:p>
      <w:pPr>
        <w:spacing w:after="0" w:line="331" w:lineRule="exact"/>
        <w:rPr>
          <w:sz w:val="20"/>
          <w:szCs w:val="20"/>
          <w:color w:val="auto"/>
        </w:rPr>
      </w:pPr>
    </w:p>
    <w:p>
      <w:pPr>
        <w:ind w:left="564" w:hanging="564"/>
        <w:spacing w:after="0"/>
        <w:tabs>
          <w:tab w:leader="none" w:pos="564" w:val="left"/>
        </w:tabs>
        <w:numPr>
          <w:ilvl w:val="0"/>
          <w:numId w:val="102"/>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89" w:name="page90"/>
    <w:bookmarkEnd w:id="89"/>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Compensation Risk</w:t>
      </w:r>
    </w:p>
    <w:p>
      <w:pPr>
        <w:spacing w:after="0" w:line="91" w:lineRule="exact"/>
        <w:rPr>
          <w:sz w:val="20"/>
          <w:szCs w:val="20"/>
          <w:color w:val="auto"/>
        </w:rPr>
      </w:pPr>
    </w:p>
    <w:p>
      <w:pPr>
        <w:jc w:val="both"/>
        <w:ind w:left="4" w:right="40"/>
        <w:spacing w:after="0" w:line="239" w:lineRule="auto"/>
        <w:rPr>
          <w:sz w:val="20"/>
          <w:szCs w:val="20"/>
          <w:color w:val="auto"/>
        </w:rPr>
      </w:pPr>
      <w:r>
        <w:rPr>
          <w:rFonts w:ascii="Arial" w:cs="Arial" w:eastAsia="Arial" w:hAnsi="Arial"/>
          <w:sz w:val="16"/>
          <w:szCs w:val="16"/>
          <w:color w:val="333740"/>
        </w:rPr>
        <w:t>As part of a robust approach to risk mitigation, the Company operates a number of policies that apply to our NEOs, and in many instances to broader employee populations. These policies are intended to align our NEOs with the long-term interests of our shareholders and encourage them to make decisions that expose the Company to an appropriate level of risk within our agreed framework.</w:t>
      </w:r>
    </w:p>
    <w:p>
      <w:pPr>
        <w:spacing w:after="0" w:line="6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Clawback Policy</w:t>
      </w:r>
    </w:p>
    <w:p>
      <w:pPr>
        <w:spacing w:after="0" w:line="39" w:lineRule="exact"/>
        <w:rPr>
          <w:sz w:val="20"/>
          <w:szCs w:val="20"/>
          <w:color w:val="auto"/>
        </w:rPr>
      </w:pPr>
    </w:p>
    <w:p>
      <w:pPr>
        <w:ind w:left="4" w:right="340"/>
        <w:spacing w:after="0" w:line="244" w:lineRule="auto"/>
        <w:rPr>
          <w:sz w:val="20"/>
          <w:szCs w:val="20"/>
          <w:color w:val="auto"/>
        </w:rPr>
      </w:pPr>
      <w:r>
        <w:rPr>
          <w:rFonts w:ascii="Arial" w:cs="Arial" w:eastAsia="Arial" w:hAnsi="Arial"/>
          <w:sz w:val="16"/>
          <w:szCs w:val="16"/>
          <w:color w:val="333740"/>
        </w:rPr>
        <w:t>The Company has adopted a compensation recovery clawback policy that enables us to recoup and/or cancel previously awarded compensation in defined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148195" cy="4400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8195" cy="440055"/>
                    </a:xfrm>
                    <a:prstGeom prst="rect">
                      <a:avLst/>
                    </a:prstGeom>
                    <a:noFill/>
                  </pic:spPr>
                </pic:pic>
              </a:graphicData>
            </a:graphic>
          </wp:anchor>
        </w:drawing>
      </w:r>
    </w:p>
    <w:p>
      <w:pPr>
        <w:spacing w:after="0" w:line="168" w:lineRule="exact"/>
        <w:rPr>
          <w:sz w:val="20"/>
          <w:szCs w:val="20"/>
          <w:color w:val="auto"/>
        </w:rPr>
      </w:pPr>
    </w:p>
    <w:tbl>
      <w:tblPr>
        <w:tblLayout w:type="fixed"/>
        <w:tblInd w:w="4" w:type="dxa"/>
        <w:tblCellMar>
          <w:top w:w="0" w:type="dxa"/>
          <w:left w:w="0" w:type="dxa"/>
          <w:bottom w:w="0" w:type="dxa"/>
          <w:right w:w="0" w:type="dxa"/>
        </w:tblCellMar>
      </w:tblPr>
      <w:tr>
        <w:trPr>
          <w:trHeight w:val="251"/>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Covered Employees</w:t>
            </w:r>
          </w:p>
        </w:tc>
        <w:tc>
          <w:tcPr>
            <w:tcW w:w="9080" w:type="dxa"/>
            <w:vAlign w:val="bottom"/>
            <w:shd w:val="clear" w:color="auto" w:fill="D7D8D6"/>
          </w:tcPr>
          <w:p>
            <w:pPr>
              <w:ind w:left="260"/>
              <w:spacing w:after="0"/>
              <w:rPr>
                <w:sz w:val="20"/>
                <w:szCs w:val="20"/>
                <w:color w:val="auto"/>
              </w:rPr>
            </w:pPr>
            <w:r>
              <w:rPr>
                <w:rFonts w:ascii="Arial" w:cs="Arial" w:eastAsia="Arial" w:hAnsi="Arial"/>
                <w:sz w:val="14"/>
                <w:szCs w:val="14"/>
                <w:color w:val="333740"/>
              </w:rPr>
              <w:t>Executive officers subject to the reporting requirements of Section 16 of the U.S. Securities Exchange Act of 1934, as amended (the</w:t>
            </w:r>
          </w:p>
        </w:tc>
      </w:tr>
      <w:tr>
        <w:trPr>
          <w:trHeight w:val="190"/>
        </w:trPr>
        <w:tc>
          <w:tcPr>
            <w:tcW w:w="2180" w:type="dxa"/>
            <w:vAlign w:val="bottom"/>
            <w:shd w:val="clear" w:color="auto" w:fill="481F6E"/>
          </w:tcPr>
          <w:p>
            <w:pPr>
              <w:spacing w:after="0"/>
              <w:rPr>
                <w:sz w:val="16"/>
                <w:szCs w:val="16"/>
                <w:color w:val="auto"/>
              </w:rPr>
            </w:pPr>
          </w:p>
        </w:tc>
        <w:tc>
          <w:tcPr>
            <w:tcW w:w="9080" w:type="dxa"/>
            <w:vAlign w:val="bottom"/>
            <w:shd w:val="clear" w:color="auto" w:fill="D7D8D6"/>
          </w:tcPr>
          <w:p>
            <w:pPr>
              <w:ind w:left="280"/>
              <w:spacing w:after="0"/>
              <w:rPr>
                <w:sz w:val="20"/>
                <w:szCs w:val="20"/>
                <w:color w:val="auto"/>
              </w:rPr>
            </w:pPr>
            <w:r>
              <w:rPr>
                <w:rFonts w:ascii="Arial" w:cs="Arial" w:eastAsia="Arial" w:hAnsi="Arial"/>
                <w:sz w:val="14"/>
                <w:szCs w:val="14"/>
                <w:color w:val="333740"/>
              </w:rPr>
              <w:t>“</w:t>
            </w:r>
            <w:r>
              <w:rPr>
                <w:rFonts w:ascii="Arial" w:cs="Arial" w:eastAsia="Arial" w:hAnsi="Arial"/>
                <w:sz w:val="14"/>
                <w:szCs w:val="14"/>
                <w:b w:val="1"/>
                <w:bCs w:val="1"/>
                <w:color w:val="333740"/>
              </w:rPr>
              <w:t>Exchange Act</w:t>
            </w:r>
            <w:r>
              <w:rPr>
                <w:rFonts w:ascii="Arial" w:cs="Arial" w:eastAsia="Arial" w:hAnsi="Arial"/>
                <w:sz w:val="14"/>
                <w:szCs w:val="14"/>
                <w:color w:val="333740"/>
              </w:rPr>
              <w:t>”)</w:t>
            </w:r>
          </w:p>
        </w:tc>
      </w:tr>
      <w:tr>
        <w:trPr>
          <w:trHeight w:val="247"/>
        </w:trPr>
        <w:tc>
          <w:tcPr>
            <w:tcW w:w="2180" w:type="dxa"/>
            <w:vAlign w:val="bottom"/>
            <w:shd w:val="clear" w:color="auto" w:fill="481F6E"/>
          </w:tcPr>
          <w:p>
            <w:pPr>
              <w:spacing w:after="0"/>
              <w:rPr>
                <w:sz w:val="21"/>
                <w:szCs w:val="21"/>
                <w:color w:val="auto"/>
              </w:rPr>
            </w:pPr>
          </w:p>
        </w:tc>
        <w:tc>
          <w:tcPr>
            <w:tcW w:w="9080" w:type="dxa"/>
            <w:vAlign w:val="bottom"/>
            <w:shd w:val="clear" w:color="auto" w:fill="D7D8D6"/>
          </w:tcPr>
          <w:p>
            <w:pPr>
              <w:ind w:left="260"/>
              <w:spacing w:after="0"/>
              <w:rPr>
                <w:sz w:val="20"/>
                <w:szCs w:val="20"/>
                <w:color w:val="auto"/>
              </w:rPr>
            </w:pPr>
            <w:r>
              <w:rPr>
                <w:rFonts w:ascii="Arial" w:cs="Arial" w:eastAsia="Arial" w:hAnsi="Arial"/>
                <w:sz w:val="14"/>
                <w:szCs w:val="14"/>
                <w:color w:val="333740"/>
              </w:rPr>
              <w:t>By definition, this includes all NEOs</w:t>
            </w:r>
          </w:p>
        </w:tc>
      </w:tr>
      <w:tr>
        <w:trPr>
          <w:trHeight w:val="287"/>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Covered Compensation</w:t>
            </w:r>
          </w:p>
        </w:tc>
        <w:tc>
          <w:tcPr>
            <w:tcW w:w="9080" w:type="dxa"/>
            <w:vAlign w:val="bottom"/>
            <w:shd w:val="clear" w:color="auto" w:fill="D7D8D6"/>
          </w:tcPr>
          <w:p>
            <w:pPr>
              <w:ind w:left="260"/>
              <w:spacing w:after="0"/>
              <w:rPr>
                <w:sz w:val="20"/>
                <w:szCs w:val="20"/>
                <w:color w:val="auto"/>
              </w:rPr>
            </w:pPr>
            <w:r>
              <w:rPr>
                <w:rFonts w:ascii="Arial" w:cs="Arial" w:eastAsia="Arial" w:hAnsi="Arial"/>
                <w:sz w:val="14"/>
                <w:szCs w:val="14"/>
                <w:color w:val="333740"/>
              </w:rPr>
              <w:t>Cash incentive compensation</w:t>
            </w:r>
          </w:p>
        </w:tc>
      </w:tr>
      <w:tr>
        <w:trPr>
          <w:trHeight w:val="215"/>
        </w:trPr>
        <w:tc>
          <w:tcPr>
            <w:tcW w:w="2180" w:type="dxa"/>
            <w:vAlign w:val="bottom"/>
            <w:shd w:val="clear" w:color="auto" w:fill="481F6E"/>
          </w:tcPr>
          <w:p>
            <w:pPr>
              <w:spacing w:after="0"/>
              <w:rPr>
                <w:sz w:val="18"/>
                <w:szCs w:val="18"/>
                <w:color w:val="auto"/>
              </w:rPr>
            </w:pPr>
          </w:p>
        </w:tc>
        <w:tc>
          <w:tcPr>
            <w:tcW w:w="9080" w:type="dxa"/>
            <w:vAlign w:val="bottom"/>
            <w:shd w:val="clear" w:color="auto" w:fill="D7D8D6"/>
          </w:tcPr>
          <w:p>
            <w:pPr>
              <w:ind w:left="260"/>
              <w:spacing w:after="0"/>
              <w:rPr>
                <w:sz w:val="20"/>
                <w:szCs w:val="20"/>
                <w:color w:val="auto"/>
              </w:rPr>
            </w:pPr>
            <w:r>
              <w:rPr>
                <w:rFonts w:ascii="Arial" w:cs="Arial" w:eastAsia="Arial" w:hAnsi="Arial"/>
                <w:sz w:val="14"/>
                <w:szCs w:val="14"/>
                <w:color w:val="333740"/>
              </w:rPr>
              <w:t>Equity awards</w:t>
            </w:r>
          </w:p>
        </w:tc>
      </w:tr>
      <w:tr>
        <w:trPr>
          <w:trHeight w:val="275"/>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Triggering Events</w:t>
            </w:r>
          </w:p>
        </w:tc>
        <w:tc>
          <w:tcPr>
            <w:tcW w:w="9080" w:type="dxa"/>
            <w:vAlign w:val="bottom"/>
            <w:shd w:val="clear" w:color="auto" w:fill="D7D8D6"/>
          </w:tcPr>
          <w:p>
            <w:pPr>
              <w:ind w:left="280"/>
              <w:spacing w:after="0"/>
              <w:rPr>
                <w:sz w:val="20"/>
                <w:szCs w:val="20"/>
                <w:color w:val="auto"/>
              </w:rPr>
            </w:pPr>
            <w:r>
              <w:rPr>
                <w:rFonts w:ascii="Arial" w:cs="Arial" w:eastAsia="Arial" w:hAnsi="Arial"/>
                <w:sz w:val="14"/>
                <w:szCs w:val="14"/>
                <w:color w:val="333740"/>
              </w:rPr>
              <w:t>Illegal acts including fraud, material theft of Company assets, bribery and corruption</w:t>
            </w:r>
          </w:p>
        </w:tc>
      </w:tr>
      <w:tr>
        <w:trPr>
          <w:trHeight w:val="215"/>
        </w:trPr>
        <w:tc>
          <w:tcPr>
            <w:tcW w:w="2180" w:type="dxa"/>
            <w:vAlign w:val="bottom"/>
            <w:shd w:val="clear" w:color="auto" w:fill="481F6E"/>
          </w:tcPr>
          <w:p>
            <w:pPr>
              <w:spacing w:after="0"/>
              <w:rPr>
                <w:sz w:val="18"/>
                <w:szCs w:val="18"/>
                <w:color w:val="auto"/>
              </w:rPr>
            </w:pPr>
          </w:p>
        </w:tc>
        <w:tc>
          <w:tcPr>
            <w:tcW w:w="9080" w:type="dxa"/>
            <w:vAlign w:val="bottom"/>
            <w:shd w:val="clear" w:color="auto" w:fill="D7D8D6"/>
          </w:tcPr>
          <w:p>
            <w:pPr>
              <w:ind w:left="260"/>
              <w:spacing w:after="0"/>
              <w:rPr>
                <w:sz w:val="20"/>
                <w:szCs w:val="20"/>
                <w:color w:val="auto"/>
              </w:rPr>
            </w:pPr>
            <w:r>
              <w:rPr>
                <w:rFonts w:ascii="Arial" w:cs="Arial" w:eastAsia="Arial" w:hAnsi="Arial"/>
                <w:sz w:val="14"/>
                <w:szCs w:val="14"/>
                <w:color w:val="333740"/>
              </w:rPr>
              <w:t>Gross negligence</w:t>
            </w:r>
          </w:p>
        </w:tc>
      </w:tr>
      <w:tr>
        <w:trPr>
          <w:trHeight w:val="227"/>
        </w:trPr>
        <w:tc>
          <w:tcPr>
            <w:tcW w:w="2180" w:type="dxa"/>
            <w:vAlign w:val="bottom"/>
            <w:shd w:val="clear" w:color="auto" w:fill="481F6E"/>
          </w:tcPr>
          <w:p>
            <w:pPr>
              <w:spacing w:after="0"/>
              <w:rPr>
                <w:sz w:val="19"/>
                <w:szCs w:val="19"/>
                <w:color w:val="auto"/>
              </w:rPr>
            </w:pPr>
          </w:p>
        </w:tc>
        <w:tc>
          <w:tcPr>
            <w:tcW w:w="9080" w:type="dxa"/>
            <w:vAlign w:val="bottom"/>
            <w:shd w:val="clear" w:color="auto" w:fill="D7D8D6"/>
          </w:tcPr>
          <w:p>
            <w:pPr>
              <w:ind w:left="280"/>
              <w:spacing w:after="0"/>
              <w:rPr>
                <w:sz w:val="20"/>
                <w:szCs w:val="20"/>
                <w:color w:val="auto"/>
              </w:rPr>
            </w:pPr>
            <w:r>
              <w:rPr>
                <w:rFonts w:ascii="Arial" w:cs="Arial" w:eastAsia="Arial" w:hAnsi="Arial"/>
                <w:sz w:val="14"/>
                <w:szCs w:val="14"/>
                <w:color w:val="333740"/>
              </w:rPr>
              <w:t>Willful misconduct, including conduct that requires the Company to materially restate its quarterly or annual financial or operating results</w:t>
            </w:r>
          </w:p>
        </w:tc>
      </w:tr>
      <w:tr>
        <w:trPr>
          <w:trHeight w:val="264"/>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Compensation</w:t>
            </w:r>
          </w:p>
        </w:tc>
        <w:tc>
          <w:tcPr>
            <w:tcW w:w="9080" w:type="dxa"/>
            <w:vAlign w:val="bottom"/>
            <w:shd w:val="clear" w:color="auto" w:fill="D7D8D6"/>
          </w:tcPr>
          <w:p>
            <w:pPr>
              <w:ind w:left="280"/>
              <w:spacing w:after="0"/>
              <w:rPr>
                <w:sz w:val="20"/>
                <w:szCs w:val="20"/>
                <w:color w:val="auto"/>
              </w:rPr>
            </w:pPr>
            <w:r>
              <w:rPr>
                <w:rFonts w:ascii="Arial" w:cs="Arial" w:eastAsia="Arial" w:hAnsi="Arial"/>
                <w:sz w:val="14"/>
                <w:szCs w:val="14"/>
                <w:color w:val="333740"/>
              </w:rPr>
              <w:t>Determine whether a triggering event has occurred</w:t>
            </w:r>
          </w:p>
        </w:tc>
      </w:tr>
      <w:tr>
        <w:trPr>
          <w:trHeight w:val="226"/>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Committee Authority</w:t>
            </w:r>
          </w:p>
        </w:tc>
        <w:tc>
          <w:tcPr>
            <w:tcW w:w="9080" w:type="dxa"/>
            <w:vAlign w:val="bottom"/>
            <w:shd w:val="clear" w:color="auto" w:fill="D7D8D6"/>
          </w:tcPr>
          <w:p>
            <w:pPr>
              <w:ind w:left="280"/>
              <w:spacing w:after="0"/>
              <w:rPr>
                <w:sz w:val="20"/>
                <w:szCs w:val="20"/>
                <w:color w:val="auto"/>
              </w:rPr>
            </w:pPr>
            <w:r>
              <w:rPr>
                <w:rFonts w:ascii="Arial" w:cs="Arial" w:eastAsia="Arial" w:hAnsi="Arial"/>
                <w:sz w:val="14"/>
                <w:szCs w:val="14"/>
                <w:color w:val="333740"/>
              </w:rPr>
              <w:t>Cancel previously granted compensation in part or in whole, whether vested or deferred</w:t>
            </w:r>
          </w:p>
        </w:tc>
      </w:tr>
      <w:tr>
        <w:trPr>
          <w:trHeight w:val="239"/>
        </w:trPr>
        <w:tc>
          <w:tcPr>
            <w:tcW w:w="2180" w:type="dxa"/>
            <w:vAlign w:val="bottom"/>
            <w:shd w:val="clear" w:color="auto" w:fill="481F6E"/>
          </w:tcPr>
          <w:p>
            <w:pPr>
              <w:spacing w:after="0"/>
              <w:rPr>
                <w:sz w:val="20"/>
                <w:szCs w:val="20"/>
                <w:color w:val="auto"/>
              </w:rPr>
            </w:pPr>
          </w:p>
        </w:tc>
        <w:tc>
          <w:tcPr>
            <w:tcW w:w="9080" w:type="dxa"/>
            <w:vAlign w:val="bottom"/>
            <w:shd w:val="clear" w:color="auto" w:fill="D7D8D6"/>
          </w:tcPr>
          <w:p>
            <w:pPr>
              <w:ind w:left="280"/>
              <w:spacing w:after="0"/>
              <w:rPr>
                <w:sz w:val="20"/>
                <w:szCs w:val="20"/>
                <w:color w:val="auto"/>
              </w:rPr>
            </w:pPr>
            <w:r>
              <w:rPr>
                <w:rFonts w:ascii="Arial" w:cs="Arial" w:eastAsia="Arial" w:hAnsi="Arial"/>
                <w:sz w:val="14"/>
                <w:szCs w:val="14"/>
                <w:color w:val="333740"/>
              </w:rPr>
              <w:t>Clawback previously earned compensation by requiring the executive officer to repay the Company any gain realized or payment received</w:t>
            </w:r>
          </w:p>
        </w:tc>
      </w:tr>
      <w:tr>
        <w:trPr>
          <w:trHeight w:val="269"/>
        </w:trPr>
        <w:tc>
          <w:tcPr>
            <w:tcW w:w="2180" w:type="dxa"/>
            <w:vAlign w:val="bottom"/>
            <w:shd w:val="clear" w:color="auto" w:fill="481F6E"/>
          </w:tcPr>
          <w:p>
            <w:pPr>
              <w:spacing w:after="0"/>
              <w:rPr>
                <w:sz w:val="23"/>
                <w:szCs w:val="23"/>
                <w:color w:val="auto"/>
              </w:rPr>
            </w:pPr>
          </w:p>
        </w:tc>
        <w:tc>
          <w:tcPr>
            <w:tcW w:w="9080" w:type="dxa"/>
            <w:vAlign w:val="bottom"/>
            <w:shd w:val="clear" w:color="auto" w:fill="D7D8D6"/>
          </w:tcPr>
          <w:p>
            <w:pPr>
              <w:ind w:left="260"/>
              <w:spacing w:after="0"/>
              <w:rPr>
                <w:sz w:val="20"/>
                <w:szCs w:val="20"/>
                <w:color w:val="auto"/>
              </w:rPr>
            </w:pPr>
            <w:r>
              <w:rPr>
                <w:rFonts w:ascii="Arial" w:cs="Arial" w:eastAsia="Arial" w:hAnsi="Arial"/>
                <w:sz w:val="14"/>
                <w:szCs w:val="14"/>
                <w:color w:val="333740"/>
              </w:rPr>
              <w:t>Reduce or offset future incentive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-636905</wp:posOffset>
            </wp:positionV>
            <wp:extent cx="7148195"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-1099820</wp:posOffset>
            </wp:positionV>
            <wp:extent cx="7148195"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1464310</wp:posOffset>
            </wp:positionH>
            <wp:positionV relativeFrom="paragraph">
              <wp:posOffset>-1342390</wp:posOffset>
            </wp:positionV>
            <wp:extent cx="45720" cy="755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1464310</wp:posOffset>
            </wp:positionH>
            <wp:positionV relativeFrom="paragraph">
              <wp:posOffset>-1190625</wp:posOffset>
            </wp:positionV>
            <wp:extent cx="45720" cy="755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-1031240</wp:posOffset>
            </wp:positionV>
            <wp:extent cx="45720" cy="755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1464310</wp:posOffset>
            </wp:positionH>
            <wp:positionV relativeFrom="paragraph">
              <wp:posOffset>-879475</wp:posOffset>
            </wp:positionV>
            <wp:extent cx="45720" cy="755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-735330</wp:posOffset>
            </wp:positionV>
            <wp:extent cx="45720" cy="755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-568325</wp:posOffset>
            </wp:positionV>
            <wp:extent cx="45720" cy="755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-424180</wp:posOffset>
            </wp:positionV>
            <wp:extent cx="45720" cy="755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-272415</wp:posOffset>
            </wp:positionV>
            <wp:extent cx="45720" cy="755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5720" cy="75565"/>
                    </a:xfrm>
                    <a:prstGeom prst="rect">
                      <a:avLst/>
                    </a:prstGeom>
                    <a:noFill/>
                  </pic:spPr>
                </pic:pic>
              </a:graphicData>
            </a:graphic>
          </wp:anchor>
        </w:drawing>
        <w:drawing>
          <wp:anchor simplePos="0" relativeHeight="251657728" behindDoc="1" locked="0" layoutInCell="0" allowOverlap="1">
            <wp:simplePos x="0" y="0"/>
            <wp:positionH relativeFrom="column">
              <wp:posOffset>1464310</wp:posOffset>
            </wp:positionH>
            <wp:positionV relativeFrom="paragraph">
              <wp:posOffset>-105410</wp:posOffset>
            </wp:positionV>
            <wp:extent cx="45720" cy="755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5720" cy="75565"/>
                    </a:xfrm>
                    <a:prstGeom prst="rect">
                      <a:avLst/>
                    </a:prstGeom>
                    <a:noFill/>
                  </pic:spPr>
                </pic:pic>
              </a:graphicData>
            </a:graphic>
          </wp:anchor>
        </w:drawing>
      </w:r>
    </w:p>
    <w:p>
      <w:pPr>
        <w:spacing w:after="0" w:line="319" w:lineRule="exact"/>
        <w:rPr>
          <w:sz w:val="20"/>
          <w:szCs w:val="20"/>
          <w:color w:val="auto"/>
        </w:rPr>
      </w:pPr>
    </w:p>
    <w:p>
      <w:pPr>
        <w:ind w:left="564" w:hanging="564"/>
        <w:spacing w:after="0"/>
        <w:tabs>
          <w:tab w:leader="none" w:pos="564" w:val="left"/>
        </w:tabs>
        <w:numPr>
          <w:ilvl w:val="0"/>
          <w:numId w:val="103"/>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90" w:name="page91"/>
    <w:bookmarkEnd w:id="90"/>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Share Ownership and Retention Requirements</w:t>
      </w:r>
    </w:p>
    <w:p>
      <w:pPr>
        <w:spacing w:after="0" w:line="51" w:lineRule="exact"/>
        <w:rPr>
          <w:sz w:val="20"/>
          <w:szCs w:val="20"/>
          <w:color w:val="auto"/>
        </w:rPr>
      </w:pPr>
    </w:p>
    <w:p>
      <w:pPr>
        <w:ind w:left="4" w:right="380"/>
        <w:spacing w:after="0" w:line="244" w:lineRule="auto"/>
        <w:rPr>
          <w:sz w:val="20"/>
          <w:szCs w:val="20"/>
          <w:color w:val="auto"/>
        </w:rPr>
      </w:pPr>
      <w:r>
        <w:rPr>
          <w:rFonts w:ascii="Arial" w:cs="Arial" w:eastAsia="Arial" w:hAnsi="Arial"/>
          <w:sz w:val="16"/>
          <w:szCs w:val="16"/>
          <w:color w:val="333740"/>
        </w:rPr>
        <w:t>The Compensation Committee oversees the operation of share ownership guidelines that apply to our executive officers. All executive officers, including all NEOs, met their pro rata ownership and retention requirements under the Company’s policy in 2019.</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259"/>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Share Ownership</w:t>
            </w:r>
          </w:p>
        </w:tc>
        <w:tc>
          <w:tcPr>
            <w:tcW w:w="300" w:type="dxa"/>
            <w:vAlign w:val="bottom"/>
            <w:shd w:val="clear" w:color="auto" w:fill="D7D8D6"/>
          </w:tcPr>
          <w:p>
            <w:pPr>
              <w:ind w:left="120"/>
              <w:spacing w:after="0" w:line="141" w:lineRule="exact"/>
              <w:rPr>
                <w:sz w:val="20"/>
                <w:szCs w:val="20"/>
                <w:color w:val="auto"/>
              </w:rPr>
            </w:pPr>
            <w:r>
              <w:rPr>
                <w:rFonts w:ascii="MS PGothic" w:cs="MS PGothic" w:eastAsia="MS PGothic" w:hAnsi="MS PGothic"/>
                <w:sz w:val="14"/>
                <w:szCs w:val="14"/>
                <w:color w:val="481F6E"/>
              </w:rPr>
              <w:t>◗</w:t>
            </w:r>
          </w:p>
        </w:tc>
        <w:tc>
          <w:tcPr>
            <w:tcW w:w="878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CEO: 6x base salary</w:t>
            </w:r>
          </w:p>
        </w:tc>
        <w:tc>
          <w:tcPr>
            <w:tcW w:w="0" w:type="dxa"/>
            <w:vAlign w:val="bottom"/>
          </w:tcPr>
          <w:p>
            <w:pPr>
              <w:spacing w:after="0"/>
              <w:rPr>
                <w:sz w:val="1"/>
                <w:szCs w:val="1"/>
                <w:color w:val="auto"/>
              </w:rPr>
            </w:pPr>
          </w:p>
        </w:tc>
      </w:tr>
      <w:tr>
        <w:trPr>
          <w:trHeight w:val="254"/>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Requirements</w:t>
            </w:r>
          </w:p>
        </w:tc>
        <w:tc>
          <w:tcPr>
            <w:tcW w:w="300" w:type="dxa"/>
            <w:vAlign w:val="bottom"/>
            <w:shd w:val="clear" w:color="auto" w:fill="D7D8D6"/>
          </w:tcPr>
          <w:p>
            <w:pPr>
              <w:ind w:left="120"/>
              <w:spacing w:after="0" w:line="141" w:lineRule="exact"/>
              <w:rPr>
                <w:sz w:val="20"/>
                <w:szCs w:val="20"/>
                <w:color w:val="auto"/>
              </w:rPr>
            </w:pPr>
            <w:r>
              <w:rPr>
                <w:rFonts w:ascii="MS PGothic" w:cs="MS PGothic" w:eastAsia="MS PGothic" w:hAnsi="MS PGothic"/>
                <w:sz w:val="14"/>
                <w:szCs w:val="14"/>
                <w:color w:val="481F6E"/>
              </w:rPr>
              <w:t>◗</w:t>
            </w:r>
          </w:p>
        </w:tc>
        <w:tc>
          <w:tcPr>
            <w:tcW w:w="878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CFO: 5x base salary</w:t>
            </w:r>
          </w:p>
        </w:tc>
        <w:tc>
          <w:tcPr>
            <w:tcW w:w="0" w:type="dxa"/>
            <w:vAlign w:val="bottom"/>
          </w:tcPr>
          <w:p>
            <w:pPr>
              <w:spacing w:after="0"/>
              <w:rPr>
                <w:sz w:val="1"/>
                <w:szCs w:val="1"/>
                <w:color w:val="auto"/>
              </w:rPr>
            </w:pPr>
          </w:p>
        </w:tc>
      </w:tr>
      <w:tr>
        <w:trPr>
          <w:trHeight w:val="251"/>
        </w:trPr>
        <w:tc>
          <w:tcPr>
            <w:tcW w:w="2180" w:type="dxa"/>
            <w:vAlign w:val="bottom"/>
            <w:shd w:val="clear" w:color="auto" w:fill="481F6E"/>
          </w:tcPr>
          <w:p>
            <w:pPr>
              <w:spacing w:after="0"/>
              <w:rPr>
                <w:sz w:val="21"/>
                <w:szCs w:val="21"/>
                <w:color w:val="auto"/>
              </w:rPr>
            </w:pPr>
          </w:p>
        </w:tc>
        <w:tc>
          <w:tcPr>
            <w:tcW w:w="9080" w:type="dxa"/>
            <w:vAlign w:val="bottom"/>
            <w:gridSpan w:val="2"/>
            <w:shd w:val="clear" w:color="auto" w:fill="D7D8D6"/>
          </w:tcPr>
          <w:p>
            <w:pPr>
              <w:ind w:left="120"/>
              <w:spacing w:after="0" w:line="161" w:lineRule="exact"/>
              <w:rPr>
                <w:sz w:val="20"/>
                <w:szCs w:val="20"/>
                <w:color w:val="auto"/>
              </w:rPr>
            </w:pPr>
            <w:r>
              <w:rPr>
                <w:rFonts w:ascii="MS PGothic" w:cs="MS PGothic" w:eastAsia="MS PGothic" w:hAnsi="MS PGothic"/>
                <w:sz w:val="14"/>
                <w:szCs w:val="14"/>
                <w:color w:val="481F6E"/>
              </w:rPr>
              <w:t>◗</w:t>
            </w:r>
            <w:r>
              <w:rPr>
                <w:rFonts w:ascii="Arial" w:cs="Arial" w:eastAsia="Arial" w:hAnsi="Arial"/>
                <w:sz w:val="14"/>
                <w:szCs w:val="14"/>
                <w:color w:val="333740"/>
              </w:rPr>
              <w:t xml:space="preserve">  Other executive officers: 3x base salary</w:t>
            </w:r>
          </w:p>
        </w:tc>
        <w:tc>
          <w:tcPr>
            <w:tcW w:w="0" w:type="dxa"/>
            <w:vAlign w:val="bottom"/>
          </w:tcPr>
          <w:p>
            <w:pPr>
              <w:spacing w:after="0"/>
              <w:rPr>
                <w:sz w:val="1"/>
                <w:szCs w:val="1"/>
                <w:color w:val="auto"/>
              </w:rPr>
            </w:pPr>
          </w:p>
        </w:tc>
      </w:tr>
      <w:tr>
        <w:trPr>
          <w:trHeight w:val="272"/>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Qualifying Share</w:t>
            </w:r>
          </w:p>
        </w:tc>
        <w:tc>
          <w:tcPr>
            <w:tcW w:w="300" w:type="dxa"/>
            <w:vAlign w:val="bottom"/>
            <w:shd w:val="clear" w:color="auto" w:fill="D7D8D6"/>
          </w:tcPr>
          <w:p>
            <w:pPr>
              <w:ind w:left="120"/>
              <w:spacing w:after="0" w:line="141" w:lineRule="exact"/>
              <w:rPr>
                <w:sz w:val="20"/>
                <w:szCs w:val="20"/>
                <w:color w:val="auto"/>
              </w:rPr>
            </w:pPr>
            <w:r>
              <w:rPr>
                <w:rFonts w:ascii="MS PGothic" w:cs="MS PGothic" w:eastAsia="MS PGothic" w:hAnsi="MS PGothic"/>
                <w:sz w:val="14"/>
                <w:szCs w:val="14"/>
                <w:color w:val="481F6E"/>
              </w:rPr>
              <w:t>◗</w:t>
            </w:r>
          </w:p>
        </w:tc>
        <w:tc>
          <w:tcPr>
            <w:tcW w:w="878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Ordinary shares owned outright</w:t>
            </w:r>
          </w:p>
        </w:tc>
        <w:tc>
          <w:tcPr>
            <w:tcW w:w="0" w:type="dxa"/>
            <w:vAlign w:val="bottom"/>
          </w:tcPr>
          <w:p>
            <w:pPr>
              <w:spacing w:after="0"/>
              <w:rPr>
                <w:sz w:val="1"/>
                <w:szCs w:val="1"/>
                <w:color w:val="auto"/>
              </w:rPr>
            </w:pPr>
          </w:p>
        </w:tc>
      </w:tr>
      <w:tr>
        <w:trPr>
          <w:trHeight w:val="190"/>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Interests</w:t>
            </w:r>
          </w:p>
        </w:tc>
        <w:tc>
          <w:tcPr>
            <w:tcW w:w="9080" w:type="dxa"/>
            <w:vAlign w:val="bottom"/>
            <w:gridSpan w:val="2"/>
            <w:vMerge w:val="restart"/>
            <w:shd w:val="clear" w:color="auto" w:fill="D7D8D6"/>
          </w:tcPr>
          <w:p>
            <w:pPr>
              <w:ind w:left="120"/>
              <w:spacing w:after="0" w:line="161" w:lineRule="exact"/>
              <w:rPr>
                <w:sz w:val="20"/>
                <w:szCs w:val="20"/>
                <w:color w:val="auto"/>
              </w:rPr>
            </w:pPr>
            <w:r>
              <w:rPr>
                <w:rFonts w:ascii="MS PGothic" w:cs="MS PGothic" w:eastAsia="MS PGothic" w:hAnsi="MS PGothic"/>
                <w:sz w:val="14"/>
                <w:szCs w:val="14"/>
                <w:color w:val="481F6E"/>
              </w:rPr>
              <w:t>◗</w:t>
            </w:r>
            <w:r>
              <w:rPr>
                <w:rFonts w:ascii="Arial" w:cs="Arial" w:eastAsia="Arial" w:hAnsi="Arial"/>
                <w:sz w:val="14"/>
                <w:szCs w:val="14"/>
                <w:color w:val="333740"/>
              </w:rPr>
              <w:t xml:space="preserve">  PSU awards where the performance period is final and approved</w:t>
            </w:r>
          </w:p>
        </w:tc>
        <w:tc>
          <w:tcPr>
            <w:tcW w:w="0" w:type="dxa"/>
            <w:vAlign w:val="bottom"/>
          </w:tcPr>
          <w:p>
            <w:pPr>
              <w:spacing w:after="0"/>
              <w:rPr>
                <w:sz w:val="1"/>
                <w:szCs w:val="1"/>
                <w:color w:val="auto"/>
              </w:rPr>
            </w:pPr>
          </w:p>
        </w:tc>
      </w:tr>
      <w:tr>
        <w:trPr>
          <w:trHeight w:val="78"/>
        </w:trPr>
        <w:tc>
          <w:tcPr>
            <w:tcW w:w="2180" w:type="dxa"/>
            <w:vAlign w:val="bottom"/>
            <w:shd w:val="clear" w:color="auto" w:fill="481F6E"/>
          </w:tcPr>
          <w:p>
            <w:pPr>
              <w:spacing w:after="0"/>
              <w:rPr>
                <w:sz w:val="6"/>
                <w:szCs w:val="6"/>
                <w:color w:val="auto"/>
              </w:rPr>
            </w:pPr>
          </w:p>
        </w:tc>
        <w:tc>
          <w:tcPr>
            <w:tcW w:w="9080" w:type="dxa"/>
            <w:vAlign w:val="bottom"/>
            <w:gridSpan w:val="2"/>
            <w:vMerge w:val="continue"/>
            <w:shd w:val="clear" w:color="auto" w:fill="D7D8D6"/>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180" w:type="dxa"/>
            <w:vAlign w:val="bottom"/>
            <w:shd w:val="clear" w:color="auto" w:fill="481F6E"/>
          </w:tcPr>
          <w:p>
            <w:pPr>
              <w:spacing w:after="0"/>
              <w:rPr>
                <w:sz w:val="19"/>
                <w:szCs w:val="19"/>
                <w:color w:val="auto"/>
              </w:rPr>
            </w:pPr>
          </w:p>
        </w:tc>
        <w:tc>
          <w:tcPr>
            <w:tcW w:w="300" w:type="dxa"/>
            <w:vAlign w:val="bottom"/>
            <w:shd w:val="clear" w:color="auto" w:fill="D7D8D6"/>
          </w:tcPr>
          <w:p>
            <w:pPr>
              <w:ind w:left="120"/>
              <w:spacing w:after="0" w:line="141" w:lineRule="exact"/>
              <w:rPr>
                <w:sz w:val="20"/>
                <w:szCs w:val="20"/>
                <w:color w:val="auto"/>
              </w:rPr>
            </w:pPr>
            <w:r>
              <w:rPr>
                <w:rFonts w:ascii="MS PGothic" w:cs="MS PGothic" w:eastAsia="MS PGothic" w:hAnsi="MS PGothic"/>
                <w:sz w:val="14"/>
                <w:szCs w:val="14"/>
                <w:color w:val="481F6E"/>
              </w:rPr>
              <w:t>◗</w:t>
            </w:r>
          </w:p>
        </w:tc>
        <w:tc>
          <w:tcPr>
            <w:tcW w:w="878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Unvested RSUs</w:t>
            </w:r>
          </w:p>
        </w:tc>
        <w:tc>
          <w:tcPr>
            <w:tcW w:w="0" w:type="dxa"/>
            <w:vAlign w:val="bottom"/>
          </w:tcPr>
          <w:p>
            <w:pPr>
              <w:spacing w:after="0"/>
              <w:rPr>
                <w:sz w:val="1"/>
                <w:szCs w:val="1"/>
                <w:color w:val="auto"/>
              </w:rPr>
            </w:pPr>
          </w:p>
        </w:tc>
      </w:tr>
      <w:tr>
        <w:trPr>
          <w:trHeight w:val="283"/>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Time for</w:t>
            </w:r>
          </w:p>
        </w:tc>
        <w:tc>
          <w:tcPr>
            <w:tcW w:w="300" w:type="dxa"/>
            <w:vAlign w:val="bottom"/>
            <w:shd w:val="clear" w:color="auto" w:fill="D7D8D6"/>
          </w:tcPr>
          <w:p>
            <w:pPr>
              <w:ind w:left="120"/>
              <w:spacing w:after="0" w:line="141" w:lineRule="exact"/>
              <w:rPr>
                <w:sz w:val="20"/>
                <w:szCs w:val="20"/>
                <w:color w:val="auto"/>
              </w:rPr>
            </w:pPr>
            <w:r>
              <w:rPr>
                <w:rFonts w:ascii="MS PGothic" w:cs="MS PGothic" w:eastAsia="MS PGothic" w:hAnsi="MS PGothic"/>
                <w:sz w:val="14"/>
                <w:szCs w:val="14"/>
                <w:color w:val="481F6E"/>
              </w:rPr>
              <w:t>◗</w:t>
            </w:r>
          </w:p>
        </w:tc>
        <w:tc>
          <w:tcPr>
            <w:tcW w:w="878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Five years from the effective date of appointment</w:t>
            </w:r>
          </w:p>
        </w:tc>
        <w:tc>
          <w:tcPr>
            <w:tcW w:w="0" w:type="dxa"/>
            <w:vAlign w:val="bottom"/>
          </w:tcPr>
          <w:p>
            <w:pPr>
              <w:spacing w:after="0"/>
              <w:rPr>
                <w:sz w:val="1"/>
                <w:szCs w:val="1"/>
                <w:color w:val="auto"/>
              </w:rPr>
            </w:pPr>
          </w:p>
        </w:tc>
      </w:tr>
      <w:tr>
        <w:trPr>
          <w:trHeight w:val="179"/>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color w:val="FFFFFF"/>
              </w:rPr>
              <w:t>Achievement</w:t>
            </w:r>
          </w:p>
        </w:tc>
        <w:tc>
          <w:tcPr>
            <w:tcW w:w="9080" w:type="dxa"/>
            <w:vAlign w:val="bottom"/>
            <w:gridSpan w:val="2"/>
            <w:vMerge w:val="restart"/>
            <w:shd w:val="clear" w:color="auto" w:fill="D7D8D6"/>
          </w:tcPr>
          <w:p>
            <w:pPr>
              <w:ind w:left="120"/>
              <w:spacing w:after="0" w:line="161" w:lineRule="exact"/>
              <w:rPr>
                <w:sz w:val="20"/>
                <w:szCs w:val="20"/>
                <w:color w:val="auto"/>
              </w:rPr>
            </w:pPr>
            <w:r>
              <w:rPr>
                <w:rFonts w:ascii="MS PGothic" w:cs="MS PGothic" w:eastAsia="MS PGothic" w:hAnsi="MS PGothic"/>
                <w:sz w:val="14"/>
                <w:szCs w:val="14"/>
                <w:color w:val="481F6E"/>
              </w:rPr>
              <w:t>◗</w:t>
            </w:r>
            <w:r>
              <w:rPr>
                <w:rFonts w:ascii="Arial" w:cs="Arial" w:eastAsia="Arial" w:hAnsi="Arial"/>
                <w:sz w:val="14"/>
                <w:szCs w:val="14"/>
                <w:color w:val="333740"/>
              </w:rPr>
              <w:t xml:space="preserve">  Pro rata requirement of 20% per year applies within the first five years</w:t>
            </w:r>
          </w:p>
        </w:tc>
        <w:tc>
          <w:tcPr>
            <w:tcW w:w="0" w:type="dxa"/>
            <w:vAlign w:val="bottom"/>
          </w:tcPr>
          <w:p>
            <w:pPr>
              <w:spacing w:after="0"/>
              <w:rPr>
                <w:sz w:val="1"/>
                <w:szCs w:val="1"/>
                <w:color w:val="auto"/>
              </w:rPr>
            </w:pPr>
          </w:p>
        </w:tc>
      </w:tr>
      <w:tr>
        <w:trPr>
          <w:trHeight w:val="88"/>
        </w:trPr>
        <w:tc>
          <w:tcPr>
            <w:tcW w:w="2180" w:type="dxa"/>
            <w:vAlign w:val="bottom"/>
            <w:shd w:val="clear" w:color="auto" w:fill="481F6E"/>
          </w:tcPr>
          <w:p>
            <w:pPr>
              <w:spacing w:after="0"/>
              <w:rPr>
                <w:sz w:val="7"/>
                <w:szCs w:val="7"/>
                <w:color w:val="auto"/>
              </w:rPr>
            </w:pPr>
          </w:p>
        </w:tc>
        <w:tc>
          <w:tcPr>
            <w:tcW w:w="9080" w:type="dxa"/>
            <w:vAlign w:val="bottom"/>
            <w:gridSpan w:val="2"/>
            <w:vMerge w:val="continue"/>
            <w:shd w:val="clear" w:color="auto" w:fill="D7D8D6"/>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Consequences for Non-</w:t>
            </w:r>
          </w:p>
        </w:tc>
        <w:tc>
          <w:tcPr>
            <w:tcW w:w="300" w:type="dxa"/>
            <w:vAlign w:val="bottom"/>
            <w:shd w:val="clear" w:color="auto" w:fill="D7D8D6"/>
          </w:tcPr>
          <w:p>
            <w:pPr>
              <w:ind w:left="120"/>
              <w:spacing w:after="0" w:line="141" w:lineRule="exact"/>
              <w:rPr>
                <w:sz w:val="20"/>
                <w:szCs w:val="20"/>
                <w:color w:val="auto"/>
              </w:rPr>
            </w:pPr>
            <w:r>
              <w:rPr>
                <w:rFonts w:ascii="MS PGothic" w:cs="MS PGothic" w:eastAsia="MS PGothic" w:hAnsi="MS PGothic"/>
                <w:sz w:val="14"/>
                <w:szCs w:val="14"/>
                <w:color w:val="481F6E"/>
              </w:rPr>
              <w:t>◗</w:t>
            </w:r>
          </w:p>
        </w:tc>
        <w:tc>
          <w:tcPr>
            <w:tcW w:w="878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At the discretion of the Board of Directors</w:t>
            </w:r>
          </w:p>
        </w:tc>
        <w:tc>
          <w:tcPr>
            <w:tcW w:w="0" w:type="dxa"/>
            <w:vAlign w:val="bottom"/>
          </w:tcPr>
          <w:p>
            <w:pPr>
              <w:spacing w:after="0"/>
              <w:rPr>
                <w:sz w:val="1"/>
                <w:szCs w:val="1"/>
                <w:color w:val="auto"/>
              </w:rPr>
            </w:pPr>
          </w:p>
        </w:tc>
      </w:tr>
      <w:tr>
        <w:trPr>
          <w:trHeight w:val="190"/>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Achievement</w:t>
            </w:r>
          </w:p>
        </w:tc>
        <w:tc>
          <w:tcPr>
            <w:tcW w:w="300" w:type="dxa"/>
            <w:vAlign w:val="bottom"/>
            <w:shd w:val="clear" w:color="auto" w:fill="D7D8D6"/>
          </w:tcPr>
          <w:p>
            <w:pPr>
              <w:spacing w:after="0"/>
              <w:rPr>
                <w:sz w:val="16"/>
                <w:szCs w:val="16"/>
                <w:color w:val="auto"/>
              </w:rPr>
            </w:pPr>
          </w:p>
        </w:tc>
        <w:tc>
          <w:tcPr>
            <w:tcW w:w="8780" w:type="dxa"/>
            <w:vAlign w:val="bottom"/>
            <w:shd w:val="clear" w:color="auto" w:fill="D7D8D6"/>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180" w:type="dxa"/>
            <w:vAlign w:val="bottom"/>
            <w:shd w:val="clear" w:color="auto" w:fill="481F6E"/>
          </w:tcPr>
          <w:p>
            <w:pPr>
              <w:ind w:left="140"/>
              <w:spacing w:after="0"/>
              <w:rPr>
                <w:sz w:val="20"/>
                <w:szCs w:val="20"/>
                <w:color w:val="auto"/>
              </w:rPr>
            </w:pPr>
            <w:r>
              <w:rPr>
                <w:rFonts w:ascii="Arial" w:cs="Arial" w:eastAsia="Arial" w:hAnsi="Arial"/>
                <w:sz w:val="14"/>
                <w:szCs w:val="14"/>
                <w:b w:val="1"/>
                <w:bCs w:val="1"/>
                <w:color w:val="FFFFFF"/>
              </w:rPr>
              <w:t>Retention Requirement</w:t>
            </w:r>
          </w:p>
        </w:tc>
        <w:tc>
          <w:tcPr>
            <w:tcW w:w="300" w:type="dxa"/>
            <w:vAlign w:val="bottom"/>
            <w:shd w:val="clear" w:color="auto" w:fill="D7D8D6"/>
          </w:tcPr>
          <w:p>
            <w:pPr>
              <w:ind w:left="120"/>
              <w:spacing w:after="0" w:line="141" w:lineRule="exact"/>
              <w:rPr>
                <w:sz w:val="20"/>
                <w:szCs w:val="20"/>
                <w:color w:val="auto"/>
              </w:rPr>
            </w:pPr>
            <w:r>
              <w:rPr>
                <w:rFonts w:ascii="MS PGothic" w:cs="MS PGothic" w:eastAsia="MS PGothic" w:hAnsi="MS PGothic"/>
                <w:sz w:val="14"/>
                <w:szCs w:val="14"/>
                <w:color w:val="481F6E"/>
              </w:rPr>
              <w:t>◗</w:t>
            </w:r>
          </w:p>
        </w:tc>
        <w:tc>
          <w:tcPr>
            <w:tcW w:w="8780" w:type="dxa"/>
            <w:vAlign w:val="bottom"/>
            <w:shd w:val="clear" w:color="auto" w:fill="D7D8D6"/>
          </w:tcPr>
          <w:p>
            <w:pPr>
              <w:ind w:left="100"/>
              <w:spacing w:after="0"/>
              <w:rPr>
                <w:sz w:val="20"/>
                <w:szCs w:val="20"/>
                <w:color w:val="auto"/>
              </w:rPr>
            </w:pPr>
            <w:r>
              <w:rPr>
                <w:rFonts w:ascii="Arial" w:cs="Arial" w:eastAsia="Arial" w:hAnsi="Arial"/>
                <w:sz w:val="14"/>
                <w:szCs w:val="14"/>
                <w:color w:val="333740"/>
              </w:rPr>
              <w:t>50% of the after-tax RSUs must be retained for at least one year following vesting</w:t>
            </w:r>
          </w:p>
        </w:tc>
        <w:tc>
          <w:tcPr>
            <w:tcW w:w="0" w:type="dxa"/>
            <w:vAlign w:val="bottom"/>
          </w:tcPr>
          <w:p>
            <w:pPr>
              <w:spacing w:after="0"/>
              <w:rPr>
                <w:sz w:val="1"/>
                <w:szCs w:val="1"/>
                <w:color w:val="auto"/>
              </w:rPr>
            </w:pPr>
          </w:p>
        </w:tc>
      </w:tr>
      <w:tr>
        <w:trPr>
          <w:trHeight w:val="221"/>
        </w:trPr>
        <w:tc>
          <w:tcPr>
            <w:tcW w:w="2180" w:type="dxa"/>
            <w:vAlign w:val="bottom"/>
            <w:shd w:val="clear" w:color="auto" w:fill="481F6E"/>
          </w:tcPr>
          <w:p>
            <w:pPr>
              <w:spacing w:after="0"/>
              <w:rPr>
                <w:sz w:val="19"/>
                <w:szCs w:val="19"/>
                <w:color w:val="auto"/>
              </w:rPr>
            </w:pPr>
          </w:p>
        </w:tc>
        <w:tc>
          <w:tcPr>
            <w:tcW w:w="9080" w:type="dxa"/>
            <w:vAlign w:val="bottom"/>
            <w:gridSpan w:val="2"/>
            <w:shd w:val="clear" w:color="auto" w:fill="D7D8D6"/>
          </w:tcPr>
          <w:p>
            <w:pPr>
              <w:ind w:left="120"/>
              <w:spacing w:after="0" w:line="161" w:lineRule="exact"/>
              <w:rPr>
                <w:sz w:val="20"/>
                <w:szCs w:val="20"/>
                <w:color w:val="auto"/>
              </w:rPr>
            </w:pPr>
            <w:r>
              <w:rPr>
                <w:rFonts w:ascii="MS PGothic" w:cs="MS PGothic" w:eastAsia="MS PGothic" w:hAnsi="MS PGothic"/>
                <w:sz w:val="14"/>
                <w:szCs w:val="14"/>
                <w:color w:val="481F6E"/>
              </w:rPr>
              <w:t>◗</w:t>
            </w:r>
            <w:r>
              <w:rPr>
                <w:rFonts w:ascii="Arial" w:cs="Arial" w:eastAsia="Arial" w:hAnsi="Arial"/>
                <w:sz w:val="14"/>
                <w:szCs w:val="14"/>
                <w:color w:val="333740"/>
              </w:rPr>
              <w:t xml:space="preserve">  Applies regardless of whether an executive has met the ownership requirement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-325755</wp:posOffset>
            </wp:positionV>
            <wp:extent cx="7148195"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-614045</wp:posOffset>
            </wp:positionV>
            <wp:extent cx="7148195"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-963295</wp:posOffset>
            </wp:positionV>
            <wp:extent cx="7148195"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-1448435</wp:posOffset>
            </wp:positionV>
            <wp:extent cx="7148195"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15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Insider Trading and Speculation in Company Stock</w:t>
      </w:r>
    </w:p>
    <w:p>
      <w:pPr>
        <w:spacing w:after="0" w:line="51" w:lineRule="exact"/>
        <w:rPr>
          <w:sz w:val="20"/>
          <w:szCs w:val="20"/>
          <w:color w:val="auto"/>
        </w:rPr>
      </w:pPr>
    </w:p>
    <w:p>
      <w:pPr>
        <w:ind w:left="4" w:right="100"/>
        <w:spacing w:after="0" w:line="233" w:lineRule="auto"/>
        <w:rPr>
          <w:sz w:val="20"/>
          <w:szCs w:val="20"/>
          <w:color w:val="auto"/>
        </w:rPr>
      </w:pPr>
      <w:r>
        <w:rPr>
          <w:rFonts w:ascii="Arial" w:cs="Arial" w:eastAsia="Arial" w:hAnsi="Arial"/>
          <w:sz w:val="16"/>
          <w:szCs w:val="16"/>
          <w:color w:val="333740"/>
        </w:rPr>
        <w:t>Our officers, directors, and employees are prohibited from engaging in discretionary transactions involving our securities while in possession of material, non-public information or otherwise using such information in any manner that would violate applicable laws and regulations. All such individuals are also prohibited from directly or indirectly</w:t>
      </w:r>
    </w:p>
    <w:p>
      <w:pPr>
        <w:spacing w:after="0" w:line="2" w:lineRule="exact"/>
        <w:rPr>
          <w:sz w:val="20"/>
          <w:szCs w:val="20"/>
          <w:color w:val="auto"/>
        </w:rPr>
      </w:pPr>
    </w:p>
    <w:p>
      <w:pPr>
        <w:ind w:left="4" w:right="220"/>
        <w:spacing w:after="0" w:line="276" w:lineRule="auto"/>
        <w:rPr>
          <w:sz w:val="20"/>
          <w:szCs w:val="20"/>
          <w:color w:val="auto"/>
        </w:rPr>
      </w:pPr>
      <w:r>
        <w:rPr>
          <w:rFonts w:ascii="Arial" w:cs="Arial" w:eastAsia="Arial" w:hAnsi="Arial"/>
          <w:sz w:val="15"/>
          <w:szCs w:val="15"/>
          <w:color w:val="333740"/>
        </w:rPr>
        <w:t>speculating in Ordinary Shares, including derivative transactions, hedging and pledging activities, short selling, the sale or purchase of options in Ordinary Shares, and borrowing against Ordinary Shares. Our Insider Trading Policy aims to align management’s economic ownership risk with those of shareholders.</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Tax Considerations</w:t>
      </w:r>
    </w:p>
    <w:p>
      <w:pPr>
        <w:spacing w:after="0" w:line="91" w:lineRule="exact"/>
        <w:rPr>
          <w:sz w:val="20"/>
          <w:szCs w:val="20"/>
          <w:color w:val="auto"/>
        </w:rPr>
      </w:pPr>
    </w:p>
    <w:p>
      <w:pPr>
        <w:ind w:left="4" w:right="80"/>
        <w:spacing w:after="0" w:line="236" w:lineRule="auto"/>
        <w:rPr>
          <w:sz w:val="20"/>
          <w:szCs w:val="20"/>
          <w:color w:val="auto"/>
        </w:rPr>
      </w:pPr>
      <w:r>
        <w:rPr>
          <w:rFonts w:ascii="Arial" w:cs="Arial" w:eastAsia="Arial" w:hAnsi="Arial"/>
          <w:sz w:val="16"/>
          <w:szCs w:val="16"/>
          <w:color w:val="333740"/>
        </w:rPr>
        <w:t>Section 162(m) of the U.S. tax code limits the deductibility of compensation in excess of $ 1 million paid to U.S.-based NEOs in any calendar year. Under the U.S. tax rules in effect before 2018, compensation that qualified as “performance- based” under Section 162(m) was deductible without regard to this $1 million limit. However, the U.S. Tax Cuts and Jobs Act of 2017 (the “</w:t>
      </w:r>
      <w:r>
        <w:rPr>
          <w:rFonts w:ascii="Arial" w:cs="Arial" w:eastAsia="Arial" w:hAnsi="Arial"/>
          <w:sz w:val="16"/>
          <w:szCs w:val="16"/>
          <w:b w:val="1"/>
          <w:bCs w:val="1"/>
          <w:color w:val="333740"/>
        </w:rPr>
        <w:t>TCJA</w:t>
      </w:r>
      <w:r>
        <w:rPr>
          <w:rFonts w:ascii="Arial" w:cs="Arial" w:eastAsia="Arial" w:hAnsi="Arial"/>
          <w:sz w:val="16"/>
          <w:szCs w:val="16"/>
          <w:color w:val="333740"/>
        </w:rPr>
        <w:t>”) eliminated this performance-based compensation exception effective January 1, 2018, such that any compensation awarded on or after January 1, 2018 in excess of $1 million to our U.S.-based NEOs generally is not deductible. While the TCJA limits the deductibility of compensation paid to our U.S.-based NEOs, such limitations have not had and will not have a material impact on the Company’s executive compensation program. Our Compensation Committee will continue to structure our compensation program in the best long-term interests of our shareholders.</w:t>
      </w:r>
    </w:p>
    <w:p>
      <w:pPr>
        <w:spacing w:after="0" w:line="316" w:lineRule="exact"/>
        <w:rPr>
          <w:sz w:val="20"/>
          <w:szCs w:val="20"/>
          <w:color w:val="auto"/>
        </w:rPr>
      </w:pPr>
    </w:p>
    <w:p>
      <w:pPr>
        <w:ind w:left="564" w:hanging="564"/>
        <w:spacing w:after="0"/>
        <w:tabs>
          <w:tab w:leader="none" w:pos="564" w:val="left"/>
        </w:tabs>
        <w:numPr>
          <w:ilvl w:val="0"/>
          <w:numId w:val="10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91" w:name="page92"/>
    <w:bookmarkEnd w:id="91"/>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3"/>
          <w:szCs w:val="33"/>
          <w:color w:val="481F6E"/>
        </w:rPr>
        <w:t>Summary Compensation Table for the Year Ended December 31, 2019</w:t>
      </w:r>
    </w:p>
    <w:p>
      <w:pPr>
        <w:spacing w:after="0" w:line="54" w:lineRule="exact"/>
        <w:rPr>
          <w:sz w:val="20"/>
          <w:szCs w:val="20"/>
          <w:color w:val="auto"/>
        </w:rPr>
      </w:pPr>
    </w:p>
    <w:p>
      <w:pPr>
        <w:ind w:left="4" w:right="140"/>
        <w:spacing w:after="0" w:line="244" w:lineRule="auto"/>
        <w:rPr>
          <w:sz w:val="20"/>
          <w:szCs w:val="20"/>
          <w:color w:val="auto"/>
        </w:rPr>
      </w:pPr>
      <w:r>
        <w:rPr>
          <w:rFonts w:ascii="Arial" w:cs="Arial" w:eastAsia="Arial" w:hAnsi="Arial"/>
          <w:sz w:val="16"/>
          <w:szCs w:val="16"/>
          <w:color w:val="333740"/>
        </w:rPr>
        <w:t>The following table summarizes the compensation earned by each of the NEOs from all sources for services rendered in all of their capacities to the Company during the fiscal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6510655</wp:posOffset>
            </wp:positionH>
            <wp:positionV relativeFrom="paragraph">
              <wp:posOffset>111760</wp:posOffset>
            </wp:positionV>
            <wp:extent cx="7620" cy="6070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20" cy="607060"/>
                    </a:xfrm>
                    <a:prstGeom prst="rect">
                      <a:avLst/>
                    </a:prstGeom>
                    <a:noFill/>
                  </pic:spPr>
                </pic:pic>
              </a:graphicData>
            </a:graphic>
          </wp:anchor>
        </w:drawing>
        <w:drawing>
          <wp:anchor simplePos="0" relativeHeight="251657728" behindDoc="1" locked="0" layoutInCell="0" allowOverlap="1">
            <wp:simplePos x="0" y="0"/>
            <wp:positionH relativeFrom="column">
              <wp:posOffset>5744210</wp:posOffset>
            </wp:positionH>
            <wp:positionV relativeFrom="paragraph">
              <wp:posOffset>111760</wp:posOffset>
            </wp:positionV>
            <wp:extent cx="7620" cy="6070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20" cy="607060"/>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111760</wp:posOffset>
            </wp:positionV>
            <wp:extent cx="7620" cy="6070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620" cy="607060"/>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111760</wp:posOffset>
            </wp:positionV>
            <wp:extent cx="7620" cy="6070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20" cy="60706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111760</wp:posOffset>
            </wp:positionV>
            <wp:extent cx="7620" cy="6070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20" cy="60706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111760</wp:posOffset>
            </wp:positionV>
            <wp:extent cx="7620" cy="6070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20" cy="607060"/>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111760</wp:posOffset>
            </wp:positionV>
            <wp:extent cx="7620" cy="6070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20" cy="607060"/>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111760</wp:posOffset>
            </wp:positionV>
            <wp:extent cx="7620" cy="6070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20" cy="607060"/>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111760</wp:posOffset>
            </wp:positionV>
            <wp:extent cx="7620" cy="6070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620" cy="607060"/>
                    </a:xfrm>
                    <a:prstGeom prst="rect">
                      <a:avLst/>
                    </a:prstGeom>
                    <a:noFill/>
                  </pic:spPr>
                </pic:pic>
              </a:graphicData>
            </a:graphic>
          </wp:anchor>
        </w:drawing>
      </w:r>
    </w:p>
    <w:p>
      <w:pPr>
        <w:spacing w:after="0" w:line="156" w:lineRule="exact"/>
        <w:rPr>
          <w:sz w:val="20"/>
          <w:szCs w:val="20"/>
          <w:color w:val="auto"/>
        </w:rPr>
      </w:pPr>
    </w:p>
    <w:tbl>
      <w:tblPr>
        <w:tblLayout w:type="fixed"/>
        <w:tblInd w:w="4" w:type="dxa"/>
        <w:tblCellMar>
          <w:top w:w="0" w:type="dxa"/>
          <w:left w:w="0" w:type="dxa"/>
          <w:bottom w:w="0" w:type="dxa"/>
          <w:right w:w="0" w:type="dxa"/>
        </w:tblCellMar>
      </w:tblPr>
      <w:tr>
        <w:trPr>
          <w:trHeight w:val="200"/>
        </w:trPr>
        <w:tc>
          <w:tcPr>
            <w:tcW w:w="1700" w:type="dxa"/>
            <w:vAlign w:val="bottom"/>
            <w:shd w:val="clear" w:color="auto" w:fill="481F6E"/>
          </w:tcPr>
          <w:p>
            <w:pPr>
              <w:spacing w:after="0"/>
              <w:rPr>
                <w:sz w:val="17"/>
                <w:szCs w:val="17"/>
                <w:color w:val="auto"/>
              </w:rPr>
            </w:pPr>
          </w:p>
        </w:tc>
        <w:tc>
          <w:tcPr>
            <w:tcW w:w="920" w:type="dxa"/>
            <w:vAlign w:val="bottom"/>
            <w:shd w:val="clear" w:color="auto" w:fill="481F6E"/>
          </w:tcPr>
          <w:p>
            <w:pPr>
              <w:spacing w:after="0"/>
              <w:rPr>
                <w:sz w:val="17"/>
                <w:szCs w:val="17"/>
                <w:color w:val="auto"/>
              </w:rPr>
            </w:pPr>
          </w:p>
        </w:tc>
        <w:tc>
          <w:tcPr>
            <w:tcW w:w="1160" w:type="dxa"/>
            <w:vAlign w:val="bottom"/>
            <w:shd w:val="clear" w:color="auto" w:fill="481F6E"/>
          </w:tcPr>
          <w:p>
            <w:pPr>
              <w:spacing w:after="0"/>
              <w:rPr>
                <w:sz w:val="17"/>
                <w:szCs w:val="17"/>
                <w:color w:val="auto"/>
              </w:rPr>
            </w:pPr>
          </w:p>
        </w:tc>
        <w:tc>
          <w:tcPr>
            <w:tcW w:w="1000" w:type="dxa"/>
            <w:vAlign w:val="bottom"/>
            <w:shd w:val="clear" w:color="auto" w:fill="481F6E"/>
          </w:tcPr>
          <w:p>
            <w:pPr>
              <w:spacing w:after="0"/>
              <w:rPr>
                <w:sz w:val="17"/>
                <w:szCs w:val="17"/>
                <w:color w:val="auto"/>
              </w:rPr>
            </w:pPr>
          </w:p>
        </w:tc>
        <w:tc>
          <w:tcPr>
            <w:tcW w:w="1060" w:type="dxa"/>
            <w:vAlign w:val="bottom"/>
            <w:shd w:val="clear" w:color="auto" w:fill="481F6E"/>
          </w:tcPr>
          <w:p>
            <w:pPr>
              <w:spacing w:after="0"/>
              <w:rPr>
                <w:sz w:val="17"/>
                <w:szCs w:val="17"/>
                <w:color w:val="auto"/>
              </w:rPr>
            </w:pPr>
          </w:p>
        </w:tc>
        <w:tc>
          <w:tcPr>
            <w:tcW w:w="1120" w:type="dxa"/>
            <w:vAlign w:val="bottom"/>
            <w:shd w:val="clear" w:color="auto" w:fill="481F6E"/>
          </w:tcPr>
          <w:p>
            <w:pPr>
              <w:spacing w:after="0"/>
              <w:rPr>
                <w:sz w:val="17"/>
                <w:szCs w:val="17"/>
                <w:color w:val="auto"/>
              </w:rPr>
            </w:pPr>
          </w:p>
        </w:tc>
        <w:tc>
          <w:tcPr>
            <w:tcW w:w="1120" w:type="dxa"/>
            <w:vAlign w:val="bottom"/>
            <w:shd w:val="clear" w:color="auto" w:fill="481F6E"/>
          </w:tcPr>
          <w:p>
            <w:pPr>
              <w:spacing w:after="0"/>
              <w:rPr>
                <w:sz w:val="17"/>
                <w:szCs w:val="17"/>
                <w:color w:val="auto"/>
              </w:rPr>
            </w:pPr>
          </w:p>
        </w:tc>
        <w:tc>
          <w:tcPr>
            <w:tcW w:w="1160" w:type="dxa"/>
            <w:vAlign w:val="bottom"/>
            <w:shd w:val="clear" w:color="auto" w:fill="481F6E"/>
          </w:tcPr>
          <w:p>
            <w:pPr>
              <w:jc w:val="right"/>
              <w:ind w:right="172"/>
              <w:spacing w:after="0"/>
              <w:rPr>
                <w:sz w:val="20"/>
                <w:szCs w:val="20"/>
                <w:color w:val="auto"/>
              </w:rPr>
            </w:pPr>
            <w:r>
              <w:rPr>
                <w:rFonts w:ascii="Arial" w:cs="Arial" w:eastAsia="Arial" w:hAnsi="Arial"/>
                <w:sz w:val="10"/>
                <w:szCs w:val="10"/>
                <w:b w:val="1"/>
                <w:bCs w:val="1"/>
                <w:color w:val="FFFFFF"/>
              </w:rPr>
              <w:t>Change in</w:t>
            </w:r>
          </w:p>
        </w:tc>
        <w:tc>
          <w:tcPr>
            <w:tcW w:w="1240" w:type="dxa"/>
            <w:vAlign w:val="bottom"/>
            <w:shd w:val="clear" w:color="auto" w:fill="481F6E"/>
          </w:tcPr>
          <w:p>
            <w:pPr>
              <w:spacing w:after="0"/>
              <w:rPr>
                <w:sz w:val="17"/>
                <w:szCs w:val="17"/>
                <w:color w:val="auto"/>
              </w:rPr>
            </w:pPr>
          </w:p>
        </w:tc>
        <w:tc>
          <w:tcPr>
            <w:tcW w:w="780" w:type="dxa"/>
            <w:vAlign w:val="bottom"/>
            <w:shd w:val="clear" w:color="auto" w:fill="481F6E"/>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700" w:type="dxa"/>
            <w:vAlign w:val="bottom"/>
            <w:shd w:val="clear" w:color="auto" w:fill="481F6E"/>
          </w:tcPr>
          <w:p>
            <w:pPr>
              <w:spacing w:after="0"/>
              <w:rPr>
                <w:sz w:val="10"/>
                <w:szCs w:val="10"/>
                <w:color w:val="auto"/>
              </w:rPr>
            </w:pPr>
          </w:p>
        </w:tc>
        <w:tc>
          <w:tcPr>
            <w:tcW w:w="920" w:type="dxa"/>
            <w:vAlign w:val="bottom"/>
            <w:shd w:val="clear" w:color="auto" w:fill="481F6E"/>
          </w:tcPr>
          <w:p>
            <w:pPr>
              <w:spacing w:after="0"/>
              <w:rPr>
                <w:sz w:val="10"/>
                <w:szCs w:val="10"/>
                <w:color w:val="auto"/>
              </w:rPr>
            </w:pPr>
          </w:p>
        </w:tc>
        <w:tc>
          <w:tcPr>
            <w:tcW w:w="1160" w:type="dxa"/>
            <w:vAlign w:val="bottom"/>
            <w:shd w:val="clear" w:color="auto" w:fill="481F6E"/>
          </w:tcPr>
          <w:p>
            <w:pPr>
              <w:spacing w:after="0"/>
              <w:rPr>
                <w:sz w:val="10"/>
                <w:szCs w:val="10"/>
                <w:color w:val="auto"/>
              </w:rPr>
            </w:pPr>
          </w:p>
        </w:tc>
        <w:tc>
          <w:tcPr>
            <w:tcW w:w="1000" w:type="dxa"/>
            <w:vAlign w:val="bottom"/>
            <w:shd w:val="clear" w:color="auto" w:fill="481F6E"/>
          </w:tcPr>
          <w:p>
            <w:pPr>
              <w:spacing w:after="0"/>
              <w:rPr>
                <w:sz w:val="10"/>
                <w:szCs w:val="10"/>
                <w:color w:val="auto"/>
              </w:rPr>
            </w:pPr>
          </w:p>
        </w:tc>
        <w:tc>
          <w:tcPr>
            <w:tcW w:w="1060" w:type="dxa"/>
            <w:vAlign w:val="bottom"/>
            <w:shd w:val="clear" w:color="auto" w:fill="481F6E"/>
          </w:tcPr>
          <w:p>
            <w:pPr>
              <w:spacing w:after="0"/>
              <w:rPr>
                <w:sz w:val="10"/>
                <w:szCs w:val="10"/>
                <w:color w:val="auto"/>
              </w:rPr>
            </w:pPr>
          </w:p>
        </w:tc>
        <w:tc>
          <w:tcPr>
            <w:tcW w:w="1120" w:type="dxa"/>
            <w:vAlign w:val="bottom"/>
            <w:shd w:val="clear" w:color="auto" w:fill="481F6E"/>
          </w:tcPr>
          <w:p>
            <w:pPr>
              <w:spacing w:after="0"/>
              <w:rPr>
                <w:sz w:val="10"/>
                <w:szCs w:val="10"/>
                <w:color w:val="auto"/>
              </w:rPr>
            </w:pPr>
          </w:p>
        </w:tc>
        <w:tc>
          <w:tcPr>
            <w:tcW w:w="1120" w:type="dxa"/>
            <w:vAlign w:val="bottom"/>
            <w:shd w:val="clear" w:color="auto" w:fill="481F6E"/>
          </w:tcPr>
          <w:p>
            <w:pPr>
              <w:spacing w:after="0"/>
              <w:rPr>
                <w:sz w:val="10"/>
                <w:szCs w:val="10"/>
                <w:color w:val="auto"/>
              </w:rPr>
            </w:pPr>
          </w:p>
        </w:tc>
        <w:tc>
          <w:tcPr>
            <w:tcW w:w="1160" w:type="dxa"/>
            <w:vAlign w:val="bottom"/>
            <w:shd w:val="clear" w:color="auto" w:fill="481F6E"/>
          </w:tcPr>
          <w:p>
            <w:pPr>
              <w:jc w:val="right"/>
              <w:ind w:right="172"/>
              <w:spacing w:after="0"/>
              <w:rPr>
                <w:sz w:val="20"/>
                <w:szCs w:val="20"/>
                <w:color w:val="auto"/>
              </w:rPr>
            </w:pPr>
            <w:r>
              <w:rPr>
                <w:rFonts w:ascii="Arial" w:cs="Arial" w:eastAsia="Arial" w:hAnsi="Arial"/>
                <w:sz w:val="10"/>
                <w:szCs w:val="10"/>
                <w:b w:val="1"/>
                <w:bCs w:val="1"/>
                <w:color w:val="FFFFFF"/>
              </w:rPr>
              <w:t>Pension</w:t>
            </w:r>
          </w:p>
        </w:tc>
        <w:tc>
          <w:tcPr>
            <w:tcW w:w="1240" w:type="dxa"/>
            <w:vAlign w:val="bottom"/>
            <w:shd w:val="clear" w:color="auto" w:fill="481F6E"/>
          </w:tcPr>
          <w:p>
            <w:pPr>
              <w:spacing w:after="0"/>
              <w:rPr>
                <w:sz w:val="10"/>
                <w:szCs w:val="10"/>
                <w:color w:val="auto"/>
              </w:rPr>
            </w:pPr>
          </w:p>
        </w:tc>
        <w:tc>
          <w:tcPr>
            <w:tcW w:w="780" w:type="dxa"/>
            <w:vAlign w:val="bottom"/>
            <w:shd w:val="clear" w:color="auto" w:fill="481F6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700" w:type="dxa"/>
            <w:vAlign w:val="bottom"/>
            <w:shd w:val="clear" w:color="auto" w:fill="481F6E"/>
          </w:tcPr>
          <w:p>
            <w:pPr>
              <w:spacing w:after="0"/>
              <w:rPr>
                <w:sz w:val="10"/>
                <w:szCs w:val="10"/>
                <w:color w:val="auto"/>
              </w:rPr>
            </w:pPr>
          </w:p>
        </w:tc>
        <w:tc>
          <w:tcPr>
            <w:tcW w:w="920" w:type="dxa"/>
            <w:vAlign w:val="bottom"/>
            <w:shd w:val="clear" w:color="auto" w:fill="481F6E"/>
          </w:tcPr>
          <w:p>
            <w:pPr>
              <w:spacing w:after="0"/>
              <w:rPr>
                <w:sz w:val="10"/>
                <w:szCs w:val="10"/>
                <w:color w:val="auto"/>
              </w:rPr>
            </w:pPr>
          </w:p>
        </w:tc>
        <w:tc>
          <w:tcPr>
            <w:tcW w:w="1160" w:type="dxa"/>
            <w:vAlign w:val="bottom"/>
            <w:shd w:val="clear" w:color="auto" w:fill="481F6E"/>
          </w:tcPr>
          <w:p>
            <w:pPr>
              <w:spacing w:after="0"/>
              <w:rPr>
                <w:sz w:val="10"/>
                <w:szCs w:val="10"/>
                <w:color w:val="auto"/>
              </w:rPr>
            </w:pPr>
          </w:p>
        </w:tc>
        <w:tc>
          <w:tcPr>
            <w:tcW w:w="1000" w:type="dxa"/>
            <w:vAlign w:val="bottom"/>
            <w:shd w:val="clear" w:color="auto" w:fill="481F6E"/>
          </w:tcPr>
          <w:p>
            <w:pPr>
              <w:spacing w:after="0"/>
              <w:rPr>
                <w:sz w:val="10"/>
                <w:szCs w:val="10"/>
                <w:color w:val="auto"/>
              </w:rPr>
            </w:pPr>
          </w:p>
        </w:tc>
        <w:tc>
          <w:tcPr>
            <w:tcW w:w="1060" w:type="dxa"/>
            <w:vAlign w:val="bottom"/>
            <w:shd w:val="clear" w:color="auto" w:fill="481F6E"/>
          </w:tcPr>
          <w:p>
            <w:pPr>
              <w:spacing w:after="0"/>
              <w:rPr>
                <w:sz w:val="10"/>
                <w:szCs w:val="10"/>
                <w:color w:val="auto"/>
              </w:rPr>
            </w:pPr>
          </w:p>
        </w:tc>
        <w:tc>
          <w:tcPr>
            <w:tcW w:w="1120" w:type="dxa"/>
            <w:vAlign w:val="bottom"/>
            <w:shd w:val="clear" w:color="auto" w:fill="481F6E"/>
          </w:tcPr>
          <w:p>
            <w:pPr>
              <w:spacing w:after="0"/>
              <w:rPr>
                <w:sz w:val="10"/>
                <w:szCs w:val="10"/>
                <w:color w:val="auto"/>
              </w:rPr>
            </w:pPr>
          </w:p>
        </w:tc>
        <w:tc>
          <w:tcPr>
            <w:tcW w:w="1120" w:type="dxa"/>
            <w:vAlign w:val="bottom"/>
            <w:shd w:val="clear" w:color="auto" w:fill="481F6E"/>
          </w:tcPr>
          <w:p>
            <w:pPr>
              <w:spacing w:after="0"/>
              <w:rPr>
                <w:sz w:val="10"/>
                <w:szCs w:val="10"/>
                <w:color w:val="auto"/>
              </w:rPr>
            </w:pPr>
          </w:p>
        </w:tc>
        <w:tc>
          <w:tcPr>
            <w:tcW w:w="1160" w:type="dxa"/>
            <w:vAlign w:val="bottom"/>
            <w:shd w:val="clear" w:color="auto" w:fill="481F6E"/>
          </w:tcPr>
          <w:p>
            <w:pPr>
              <w:jc w:val="right"/>
              <w:ind w:right="172"/>
              <w:spacing w:after="0"/>
              <w:rPr>
                <w:sz w:val="20"/>
                <w:szCs w:val="20"/>
                <w:color w:val="auto"/>
              </w:rPr>
            </w:pPr>
            <w:r>
              <w:rPr>
                <w:rFonts w:ascii="Arial" w:cs="Arial" w:eastAsia="Arial" w:hAnsi="Arial"/>
                <w:sz w:val="10"/>
                <w:szCs w:val="10"/>
                <w:b w:val="1"/>
                <w:bCs w:val="1"/>
                <w:color w:val="FFFFFF"/>
              </w:rPr>
              <w:t>Value and</w:t>
            </w:r>
          </w:p>
        </w:tc>
        <w:tc>
          <w:tcPr>
            <w:tcW w:w="1240" w:type="dxa"/>
            <w:vAlign w:val="bottom"/>
            <w:shd w:val="clear" w:color="auto" w:fill="481F6E"/>
          </w:tcPr>
          <w:p>
            <w:pPr>
              <w:spacing w:after="0"/>
              <w:rPr>
                <w:sz w:val="10"/>
                <w:szCs w:val="10"/>
                <w:color w:val="auto"/>
              </w:rPr>
            </w:pPr>
          </w:p>
        </w:tc>
        <w:tc>
          <w:tcPr>
            <w:tcW w:w="780" w:type="dxa"/>
            <w:vAlign w:val="bottom"/>
            <w:shd w:val="clear" w:color="auto" w:fill="481F6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700" w:type="dxa"/>
            <w:vAlign w:val="bottom"/>
            <w:shd w:val="clear" w:color="auto" w:fill="481F6E"/>
          </w:tcPr>
          <w:p>
            <w:pPr>
              <w:spacing w:after="0"/>
              <w:rPr>
                <w:sz w:val="10"/>
                <w:szCs w:val="10"/>
                <w:color w:val="auto"/>
              </w:rPr>
            </w:pPr>
          </w:p>
        </w:tc>
        <w:tc>
          <w:tcPr>
            <w:tcW w:w="920" w:type="dxa"/>
            <w:vAlign w:val="bottom"/>
            <w:shd w:val="clear" w:color="auto" w:fill="481F6E"/>
          </w:tcPr>
          <w:p>
            <w:pPr>
              <w:spacing w:after="0"/>
              <w:rPr>
                <w:sz w:val="10"/>
                <w:szCs w:val="10"/>
                <w:color w:val="auto"/>
              </w:rPr>
            </w:pPr>
          </w:p>
        </w:tc>
        <w:tc>
          <w:tcPr>
            <w:tcW w:w="1160" w:type="dxa"/>
            <w:vAlign w:val="bottom"/>
            <w:shd w:val="clear" w:color="auto" w:fill="481F6E"/>
          </w:tcPr>
          <w:p>
            <w:pPr>
              <w:spacing w:after="0"/>
              <w:rPr>
                <w:sz w:val="10"/>
                <w:szCs w:val="10"/>
                <w:color w:val="auto"/>
              </w:rPr>
            </w:pPr>
          </w:p>
        </w:tc>
        <w:tc>
          <w:tcPr>
            <w:tcW w:w="1000" w:type="dxa"/>
            <w:vAlign w:val="bottom"/>
            <w:shd w:val="clear" w:color="auto" w:fill="481F6E"/>
          </w:tcPr>
          <w:p>
            <w:pPr>
              <w:spacing w:after="0"/>
              <w:rPr>
                <w:sz w:val="10"/>
                <w:szCs w:val="10"/>
                <w:color w:val="auto"/>
              </w:rPr>
            </w:pPr>
          </w:p>
        </w:tc>
        <w:tc>
          <w:tcPr>
            <w:tcW w:w="1060" w:type="dxa"/>
            <w:vAlign w:val="bottom"/>
            <w:shd w:val="clear" w:color="auto" w:fill="481F6E"/>
          </w:tcPr>
          <w:p>
            <w:pPr>
              <w:spacing w:after="0"/>
              <w:rPr>
                <w:sz w:val="10"/>
                <w:szCs w:val="10"/>
                <w:color w:val="auto"/>
              </w:rPr>
            </w:pPr>
          </w:p>
        </w:tc>
        <w:tc>
          <w:tcPr>
            <w:tcW w:w="1120" w:type="dxa"/>
            <w:vAlign w:val="bottom"/>
            <w:shd w:val="clear" w:color="auto" w:fill="481F6E"/>
          </w:tcPr>
          <w:p>
            <w:pPr>
              <w:spacing w:after="0"/>
              <w:rPr>
                <w:sz w:val="10"/>
                <w:szCs w:val="10"/>
                <w:color w:val="auto"/>
              </w:rPr>
            </w:pPr>
          </w:p>
        </w:tc>
        <w:tc>
          <w:tcPr>
            <w:tcW w:w="1120" w:type="dxa"/>
            <w:vAlign w:val="bottom"/>
            <w:shd w:val="clear" w:color="auto" w:fill="481F6E"/>
          </w:tcPr>
          <w:p>
            <w:pPr>
              <w:jc w:val="right"/>
              <w:ind w:right="132"/>
              <w:spacing w:after="0"/>
              <w:rPr>
                <w:sz w:val="20"/>
                <w:szCs w:val="20"/>
                <w:color w:val="auto"/>
              </w:rPr>
            </w:pPr>
            <w:r>
              <w:rPr>
                <w:rFonts w:ascii="Arial" w:cs="Arial" w:eastAsia="Arial" w:hAnsi="Arial"/>
                <w:sz w:val="10"/>
                <w:szCs w:val="10"/>
                <w:b w:val="1"/>
                <w:bCs w:val="1"/>
                <w:color w:val="FFFFFF"/>
              </w:rPr>
              <w:t>Non-Equity</w:t>
            </w:r>
          </w:p>
        </w:tc>
        <w:tc>
          <w:tcPr>
            <w:tcW w:w="1160" w:type="dxa"/>
            <w:vAlign w:val="bottom"/>
            <w:shd w:val="clear" w:color="auto" w:fill="481F6E"/>
          </w:tcPr>
          <w:p>
            <w:pPr>
              <w:jc w:val="right"/>
              <w:ind w:right="172"/>
              <w:spacing w:after="0"/>
              <w:rPr>
                <w:sz w:val="20"/>
                <w:szCs w:val="20"/>
                <w:color w:val="auto"/>
              </w:rPr>
            </w:pPr>
            <w:r>
              <w:rPr>
                <w:rFonts w:ascii="Arial" w:cs="Arial" w:eastAsia="Arial" w:hAnsi="Arial"/>
                <w:sz w:val="10"/>
                <w:szCs w:val="10"/>
                <w:b w:val="1"/>
                <w:bCs w:val="1"/>
                <w:color w:val="FFFFFF"/>
              </w:rPr>
              <w:t>Nonqualified</w:t>
            </w:r>
          </w:p>
        </w:tc>
        <w:tc>
          <w:tcPr>
            <w:tcW w:w="1240" w:type="dxa"/>
            <w:vAlign w:val="bottom"/>
            <w:shd w:val="clear" w:color="auto" w:fill="481F6E"/>
          </w:tcPr>
          <w:p>
            <w:pPr>
              <w:spacing w:after="0"/>
              <w:rPr>
                <w:sz w:val="10"/>
                <w:szCs w:val="10"/>
                <w:color w:val="auto"/>
              </w:rPr>
            </w:pPr>
          </w:p>
        </w:tc>
        <w:tc>
          <w:tcPr>
            <w:tcW w:w="780" w:type="dxa"/>
            <w:vAlign w:val="bottom"/>
            <w:shd w:val="clear" w:color="auto" w:fill="481F6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700" w:type="dxa"/>
            <w:vAlign w:val="bottom"/>
            <w:shd w:val="clear" w:color="auto" w:fill="481F6E"/>
          </w:tcPr>
          <w:p>
            <w:pPr>
              <w:ind w:left="20"/>
              <w:spacing w:after="0"/>
              <w:rPr>
                <w:sz w:val="20"/>
                <w:szCs w:val="20"/>
                <w:color w:val="auto"/>
              </w:rPr>
            </w:pPr>
            <w:r>
              <w:rPr>
                <w:rFonts w:ascii="Arial" w:cs="Arial" w:eastAsia="Arial" w:hAnsi="Arial"/>
                <w:sz w:val="10"/>
                <w:szCs w:val="10"/>
                <w:b w:val="1"/>
                <w:bCs w:val="1"/>
                <w:color w:val="FFFFFF"/>
              </w:rPr>
              <w:t>Name and Principal</w:t>
            </w:r>
          </w:p>
        </w:tc>
        <w:tc>
          <w:tcPr>
            <w:tcW w:w="920" w:type="dxa"/>
            <w:vAlign w:val="bottom"/>
            <w:shd w:val="clear" w:color="auto" w:fill="481F6E"/>
          </w:tcPr>
          <w:p>
            <w:pPr>
              <w:spacing w:after="0"/>
              <w:rPr>
                <w:sz w:val="10"/>
                <w:szCs w:val="10"/>
                <w:color w:val="auto"/>
              </w:rPr>
            </w:pPr>
          </w:p>
        </w:tc>
        <w:tc>
          <w:tcPr>
            <w:tcW w:w="1160" w:type="dxa"/>
            <w:vAlign w:val="bottom"/>
            <w:shd w:val="clear" w:color="auto" w:fill="481F6E"/>
          </w:tcPr>
          <w:p>
            <w:pPr>
              <w:spacing w:after="0"/>
              <w:rPr>
                <w:sz w:val="10"/>
                <w:szCs w:val="10"/>
                <w:color w:val="auto"/>
              </w:rPr>
            </w:pPr>
          </w:p>
        </w:tc>
        <w:tc>
          <w:tcPr>
            <w:tcW w:w="1000" w:type="dxa"/>
            <w:vAlign w:val="bottom"/>
            <w:shd w:val="clear" w:color="auto" w:fill="481F6E"/>
          </w:tcPr>
          <w:p>
            <w:pPr>
              <w:spacing w:after="0"/>
              <w:rPr>
                <w:sz w:val="10"/>
                <w:szCs w:val="10"/>
                <w:color w:val="auto"/>
              </w:rPr>
            </w:pPr>
          </w:p>
        </w:tc>
        <w:tc>
          <w:tcPr>
            <w:tcW w:w="1060" w:type="dxa"/>
            <w:vAlign w:val="bottom"/>
            <w:shd w:val="clear" w:color="auto" w:fill="481F6E"/>
          </w:tcPr>
          <w:p>
            <w:pPr>
              <w:spacing w:after="0"/>
              <w:rPr>
                <w:sz w:val="10"/>
                <w:szCs w:val="10"/>
                <w:color w:val="auto"/>
              </w:rPr>
            </w:pPr>
          </w:p>
        </w:tc>
        <w:tc>
          <w:tcPr>
            <w:tcW w:w="1120" w:type="dxa"/>
            <w:vAlign w:val="bottom"/>
            <w:shd w:val="clear" w:color="auto" w:fill="481F6E"/>
          </w:tcPr>
          <w:p>
            <w:pPr>
              <w:spacing w:after="0"/>
              <w:rPr>
                <w:sz w:val="10"/>
                <w:szCs w:val="10"/>
                <w:color w:val="auto"/>
              </w:rPr>
            </w:pPr>
          </w:p>
        </w:tc>
        <w:tc>
          <w:tcPr>
            <w:tcW w:w="1120" w:type="dxa"/>
            <w:vAlign w:val="bottom"/>
            <w:shd w:val="clear" w:color="auto" w:fill="481F6E"/>
          </w:tcPr>
          <w:p>
            <w:pPr>
              <w:jc w:val="right"/>
              <w:ind w:right="132"/>
              <w:spacing w:after="0"/>
              <w:rPr>
                <w:sz w:val="20"/>
                <w:szCs w:val="20"/>
                <w:color w:val="auto"/>
              </w:rPr>
            </w:pPr>
            <w:r>
              <w:rPr>
                <w:rFonts w:ascii="Arial" w:cs="Arial" w:eastAsia="Arial" w:hAnsi="Arial"/>
                <w:sz w:val="10"/>
                <w:szCs w:val="10"/>
                <w:b w:val="1"/>
                <w:bCs w:val="1"/>
                <w:color w:val="FFFFFF"/>
              </w:rPr>
              <w:t>Incentive Plan</w:t>
            </w:r>
          </w:p>
        </w:tc>
        <w:tc>
          <w:tcPr>
            <w:tcW w:w="1160" w:type="dxa"/>
            <w:vAlign w:val="bottom"/>
            <w:shd w:val="clear" w:color="auto" w:fill="481F6E"/>
          </w:tcPr>
          <w:p>
            <w:pPr>
              <w:jc w:val="right"/>
              <w:ind w:right="172"/>
              <w:spacing w:after="0"/>
              <w:rPr>
                <w:sz w:val="20"/>
                <w:szCs w:val="20"/>
                <w:color w:val="auto"/>
              </w:rPr>
            </w:pPr>
            <w:r>
              <w:rPr>
                <w:rFonts w:ascii="Arial" w:cs="Arial" w:eastAsia="Arial" w:hAnsi="Arial"/>
                <w:sz w:val="10"/>
                <w:szCs w:val="10"/>
                <w:b w:val="1"/>
                <w:bCs w:val="1"/>
                <w:color w:val="FFFFFF"/>
              </w:rPr>
              <w:t>Deferred</w:t>
            </w:r>
          </w:p>
        </w:tc>
        <w:tc>
          <w:tcPr>
            <w:tcW w:w="1240" w:type="dxa"/>
            <w:vAlign w:val="bottom"/>
            <w:shd w:val="clear" w:color="auto" w:fill="481F6E"/>
          </w:tcPr>
          <w:p>
            <w:pPr>
              <w:jc w:val="right"/>
              <w:ind w:right="212"/>
              <w:spacing w:after="0"/>
              <w:rPr>
                <w:sz w:val="20"/>
                <w:szCs w:val="20"/>
                <w:color w:val="auto"/>
              </w:rPr>
            </w:pPr>
            <w:r>
              <w:rPr>
                <w:rFonts w:ascii="Arial" w:cs="Arial" w:eastAsia="Arial" w:hAnsi="Arial"/>
                <w:sz w:val="10"/>
                <w:szCs w:val="10"/>
                <w:b w:val="1"/>
                <w:bCs w:val="1"/>
                <w:color w:val="FFFFFF"/>
              </w:rPr>
              <w:t>All Other</w:t>
            </w:r>
          </w:p>
        </w:tc>
        <w:tc>
          <w:tcPr>
            <w:tcW w:w="780" w:type="dxa"/>
            <w:vAlign w:val="bottom"/>
            <w:shd w:val="clear" w:color="auto" w:fill="481F6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700" w:type="dxa"/>
            <w:vAlign w:val="bottom"/>
            <w:shd w:val="clear" w:color="auto" w:fill="481F6E"/>
          </w:tcPr>
          <w:p>
            <w:pPr>
              <w:ind w:left="20"/>
              <w:spacing w:after="0"/>
              <w:rPr>
                <w:sz w:val="20"/>
                <w:szCs w:val="20"/>
                <w:color w:val="auto"/>
              </w:rPr>
            </w:pPr>
            <w:r>
              <w:rPr>
                <w:rFonts w:ascii="Arial" w:cs="Arial" w:eastAsia="Arial" w:hAnsi="Arial"/>
                <w:sz w:val="10"/>
                <w:szCs w:val="10"/>
                <w:b w:val="1"/>
                <w:bCs w:val="1"/>
                <w:color w:val="FFFFFF"/>
              </w:rPr>
              <w:t>Position as of</w:t>
            </w:r>
          </w:p>
        </w:tc>
        <w:tc>
          <w:tcPr>
            <w:tcW w:w="920" w:type="dxa"/>
            <w:vAlign w:val="bottom"/>
            <w:shd w:val="clear" w:color="auto" w:fill="481F6E"/>
          </w:tcPr>
          <w:p>
            <w:pPr>
              <w:spacing w:after="0"/>
              <w:rPr>
                <w:sz w:val="10"/>
                <w:szCs w:val="10"/>
                <w:color w:val="auto"/>
              </w:rPr>
            </w:pPr>
          </w:p>
        </w:tc>
        <w:tc>
          <w:tcPr>
            <w:tcW w:w="1160" w:type="dxa"/>
            <w:vAlign w:val="bottom"/>
            <w:shd w:val="clear" w:color="auto" w:fill="481F6E"/>
          </w:tcPr>
          <w:p>
            <w:pPr>
              <w:jc w:val="right"/>
              <w:spacing w:after="0"/>
              <w:rPr>
                <w:sz w:val="20"/>
                <w:szCs w:val="20"/>
                <w:color w:val="auto"/>
              </w:rPr>
            </w:pPr>
            <w:r>
              <w:rPr>
                <w:rFonts w:ascii="Arial" w:cs="Arial" w:eastAsia="Arial" w:hAnsi="Arial"/>
                <w:sz w:val="10"/>
                <w:szCs w:val="10"/>
                <w:b w:val="1"/>
                <w:bCs w:val="1"/>
                <w:color w:val="FFFFFF"/>
              </w:rPr>
              <w:t>Salary</w:t>
            </w:r>
          </w:p>
        </w:tc>
        <w:tc>
          <w:tcPr>
            <w:tcW w:w="1000" w:type="dxa"/>
            <w:vAlign w:val="bottom"/>
            <w:shd w:val="clear" w:color="auto" w:fill="481F6E"/>
          </w:tcPr>
          <w:p>
            <w:pPr>
              <w:jc w:val="right"/>
              <w:ind w:right="133"/>
              <w:spacing w:after="0"/>
              <w:rPr>
                <w:sz w:val="20"/>
                <w:szCs w:val="20"/>
                <w:color w:val="auto"/>
              </w:rPr>
            </w:pPr>
            <w:r>
              <w:rPr>
                <w:rFonts w:ascii="Arial" w:cs="Arial" w:eastAsia="Arial" w:hAnsi="Arial"/>
                <w:sz w:val="10"/>
                <w:szCs w:val="10"/>
                <w:b w:val="1"/>
                <w:bCs w:val="1"/>
                <w:color w:val="FFFFFF"/>
              </w:rPr>
              <w:t>Bonus</w:t>
            </w:r>
          </w:p>
        </w:tc>
        <w:tc>
          <w:tcPr>
            <w:tcW w:w="1060" w:type="dxa"/>
            <w:vAlign w:val="bottom"/>
            <w:shd w:val="clear" w:color="auto" w:fill="481F6E"/>
          </w:tcPr>
          <w:p>
            <w:pPr>
              <w:jc w:val="right"/>
              <w:ind w:right="112"/>
              <w:spacing w:after="0"/>
              <w:rPr>
                <w:sz w:val="20"/>
                <w:szCs w:val="20"/>
                <w:color w:val="auto"/>
              </w:rPr>
            </w:pPr>
            <w:r>
              <w:rPr>
                <w:rFonts w:ascii="Arial" w:cs="Arial" w:eastAsia="Arial" w:hAnsi="Arial"/>
                <w:sz w:val="10"/>
                <w:szCs w:val="10"/>
                <w:b w:val="1"/>
                <w:bCs w:val="1"/>
                <w:color w:val="FFFFFF"/>
              </w:rPr>
              <w:t>Stock Awards</w:t>
            </w:r>
          </w:p>
        </w:tc>
        <w:tc>
          <w:tcPr>
            <w:tcW w:w="1120" w:type="dxa"/>
            <w:vAlign w:val="bottom"/>
            <w:shd w:val="clear" w:color="auto" w:fill="481F6E"/>
          </w:tcPr>
          <w:p>
            <w:pPr>
              <w:jc w:val="right"/>
              <w:ind w:right="112"/>
              <w:spacing w:after="0"/>
              <w:rPr>
                <w:sz w:val="20"/>
                <w:szCs w:val="20"/>
                <w:color w:val="auto"/>
              </w:rPr>
            </w:pPr>
            <w:r>
              <w:rPr>
                <w:rFonts w:ascii="Arial" w:cs="Arial" w:eastAsia="Arial" w:hAnsi="Arial"/>
                <w:sz w:val="10"/>
                <w:szCs w:val="10"/>
                <w:b w:val="1"/>
                <w:bCs w:val="1"/>
                <w:color w:val="FFFFFF"/>
              </w:rPr>
              <w:t>Option Awards</w:t>
            </w:r>
          </w:p>
        </w:tc>
        <w:tc>
          <w:tcPr>
            <w:tcW w:w="1120" w:type="dxa"/>
            <w:vAlign w:val="bottom"/>
            <w:shd w:val="clear" w:color="auto" w:fill="481F6E"/>
          </w:tcPr>
          <w:p>
            <w:pPr>
              <w:jc w:val="right"/>
              <w:ind w:right="132"/>
              <w:spacing w:after="0"/>
              <w:rPr>
                <w:sz w:val="20"/>
                <w:szCs w:val="20"/>
                <w:color w:val="auto"/>
              </w:rPr>
            </w:pPr>
            <w:r>
              <w:rPr>
                <w:rFonts w:ascii="Arial" w:cs="Arial" w:eastAsia="Arial" w:hAnsi="Arial"/>
                <w:sz w:val="10"/>
                <w:szCs w:val="10"/>
                <w:b w:val="1"/>
                <w:bCs w:val="1"/>
                <w:color w:val="FFFFFF"/>
              </w:rPr>
              <w:t>Compensation</w:t>
            </w:r>
          </w:p>
        </w:tc>
        <w:tc>
          <w:tcPr>
            <w:tcW w:w="1160" w:type="dxa"/>
            <w:vAlign w:val="bottom"/>
            <w:shd w:val="clear" w:color="auto" w:fill="481F6E"/>
          </w:tcPr>
          <w:p>
            <w:pPr>
              <w:jc w:val="right"/>
              <w:ind w:right="172"/>
              <w:spacing w:after="0"/>
              <w:rPr>
                <w:sz w:val="20"/>
                <w:szCs w:val="20"/>
                <w:color w:val="auto"/>
              </w:rPr>
            </w:pPr>
            <w:r>
              <w:rPr>
                <w:rFonts w:ascii="Arial" w:cs="Arial" w:eastAsia="Arial" w:hAnsi="Arial"/>
                <w:sz w:val="10"/>
                <w:szCs w:val="10"/>
                <w:b w:val="1"/>
                <w:bCs w:val="1"/>
                <w:color w:val="FFFFFF"/>
              </w:rPr>
              <w:t>Compensation</w:t>
            </w:r>
          </w:p>
        </w:tc>
        <w:tc>
          <w:tcPr>
            <w:tcW w:w="1240" w:type="dxa"/>
            <w:vAlign w:val="bottom"/>
            <w:shd w:val="clear" w:color="auto" w:fill="481F6E"/>
          </w:tcPr>
          <w:p>
            <w:pPr>
              <w:jc w:val="right"/>
              <w:ind w:right="212"/>
              <w:spacing w:after="0"/>
              <w:rPr>
                <w:sz w:val="20"/>
                <w:szCs w:val="20"/>
                <w:color w:val="auto"/>
              </w:rPr>
            </w:pPr>
            <w:r>
              <w:rPr>
                <w:rFonts w:ascii="Arial" w:cs="Arial" w:eastAsia="Arial" w:hAnsi="Arial"/>
                <w:sz w:val="10"/>
                <w:szCs w:val="10"/>
                <w:b w:val="1"/>
                <w:bCs w:val="1"/>
                <w:color w:val="FFFFFF"/>
              </w:rPr>
              <w:t>Compensation</w:t>
            </w:r>
          </w:p>
        </w:tc>
        <w:tc>
          <w:tcPr>
            <w:tcW w:w="780" w:type="dxa"/>
            <w:vAlign w:val="bottom"/>
            <w:shd w:val="clear" w:color="auto" w:fill="481F6E"/>
          </w:tcPr>
          <w:p>
            <w:pPr>
              <w:jc w:val="right"/>
              <w:spacing w:after="0"/>
              <w:rPr>
                <w:sz w:val="20"/>
                <w:szCs w:val="20"/>
                <w:color w:val="auto"/>
              </w:rPr>
            </w:pPr>
            <w:r>
              <w:rPr>
                <w:rFonts w:ascii="Arial" w:cs="Arial" w:eastAsia="Arial" w:hAnsi="Arial"/>
                <w:sz w:val="10"/>
                <w:szCs w:val="10"/>
                <w:b w:val="1"/>
                <w:bCs w:val="1"/>
                <w:color w:val="FFFFFF"/>
              </w:rPr>
              <w:t>Total</w:t>
            </w:r>
          </w:p>
        </w:tc>
        <w:tc>
          <w:tcPr>
            <w:tcW w:w="0" w:type="dxa"/>
            <w:vAlign w:val="bottom"/>
          </w:tcPr>
          <w:p>
            <w:pPr>
              <w:spacing w:after="0"/>
              <w:rPr>
                <w:sz w:val="1"/>
                <w:szCs w:val="1"/>
                <w:color w:val="auto"/>
              </w:rPr>
            </w:pPr>
          </w:p>
        </w:tc>
      </w:tr>
      <w:tr>
        <w:trPr>
          <w:trHeight w:val="155"/>
        </w:trPr>
        <w:tc>
          <w:tcPr>
            <w:tcW w:w="1700" w:type="dxa"/>
            <w:vAlign w:val="bottom"/>
            <w:shd w:val="clear" w:color="auto" w:fill="481F6E"/>
          </w:tcPr>
          <w:p>
            <w:pPr>
              <w:ind w:left="20"/>
              <w:spacing w:after="0"/>
              <w:rPr>
                <w:sz w:val="20"/>
                <w:szCs w:val="20"/>
                <w:color w:val="auto"/>
              </w:rPr>
            </w:pPr>
            <w:r>
              <w:rPr>
                <w:rFonts w:ascii="Arial" w:cs="Arial" w:eastAsia="Arial" w:hAnsi="Arial"/>
                <w:sz w:val="10"/>
                <w:szCs w:val="10"/>
                <w:b w:val="1"/>
                <w:bCs w:val="1"/>
                <w:color w:val="FFFFFF"/>
              </w:rPr>
              <w:t>12/31/2019</w:t>
            </w:r>
          </w:p>
        </w:tc>
        <w:tc>
          <w:tcPr>
            <w:tcW w:w="920" w:type="dxa"/>
            <w:vAlign w:val="bottom"/>
            <w:shd w:val="clear" w:color="auto" w:fill="481F6E"/>
          </w:tcPr>
          <w:p>
            <w:pPr>
              <w:jc w:val="right"/>
              <w:spacing w:after="0"/>
              <w:rPr>
                <w:sz w:val="20"/>
                <w:szCs w:val="20"/>
                <w:color w:val="auto"/>
              </w:rPr>
            </w:pPr>
            <w:r>
              <w:rPr>
                <w:rFonts w:ascii="Arial" w:cs="Arial" w:eastAsia="Arial" w:hAnsi="Arial"/>
                <w:sz w:val="10"/>
                <w:szCs w:val="10"/>
                <w:b w:val="1"/>
                <w:bCs w:val="1"/>
                <w:color w:val="FFFFFF"/>
              </w:rPr>
              <w:t>Year</w:t>
            </w:r>
          </w:p>
        </w:tc>
        <w:tc>
          <w:tcPr>
            <w:tcW w:w="1160" w:type="dxa"/>
            <w:vAlign w:val="bottom"/>
            <w:shd w:val="clear" w:color="auto" w:fill="481F6E"/>
          </w:tcPr>
          <w:p>
            <w:pPr>
              <w:jc w:val="right"/>
              <w:spacing w:after="0"/>
              <w:rPr>
                <w:sz w:val="20"/>
                <w:szCs w:val="20"/>
                <w:color w:val="auto"/>
              </w:rPr>
            </w:pPr>
            <w:r>
              <w:rPr>
                <w:rFonts w:ascii="Arial" w:cs="Arial" w:eastAsia="Arial" w:hAnsi="Arial"/>
                <w:sz w:val="10"/>
                <w:szCs w:val="10"/>
                <w:b w:val="1"/>
                <w:bCs w:val="1"/>
                <w:color w:val="FFFFFF"/>
              </w:rPr>
              <w:t>($)</w:t>
            </w:r>
          </w:p>
        </w:tc>
        <w:tc>
          <w:tcPr>
            <w:tcW w:w="1000" w:type="dxa"/>
            <w:vAlign w:val="bottom"/>
            <w:shd w:val="clear" w:color="auto" w:fill="481F6E"/>
          </w:tcPr>
          <w:p>
            <w:pPr>
              <w:jc w:val="right"/>
              <w:ind w:right="133"/>
              <w:spacing w:after="0"/>
              <w:rPr>
                <w:sz w:val="20"/>
                <w:szCs w:val="20"/>
                <w:color w:val="auto"/>
              </w:rPr>
            </w:pPr>
            <w:r>
              <w:rPr>
                <w:rFonts w:ascii="Arial" w:cs="Arial" w:eastAsia="Arial" w:hAnsi="Arial"/>
                <w:sz w:val="10"/>
                <w:szCs w:val="10"/>
                <w:b w:val="1"/>
                <w:bCs w:val="1"/>
                <w:color w:val="FFFFFF"/>
              </w:rPr>
              <w:t>($)</w:t>
            </w:r>
          </w:p>
        </w:tc>
        <w:tc>
          <w:tcPr>
            <w:tcW w:w="1060" w:type="dxa"/>
            <w:vAlign w:val="bottom"/>
            <w:shd w:val="clear" w:color="auto" w:fill="481F6E"/>
          </w:tcPr>
          <w:p>
            <w:pPr>
              <w:jc w:val="right"/>
              <w:ind w:right="112"/>
              <w:spacing w:after="0"/>
              <w:rPr>
                <w:sz w:val="20"/>
                <w:szCs w:val="20"/>
                <w:color w:val="auto"/>
              </w:rPr>
            </w:pPr>
            <w:r>
              <w:rPr>
                <w:rFonts w:ascii="Arial" w:cs="Arial" w:eastAsia="Arial" w:hAnsi="Arial"/>
                <w:sz w:val="10"/>
                <w:szCs w:val="10"/>
                <w:b w:val="1"/>
                <w:bCs w:val="1"/>
                <w:color w:val="FFFFFF"/>
              </w:rPr>
              <w:t>($)</w:t>
            </w:r>
            <w:r>
              <w:rPr>
                <w:rFonts w:ascii="Arial" w:cs="Arial" w:eastAsia="Arial" w:hAnsi="Arial"/>
                <w:sz w:val="5"/>
                <w:szCs w:val="5"/>
                <w:b w:val="1"/>
                <w:bCs w:val="1"/>
                <w:color w:val="FFFFFF"/>
              </w:rPr>
              <w:t>1</w:t>
            </w:r>
          </w:p>
        </w:tc>
        <w:tc>
          <w:tcPr>
            <w:tcW w:w="1120" w:type="dxa"/>
            <w:vAlign w:val="bottom"/>
            <w:shd w:val="clear" w:color="auto" w:fill="481F6E"/>
          </w:tcPr>
          <w:p>
            <w:pPr>
              <w:jc w:val="right"/>
              <w:ind w:right="112"/>
              <w:spacing w:after="0"/>
              <w:rPr>
                <w:sz w:val="20"/>
                <w:szCs w:val="20"/>
                <w:color w:val="auto"/>
              </w:rPr>
            </w:pPr>
            <w:r>
              <w:rPr>
                <w:rFonts w:ascii="Arial" w:cs="Arial" w:eastAsia="Arial" w:hAnsi="Arial"/>
                <w:sz w:val="10"/>
                <w:szCs w:val="10"/>
                <w:b w:val="1"/>
                <w:bCs w:val="1"/>
                <w:color w:val="FFFFFF"/>
              </w:rPr>
              <w:t>($)</w:t>
            </w:r>
            <w:r>
              <w:rPr>
                <w:rFonts w:ascii="Arial" w:cs="Arial" w:eastAsia="Arial" w:hAnsi="Arial"/>
                <w:sz w:val="5"/>
                <w:szCs w:val="5"/>
                <w:b w:val="1"/>
                <w:bCs w:val="1"/>
                <w:color w:val="FFFFFF"/>
              </w:rPr>
              <w:t>2</w:t>
            </w:r>
          </w:p>
        </w:tc>
        <w:tc>
          <w:tcPr>
            <w:tcW w:w="1120" w:type="dxa"/>
            <w:vAlign w:val="bottom"/>
            <w:shd w:val="clear" w:color="auto" w:fill="481F6E"/>
          </w:tcPr>
          <w:p>
            <w:pPr>
              <w:jc w:val="right"/>
              <w:ind w:right="132"/>
              <w:spacing w:after="0"/>
              <w:rPr>
                <w:sz w:val="20"/>
                <w:szCs w:val="20"/>
                <w:color w:val="auto"/>
              </w:rPr>
            </w:pPr>
            <w:r>
              <w:rPr>
                <w:rFonts w:ascii="Arial" w:cs="Arial" w:eastAsia="Arial" w:hAnsi="Arial"/>
                <w:sz w:val="10"/>
                <w:szCs w:val="10"/>
                <w:b w:val="1"/>
                <w:bCs w:val="1"/>
                <w:color w:val="FFFFFF"/>
              </w:rPr>
              <w:t>($)</w:t>
            </w:r>
          </w:p>
        </w:tc>
        <w:tc>
          <w:tcPr>
            <w:tcW w:w="1160" w:type="dxa"/>
            <w:vAlign w:val="bottom"/>
            <w:shd w:val="clear" w:color="auto" w:fill="481F6E"/>
          </w:tcPr>
          <w:p>
            <w:pPr>
              <w:jc w:val="right"/>
              <w:ind w:right="172"/>
              <w:spacing w:after="0"/>
              <w:rPr>
                <w:sz w:val="20"/>
                <w:szCs w:val="20"/>
                <w:color w:val="auto"/>
              </w:rPr>
            </w:pPr>
            <w:r>
              <w:rPr>
                <w:rFonts w:ascii="Arial" w:cs="Arial" w:eastAsia="Arial" w:hAnsi="Arial"/>
                <w:sz w:val="10"/>
                <w:szCs w:val="10"/>
                <w:b w:val="1"/>
                <w:bCs w:val="1"/>
                <w:color w:val="FFFFFF"/>
              </w:rPr>
              <w:t>Earnings ($)</w:t>
            </w:r>
            <w:r>
              <w:rPr>
                <w:rFonts w:ascii="Arial" w:cs="Arial" w:eastAsia="Arial" w:hAnsi="Arial"/>
                <w:sz w:val="5"/>
                <w:szCs w:val="5"/>
                <w:b w:val="1"/>
                <w:bCs w:val="1"/>
                <w:color w:val="FFFFFF"/>
              </w:rPr>
              <w:t>3</w:t>
            </w:r>
          </w:p>
        </w:tc>
        <w:tc>
          <w:tcPr>
            <w:tcW w:w="1240" w:type="dxa"/>
            <w:vAlign w:val="bottom"/>
            <w:shd w:val="clear" w:color="auto" w:fill="481F6E"/>
          </w:tcPr>
          <w:p>
            <w:pPr>
              <w:jc w:val="right"/>
              <w:ind w:right="212"/>
              <w:spacing w:after="0"/>
              <w:rPr>
                <w:sz w:val="20"/>
                <w:szCs w:val="20"/>
                <w:color w:val="auto"/>
              </w:rPr>
            </w:pPr>
            <w:r>
              <w:rPr>
                <w:rFonts w:ascii="Arial" w:cs="Arial" w:eastAsia="Arial" w:hAnsi="Arial"/>
                <w:sz w:val="10"/>
                <w:szCs w:val="10"/>
                <w:b w:val="1"/>
                <w:bCs w:val="1"/>
                <w:color w:val="FFFFFF"/>
              </w:rPr>
              <w:t>($)</w:t>
            </w:r>
            <w:r>
              <w:rPr>
                <w:rFonts w:ascii="Arial" w:cs="Arial" w:eastAsia="Arial" w:hAnsi="Arial"/>
                <w:sz w:val="5"/>
                <w:szCs w:val="5"/>
                <w:b w:val="1"/>
                <w:bCs w:val="1"/>
                <w:color w:val="FFFFFF"/>
              </w:rPr>
              <w:t>4</w:t>
            </w:r>
          </w:p>
        </w:tc>
        <w:tc>
          <w:tcPr>
            <w:tcW w:w="780" w:type="dxa"/>
            <w:vAlign w:val="bottom"/>
            <w:shd w:val="clear" w:color="auto" w:fill="481F6E"/>
          </w:tcPr>
          <w:p>
            <w:pPr>
              <w:jc w:val="right"/>
              <w:spacing w:after="0"/>
              <w:rPr>
                <w:sz w:val="20"/>
                <w:szCs w:val="20"/>
                <w:color w:val="auto"/>
              </w:rPr>
            </w:pPr>
            <w:r>
              <w:rPr>
                <w:rFonts w:ascii="Arial" w:cs="Arial" w:eastAsia="Arial" w:hAnsi="Arial"/>
                <w:sz w:val="10"/>
                <w:szCs w:val="10"/>
                <w:b w:val="1"/>
                <w:bCs w:val="1"/>
                <w:color w:val="FFFFFF"/>
              </w:rPr>
              <w:t>($)</w:t>
            </w:r>
          </w:p>
        </w:tc>
        <w:tc>
          <w:tcPr>
            <w:tcW w:w="0" w:type="dxa"/>
            <w:vAlign w:val="bottom"/>
          </w:tcPr>
          <w:p>
            <w:pPr>
              <w:spacing w:after="0"/>
              <w:rPr>
                <w:sz w:val="1"/>
                <w:szCs w:val="1"/>
                <w:color w:val="auto"/>
              </w:rPr>
            </w:pPr>
          </w:p>
        </w:tc>
      </w:tr>
      <w:tr>
        <w:trPr>
          <w:trHeight w:val="183"/>
        </w:trPr>
        <w:tc>
          <w:tcPr>
            <w:tcW w:w="1700" w:type="dxa"/>
            <w:vAlign w:val="bottom"/>
          </w:tcPr>
          <w:p>
            <w:pPr>
              <w:ind w:left="20"/>
              <w:spacing w:after="0"/>
              <w:rPr>
                <w:sz w:val="20"/>
                <w:szCs w:val="20"/>
                <w:color w:val="auto"/>
              </w:rPr>
            </w:pPr>
            <w:r>
              <w:rPr>
                <w:rFonts w:ascii="Arial" w:cs="Arial" w:eastAsia="Arial" w:hAnsi="Arial"/>
                <w:sz w:val="10"/>
                <w:szCs w:val="10"/>
                <w:b w:val="1"/>
                <w:bCs w:val="1"/>
                <w:color w:val="333740"/>
              </w:rPr>
              <w:t>Douglas J. Pferdehirt</w:t>
            </w:r>
          </w:p>
        </w:tc>
        <w:tc>
          <w:tcPr>
            <w:tcW w:w="920" w:type="dxa"/>
            <w:vAlign w:val="bottom"/>
            <w:tcBorders>
              <w:bottom w:val="single" w:sz="8" w:color="D7D8D6"/>
            </w:tcBorders>
          </w:tcPr>
          <w:p>
            <w:pPr>
              <w:jc w:val="right"/>
              <w:spacing w:after="0"/>
              <w:rPr>
                <w:sz w:val="20"/>
                <w:szCs w:val="20"/>
                <w:color w:val="auto"/>
              </w:rPr>
            </w:pPr>
            <w:r>
              <w:rPr>
                <w:rFonts w:ascii="Arial" w:cs="Arial" w:eastAsia="Arial" w:hAnsi="Arial"/>
                <w:sz w:val="10"/>
                <w:szCs w:val="10"/>
                <w:color w:val="333740"/>
              </w:rPr>
              <w:t>2019</w:t>
            </w:r>
          </w:p>
        </w:tc>
        <w:tc>
          <w:tcPr>
            <w:tcW w:w="1160" w:type="dxa"/>
            <w:vAlign w:val="bottom"/>
            <w:tcBorders>
              <w:bottom w:val="single" w:sz="8" w:color="D7D8D6"/>
            </w:tcBorders>
          </w:tcPr>
          <w:p>
            <w:pPr>
              <w:jc w:val="right"/>
              <w:spacing w:after="0"/>
              <w:rPr>
                <w:sz w:val="20"/>
                <w:szCs w:val="20"/>
                <w:color w:val="auto"/>
              </w:rPr>
            </w:pPr>
            <w:r>
              <w:rPr>
                <w:rFonts w:ascii="Arial" w:cs="Arial" w:eastAsia="Arial" w:hAnsi="Arial"/>
                <w:sz w:val="10"/>
                <w:szCs w:val="10"/>
                <w:color w:val="333740"/>
              </w:rPr>
              <w:t>1,236,000</w:t>
            </w:r>
          </w:p>
        </w:tc>
        <w:tc>
          <w:tcPr>
            <w:tcW w:w="1000" w:type="dxa"/>
            <w:vAlign w:val="bottom"/>
            <w:tcBorders>
              <w:bottom w:val="single" w:sz="8" w:color="D7D8D6"/>
            </w:tcBorders>
          </w:tcPr>
          <w:p>
            <w:pPr>
              <w:jc w:val="right"/>
              <w:ind w:right="133"/>
              <w:spacing w:after="0"/>
              <w:rPr>
                <w:sz w:val="20"/>
                <w:szCs w:val="20"/>
                <w:color w:val="auto"/>
              </w:rPr>
            </w:pPr>
            <w:r>
              <w:rPr>
                <w:rFonts w:ascii="Arial" w:cs="Arial" w:eastAsia="Arial" w:hAnsi="Arial"/>
                <w:sz w:val="10"/>
                <w:szCs w:val="10"/>
                <w:color w:val="333740"/>
              </w:rPr>
              <w:t>—</w:t>
            </w:r>
          </w:p>
        </w:tc>
        <w:tc>
          <w:tcPr>
            <w:tcW w:w="1060" w:type="dxa"/>
            <w:vAlign w:val="bottom"/>
            <w:tcBorders>
              <w:bottom w:val="single" w:sz="8" w:color="D7D8D6"/>
            </w:tcBorders>
          </w:tcPr>
          <w:p>
            <w:pPr>
              <w:jc w:val="right"/>
              <w:ind w:right="112"/>
              <w:spacing w:after="0"/>
              <w:rPr>
                <w:sz w:val="20"/>
                <w:szCs w:val="20"/>
                <w:color w:val="auto"/>
              </w:rPr>
            </w:pPr>
            <w:r>
              <w:rPr>
                <w:rFonts w:ascii="Arial" w:cs="Arial" w:eastAsia="Arial" w:hAnsi="Arial"/>
                <w:sz w:val="10"/>
                <w:szCs w:val="10"/>
                <w:color w:val="333740"/>
              </w:rPr>
              <w:t>8,877,924</w:t>
            </w:r>
          </w:p>
        </w:tc>
        <w:tc>
          <w:tcPr>
            <w:tcW w:w="1120" w:type="dxa"/>
            <w:vAlign w:val="bottom"/>
            <w:tcBorders>
              <w:bottom w:val="single" w:sz="8" w:color="D7D8D6"/>
            </w:tcBorders>
          </w:tcPr>
          <w:p>
            <w:pPr>
              <w:jc w:val="right"/>
              <w:ind w:right="112"/>
              <w:spacing w:after="0"/>
              <w:rPr>
                <w:sz w:val="20"/>
                <w:szCs w:val="20"/>
                <w:color w:val="auto"/>
              </w:rPr>
            </w:pPr>
            <w:r>
              <w:rPr>
                <w:rFonts w:ascii="Arial" w:cs="Arial" w:eastAsia="Arial" w:hAnsi="Arial"/>
                <w:sz w:val="10"/>
                <w:szCs w:val="10"/>
                <w:color w:val="333740"/>
              </w:rPr>
              <w:t>1,939,995</w:t>
            </w:r>
          </w:p>
        </w:tc>
        <w:tc>
          <w:tcPr>
            <w:tcW w:w="1120" w:type="dxa"/>
            <w:vAlign w:val="bottom"/>
            <w:tcBorders>
              <w:bottom w:val="single" w:sz="8" w:color="D7D8D6"/>
            </w:tcBorders>
          </w:tcPr>
          <w:p>
            <w:pPr>
              <w:jc w:val="right"/>
              <w:ind w:right="132"/>
              <w:spacing w:after="0"/>
              <w:rPr>
                <w:sz w:val="20"/>
                <w:szCs w:val="20"/>
                <w:color w:val="auto"/>
              </w:rPr>
            </w:pPr>
            <w:r>
              <w:rPr>
                <w:rFonts w:ascii="Arial" w:cs="Arial" w:eastAsia="Arial" w:hAnsi="Arial"/>
                <w:sz w:val="10"/>
                <w:szCs w:val="10"/>
                <w:color w:val="333740"/>
              </w:rPr>
              <w:t>2,903,364</w:t>
            </w:r>
          </w:p>
        </w:tc>
        <w:tc>
          <w:tcPr>
            <w:tcW w:w="1160" w:type="dxa"/>
            <w:vAlign w:val="bottom"/>
            <w:tcBorders>
              <w:bottom w:val="single" w:sz="8" w:color="D7D8D6"/>
            </w:tcBorders>
          </w:tcPr>
          <w:p>
            <w:pPr>
              <w:jc w:val="right"/>
              <w:ind w:right="172"/>
              <w:spacing w:after="0"/>
              <w:rPr>
                <w:sz w:val="20"/>
                <w:szCs w:val="20"/>
                <w:color w:val="auto"/>
              </w:rPr>
            </w:pPr>
            <w:r>
              <w:rPr>
                <w:rFonts w:ascii="Arial" w:cs="Arial" w:eastAsia="Arial" w:hAnsi="Arial"/>
                <w:sz w:val="10"/>
                <w:szCs w:val="10"/>
                <w:color w:val="333740"/>
              </w:rPr>
              <w:t>—</w:t>
            </w:r>
          </w:p>
        </w:tc>
        <w:tc>
          <w:tcPr>
            <w:tcW w:w="1240" w:type="dxa"/>
            <w:vAlign w:val="bottom"/>
            <w:tcBorders>
              <w:bottom w:val="single" w:sz="8" w:color="D7D8D6"/>
            </w:tcBorders>
          </w:tcPr>
          <w:p>
            <w:pPr>
              <w:jc w:val="right"/>
              <w:ind w:right="212"/>
              <w:spacing w:after="0"/>
              <w:rPr>
                <w:sz w:val="20"/>
                <w:szCs w:val="20"/>
                <w:color w:val="auto"/>
              </w:rPr>
            </w:pPr>
            <w:r>
              <w:rPr>
                <w:rFonts w:ascii="Arial" w:cs="Arial" w:eastAsia="Arial" w:hAnsi="Arial"/>
                <w:sz w:val="10"/>
                <w:szCs w:val="10"/>
                <w:color w:val="333740"/>
              </w:rPr>
              <w:t>393,923</w:t>
            </w:r>
          </w:p>
        </w:tc>
        <w:tc>
          <w:tcPr>
            <w:tcW w:w="780" w:type="dxa"/>
            <w:vAlign w:val="bottom"/>
            <w:tcBorders>
              <w:bottom w:val="single" w:sz="8" w:color="D7D8D6"/>
            </w:tcBorders>
          </w:tcPr>
          <w:p>
            <w:pPr>
              <w:jc w:val="right"/>
              <w:spacing w:after="0"/>
              <w:rPr>
                <w:sz w:val="20"/>
                <w:szCs w:val="20"/>
                <w:color w:val="auto"/>
              </w:rPr>
            </w:pPr>
            <w:r>
              <w:rPr>
                <w:rFonts w:ascii="Arial" w:cs="Arial" w:eastAsia="Arial" w:hAnsi="Arial"/>
                <w:sz w:val="10"/>
                <w:szCs w:val="10"/>
                <w:color w:val="333740"/>
              </w:rPr>
              <w:t>15,351,206</w:t>
            </w:r>
          </w:p>
        </w:tc>
        <w:tc>
          <w:tcPr>
            <w:tcW w:w="0" w:type="dxa"/>
            <w:vAlign w:val="bottom"/>
          </w:tcPr>
          <w:p>
            <w:pPr>
              <w:spacing w:after="0"/>
              <w:rPr>
                <w:sz w:val="1"/>
                <w:szCs w:val="1"/>
                <w:color w:val="auto"/>
              </w:rPr>
            </w:pPr>
          </w:p>
        </w:tc>
      </w:tr>
      <w:tr>
        <w:trPr>
          <w:trHeight w:val="183"/>
        </w:trPr>
        <w:tc>
          <w:tcPr>
            <w:tcW w:w="1700" w:type="dxa"/>
            <w:vAlign w:val="bottom"/>
          </w:tcPr>
          <w:p>
            <w:pPr>
              <w:ind w:left="20"/>
              <w:spacing w:after="0"/>
              <w:rPr>
                <w:sz w:val="20"/>
                <w:szCs w:val="20"/>
                <w:color w:val="auto"/>
              </w:rPr>
            </w:pPr>
            <w:r>
              <w:rPr>
                <w:rFonts w:ascii="Arial" w:cs="Arial" w:eastAsia="Arial" w:hAnsi="Arial"/>
                <w:sz w:val="10"/>
                <w:szCs w:val="10"/>
                <w:color w:val="333740"/>
              </w:rPr>
              <w:t>Chairman and CEO</w:t>
            </w:r>
          </w:p>
        </w:tc>
        <w:tc>
          <w:tcPr>
            <w:tcW w:w="920" w:type="dxa"/>
            <w:vAlign w:val="bottom"/>
            <w:tcBorders>
              <w:bottom w:val="single" w:sz="8" w:color="D7D8D6"/>
            </w:tcBorders>
          </w:tcPr>
          <w:p>
            <w:pPr>
              <w:jc w:val="right"/>
              <w:spacing w:after="0"/>
              <w:rPr>
                <w:sz w:val="20"/>
                <w:szCs w:val="20"/>
                <w:color w:val="auto"/>
              </w:rPr>
            </w:pPr>
            <w:r>
              <w:rPr>
                <w:rFonts w:ascii="Arial" w:cs="Arial" w:eastAsia="Arial" w:hAnsi="Arial"/>
                <w:sz w:val="10"/>
                <w:szCs w:val="10"/>
                <w:color w:val="333740"/>
              </w:rPr>
              <w:t>2018</w:t>
            </w:r>
          </w:p>
        </w:tc>
        <w:tc>
          <w:tcPr>
            <w:tcW w:w="1160" w:type="dxa"/>
            <w:vAlign w:val="bottom"/>
            <w:tcBorders>
              <w:bottom w:val="single" w:sz="8" w:color="D7D8D6"/>
            </w:tcBorders>
          </w:tcPr>
          <w:p>
            <w:pPr>
              <w:jc w:val="right"/>
              <w:spacing w:after="0"/>
              <w:rPr>
                <w:sz w:val="20"/>
                <w:szCs w:val="20"/>
                <w:color w:val="auto"/>
              </w:rPr>
            </w:pPr>
            <w:r>
              <w:rPr>
                <w:rFonts w:ascii="Arial" w:cs="Arial" w:eastAsia="Arial" w:hAnsi="Arial"/>
                <w:sz w:val="10"/>
                <w:szCs w:val="10"/>
                <w:color w:val="333740"/>
              </w:rPr>
              <w:t>1,230,000</w:t>
            </w:r>
          </w:p>
        </w:tc>
        <w:tc>
          <w:tcPr>
            <w:tcW w:w="1000" w:type="dxa"/>
            <w:vAlign w:val="bottom"/>
            <w:tcBorders>
              <w:bottom w:val="single" w:sz="8" w:color="D7D8D6"/>
            </w:tcBorders>
          </w:tcPr>
          <w:p>
            <w:pPr>
              <w:jc w:val="right"/>
              <w:ind w:right="133"/>
              <w:spacing w:after="0"/>
              <w:rPr>
                <w:sz w:val="20"/>
                <w:szCs w:val="20"/>
                <w:color w:val="auto"/>
              </w:rPr>
            </w:pPr>
            <w:r>
              <w:rPr>
                <w:rFonts w:ascii="Arial" w:cs="Arial" w:eastAsia="Arial" w:hAnsi="Arial"/>
                <w:sz w:val="10"/>
                <w:szCs w:val="10"/>
                <w:color w:val="333740"/>
              </w:rPr>
              <w:t>—</w:t>
            </w:r>
          </w:p>
        </w:tc>
        <w:tc>
          <w:tcPr>
            <w:tcW w:w="1060" w:type="dxa"/>
            <w:vAlign w:val="bottom"/>
            <w:tcBorders>
              <w:bottom w:val="single" w:sz="8" w:color="D7D8D6"/>
            </w:tcBorders>
          </w:tcPr>
          <w:p>
            <w:pPr>
              <w:jc w:val="right"/>
              <w:ind w:right="112"/>
              <w:spacing w:after="0"/>
              <w:rPr>
                <w:sz w:val="20"/>
                <w:szCs w:val="20"/>
                <w:color w:val="auto"/>
              </w:rPr>
            </w:pPr>
            <w:r>
              <w:rPr>
                <w:rFonts w:ascii="Arial" w:cs="Arial" w:eastAsia="Arial" w:hAnsi="Arial"/>
                <w:sz w:val="10"/>
                <w:szCs w:val="10"/>
                <w:color w:val="333740"/>
              </w:rPr>
              <w:t>7,965,213</w:t>
            </w:r>
          </w:p>
        </w:tc>
        <w:tc>
          <w:tcPr>
            <w:tcW w:w="1120" w:type="dxa"/>
            <w:vAlign w:val="bottom"/>
            <w:tcBorders>
              <w:bottom w:val="single" w:sz="8" w:color="D7D8D6"/>
            </w:tcBorders>
          </w:tcPr>
          <w:p>
            <w:pPr>
              <w:jc w:val="right"/>
              <w:ind w:right="112"/>
              <w:spacing w:after="0"/>
              <w:rPr>
                <w:sz w:val="20"/>
                <w:szCs w:val="20"/>
                <w:color w:val="auto"/>
              </w:rPr>
            </w:pPr>
            <w:r>
              <w:rPr>
                <w:rFonts w:ascii="Arial" w:cs="Arial" w:eastAsia="Arial" w:hAnsi="Arial"/>
                <w:sz w:val="10"/>
                <w:szCs w:val="10"/>
                <w:color w:val="333740"/>
              </w:rPr>
              <w:t>1,739,994</w:t>
            </w:r>
          </w:p>
        </w:tc>
        <w:tc>
          <w:tcPr>
            <w:tcW w:w="1120" w:type="dxa"/>
            <w:vAlign w:val="bottom"/>
            <w:tcBorders>
              <w:bottom w:val="single" w:sz="8" w:color="D7D8D6"/>
            </w:tcBorders>
          </w:tcPr>
          <w:p>
            <w:pPr>
              <w:jc w:val="right"/>
              <w:ind w:right="132"/>
              <w:spacing w:after="0"/>
              <w:rPr>
                <w:sz w:val="20"/>
                <w:szCs w:val="20"/>
                <w:color w:val="auto"/>
              </w:rPr>
            </w:pPr>
            <w:r>
              <w:rPr>
                <w:rFonts w:ascii="Arial" w:cs="Arial" w:eastAsia="Arial" w:hAnsi="Arial"/>
                <w:sz w:val="10"/>
                <w:szCs w:val="10"/>
                <w:color w:val="333740"/>
              </w:rPr>
              <w:t>2,154,499</w:t>
            </w:r>
          </w:p>
        </w:tc>
        <w:tc>
          <w:tcPr>
            <w:tcW w:w="1160" w:type="dxa"/>
            <w:vAlign w:val="bottom"/>
            <w:tcBorders>
              <w:bottom w:val="single" w:sz="8" w:color="D7D8D6"/>
            </w:tcBorders>
          </w:tcPr>
          <w:p>
            <w:pPr>
              <w:jc w:val="right"/>
              <w:ind w:right="172"/>
              <w:spacing w:after="0"/>
              <w:rPr>
                <w:sz w:val="20"/>
                <w:szCs w:val="20"/>
                <w:color w:val="auto"/>
              </w:rPr>
            </w:pPr>
            <w:r>
              <w:rPr>
                <w:rFonts w:ascii="Arial" w:cs="Arial" w:eastAsia="Arial" w:hAnsi="Arial"/>
                <w:sz w:val="10"/>
                <w:szCs w:val="10"/>
                <w:color w:val="333740"/>
              </w:rPr>
              <w:t>—</w:t>
            </w:r>
          </w:p>
        </w:tc>
        <w:tc>
          <w:tcPr>
            <w:tcW w:w="1240" w:type="dxa"/>
            <w:vAlign w:val="bottom"/>
            <w:tcBorders>
              <w:bottom w:val="single" w:sz="8" w:color="D7D8D6"/>
            </w:tcBorders>
          </w:tcPr>
          <w:p>
            <w:pPr>
              <w:jc w:val="right"/>
              <w:ind w:right="212"/>
              <w:spacing w:after="0"/>
              <w:rPr>
                <w:sz w:val="20"/>
                <w:szCs w:val="20"/>
                <w:color w:val="auto"/>
              </w:rPr>
            </w:pPr>
            <w:r>
              <w:rPr>
                <w:rFonts w:ascii="Arial" w:cs="Arial" w:eastAsia="Arial" w:hAnsi="Arial"/>
                <w:sz w:val="10"/>
                <w:szCs w:val="10"/>
                <w:color w:val="333740"/>
              </w:rPr>
              <w:t>313,794</w:t>
            </w:r>
          </w:p>
        </w:tc>
        <w:tc>
          <w:tcPr>
            <w:tcW w:w="780" w:type="dxa"/>
            <w:vAlign w:val="bottom"/>
            <w:tcBorders>
              <w:bottom w:val="single" w:sz="8" w:color="D7D8D6"/>
            </w:tcBorders>
          </w:tcPr>
          <w:p>
            <w:pPr>
              <w:jc w:val="right"/>
              <w:spacing w:after="0"/>
              <w:rPr>
                <w:sz w:val="20"/>
                <w:szCs w:val="20"/>
                <w:color w:val="auto"/>
              </w:rPr>
            </w:pPr>
            <w:r>
              <w:rPr>
                <w:rFonts w:ascii="Arial" w:cs="Arial" w:eastAsia="Arial" w:hAnsi="Arial"/>
                <w:sz w:val="10"/>
                <w:szCs w:val="10"/>
                <w:color w:val="333740"/>
              </w:rPr>
              <w:t>13,403,500</w:t>
            </w:r>
          </w:p>
        </w:tc>
        <w:tc>
          <w:tcPr>
            <w:tcW w:w="0" w:type="dxa"/>
            <w:vAlign w:val="bottom"/>
          </w:tcPr>
          <w:p>
            <w:pPr>
              <w:spacing w:after="0"/>
              <w:rPr>
                <w:sz w:val="1"/>
                <w:szCs w:val="1"/>
                <w:color w:val="auto"/>
              </w:rPr>
            </w:pPr>
          </w:p>
        </w:tc>
      </w:tr>
      <w:tr>
        <w:trPr>
          <w:trHeight w:val="159"/>
        </w:trPr>
        <w:tc>
          <w:tcPr>
            <w:tcW w:w="17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333740"/>
              </w:rPr>
              <w:t>2017</w:t>
            </w:r>
          </w:p>
        </w:tc>
        <w:tc>
          <w:tcPr>
            <w:tcW w:w="1160" w:type="dxa"/>
            <w:vAlign w:val="bottom"/>
          </w:tcPr>
          <w:p>
            <w:pPr>
              <w:jc w:val="right"/>
              <w:spacing w:after="0"/>
              <w:rPr>
                <w:sz w:val="20"/>
                <w:szCs w:val="20"/>
                <w:color w:val="auto"/>
              </w:rPr>
            </w:pPr>
            <w:r>
              <w:rPr>
                <w:rFonts w:ascii="Arial" w:cs="Arial" w:eastAsia="Arial" w:hAnsi="Arial"/>
                <w:sz w:val="10"/>
                <w:szCs w:val="10"/>
                <w:color w:val="333740"/>
              </w:rPr>
              <w:t>1,116,667</w:t>
            </w:r>
          </w:p>
        </w:tc>
        <w:tc>
          <w:tcPr>
            <w:tcW w:w="1000" w:type="dxa"/>
            <w:vAlign w:val="bottom"/>
          </w:tcPr>
          <w:p>
            <w:pPr>
              <w:jc w:val="right"/>
              <w:ind w:right="133"/>
              <w:spacing w:after="0"/>
              <w:rPr>
                <w:sz w:val="20"/>
                <w:szCs w:val="20"/>
                <w:color w:val="auto"/>
              </w:rPr>
            </w:pPr>
            <w:r>
              <w:rPr>
                <w:rFonts w:ascii="Arial" w:cs="Arial" w:eastAsia="Arial" w:hAnsi="Arial"/>
                <w:sz w:val="10"/>
                <w:szCs w:val="10"/>
                <w:color w:val="333740"/>
              </w:rPr>
              <w:t>—</w:t>
            </w:r>
          </w:p>
        </w:tc>
        <w:tc>
          <w:tcPr>
            <w:tcW w:w="1060" w:type="dxa"/>
            <w:vAlign w:val="bottom"/>
          </w:tcPr>
          <w:p>
            <w:pPr>
              <w:jc w:val="right"/>
              <w:ind w:right="112"/>
              <w:spacing w:after="0"/>
              <w:rPr>
                <w:sz w:val="20"/>
                <w:szCs w:val="20"/>
                <w:color w:val="auto"/>
              </w:rPr>
            </w:pPr>
            <w:r>
              <w:rPr>
                <w:rFonts w:ascii="Arial" w:cs="Arial" w:eastAsia="Arial" w:hAnsi="Arial"/>
                <w:sz w:val="10"/>
                <w:szCs w:val="10"/>
                <w:color w:val="333740"/>
              </w:rPr>
              <w:t>7,317,853</w:t>
            </w:r>
          </w:p>
        </w:tc>
        <w:tc>
          <w:tcPr>
            <w:tcW w:w="1120" w:type="dxa"/>
            <w:vAlign w:val="bottom"/>
          </w:tcPr>
          <w:p>
            <w:pPr>
              <w:jc w:val="right"/>
              <w:ind w:right="112"/>
              <w:spacing w:after="0"/>
              <w:rPr>
                <w:sz w:val="20"/>
                <w:szCs w:val="20"/>
                <w:color w:val="auto"/>
              </w:rPr>
            </w:pPr>
            <w:r>
              <w:rPr>
                <w:rFonts w:ascii="Arial" w:cs="Arial" w:eastAsia="Arial" w:hAnsi="Arial"/>
                <w:sz w:val="10"/>
                <w:szCs w:val="10"/>
                <w:color w:val="333740"/>
              </w:rPr>
              <w:t>1,739,998</w:t>
            </w:r>
          </w:p>
        </w:tc>
        <w:tc>
          <w:tcPr>
            <w:tcW w:w="1120" w:type="dxa"/>
            <w:vAlign w:val="bottom"/>
          </w:tcPr>
          <w:p>
            <w:pPr>
              <w:jc w:val="right"/>
              <w:ind w:right="132"/>
              <w:spacing w:after="0"/>
              <w:rPr>
                <w:sz w:val="20"/>
                <w:szCs w:val="20"/>
                <w:color w:val="auto"/>
              </w:rPr>
            </w:pPr>
            <w:r>
              <w:rPr>
                <w:rFonts w:ascii="Arial" w:cs="Arial" w:eastAsia="Arial" w:hAnsi="Arial"/>
                <w:sz w:val="10"/>
                <w:szCs w:val="10"/>
                <w:color w:val="333740"/>
              </w:rPr>
              <w:t>2,272,556</w:t>
            </w:r>
          </w:p>
        </w:tc>
        <w:tc>
          <w:tcPr>
            <w:tcW w:w="1160" w:type="dxa"/>
            <w:vAlign w:val="bottom"/>
          </w:tcPr>
          <w:p>
            <w:pPr>
              <w:jc w:val="right"/>
              <w:ind w:right="172"/>
              <w:spacing w:after="0"/>
              <w:rPr>
                <w:sz w:val="20"/>
                <w:szCs w:val="20"/>
                <w:color w:val="auto"/>
              </w:rPr>
            </w:pPr>
            <w:r>
              <w:rPr>
                <w:rFonts w:ascii="Arial" w:cs="Arial" w:eastAsia="Arial" w:hAnsi="Arial"/>
                <w:sz w:val="10"/>
                <w:szCs w:val="10"/>
                <w:color w:val="333740"/>
              </w:rPr>
              <w:t>—</w:t>
            </w:r>
          </w:p>
        </w:tc>
        <w:tc>
          <w:tcPr>
            <w:tcW w:w="1240" w:type="dxa"/>
            <w:vAlign w:val="bottom"/>
          </w:tcPr>
          <w:p>
            <w:pPr>
              <w:jc w:val="right"/>
              <w:ind w:right="212"/>
              <w:spacing w:after="0"/>
              <w:rPr>
                <w:sz w:val="20"/>
                <w:szCs w:val="20"/>
                <w:color w:val="auto"/>
              </w:rPr>
            </w:pPr>
            <w:r>
              <w:rPr>
                <w:rFonts w:ascii="Arial" w:cs="Arial" w:eastAsia="Arial" w:hAnsi="Arial"/>
                <w:sz w:val="10"/>
                <w:szCs w:val="10"/>
                <w:color w:val="333740"/>
              </w:rPr>
              <w:t>241,026</w:t>
            </w:r>
          </w:p>
        </w:tc>
        <w:tc>
          <w:tcPr>
            <w:tcW w:w="780" w:type="dxa"/>
            <w:vAlign w:val="bottom"/>
          </w:tcPr>
          <w:p>
            <w:pPr>
              <w:jc w:val="right"/>
              <w:spacing w:after="0"/>
              <w:rPr>
                <w:sz w:val="20"/>
                <w:szCs w:val="20"/>
                <w:color w:val="auto"/>
              </w:rPr>
            </w:pPr>
            <w:r>
              <w:rPr>
                <w:rFonts w:ascii="Arial" w:cs="Arial" w:eastAsia="Arial" w:hAnsi="Arial"/>
                <w:sz w:val="10"/>
                <w:szCs w:val="10"/>
                <w:color w:val="333740"/>
              </w:rPr>
              <w:t>12,688,100</w:t>
            </w:r>
          </w:p>
        </w:tc>
        <w:tc>
          <w:tcPr>
            <w:tcW w:w="0" w:type="dxa"/>
            <w:vAlign w:val="bottom"/>
          </w:tcPr>
          <w:p>
            <w:pPr>
              <w:spacing w:after="0"/>
              <w:rPr>
                <w:sz w:val="1"/>
                <w:szCs w:val="1"/>
                <w:color w:val="auto"/>
              </w:rPr>
            </w:pPr>
          </w:p>
        </w:tc>
      </w:tr>
      <w:tr>
        <w:trPr>
          <w:trHeight w:val="56"/>
        </w:trPr>
        <w:tc>
          <w:tcPr>
            <w:tcW w:w="1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700" w:type="dxa"/>
            <w:vAlign w:val="bottom"/>
            <w:tcBorders>
              <w:bottom w:val="single" w:sz="8" w:color="D7D8D6"/>
            </w:tcBorders>
            <w:shd w:val="clear" w:color="auto" w:fill="D7D8D6"/>
          </w:tcPr>
          <w:p>
            <w:pPr>
              <w:ind w:left="20"/>
              <w:spacing w:after="0"/>
              <w:rPr>
                <w:sz w:val="20"/>
                <w:szCs w:val="20"/>
                <w:color w:val="auto"/>
              </w:rPr>
            </w:pPr>
            <w:r>
              <w:rPr>
                <w:rFonts w:ascii="Arial" w:cs="Arial" w:eastAsia="Arial" w:hAnsi="Arial"/>
                <w:sz w:val="10"/>
                <w:szCs w:val="10"/>
                <w:b w:val="1"/>
                <w:bCs w:val="1"/>
                <w:color w:val="333740"/>
              </w:rPr>
              <w:t>Maryann T. Mannen</w:t>
            </w:r>
          </w:p>
        </w:tc>
        <w:tc>
          <w:tcPr>
            <w:tcW w:w="920" w:type="dxa"/>
            <w:vAlign w:val="bottom"/>
            <w:tcBorders>
              <w:bottom w:val="single" w:sz="8" w:color="A3A7A9"/>
            </w:tcBorders>
            <w:shd w:val="clear" w:color="auto" w:fill="D7D8D6"/>
          </w:tcPr>
          <w:p>
            <w:pPr>
              <w:jc w:val="right"/>
              <w:spacing w:after="0"/>
              <w:rPr>
                <w:sz w:val="20"/>
                <w:szCs w:val="20"/>
                <w:color w:val="auto"/>
              </w:rPr>
            </w:pPr>
            <w:r>
              <w:rPr>
                <w:rFonts w:ascii="Arial" w:cs="Arial" w:eastAsia="Arial" w:hAnsi="Arial"/>
                <w:sz w:val="10"/>
                <w:szCs w:val="10"/>
                <w:color w:val="333740"/>
              </w:rPr>
              <w:t>2019</w:t>
            </w:r>
          </w:p>
        </w:tc>
        <w:tc>
          <w:tcPr>
            <w:tcW w:w="1160" w:type="dxa"/>
            <w:vAlign w:val="bottom"/>
            <w:tcBorders>
              <w:bottom w:val="single" w:sz="8" w:color="A3A7A9"/>
            </w:tcBorders>
            <w:shd w:val="clear" w:color="auto" w:fill="D7D8D6"/>
          </w:tcPr>
          <w:p>
            <w:pPr>
              <w:jc w:val="right"/>
              <w:spacing w:after="0"/>
              <w:rPr>
                <w:sz w:val="20"/>
                <w:szCs w:val="20"/>
                <w:color w:val="auto"/>
              </w:rPr>
            </w:pPr>
            <w:r>
              <w:rPr>
                <w:rFonts w:ascii="Arial" w:cs="Arial" w:eastAsia="Arial" w:hAnsi="Arial"/>
                <w:sz w:val="10"/>
                <w:szCs w:val="10"/>
                <w:color w:val="333740"/>
              </w:rPr>
              <w:t>797,917</w:t>
            </w:r>
          </w:p>
        </w:tc>
        <w:tc>
          <w:tcPr>
            <w:tcW w:w="1000" w:type="dxa"/>
            <w:vAlign w:val="bottom"/>
            <w:tcBorders>
              <w:bottom w:val="single" w:sz="8" w:color="A3A7A9"/>
            </w:tcBorders>
            <w:shd w:val="clear" w:color="auto" w:fill="D7D8D6"/>
          </w:tcPr>
          <w:p>
            <w:pPr>
              <w:jc w:val="right"/>
              <w:ind w:right="133"/>
              <w:spacing w:after="0"/>
              <w:rPr>
                <w:sz w:val="20"/>
                <w:szCs w:val="20"/>
                <w:color w:val="auto"/>
              </w:rPr>
            </w:pPr>
            <w:r>
              <w:rPr>
                <w:rFonts w:ascii="Arial" w:cs="Arial" w:eastAsia="Arial" w:hAnsi="Arial"/>
                <w:sz w:val="10"/>
                <w:szCs w:val="10"/>
                <w:color w:val="333740"/>
              </w:rPr>
              <w:t>—</w:t>
            </w:r>
          </w:p>
        </w:tc>
        <w:tc>
          <w:tcPr>
            <w:tcW w:w="1060" w:type="dxa"/>
            <w:vAlign w:val="bottom"/>
            <w:tcBorders>
              <w:bottom w:val="single" w:sz="8" w:color="A3A7A9"/>
            </w:tcBorders>
            <w:shd w:val="clear" w:color="auto" w:fill="D7D8D6"/>
          </w:tcPr>
          <w:p>
            <w:pPr>
              <w:jc w:val="right"/>
              <w:ind w:right="112"/>
              <w:spacing w:after="0"/>
              <w:rPr>
                <w:sz w:val="20"/>
                <w:szCs w:val="20"/>
                <w:color w:val="auto"/>
              </w:rPr>
            </w:pPr>
            <w:r>
              <w:rPr>
                <w:rFonts w:ascii="Arial" w:cs="Arial" w:eastAsia="Arial" w:hAnsi="Arial"/>
                <w:sz w:val="10"/>
                <w:szCs w:val="10"/>
                <w:color w:val="333740"/>
              </w:rPr>
              <w:t>2,837,216</w:t>
            </w:r>
          </w:p>
        </w:tc>
        <w:tc>
          <w:tcPr>
            <w:tcW w:w="1120" w:type="dxa"/>
            <w:vAlign w:val="bottom"/>
            <w:tcBorders>
              <w:bottom w:val="single" w:sz="8" w:color="A3A7A9"/>
            </w:tcBorders>
            <w:shd w:val="clear" w:color="auto" w:fill="D7D8D6"/>
          </w:tcPr>
          <w:p>
            <w:pPr>
              <w:jc w:val="right"/>
              <w:ind w:right="112"/>
              <w:spacing w:after="0"/>
              <w:rPr>
                <w:sz w:val="20"/>
                <w:szCs w:val="20"/>
                <w:color w:val="auto"/>
              </w:rPr>
            </w:pPr>
            <w:r>
              <w:rPr>
                <w:rFonts w:ascii="Arial" w:cs="Arial" w:eastAsia="Arial" w:hAnsi="Arial"/>
                <w:sz w:val="10"/>
                <w:szCs w:val="10"/>
                <w:color w:val="333740"/>
              </w:rPr>
              <w:t>619,999</w:t>
            </w:r>
          </w:p>
        </w:tc>
        <w:tc>
          <w:tcPr>
            <w:tcW w:w="1120" w:type="dxa"/>
            <w:vAlign w:val="bottom"/>
            <w:tcBorders>
              <w:bottom w:val="single" w:sz="8" w:color="A3A7A9"/>
            </w:tcBorders>
            <w:shd w:val="clear" w:color="auto" w:fill="D7D8D6"/>
          </w:tcPr>
          <w:p>
            <w:pPr>
              <w:jc w:val="right"/>
              <w:ind w:right="132"/>
              <w:spacing w:after="0"/>
              <w:rPr>
                <w:sz w:val="20"/>
                <w:szCs w:val="20"/>
                <w:color w:val="auto"/>
              </w:rPr>
            </w:pPr>
            <w:r>
              <w:rPr>
                <w:rFonts w:ascii="Arial" w:cs="Arial" w:eastAsia="Arial" w:hAnsi="Arial"/>
                <w:sz w:val="10"/>
                <w:szCs w:val="10"/>
                <w:color w:val="333740"/>
              </w:rPr>
              <w:t>1,308,583</w:t>
            </w:r>
          </w:p>
        </w:tc>
        <w:tc>
          <w:tcPr>
            <w:tcW w:w="1160" w:type="dxa"/>
            <w:vAlign w:val="bottom"/>
            <w:tcBorders>
              <w:bottom w:val="single" w:sz="8" w:color="A3A7A9"/>
            </w:tcBorders>
            <w:shd w:val="clear" w:color="auto" w:fill="D7D8D6"/>
          </w:tcPr>
          <w:p>
            <w:pPr>
              <w:jc w:val="right"/>
              <w:ind w:right="172"/>
              <w:spacing w:after="0"/>
              <w:rPr>
                <w:sz w:val="20"/>
                <w:szCs w:val="20"/>
                <w:color w:val="auto"/>
              </w:rPr>
            </w:pPr>
            <w:r>
              <w:rPr>
                <w:rFonts w:ascii="Arial" w:cs="Arial" w:eastAsia="Arial" w:hAnsi="Arial"/>
                <w:sz w:val="10"/>
                <w:szCs w:val="10"/>
                <w:color w:val="333740"/>
              </w:rPr>
              <w:t>1,058,285</w:t>
            </w:r>
          </w:p>
        </w:tc>
        <w:tc>
          <w:tcPr>
            <w:tcW w:w="1240" w:type="dxa"/>
            <w:vAlign w:val="bottom"/>
            <w:tcBorders>
              <w:bottom w:val="single" w:sz="8" w:color="A3A7A9"/>
            </w:tcBorders>
            <w:shd w:val="clear" w:color="auto" w:fill="D7D8D6"/>
          </w:tcPr>
          <w:p>
            <w:pPr>
              <w:jc w:val="right"/>
              <w:ind w:right="212"/>
              <w:spacing w:after="0"/>
              <w:rPr>
                <w:sz w:val="20"/>
                <w:szCs w:val="20"/>
                <w:color w:val="auto"/>
              </w:rPr>
            </w:pPr>
            <w:r>
              <w:rPr>
                <w:rFonts w:ascii="Arial" w:cs="Arial" w:eastAsia="Arial" w:hAnsi="Arial"/>
                <w:sz w:val="10"/>
                <w:szCs w:val="10"/>
                <w:color w:val="333740"/>
              </w:rPr>
              <w:t>218,713</w:t>
            </w:r>
          </w:p>
        </w:tc>
        <w:tc>
          <w:tcPr>
            <w:tcW w:w="780" w:type="dxa"/>
            <w:vAlign w:val="bottom"/>
            <w:tcBorders>
              <w:bottom w:val="single" w:sz="8" w:color="A3A7A9"/>
            </w:tcBorders>
            <w:shd w:val="clear" w:color="auto" w:fill="D7D8D6"/>
          </w:tcPr>
          <w:p>
            <w:pPr>
              <w:jc w:val="right"/>
              <w:spacing w:after="0"/>
              <w:rPr>
                <w:sz w:val="20"/>
                <w:szCs w:val="20"/>
                <w:color w:val="auto"/>
              </w:rPr>
            </w:pPr>
            <w:r>
              <w:rPr>
                <w:rFonts w:ascii="Arial" w:cs="Arial" w:eastAsia="Arial" w:hAnsi="Arial"/>
                <w:sz w:val="10"/>
                <w:szCs w:val="10"/>
                <w:color w:val="333740"/>
              </w:rPr>
              <w:t>6,840,713</w:t>
            </w:r>
          </w:p>
        </w:tc>
        <w:tc>
          <w:tcPr>
            <w:tcW w:w="0" w:type="dxa"/>
            <w:vAlign w:val="bottom"/>
          </w:tcPr>
          <w:p>
            <w:pPr>
              <w:spacing w:after="0"/>
              <w:rPr>
                <w:sz w:val="1"/>
                <w:szCs w:val="1"/>
                <w:color w:val="auto"/>
              </w:rPr>
            </w:pPr>
          </w:p>
        </w:tc>
      </w:tr>
      <w:tr>
        <w:trPr>
          <w:trHeight w:val="164"/>
        </w:trPr>
        <w:tc>
          <w:tcPr>
            <w:tcW w:w="1700" w:type="dxa"/>
            <w:vAlign w:val="bottom"/>
            <w:tcBorders>
              <w:bottom w:val="single" w:sz="8" w:color="D7D8D6"/>
            </w:tcBorders>
            <w:shd w:val="clear" w:color="auto" w:fill="D7D8D6"/>
          </w:tcPr>
          <w:p>
            <w:pPr>
              <w:ind w:left="20"/>
              <w:spacing w:after="0"/>
              <w:rPr>
                <w:sz w:val="20"/>
                <w:szCs w:val="20"/>
                <w:color w:val="auto"/>
              </w:rPr>
            </w:pPr>
            <w:r>
              <w:rPr>
                <w:rFonts w:ascii="Arial" w:cs="Arial" w:eastAsia="Arial" w:hAnsi="Arial"/>
                <w:sz w:val="10"/>
                <w:szCs w:val="10"/>
                <w:color w:val="333740"/>
              </w:rPr>
              <w:t>Executive Vice President and Chief</w:t>
            </w:r>
          </w:p>
        </w:tc>
        <w:tc>
          <w:tcPr>
            <w:tcW w:w="920" w:type="dxa"/>
            <w:vAlign w:val="bottom"/>
            <w:tcBorders>
              <w:bottom w:val="single" w:sz="8" w:color="D7D8D6"/>
            </w:tcBorders>
            <w:shd w:val="clear" w:color="auto" w:fill="D7D8D6"/>
          </w:tcPr>
          <w:p>
            <w:pPr>
              <w:jc w:val="right"/>
              <w:spacing w:after="0"/>
              <w:rPr>
                <w:sz w:val="20"/>
                <w:szCs w:val="20"/>
                <w:color w:val="auto"/>
              </w:rPr>
            </w:pPr>
            <w:r>
              <w:rPr>
                <w:rFonts w:ascii="Arial" w:cs="Arial" w:eastAsia="Arial" w:hAnsi="Arial"/>
                <w:sz w:val="10"/>
                <w:szCs w:val="10"/>
                <w:color w:val="333740"/>
              </w:rPr>
              <w:t>2018</w:t>
            </w:r>
          </w:p>
        </w:tc>
        <w:tc>
          <w:tcPr>
            <w:tcW w:w="1160" w:type="dxa"/>
            <w:vAlign w:val="bottom"/>
            <w:tcBorders>
              <w:bottom w:val="single" w:sz="8" w:color="D7D8D6"/>
            </w:tcBorders>
            <w:shd w:val="clear" w:color="auto" w:fill="D7D8D6"/>
          </w:tcPr>
          <w:p>
            <w:pPr>
              <w:jc w:val="right"/>
              <w:spacing w:after="0"/>
              <w:rPr>
                <w:sz w:val="20"/>
                <w:szCs w:val="20"/>
                <w:color w:val="auto"/>
              </w:rPr>
            </w:pPr>
            <w:r>
              <w:rPr>
                <w:rFonts w:ascii="Arial" w:cs="Arial" w:eastAsia="Arial" w:hAnsi="Arial"/>
                <w:sz w:val="10"/>
                <w:szCs w:val="10"/>
                <w:color w:val="333740"/>
              </w:rPr>
              <w:t>768,750</w:t>
            </w:r>
          </w:p>
        </w:tc>
        <w:tc>
          <w:tcPr>
            <w:tcW w:w="1000" w:type="dxa"/>
            <w:vAlign w:val="bottom"/>
            <w:tcBorders>
              <w:bottom w:val="single" w:sz="8" w:color="D7D8D6"/>
            </w:tcBorders>
            <w:shd w:val="clear" w:color="auto" w:fill="D7D8D6"/>
          </w:tcPr>
          <w:p>
            <w:pPr>
              <w:jc w:val="right"/>
              <w:ind w:right="133"/>
              <w:spacing w:after="0"/>
              <w:rPr>
                <w:sz w:val="20"/>
                <w:szCs w:val="20"/>
                <w:color w:val="auto"/>
              </w:rPr>
            </w:pPr>
            <w:r>
              <w:rPr>
                <w:rFonts w:ascii="Arial" w:cs="Arial" w:eastAsia="Arial" w:hAnsi="Arial"/>
                <w:sz w:val="10"/>
                <w:szCs w:val="10"/>
                <w:color w:val="333740"/>
              </w:rPr>
              <w:t>—</w:t>
            </w:r>
          </w:p>
        </w:tc>
        <w:tc>
          <w:tcPr>
            <w:tcW w:w="1060" w:type="dxa"/>
            <w:vAlign w:val="bottom"/>
            <w:tcBorders>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2,838,182</w:t>
            </w:r>
          </w:p>
        </w:tc>
        <w:tc>
          <w:tcPr>
            <w:tcW w:w="1120" w:type="dxa"/>
            <w:vAlign w:val="bottom"/>
            <w:tcBorders>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619,998</w:t>
            </w:r>
          </w:p>
        </w:tc>
        <w:tc>
          <w:tcPr>
            <w:tcW w:w="1120" w:type="dxa"/>
            <w:vAlign w:val="bottom"/>
            <w:tcBorders>
              <w:bottom w:val="single" w:sz="8" w:color="D7D8D6"/>
            </w:tcBorders>
            <w:shd w:val="clear" w:color="auto" w:fill="D7D8D6"/>
          </w:tcPr>
          <w:p>
            <w:pPr>
              <w:jc w:val="right"/>
              <w:ind w:right="132"/>
              <w:spacing w:after="0"/>
              <w:rPr>
                <w:sz w:val="20"/>
                <w:szCs w:val="20"/>
                <w:color w:val="auto"/>
              </w:rPr>
            </w:pPr>
            <w:r>
              <w:rPr>
                <w:rFonts w:ascii="Arial" w:cs="Arial" w:eastAsia="Arial" w:hAnsi="Arial"/>
                <w:sz w:val="10"/>
                <w:szCs w:val="10"/>
                <w:color w:val="333740"/>
              </w:rPr>
              <w:t>968,625</w:t>
            </w:r>
          </w:p>
        </w:tc>
        <w:tc>
          <w:tcPr>
            <w:tcW w:w="1160" w:type="dxa"/>
            <w:vAlign w:val="bottom"/>
            <w:tcBorders>
              <w:bottom w:val="single" w:sz="8" w:color="D7D8D6"/>
            </w:tcBorders>
            <w:shd w:val="clear" w:color="auto" w:fill="D7D8D6"/>
          </w:tcPr>
          <w:p>
            <w:pPr>
              <w:jc w:val="right"/>
              <w:ind w:right="172"/>
              <w:spacing w:after="0"/>
              <w:rPr>
                <w:sz w:val="20"/>
                <w:szCs w:val="20"/>
                <w:color w:val="auto"/>
              </w:rPr>
            </w:pPr>
            <w:r>
              <w:rPr>
                <w:rFonts w:ascii="Arial" w:cs="Arial" w:eastAsia="Arial" w:hAnsi="Arial"/>
                <w:sz w:val="10"/>
                <w:szCs w:val="10"/>
                <w:color w:val="333740"/>
              </w:rPr>
              <w:t>—</w:t>
            </w:r>
          </w:p>
        </w:tc>
        <w:tc>
          <w:tcPr>
            <w:tcW w:w="1240" w:type="dxa"/>
            <w:vAlign w:val="bottom"/>
            <w:tcBorders>
              <w:bottom w:val="single" w:sz="8" w:color="D7D8D6"/>
            </w:tcBorders>
            <w:shd w:val="clear" w:color="auto" w:fill="D7D8D6"/>
          </w:tcPr>
          <w:p>
            <w:pPr>
              <w:jc w:val="right"/>
              <w:ind w:right="212"/>
              <w:spacing w:after="0"/>
              <w:rPr>
                <w:sz w:val="20"/>
                <w:szCs w:val="20"/>
                <w:color w:val="auto"/>
              </w:rPr>
            </w:pPr>
            <w:r>
              <w:rPr>
                <w:rFonts w:ascii="Arial" w:cs="Arial" w:eastAsia="Arial" w:hAnsi="Arial"/>
                <w:sz w:val="10"/>
                <w:szCs w:val="10"/>
                <w:color w:val="333740"/>
              </w:rPr>
              <w:t>148,977</w:t>
            </w:r>
          </w:p>
        </w:tc>
        <w:tc>
          <w:tcPr>
            <w:tcW w:w="780" w:type="dxa"/>
            <w:vAlign w:val="bottom"/>
            <w:tcBorders>
              <w:bottom w:val="single" w:sz="8" w:color="D7D8D6"/>
            </w:tcBorders>
            <w:shd w:val="clear" w:color="auto" w:fill="D7D8D6"/>
          </w:tcPr>
          <w:p>
            <w:pPr>
              <w:jc w:val="right"/>
              <w:spacing w:after="0"/>
              <w:rPr>
                <w:sz w:val="20"/>
                <w:szCs w:val="20"/>
                <w:color w:val="auto"/>
              </w:rPr>
            </w:pPr>
            <w:r>
              <w:rPr>
                <w:rFonts w:ascii="Arial" w:cs="Arial" w:eastAsia="Arial" w:hAnsi="Arial"/>
                <w:sz w:val="10"/>
                <w:szCs w:val="10"/>
                <w:color w:val="333740"/>
              </w:rPr>
              <w:t>5,344,532</w:t>
            </w:r>
          </w:p>
        </w:tc>
        <w:tc>
          <w:tcPr>
            <w:tcW w:w="0" w:type="dxa"/>
            <w:vAlign w:val="bottom"/>
          </w:tcPr>
          <w:p>
            <w:pPr>
              <w:spacing w:after="0"/>
              <w:rPr>
                <w:sz w:val="1"/>
                <w:szCs w:val="1"/>
                <w:color w:val="auto"/>
              </w:rPr>
            </w:pPr>
          </w:p>
        </w:tc>
      </w:tr>
      <w:tr>
        <w:trPr>
          <w:trHeight w:val="52"/>
        </w:trPr>
        <w:tc>
          <w:tcPr>
            <w:tcW w:w="1700" w:type="dxa"/>
            <w:vAlign w:val="bottom"/>
            <w:tcBorders>
              <w:top w:val="single" w:sz="8" w:color="D7D8D6"/>
            </w:tcBorders>
            <w:shd w:val="clear" w:color="auto" w:fill="D7D8D6"/>
          </w:tcPr>
          <w:p>
            <w:pPr>
              <w:ind w:left="160"/>
              <w:spacing w:after="0" w:line="52" w:lineRule="exact"/>
              <w:rPr>
                <w:sz w:val="20"/>
                <w:szCs w:val="20"/>
                <w:color w:val="auto"/>
              </w:rPr>
            </w:pPr>
            <w:r>
              <w:rPr>
                <w:rFonts w:ascii="Arial" w:cs="Arial" w:eastAsia="Arial" w:hAnsi="Arial"/>
                <w:sz w:val="6"/>
                <w:szCs w:val="6"/>
                <w:color w:val="333740"/>
              </w:rPr>
              <w:t>Financial Officer</w:t>
            </w:r>
          </w:p>
        </w:tc>
        <w:tc>
          <w:tcPr>
            <w:tcW w:w="920" w:type="dxa"/>
            <w:vAlign w:val="bottom"/>
            <w:tcBorders>
              <w:top w:val="single" w:sz="8" w:color="A3A7A9"/>
            </w:tcBorders>
            <w:vMerge w:val="restart"/>
            <w:shd w:val="clear" w:color="auto" w:fill="D7D8D6"/>
          </w:tcPr>
          <w:p>
            <w:pPr>
              <w:jc w:val="right"/>
              <w:spacing w:after="0"/>
              <w:rPr>
                <w:sz w:val="20"/>
                <w:szCs w:val="20"/>
                <w:color w:val="auto"/>
              </w:rPr>
            </w:pPr>
            <w:r>
              <w:rPr>
                <w:rFonts w:ascii="Arial" w:cs="Arial" w:eastAsia="Arial" w:hAnsi="Arial"/>
                <w:sz w:val="10"/>
                <w:szCs w:val="10"/>
                <w:color w:val="333740"/>
              </w:rPr>
              <w:t>2017</w:t>
            </w:r>
          </w:p>
        </w:tc>
        <w:tc>
          <w:tcPr>
            <w:tcW w:w="1160" w:type="dxa"/>
            <w:vAlign w:val="bottom"/>
            <w:tcBorders>
              <w:top w:val="single" w:sz="8" w:color="A3A7A9"/>
            </w:tcBorders>
            <w:vMerge w:val="restart"/>
            <w:shd w:val="clear" w:color="auto" w:fill="D7D8D6"/>
          </w:tcPr>
          <w:p>
            <w:pPr>
              <w:jc w:val="right"/>
              <w:spacing w:after="0"/>
              <w:rPr>
                <w:sz w:val="20"/>
                <w:szCs w:val="20"/>
                <w:color w:val="auto"/>
              </w:rPr>
            </w:pPr>
            <w:r>
              <w:rPr>
                <w:rFonts w:ascii="Arial" w:cs="Arial" w:eastAsia="Arial" w:hAnsi="Arial"/>
                <w:sz w:val="10"/>
                <w:szCs w:val="10"/>
                <w:color w:val="333740"/>
              </w:rPr>
              <w:t>718,284</w:t>
            </w:r>
          </w:p>
        </w:tc>
        <w:tc>
          <w:tcPr>
            <w:tcW w:w="1000" w:type="dxa"/>
            <w:vAlign w:val="bottom"/>
            <w:tcBorders>
              <w:top w:val="single" w:sz="8" w:color="A3A7A9"/>
            </w:tcBorders>
            <w:vMerge w:val="restart"/>
            <w:shd w:val="clear" w:color="auto" w:fill="D7D8D6"/>
          </w:tcPr>
          <w:p>
            <w:pPr>
              <w:jc w:val="right"/>
              <w:ind w:right="133"/>
              <w:spacing w:after="0"/>
              <w:rPr>
                <w:sz w:val="20"/>
                <w:szCs w:val="20"/>
                <w:color w:val="auto"/>
              </w:rPr>
            </w:pPr>
            <w:r>
              <w:rPr>
                <w:rFonts w:ascii="Arial" w:cs="Arial" w:eastAsia="Arial" w:hAnsi="Arial"/>
                <w:sz w:val="10"/>
                <w:szCs w:val="10"/>
                <w:color w:val="333740"/>
              </w:rPr>
              <w:t>—</w:t>
            </w:r>
          </w:p>
        </w:tc>
        <w:tc>
          <w:tcPr>
            <w:tcW w:w="1060" w:type="dxa"/>
            <w:vAlign w:val="bottom"/>
            <w:tcBorders>
              <w:top w:val="single" w:sz="8" w:color="A3A7A9"/>
            </w:tcBorders>
            <w:vMerge w:val="restart"/>
            <w:shd w:val="clear" w:color="auto" w:fill="D7D8D6"/>
          </w:tcPr>
          <w:p>
            <w:pPr>
              <w:jc w:val="right"/>
              <w:ind w:right="112"/>
              <w:spacing w:after="0"/>
              <w:rPr>
                <w:sz w:val="20"/>
                <w:szCs w:val="20"/>
                <w:color w:val="auto"/>
              </w:rPr>
            </w:pPr>
            <w:r>
              <w:rPr>
                <w:rFonts w:ascii="Arial" w:cs="Arial" w:eastAsia="Arial" w:hAnsi="Arial"/>
                <w:sz w:val="10"/>
                <w:szCs w:val="10"/>
                <w:color w:val="333740"/>
              </w:rPr>
              <w:t>2,698,086</w:t>
            </w:r>
          </w:p>
        </w:tc>
        <w:tc>
          <w:tcPr>
            <w:tcW w:w="1120" w:type="dxa"/>
            <w:vAlign w:val="bottom"/>
            <w:tcBorders>
              <w:top w:val="single" w:sz="8" w:color="A3A7A9"/>
            </w:tcBorders>
            <w:vMerge w:val="restart"/>
            <w:shd w:val="clear" w:color="auto" w:fill="D7D8D6"/>
          </w:tcPr>
          <w:p>
            <w:pPr>
              <w:jc w:val="right"/>
              <w:ind w:right="112"/>
              <w:spacing w:after="0"/>
              <w:rPr>
                <w:sz w:val="20"/>
                <w:szCs w:val="20"/>
                <w:color w:val="auto"/>
              </w:rPr>
            </w:pPr>
            <w:r>
              <w:rPr>
                <w:rFonts w:ascii="Arial" w:cs="Arial" w:eastAsia="Arial" w:hAnsi="Arial"/>
                <w:sz w:val="10"/>
                <w:szCs w:val="10"/>
                <w:color w:val="333740"/>
              </w:rPr>
              <w:t>623,048</w:t>
            </w:r>
          </w:p>
        </w:tc>
        <w:tc>
          <w:tcPr>
            <w:tcW w:w="1120" w:type="dxa"/>
            <w:vAlign w:val="bottom"/>
            <w:tcBorders>
              <w:top w:val="single" w:sz="8" w:color="A3A7A9"/>
            </w:tcBorders>
            <w:vMerge w:val="restart"/>
            <w:shd w:val="clear" w:color="auto" w:fill="D7D8D6"/>
          </w:tcPr>
          <w:p>
            <w:pPr>
              <w:jc w:val="right"/>
              <w:ind w:right="132"/>
              <w:spacing w:after="0"/>
              <w:rPr>
                <w:sz w:val="20"/>
                <w:szCs w:val="20"/>
                <w:color w:val="auto"/>
              </w:rPr>
            </w:pPr>
            <w:r>
              <w:rPr>
                <w:rFonts w:ascii="Arial" w:cs="Arial" w:eastAsia="Arial" w:hAnsi="Arial"/>
                <w:sz w:val="10"/>
                <w:szCs w:val="10"/>
                <w:color w:val="333740"/>
              </w:rPr>
              <w:t>1,028,942</w:t>
            </w:r>
          </w:p>
        </w:tc>
        <w:tc>
          <w:tcPr>
            <w:tcW w:w="1160" w:type="dxa"/>
            <w:vAlign w:val="bottom"/>
            <w:tcBorders>
              <w:top w:val="single" w:sz="8" w:color="A3A7A9"/>
            </w:tcBorders>
            <w:vMerge w:val="restart"/>
            <w:shd w:val="clear" w:color="auto" w:fill="D7D8D6"/>
          </w:tcPr>
          <w:p>
            <w:pPr>
              <w:jc w:val="right"/>
              <w:ind w:right="172"/>
              <w:spacing w:after="0"/>
              <w:rPr>
                <w:sz w:val="20"/>
                <w:szCs w:val="20"/>
                <w:color w:val="auto"/>
              </w:rPr>
            </w:pPr>
            <w:r>
              <w:rPr>
                <w:rFonts w:ascii="Arial" w:cs="Arial" w:eastAsia="Arial" w:hAnsi="Arial"/>
                <w:sz w:val="10"/>
                <w:szCs w:val="10"/>
                <w:color w:val="333740"/>
              </w:rPr>
              <w:t>2,162,942</w:t>
            </w:r>
          </w:p>
        </w:tc>
        <w:tc>
          <w:tcPr>
            <w:tcW w:w="1240" w:type="dxa"/>
            <w:vAlign w:val="bottom"/>
            <w:tcBorders>
              <w:top w:val="single" w:sz="8" w:color="A3A7A9"/>
            </w:tcBorders>
            <w:vMerge w:val="restart"/>
            <w:shd w:val="clear" w:color="auto" w:fill="D7D8D6"/>
          </w:tcPr>
          <w:p>
            <w:pPr>
              <w:jc w:val="right"/>
              <w:ind w:right="212"/>
              <w:spacing w:after="0"/>
              <w:rPr>
                <w:sz w:val="20"/>
                <w:szCs w:val="20"/>
                <w:color w:val="auto"/>
              </w:rPr>
            </w:pPr>
            <w:r>
              <w:rPr>
                <w:rFonts w:ascii="Arial" w:cs="Arial" w:eastAsia="Arial" w:hAnsi="Arial"/>
                <w:sz w:val="10"/>
                <w:szCs w:val="10"/>
                <w:color w:val="333740"/>
              </w:rPr>
              <w:t>86,423</w:t>
            </w:r>
          </w:p>
        </w:tc>
        <w:tc>
          <w:tcPr>
            <w:tcW w:w="780" w:type="dxa"/>
            <w:vAlign w:val="bottom"/>
            <w:tcBorders>
              <w:top w:val="single" w:sz="8" w:color="A3A7A9"/>
            </w:tcBorders>
            <w:vMerge w:val="restart"/>
            <w:shd w:val="clear" w:color="auto" w:fill="D7D8D6"/>
          </w:tcPr>
          <w:p>
            <w:pPr>
              <w:jc w:val="right"/>
              <w:spacing w:after="0"/>
              <w:rPr>
                <w:sz w:val="20"/>
                <w:szCs w:val="20"/>
                <w:color w:val="auto"/>
              </w:rPr>
            </w:pPr>
            <w:r>
              <w:rPr>
                <w:rFonts w:ascii="Arial" w:cs="Arial" w:eastAsia="Arial" w:hAnsi="Arial"/>
                <w:sz w:val="10"/>
                <w:szCs w:val="10"/>
                <w:color w:val="333740"/>
              </w:rPr>
              <w:t>7,317,725</w:t>
            </w:r>
          </w:p>
        </w:tc>
        <w:tc>
          <w:tcPr>
            <w:tcW w:w="0" w:type="dxa"/>
            <w:vAlign w:val="bottom"/>
          </w:tcPr>
          <w:p>
            <w:pPr>
              <w:spacing w:after="0"/>
              <w:rPr>
                <w:sz w:val="1"/>
                <w:szCs w:val="1"/>
                <w:color w:val="auto"/>
              </w:rPr>
            </w:pPr>
          </w:p>
        </w:tc>
      </w:tr>
      <w:tr>
        <w:trPr>
          <w:trHeight w:val="103"/>
        </w:trPr>
        <w:tc>
          <w:tcPr>
            <w:tcW w:w="1700" w:type="dxa"/>
            <w:vAlign w:val="bottom"/>
            <w:shd w:val="clear" w:color="auto" w:fill="D7D8D6"/>
          </w:tcPr>
          <w:p>
            <w:pPr>
              <w:spacing w:after="0"/>
              <w:rPr>
                <w:sz w:val="8"/>
                <w:szCs w:val="8"/>
                <w:color w:val="auto"/>
              </w:rPr>
            </w:pPr>
          </w:p>
        </w:tc>
        <w:tc>
          <w:tcPr>
            <w:tcW w:w="920" w:type="dxa"/>
            <w:vAlign w:val="bottom"/>
            <w:vMerge w:val="continue"/>
            <w:shd w:val="clear" w:color="auto" w:fill="D7D8D6"/>
          </w:tcPr>
          <w:p>
            <w:pPr>
              <w:spacing w:after="0"/>
              <w:rPr>
                <w:sz w:val="8"/>
                <w:szCs w:val="8"/>
                <w:color w:val="auto"/>
              </w:rPr>
            </w:pPr>
          </w:p>
        </w:tc>
        <w:tc>
          <w:tcPr>
            <w:tcW w:w="1160" w:type="dxa"/>
            <w:vAlign w:val="bottom"/>
            <w:vMerge w:val="continue"/>
            <w:shd w:val="clear" w:color="auto" w:fill="D7D8D6"/>
          </w:tcPr>
          <w:p>
            <w:pPr>
              <w:spacing w:after="0"/>
              <w:rPr>
                <w:sz w:val="8"/>
                <w:szCs w:val="8"/>
                <w:color w:val="auto"/>
              </w:rPr>
            </w:pPr>
          </w:p>
        </w:tc>
        <w:tc>
          <w:tcPr>
            <w:tcW w:w="1000" w:type="dxa"/>
            <w:vAlign w:val="bottom"/>
            <w:vMerge w:val="continue"/>
            <w:shd w:val="clear" w:color="auto" w:fill="D7D8D6"/>
          </w:tcPr>
          <w:p>
            <w:pPr>
              <w:spacing w:after="0"/>
              <w:rPr>
                <w:sz w:val="8"/>
                <w:szCs w:val="8"/>
                <w:color w:val="auto"/>
              </w:rPr>
            </w:pPr>
          </w:p>
        </w:tc>
        <w:tc>
          <w:tcPr>
            <w:tcW w:w="1060" w:type="dxa"/>
            <w:vAlign w:val="bottom"/>
            <w:vMerge w:val="continue"/>
            <w:shd w:val="clear" w:color="auto" w:fill="D7D8D6"/>
          </w:tcPr>
          <w:p>
            <w:pPr>
              <w:spacing w:after="0"/>
              <w:rPr>
                <w:sz w:val="8"/>
                <w:szCs w:val="8"/>
                <w:color w:val="auto"/>
              </w:rPr>
            </w:pPr>
          </w:p>
        </w:tc>
        <w:tc>
          <w:tcPr>
            <w:tcW w:w="1120" w:type="dxa"/>
            <w:vAlign w:val="bottom"/>
            <w:vMerge w:val="continue"/>
            <w:shd w:val="clear" w:color="auto" w:fill="D7D8D6"/>
          </w:tcPr>
          <w:p>
            <w:pPr>
              <w:spacing w:after="0"/>
              <w:rPr>
                <w:sz w:val="8"/>
                <w:szCs w:val="8"/>
                <w:color w:val="auto"/>
              </w:rPr>
            </w:pPr>
          </w:p>
        </w:tc>
        <w:tc>
          <w:tcPr>
            <w:tcW w:w="1120" w:type="dxa"/>
            <w:vAlign w:val="bottom"/>
            <w:vMerge w:val="continue"/>
            <w:shd w:val="clear" w:color="auto" w:fill="D7D8D6"/>
          </w:tcPr>
          <w:p>
            <w:pPr>
              <w:spacing w:after="0"/>
              <w:rPr>
                <w:sz w:val="8"/>
                <w:szCs w:val="8"/>
                <w:color w:val="auto"/>
              </w:rPr>
            </w:pPr>
          </w:p>
        </w:tc>
        <w:tc>
          <w:tcPr>
            <w:tcW w:w="1160" w:type="dxa"/>
            <w:vAlign w:val="bottom"/>
            <w:vMerge w:val="continue"/>
            <w:shd w:val="clear" w:color="auto" w:fill="D7D8D6"/>
          </w:tcPr>
          <w:p>
            <w:pPr>
              <w:spacing w:after="0"/>
              <w:rPr>
                <w:sz w:val="8"/>
                <w:szCs w:val="8"/>
                <w:color w:val="auto"/>
              </w:rPr>
            </w:pPr>
          </w:p>
        </w:tc>
        <w:tc>
          <w:tcPr>
            <w:tcW w:w="1240" w:type="dxa"/>
            <w:vAlign w:val="bottom"/>
            <w:vMerge w:val="continue"/>
            <w:shd w:val="clear" w:color="auto" w:fill="D7D8D6"/>
          </w:tcPr>
          <w:p>
            <w:pPr>
              <w:spacing w:after="0"/>
              <w:rPr>
                <w:sz w:val="8"/>
                <w:szCs w:val="8"/>
                <w:color w:val="auto"/>
              </w:rPr>
            </w:pPr>
          </w:p>
        </w:tc>
        <w:tc>
          <w:tcPr>
            <w:tcW w:w="780" w:type="dxa"/>
            <w:vAlign w:val="bottom"/>
            <w:vMerge w:val="continue"/>
            <w:shd w:val="clear" w:color="auto" w:fill="D7D8D6"/>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700" w:type="dxa"/>
            <w:vAlign w:val="bottom"/>
          </w:tcPr>
          <w:p>
            <w:pPr>
              <w:ind w:left="20"/>
              <w:spacing w:after="0"/>
              <w:rPr>
                <w:sz w:val="20"/>
                <w:szCs w:val="20"/>
                <w:color w:val="auto"/>
              </w:rPr>
            </w:pPr>
            <w:r>
              <w:rPr>
                <w:rFonts w:ascii="Arial" w:cs="Arial" w:eastAsia="Arial" w:hAnsi="Arial"/>
                <w:sz w:val="10"/>
                <w:szCs w:val="10"/>
                <w:b w:val="1"/>
                <w:bCs w:val="1"/>
                <w:color w:val="333740"/>
              </w:rPr>
              <w:t>Dianne B. Ralston</w:t>
            </w:r>
          </w:p>
        </w:tc>
        <w:tc>
          <w:tcPr>
            <w:tcW w:w="920" w:type="dxa"/>
            <w:vAlign w:val="bottom"/>
            <w:tcBorders>
              <w:bottom w:val="single" w:sz="8" w:color="D7D8D6"/>
            </w:tcBorders>
          </w:tcPr>
          <w:p>
            <w:pPr>
              <w:jc w:val="right"/>
              <w:spacing w:after="0"/>
              <w:rPr>
                <w:sz w:val="20"/>
                <w:szCs w:val="20"/>
                <w:color w:val="auto"/>
              </w:rPr>
            </w:pPr>
            <w:r>
              <w:rPr>
                <w:rFonts w:ascii="Arial" w:cs="Arial" w:eastAsia="Arial" w:hAnsi="Arial"/>
                <w:sz w:val="10"/>
                <w:szCs w:val="10"/>
                <w:color w:val="333740"/>
              </w:rPr>
              <w:t>2019</w:t>
            </w:r>
          </w:p>
        </w:tc>
        <w:tc>
          <w:tcPr>
            <w:tcW w:w="1160" w:type="dxa"/>
            <w:vAlign w:val="bottom"/>
            <w:tcBorders>
              <w:bottom w:val="single" w:sz="8" w:color="D7D8D6"/>
            </w:tcBorders>
          </w:tcPr>
          <w:p>
            <w:pPr>
              <w:jc w:val="right"/>
              <w:spacing w:after="0"/>
              <w:rPr>
                <w:sz w:val="20"/>
                <w:szCs w:val="20"/>
                <w:color w:val="auto"/>
              </w:rPr>
            </w:pPr>
            <w:r>
              <w:rPr>
                <w:rFonts w:ascii="Arial" w:cs="Arial" w:eastAsia="Arial" w:hAnsi="Arial"/>
                <w:sz w:val="10"/>
                <w:szCs w:val="10"/>
                <w:color w:val="333740"/>
              </w:rPr>
              <w:t>638,833</w:t>
            </w:r>
          </w:p>
        </w:tc>
        <w:tc>
          <w:tcPr>
            <w:tcW w:w="1000" w:type="dxa"/>
            <w:vAlign w:val="bottom"/>
            <w:tcBorders>
              <w:bottom w:val="single" w:sz="8" w:color="D7D8D6"/>
            </w:tcBorders>
          </w:tcPr>
          <w:p>
            <w:pPr>
              <w:jc w:val="right"/>
              <w:ind w:right="133"/>
              <w:spacing w:after="0"/>
              <w:rPr>
                <w:sz w:val="20"/>
                <w:szCs w:val="20"/>
                <w:color w:val="auto"/>
              </w:rPr>
            </w:pPr>
            <w:r>
              <w:rPr>
                <w:rFonts w:ascii="Arial" w:cs="Arial" w:eastAsia="Arial" w:hAnsi="Arial"/>
                <w:sz w:val="10"/>
                <w:szCs w:val="10"/>
                <w:color w:val="333740"/>
              </w:rPr>
              <w:t>—</w:t>
            </w:r>
          </w:p>
        </w:tc>
        <w:tc>
          <w:tcPr>
            <w:tcW w:w="1060" w:type="dxa"/>
            <w:vAlign w:val="bottom"/>
            <w:tcBorders>
              <w:bottom w:val="single" w:sz="8" w:color="D7D8D6"/>
            </w:tcBorders>
          </w:tcPr>
          <w:p>
            <w:pPr>
              <w:jc w:val="right"/>
              <w:ind w:right="112"/>
              <w:spacing w:after="0"/>
              <w:rPr>
                <w:sz w:val="20"/>
                <w:szCs w:val="20"/>
                <w:color w:val="auto"/>
              </w:rPr>
            </w:pPr>
            <w:r>
              <w:rPr>
                <w:rFonts w:ascii="Arial" w:cs="Arial" w:eastAsia="Arial" w:hAnsi="Arial"/>
                <w:sz w:val="10"/>
                <w:szCs w:val="10"/>
                <w:color w:val="333740"/>
              </w:rPr>
              <w:t>1,921,999</w:t>
            </w:r>
          </w:p>
        </w:tc>
        <w:tc>
          <w:tcPr>
            <w:tcW w:w="1120" w:type="dxa"/>
            <w:vAlign w:val="bottom"/>
            <w:tcBorders>
              <w:bottom w:val="single" w:sz="8" w:color="D7D8D6"/>
            </w:tcBorders>
          </w:tcPr>
          <w:p>
            <w:pPr>
              <w:jc w:val="right"/>
              <w:ind w:right="112"/>
              <w:spacing w:after="0"/>
              <w:rPr>
                <w:sz w:val="20"/>
                <w:szCs w:val="20"/>
                <w:color w:val="auto"/>
              </w:rPr>
            </w:pPr>
            <w:r>
              <w:rPr>
                <w:rFonts w:ascii="Arial" w:cs="Arial" w:eastAsia="Arial" w:hAnsi="Arial"/>
                <w:sz w:val="10"/>
                <w:szCs w:val="10"/>
                <w:color w:val="333740"/>
              </w:rPr>
              <w:t>419,998</w:t>
            </w:r>
          </w:p>
        </w:tc>
        <w:tc>
          <w:tcPr>
            <w:tcW w:w="1120" w:type="dxa"/>
            <w:vAlign w:val="bottom"/>
            <w:tcBorders>
              <w:bottom w:val="single" w:sz="8" w:color="D7D8D6"/>
            </w:tcBorders>
          </w:tcPr>
          <w:p>
            <w:pPr>
              <w:jc w:val="right"/>
              <w:ind w:right="132"/>
              <w:spacing w:after="0"/>
              <w:rPr>
                <w:sz w:val="20"/>
                <w:szCs w:val="20"/>
                <w:color w:val="auto"/>
              </w:rPr>
            </w:pPr>
            <w:r>
              <w:rPr>
                <w:rFonts w:ascii="Arial" w:cs="Arial" w:eastAsia="Arial" w:hAnsi="Arial"/>
                <w:sz w:val="10"/>
                <w:szCs w:val="10"/>
                <w:color w:val="333740"/>
              </w:rPr>
              <w:t>1,047,687</w:t>
            </w:r>
          </w:p>
        </w:tc>
        <w:tc>
          <w:tcPr>
            <w:tcW w:w="1160" w:type="dxa"/>
            <w:vAlign w:val="bottom"/>
            <w:tcBorders>
              <w:bottom w:val="single" w:sz="8" w:color="D7D8D6"/>
            </w:tcBorders>
          </w:tcPr>
          <w:p>
            <w:pPr>
              <w:jc w:val="right"/>
              <w:ind w:right="172"/>
              <w:spacing w:after="0"/>
              <w:rPr>
                <w:sz w:val="20"/>
                <w:szCs w:val="20"/>
                <w:color w:val="auto"/>
              </w:rPr>
            </w:pPr>
            <w:r>
              <w:rPr>
                <w:rFonts w:ascii="Arial" w:cs="Arial" w:eastAsia="Arial" w:hAnsi="Arial"/>
                <w:sz w:val="10"/>
                <w:szCs w:val="10"/>
                <w:color w:val="333740"/>
              </w:rPr>
              <w:t>—</w:t>
            </w:r>
          </w:p>
        </w:tc>
        <w:tc>
          <w:tcPr>
            <w:tcW w:w="1240" w:type="dxa"/>
            <w:vAlign w:val="bottom"/>
            <w:tcBorders>
              <w:bottom w:val="single" w:sz="8" w:color="D7D8D6"/>
            </w:tcBorders>
          </w:tcPr>
          <w:p>
            <w:pPr>
              <w:jc w:val="right"/>
              <w:ind w:right="212"/>
              <w:spacing w:after="0"/>
              <w:rPr>
                <w:sz w:val="20"/>
                <w:szCs w:val="20"/>
                <w:color w:val="auto"/>
              </w:rPr>
            </w:pPr>
            <w:r>
              <w:rPr>
                <w:rFonts w:ascii="Arial" w:cs="Arial" w:eastAsia="Arial" w:hAnsi="Arial"/>
                <w:sz w:val="10"/>
                <w:szCs w:val="10"/>
                <w:color w:val="333740"/>
              </w:rPr>
              <w:t>128,601</w:t>
            </w:r>
          </w:p>
        </w:tc>
        <w:tc>
          <w:tcPr>
            <w:tcW w:w="780" w:type="dxa"/>
            <w:vAlign w:val="bottom"/>
            <w:tcBorders>
              <w:bottom w:val="single" w:sz="8" w:color="D7D8D6"/>
            </w:tcBorders>
          </w:tcPr>
          <w:p>
            <w:pPr>
              <w:jc w:val="right"/>
              <w:spacing w:after="0"/>
              <w:rPr>
                <w:sz w:val="20"/>
                <w:szCs w:val="20"/>
                <w:color w:val="auto"/>
              </w:rPr>
            </w:pPr>
            <w:r>
              <w:rPr>
                <w:rFonts w:ascii="Arial" w:cs="Arial" w:eastAsia="Arial" w:hAnsi="Arial"/>
                <w:sz w:val="10"/>
                <w:szCs w:val="10"/>
                <w:color w:val="333740"/>
              </w:rPr>
              <w:t>4,157,118</w:t>
            </w:r>
          </w:p>
        </w:tc>
        <w:tc>
          <w:tcPr>
            <w:tcW w:w="0" w:type="dxa"/>
            <w:vAlign w:val="bottom"/>
          </w:tcPr>
          <w:p>
            <w:pPr>
              <w:spacing w:after="0"/>
              <w:rPr>
                <w:sz w:val="1"/>
                <w:szCs w:val="1"/>
                <w:color w:val="auto"/>
              </w:rPr>
            </w:pPr>
          </w:p>
        </w:tc>
      </w:tr>
      <w:tr>
        <w:trPr>
          <w:trHeight w:val="159"/>
        </w:trPr>
        <w:tc>
          <w:tcPr>
            <w:tcW w:w="1700" w:type="dxa"/>
            <w:vAlign w:val="bottom"/>
          </w:tcPr>
          <w:p>
            <w:pPr>
              <w:ind w:left="20"/>
              <w:spacing w:after="0"/>
              <w:rPr>
                <w:sz w:val="20"/>
                <w:szCs w:val="20"/>
                <w:color w:val="auto"/>
              </w:rPr>
            </w:pPr>
            <w:r>
              <w:rPr>
                <w:rFonts w:ascii="Arial" w:cs="Arial" w:eastAsia="Arial" w:hAnsi="Arial"/>
                <w:sz w:val="10"/>
                <w:szCs w:val="10"/>
                <w:color w:val="333740"/>
              </w:rPr>
              <w:t>Executive Vice</w:t>
            </w:r>
          </w:p>
        </w:tc>
        <w:tc>
          <w:tcPr>
            <w:tcW w:w="920" w:type="dxa"/>
            <w:vAlign w:val="bottom"/>
            <w:tcBorders>
              <w:bottom w:val="single" w:sz="8" w:color="D7D8D6"/>
            </w:tcBorders>
          </w:tcPr>
          <w:p>
            <w:pPr>
              <w:jc w:val="right"/>
              <w:spacing w:after="0"/>
              <w:rPr>
                <w:sz w:val="20"/>
                <w:szCs w:val="20"/>
                <w:color w:val="auto"/>
              </w:rPr>
            </w:pPr>
            <w:r>
              <w:rPr>
                <w:rFonts w:ascii="Arial" w:cs="Arial" w:eastAsia="Arial" w:hAnsi="Arial"/>
                <w:sz w:val="10"/>
                <w:szCs w:val="10"/>
                <w:color w:val="333740"/>
              </w:rPr>
              <w:t>2018</w:t>
            </w:r>
          </w:p>
        </w:tc>
        <w:tc>
          <w:tcPr>
            <w:tcW w:w="1160" w:type="dxa"/>
            <w:vAlign w:val="bottom"/>
            <w:tcBorders>
              <w:bottom w:val="single" w:sz="8" w:color="D7D8D6"/>
            </w:tcBorders>
          </w:tcPr>
          <w:p>
            <w:pPr>
              <w:jc w:val="right"/>
              <w:spacing w:after="0"/>
              <w:rPr>
                <w:sz w:val="20"/>
                <w:szCs w:val="20"/>
                <w:color w:val="auto"/>
              </w:rPr>
            </w:pPr>
            <w:r>
              <w:rPr>
                <w:rFonts w:ascii="Arial" w:cs="Arial" w:eastAsia="Arial" w:hAnsi="Arial"/>
                <w:sz w:val="10"/>
                <w:szCs w:val="10"/>
                <w:color w:val="333740"/>
              </w:rPr>
              <w:t>615,000</w:t>
            </w:r>
          </w:p>
        </w:tc>
        <w:tc>
          <w:tcPr>
            <w:tcW w:w="1000" w:type="dxa"/>
            <w:vAlign w:val="bottom"/>
            <w:tcBorders>
              <w:bottom w:val="single" w:sz="8" w:color="D7D8D6"/>
            </w:tcBorders>
          </w:tcPr>
          <w:p>
            <w:pPr>
              <w:jc w:val="right"/>
              <w:ind w:right="133"/>
              <w:spacing w:after="0"/>
              <w:rPr>
                <w:sz w:val="20"/>
                <w:szCs w:val="20"/>
                <w:color w:val="auto"/>
              </w:rPr>
            </w:pPr>
            <w:r>
              <w:rPr>
                <w:rFonts w:ascii="Arial" w:cs="Arial" w:eastAsia="Arial" w:hAnsi="Arial"/>
                <w:sz w:val="10"/>
                <w:szCs w:val="10"/>
                <w:color w:val="333740"/>
              </w:rPr>
              <w:t>—</w:t>
            </w:r>
          </w:p>
        </w:tc>
        <w:tc>
          <w:tcPr>
            <w:tcW w:w="1060" w:type="dxa"/>
            <w:vAlign w:val="bottom"/>
            <w:tcBorders>
              <w:bottom w:val="single" w:sz="8" w:color="D7D8D6"/>
            </w:tcBorders>
          </w:tcPr>
          <w:p>
            <w:pPr>
              <w:jc w:val="right"/>
              <w:ind w:right="112"/>
              <w:spacing w:after="0"/>
              <w:rPr>
                <w:sz w:val="20"/>
                <w:szCs w:val="20"/>
                <w:color w:val="auto"/>
              </w:rPr>
            </w:pPr>
            <w:r>
              <w:rPr>
                <w:rFonts w:ascii="Arial" w:cs="Arial" w:eastAsia="Arial" w:hAnsi="Arial"/>
                <w:sz w:val="10"/>
                <w:szCs w:val="10"/>
                <w:color w:val="333740"/>
              </w:rPr>
              <w:t>1,922,626</w:t>
            </w:r>
          </w:p>
        </w:tc>
        <w:tc>
          <w:tcPr>
            <w:tcW w:w="1120" w:type="dxa"/>
            <w:vAlign w:val="bottom"/>
            <w:tcBorders>
              <w:bottom w:val="single" w:sz="8" w:color="D7D8D6"/>
            </w:tcBorders>
          </w:tcPr>
          <w:p>
            <w:pPr>
              <w:jc w:val="right"/>
              <w:ind w:right="112"/>
              <w:spacing w:after="0"/>
              <w:rPr>
                <w:sz w:val="20"/>
                <w:szCs w:val="20"/>
                <w:color w:val="auto"/>
              </w:rPr>
            </w:pPr>
            <w:r>
              <w:rPr>
                <w:rFonts w:ascii="Arial" w:cs="Arial" w:eastAsia="Arial" w:hAnsi="Arial"/>
                <w:sz w:val="10"/>
                <w:szCs w:val="10"/>
                <w:color w:val="333740"/>
              </w:rPr>
              <w:t>420,000</w:t>
            </w:r>
          </w:p>
        </w:tc>
        <w:tc>
          <w:tcPr>
            <w:tcW w:w="1120" w:type="dxa"/>
            <w:vAlign w:val="bottom"/>
            <w:tcBorders>
              <w:bottom w:val="single" w:sz="8" w:color="D7D8D6"/>
            </w:tcBorders>
          </w:tcPr>
          <w:p>
            <w:pPr>
              <w:jc w:val="right"/>
              <w:ind w:right="132"/>
              <w:spacing w:after="0"/>
              <w:rPr>
                <w:sz w:val="20"/>
                <w:szCs w:val="20"/>
                <w:color w:val="auto"/>
              </w:rPr>
            </w:pPr>
            <w:r>
              <w:rPr>
                <w:rFonts w:ascii="Arial" w:cs="Arial" w:eastAsia="Arial" w:hAnsi="Arial"/>
                <w:sz w:val="10"/>
                <w:szCs w:val="10"/>
                <w:color w:val="333740"/>
              </w:rPr>
              <w:t>797,963</w:t>
            </w:r>
          </w:p>
        </w:tc>
        <w:tc>
          <w:tcPr>
            <w:tcW w:w="1160" w:type="dxa"/>
            <w:vAlign w:val="bottom"/>
            <w:tcBorders>
              <w:bottom w:val="single" w:sz="8" w:color="D7D8D6"/>
            </w:tcBorders>
          </w:tcPr>
          <w:p>
            <w:pPr>
              <w:jc w:val="right"/>
              <w:ind w:right="172"/>
              <w:spacing w:after="0"/>
              <w:rPr>
                <w:sz w:val="20"/>
                <w:szCs w:val="20"/>
                <w:color w:val="auto"/>
              </w:rPr>
            </w:pPr>
            <w:r>
              <w:rPr>
                <w:rFonts w:ascii="Arial" w:cs="Arial" w:eastAsia="Arial" w:hAnsi="Arial"/>
                <w:sz w:val="10"/>
                <w:szCs w:val="10"/>
                <w:color w:val="333740"/>
              </w:rPr>
              <w:t>—</w:t>
            </w:r>
          </w:p>
        </w:tc>
        <w:tc>
          <w:tcPr>
            <w:tcW w:w="1240" w:type="dxa"/>
            <w:vAlign w:val="bottom"/>
            <w:tcBorders>
              <w:bottom w:val="single" w:sz="8" w:color="D7D8D6"/>
            </w:tcBorders>
          </w:tcPr>
          <w:p>
            <w:pPr>
              <w:jc w:val="right"/>
              <w:ind w:right="212"/>
              <w:spacing w:after="0"/>
              <w:rPr>
                <w:sz w:val="20"/>
                <w:szCs w:val="20"/>
                <w:color w:val="auto"/>
              </w:rPr>
            </w:pPr>
            <w:r>
              <w:rPr>
                <w:rFonts w:ascii="Arial" w:cs="Arial" w:eastAsia="Arial" w:hAnsi="Arial"/>
                <w:sz w:val="10"/>
                <w:szCs w:val="10"/>
                <w:color w:val="333740"/>
              </w:rPr>
              <w:t>114,120</w:t>
            </w:r>
          </w:p>
        </w:tc>
        <w:tc>
          <w:tcPr>
            <w:tcW w:w="780" w:type="dxa"/>
            <w:vAlign w:val="bottom"/>
            <w:tcBorders>
              <w:bottom w:val="single" w:sz="8" w:color="D7D8D6"/>
            </w:tcBorders>
          </w:tcPr>
          <w:p>
            <w:pPr>
              <w:jc w:val="right"/>
              <w:spacing w:after="0"/>
              <w:rPr>
                <w:sz w:val="20"/>
                <w:szCs w:val="20"/>
                <w:color w:val="auto"/>
              </w:rPr>
            </w:pPr>
            <w:r>
              <w:rPr>
                <w:rFonts w:ascii="Arial" w:cs="Arial" w:eastAsia="Arial" w:hAnsi="Arial"/>
                <w:sz w:val="10"/>
                <w:szCs w:val="10"/>
                <w:color w:val="333740"/>
              </w:rPr>
              <w:t>3,869,709</w:t>
            </w:r>
          </w:p>
        </w:tc>
        <w:tc>
          <w:tcPr>
            <w:tcW w:w="0" w:type="dxa"/>
            <w:vAlign w:val="bottom"/>
          </w:tcPr>
          <w:p>
            <w:pPr>
              <w:spacing w:after="0"/>
              <w:rPr>
                <w:sz w:val="1"/>
                <w:szCs w:val="1"/>
                <w:color w:val="auto"/>
              </w:rPr>
            </w:pPr>
          </w:p>
        </w:tc>
      </w:tr>
      <w:tr>
        <w:trPr>
          <w:trHeight w:val="117"/>
        </w:trPr>
        <w:tc>
          <w:tcPr>
            <w:tcW w:w="1700" w:type="dxa"/>
            <w:vAlign w:val="bottom"/>
          </w:tcPr>
          <w:p>
            <w:pPr>
              <w:ind w:left="20"/>
              <w:spacing w:after="0"/>
              <w:rPr>
                <w:sz w:val="20"/>
                <w:szCs w:val="20"/>
                <w:color w:val="auto"/>
              </w:rPr>
            </w:pPr>
            <w:r>
              <w:rPr>
                <w:rFonts w:ascii="Arial" w:cs="Arial" w:eastAsia="Arial" w:hAnsi="Arial"/>
                <w:sz w:val="10"/>
                <w:szCs w:val="10"/>
                <w:color w:val="333740"/>
              </w:rPr>
              <w:t>President, Chief</w:t>
            </w:r>
          </w:p>
        </w:tc>
        <w:tc>
          <w:tcPr>
            <w:tcW w:w="920" w:type="dxa"/>
            <w:vAlign w:val="bottom"/>
          </w:tcPr>
          <w:p>
            <w:pPr>
              <w:jc w:val="right"/>
              <w:spacing w:after="0"/>
              <w:rPr>
                <w:sz w:val="20"/>
                <w:szCs w:val="20"/>
                <w:color w:val="auto"/>
              </w:rPr>
            </w:pPr>
            <w:r>
              <w:rPr>
                <w:rFonts w:ascii="Arial" w:cs="Arial" w:eastAsia="Arial" w:hAnsi="Arial"/>
                <w:sz w:val="10"/>
                <w:szCs w:val="10"/>
                <w:color w:val="333740"/>
              </w:rPr>
              <w:t>2017</w:t>
            </w:r>
          </w:p>
        </w:tc>
        <w:tc>
          <w:tcPr>
            <w:tcW w:w="1160" w:type="dxa"/>
            <w:vAlign w:val="bottom"/>
          </w:tcPr>
          <w:p>
            <w:pPr>
              <w:jc w:val="right"/>
              <w:spacing w:after="0"/>
              <w:rPr>
                <w:sz w:val="20"/>
                <w:szCs w:val="20"/>
                <w:color w:val="auto"/>
              </w:rPr>
            </w:pPr>
            <w:r>
              <w:rPr>
                <w:rFonts w:ascii="Arial" w:cs="Arial" w:eastAsia="Arial" w:hAnsi="Arial"/>
                <w:sz w:val="10"/>
                <w:szCs w:val="10"/>
                <w:color w:val="333740"/>
              </w:rPr>
              <w:t>591,667</w:t>
            </w:r>
          </w:p>
        </w:tc>
        <w:tc>
          <w:tcPr>
            <w:tcW w:w="1000" w:type="dxa"/>
            <w:vAlign w:val="bottom"/>
          </w:tcPr>
          <w:p>
            <w:pPr>
              <w:jc w:val="right"/>
              <w:ind w:right="133"/>
              <w:spacing w:after="0"/>
              <w:rPr>
                <w:sz w:val="20"/>
                <w:szCs w:val="20"/>
                <w:color w:val="auto"/>
              </w:rPr>
            </w:pPr>
            <w:r>
              <w:rPr>
                <w:rFonts w:ascii="Arial" w:cs="Arial" w:eastAsia="Arial" w:hAnsi="Arial"/>
                <w:sz w:val="10"/>
                <w:szCs w:val="10"/>
                <w:color w:val="333740"/>
              </w:rPr>
              <w:t>—</w:t>
            </w:r>
          </w:p>
        </w:tc>
        <w:tc>
          <w:tcPr>
            <w:tcW w:w="1060" w:type="dxa"/>
            <w:vAlign w:val="bottom"/>
          </w:tcPr>
          <w:p>
            <w:pPr>
              <w:jc w:val="right"/>
              <w:ind w:right="112"/>
              <w:spacing w:after="0"/>
              <w:rPr>
                <w:sz w:val="20"/>
                <w:szCs w:val="20"/>
                <w:color w:val="auto"/>
              </w:rPr>
            </w:pPr>
            <w:r>
              <w:rPr>
                <w:rFonts w:ascii="Arial" w:cs="Arial" w:eastAsia="Arial" w:hAnsi="Arial"/>
                <w:sz w:val="10"/>
                <w:szCs w:val="10"/>
                <w:color w:val="333740"/>
              </w:rPr>
              <w:t>1,827,750</w:t>
            </w:r>
          </w:p>
        </w:tc>
        <w:tc>
          <w:tcPr>
            <w:tcW w:w="1120" w:type="dxa"/>
            <w:vAlign w:val="bottom"/>
          </w:tcPr>
          <w:p>
            <w:pPr>
              <w:jc w:val="right"/>
              <w:ind w:right="112"/>
              <w:spacing w:after="0"/>
              <w:rPr>
                <w:sz w:val="20"/>
                <w:szCs w:val="20"/>
                <w:color w:val="auto"/>
              </w:rPr>
            </w:pPr>
            <w:r>
              <w:rPr>
                <w:rFonts w:ascii="Arial" w:cs="Arial" w:eastAsia="Arial" w:hAnsi="Arial"/>
                <w:sz w:val="10"/>
                <w:szCs w:val="10"/>
                <w:color w:val="333740"/>
              </w:rPr>
              <w:t>422,065</w:t>
            </w:r>
          </w:p>
        </w:tc>
        <w:tc>
          <w:tcPr>
            <w:tcW w:w="1120" w:type="dxa"/>
            <w:vAlign w:val="bottom"/>
          </w:tcPr>
          <w:p>
            <w:pPr>
              <w:jc w:val="right"/>
              <w:ind w:right="132"/>
              <w:spacing w:after="0"/>
              <w:rPr>
                <w:sz w:val="20"/>
                <w:szCs w:val="20"/>
                <w:color w:val="auto"/>
              </w:rPr>
            </w:pPr>
            <w:r>
              <w:rPr>
                <w:rFonts w:ascii="Arial" w:cs="Arial" w:eastAsia="Arial" w:hAnsi="Arial"/>
                <w:sz w:val="10"/>
                <w:szCs w:val="10"/>
                <w:color w:val="333740"/>
              </w:rPr>
              <w:t>891,938</w:t>
            </w:r>
          </w:p>
        </w:tc>
        <w:tc>
          <w:tcPr>
            <w:tcW w:w="1160" w:type="dxa"/>
            <w:vAlign w:val="bottom"/>
          </w:tcPr>
          <w:p>
            <w:pPr>
              <w:jc w:val="right"/>
              <w:ind w:right="172"/>
              <w:spacing w:after="0"/>
              <w:rPr>
                <w:sz w:val="20"/>
                <w:szCs w:val="20"/>
                <w:color w:val="auto"/>
              </w:rPr>
            </w:pPr>
            <w:r>
              <w:rPr>
                <w:rFonts w:ascii="Arial" w:cs="Arial" w:eastAsia="Arial" w:hAnsi="Arial"/>
                <w:sz w:val="10"/>
                <w:szCs w:val="10"/>
                <w:color w:val="333740"/>
              </w:rPr>
              <w:t>—</w:t>
            </w:r>
          </w:p>
        </w:tc>
        <w:tc>
          <w:tcPr>
            <w:tcW w:w="1240" w:type="dxa"/>
            <w:vAlign w:val="bottom"/>
          </w:tcPr>
          <w:p>
            <w:pPr>
              <w:jc w:val="right"/>
              <w:ind w:right="212"/>
              <w:spacing w:after="0"/>
              <w:rPr>
                <w:sz w:val="20"/>
                <w:szCs w:val="20"/>
                <w:color w:val="auto"/>
              </w:rPr>
            </w:pPr>
            <w:r>
              <w:rPr>
                <w:rFonts w:ascii="Arial" w:cs="Arial" w:eastAsia="Arial" w:hAnsi="Arial"/>
                <w:sz w:val="10"/>
                <w:szCs w:val="10"/>
                <w:color w:val="333740"/>
              </w:rPr>
              <w:t>121,734</w:t>
            </w:r>
          </w:p>
        </w:tc>
        <w:tc>
          <w:tcPr>
            <w:tcW w:w="780" w:type="dxa"/>
            <w:vAlign w:val="bottom"/>
          </w:tcPr>
          <w:p>
            <w:pPr>
              <w:jc w:val="right"/>
              <w:spacing w:after="0"/>
              <w:rPr>
                <w:sz w:val="20"/>
                <w:szCs w:val="20"/>
                <w:color w:val="auto"/>
              </w:rPr>
            </w:pPr>
            <w:r>
              <w:rPr>
                <w:rFonts w:ascii="Arial" w:cs="Arial" w:eastAsia="Arial" w:hAnsi="Arial"/>
                <w:sz w:val="10"/>
                <w:szCs w:val="10"/>
                <w:color w:val="333740"/>
              </w:rPr>
              <w:t>3,855,154</w:t>
            </w:r>
          </w:p>
        </w:tc>
        <w:tc>
          <w:tcPr>
            <w:tcW w:w="0" w:type="dxa"/>
            <w:vAlign w:val="bottom"/>
          </w:tcPr>
          <w:p>
            <w:pPr>
              <w:spacing w:after="0"/>
              <w:rPr>
                <w:sz w:val="1"/>
                <w:szCs w:val="1"/>
                <w:color w:val="auto"/>
              </w:rPr>
            </w:pPr>
          </w:p>
        </w:tc>
      </w:tr>
      <w:tr>
        <w:trPr>
          <w:trHeight w:val="115"/>
        </w:trPr>
        <w:tc>
          <w:tcPr>
            <w:tcW w:w="1700" w:type="dxa"/>
            <w:vAlign w:val="bottom"/>
          </w:tcPr>
          <w:p>
            <w:pPr>
              <w:ind w:left="20"/>
              <w:spacing w:after="0"/>
              <w:rPr>
                <w:sz w:val="20"/>
                <w:szCs w:val="20"/>
                <w:color w:val="auto"/>
              </w:rPr>
            </w:pPr>
            <w:r>
              <w:rPr>
                <w:rFonts w:ascii="Arial" w:cs="Arial" w:eastAsia="Arial" w:hAnsi="Arial"/>
                <w:sz w:val="10"/>
                <w:szCs w:val="10"/>
                <w:color w:val="333740"/>
              </w:rPr>
              <w:t>Legal Officer and</w:t>
            </w:r>
          </w:p>
        </w:tc>
        <w:tc>
          <w:tcPr>
            <w:tcW w:w="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700" w:type="dxa"/>
            <w:vAlign w:val="bottom"/>
          </w:tcPr>
          <w:p>
            <w:pPr>
              <w:ind w:left="20"/>
              <w:spacing w:after="0"/>
              <w:rPr>
                <w:sz w:val="20"/>
                <w:szCs w:val="20"/>
                <w:color w:val="auto"/>
              </w:rPr>
            </w:pPr>
            <w:r>
              <w:rPr>
                <w:rFonts w:ascii="Arial" w:cs="Arial" w:eastAsia="Arial" w:hAnsi="Arial"/>
                <w:sz w:val="10"/>
                <w:szCs w:val="10"/>
                <w:color w:val="333740"/>
              </w:rPr>
              <w:t>Secretary</w:t>
            </w: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1700" w:type="dxa"/>
            <w:vAlign w:val="bottom"/>
            <w:tcBorders>
              <w:bottom w:val="single" w:sz="8" w:color="D7D8D6"/>
            </w:tcBorders>
            <w:shd w:val="clear" w:color="auto" w:fill="D7D8D6"/>
          </w:tcPr>
          <w:p>
            <w:pPr>
              <w:ind w:left="20"/>
              <w:spacing w:after="0"/>
              <w:rPr>
                <w:sz w:val="20"/>
                <w:szCs w:val="20"/>
                <w:color w:val="auto"/>
              </w:rPr>
            </w:pPr>
            <w:r>
              <w:rPr>
                <w:rFonts w:ascii="Arial" w:cs="Arial" w:eastAsia="Arial" w:hAnsi="Arial"/>
                <w:sz w:val="10"/>
                <w:szCs w:val="10"/>
                <w:b w:val="1"/>
                <w:bCs w:val="1"/>
                <w:color w:val="333740"/>
              </w:rPr>
              <w:t>Justin Rounce</w:t>
            </w:r>
          </w:p>
        </w:tc>
        <w:tc>
          <w:tcPr>
            <w:tcW w:w="920" w:type="dxa"/>
            <w:vAlign w:val="bottom"/>
            <w:tcBorders>
              <w:bottom w:val="single" w:sz="8" w:color="A3A7A9"/>
            </w:tcBorders>
            <w:shd w:val="clear" w:color="auto" w:fill="D7D8D6"/>
          </w:tcPr>
          <w:p>
            <w:pPr>
              <w:jc w:val="right"/>
              <w:spacing w:after="0"/>
              <w:rPr>
                <w:sz w:val="20"/>
                <w:szCs w:val="20"/>
                <w:color w:val="auto"/>
              </w:rPr>
            </w:pPr>
            <w:r>
              <w:rPr>
                <w:rFonts w:ascii="Arial" w:cs="Arial" w:eastAsia="Arial" w:hAnsi="Arial"/>
                <w:sz w:val="10"/>
                <w:szCs w:val="10"/>
                <w:color w:val="333740"/>
              </w:rPr>
              <w:t>2019</w:t>
            </w:r>
          </w:p>
        </w:tc>
        <w:tc>
          <w:tcPr>
            <w:tcW w:w="1160" w:type="dxa"/>
            <w:vAlign w:val="bottom"/>
            <w:tcBorders>
              <w:bottom w:val="single" w:sz="8" w:color="A3A7A9"/>
            </w:tcBorders>
            <w:shd w:val="clear" w:color="auto" w:fill="D7D8D6"/>
          </w:tcPr>
          <w:p>
            <w:pPr>
              <w:jc w:val="right"/>
              <w:spacing w:after="0"/>
              <w:rPr>
                <w:sz w:val="20"/>
                <w:szCs w:val="20"/>
                <w:color w:val="auto"/>
              </w:rPr>
            </w:pPr>
            <w:r>
              <w:rPr>
                <w:rFonts w:ascii="Arial" w:cs="Arial" w:eastAsia="Arial" w:hAnsi="Arial"/>
                <w:sz w:val="10"/>
                <w:szCs w:val="10"/>
                <w:color w:val="333740"/>
              </w:rPr>
              <w:t>600,000</w:t>
            </w:r>
          </w:p>
        </w:tc>
        <w:tc>
          <w:tcPr>
            <w:tcW w:w="1000" w:type="dxa"/>
            <w:vAlign w:val="bottom"/>
            <w:tcBorders>
              <w:bottom w:val="single" w:sz="8" w:color="A3A7A9"/>
            </w:tcBorders>
            <w:shd w:val="clear" w:color="auto" w:fill="D7D8D6"/>
          </w:tcPr>
          <w:p>
            <w:pPr>
              <w:jc w:val="right"/>
              <w:ind w:right="133"/>
              <w:spacing w:after="0"/>
              <w:rPr>
                <w:sz w:val="20"/>
                <w:szCs w:val="20"/>
                <w:color w:val="auto"/>
              </w:rPr>
            </w:pPr>
            <w:r>
              <w:rPr>
                <w:rFonts w:ascii="Arial" w:cs="Arial" w:eastAsia="Arial" w:hAnsi="Arial"/>
                <w:sz w:val="10"/>
                <w:szCs w:val="10"/>
                <w:color w:val="333740"/>
              </w:rPr>
              <w:t>—</w:t>
            </w:r>
          </w:p>
        </w:tc>
        <w:tc>
          <w:tcPr>
            <w:tcW w:w="1060" w:type="dxa"/>
            <w:vAlign w:val="bottom"/>
            <w:tcBorders>
              <w:bottom w:val="single" w:sz="8" w:color="A3A7A9"/>
            </w:tcBorders>
            <w:shd w:val="clear" w:color="auto" w:fill="D7D8D6"/>
          </w:tcPr>
          <w:p>
            <w:pPr>
              <w:jc w:val="right"/>
              <w:ind w:right="112"/>
              <w:spacing w:after="0"/>
              <w:rPr>
                <w:sz w:val="20"/>
                <w:szCs w:val="20"/>
                <w:color w:val="auto"/>
              </w:rPr>
            </w:pPr>
            <w:r>
              <w:rPr>
                <w:rFonts w:ascii="Arial" w:cs="Arial" w:eastAsia="Arial" w:hAnsi="Arial"/>
                <w:sz w:val="10"/>
                <w:szCs w:val="10"/>
                <w:color w:val="333740"/>
              </w:rPr>
              <w:t>1,647,411</w:t>
            </w:r>
          </w:p>
        </w:tc>
        <w:tc>
          <w:tcPr>
            <w:tcW w:w="1120" w:type="dxa"/>
            <w:vAlign w:val="bottom"/>
            <w:tcBorders>
              <w:bottom w:val="single" w:sz="8" w:color="A3A7A9"/>
            </w:tcBorders>
            <w:shd w:val="clear" w:color="auto" w:fill="D7D8D6"/>
          </w:tcPr>
          <w:p>
            <w:pPr>
              <w:jc w:val="right"/>
              <w:ind w:right="112"/>
              <w:spacing w:after="0"/>
              <w:rPr>
                <w:sz w:val="20"/>
                <w:szCs w:val="20"/>
                <w:color w:val="auto"/>
              </w:rPr>
            </w:pPr>
            <w:r>
              <w:rPr>
                <w:rFonts w:ascii="Arial" w:cs="Arial" w:eastAsia="Arial" w:hAnsi="Arial"/>
                <w:sz w:val="10"/>
                <w:szCs w:val="10"/>
                <w:color w:val="333740"/>
              </w:rPr>
              <w:t>359,997</w:t>
            </w:r>
          </w:p>
        </w:tc>
        <w:tc>
          <w:tcPr>
            <w:tcW w:w="1120" w:type="dxa"/>
            <w:vAlign w:val="bottom"/>
            <w:tcBorders>
              <w:bottom w:val="single" w:sz="8" w:color="A3A7A9"/>
            </w:tcBorders>
            <w:shd w:val="clear" w:color="auto" w:fill="D7D8D6"/>
          </w:tcPr>
          <w:p>
            <w:pPr>
              <w:jc w:val="right"/>
              <w:ind w:right="132"/>
              <w:spacing w:after="0"/>
              <w:rPr>
                <w:sz w:val="20"/>
                <w:szCs w:val="20"/>
                <w:color w:val="auto"/>
              </w:rPr>
            </w:pPr>
            <w:r>
              <w:rPr>
                <w:rFonts w:ascii="Arial" w:cs="Arial" w:eastAsia="Arial" w:hAnsi="Arial"/>
                <w:sz w:val="10"/>
                <w:szCs w:val="10"/>
                <w:color w:val="333740"/>
              </w:rPr>
              <w:t>999,000</w:t>
            </w:r>
          </w:p>
        </w:tc>
        <w:tc>
          <w:tcPr>
            <w:tcW w:w="1160" w:type="dxa"/>
            <w:vAlign w:val="bottom"/>
            <w:tcBorders>
              <w:bottom w:val="single" w:sz="8" w:color="A3A7A9"/>
            </w:tcBorders>
            <w:shd w:val="clear" w:color="auto" w:fill="D7D8D6"/>
          </w:tcPr>
          <w:p>
            <w:pPr>
              <w:jc w:val="right"/>
              <w:ind w:right="172"/>
              <w:spacing w:after="0"/>
              <w:rPr>
                <w:sz w:val="20"/>
                <w:szCs w:val="20"/>
                <w:color w:val="auto"/>
              </w:rPr>
            </w:pPr>
            <w:r>
              <w:rPr>
                <w:rFonts w:ascii="Arial" w:cs="Arial" w:eastAsia="Arial" w:hAnsi="Arial"/>
                <w:sz w:val="10"/>
                <w:szCs w:val="10"/>
                <w:color w:val="333740"/>
              </w:rPr>
              <w:t>—</w:t>
            </w:r>
          </w:p>
        </w:tc>
        <w:tc>
          <w:tcPr>
            <w:tcW w:w="1240" w:type="dxa"/>
            <w:vAlign w:val="bottom"/>
            <w:tcBorders>
              <w:bottom w:val="single" w:sz="8" w:color="A3A7A9"/>
            </w:tcBorders>
            <w:shd w:val="clear" w:color="auto" w:fill="D7D8D6"/>
          </w:tcPr>
          <w:p>
            <w:pPr>
              <w:jc w:val="right"/>
              <w:ind w:right="212"/>
              <w:spacing w:after="0"/>
              <w:rPr>
                <w:sz w:val="20"/>
                <w:szCs w:val="20"/>
                <w:color w:val="auto"/>
              </w:rPr>
            </w:pPr>
            <w:r>
              <w:rPr>
                <w:rFonts w:ascii="Arial" w:cs="Arial" w:eastAsia="Arial" w:hAnsi="Arial"/>
                <w:sz w:val="10"/>
                <w:szCs w:val="10"/>
                <w:color w:val="333740"/>
              </w:rPr>
              <w:t>37,436</w:t>
            </w:r>
          </w:p>
        </w:tc>
        <w:tc>
          <w:tcPr>
            <w:tcW w:w="780" w:type="dxa"/>
            <w:vAlign w:val="bottom"/>
            <w:tcBorders>
              <w:bottom w:val="single" w:sz="8" w:color="A3A7A9"/>
            </w:tcBorders>
            <w:shd w:val="clear" w:color="auto" w:fill="D7D8D6"/>
          </w:tcPr>
          <w:p>
            <w:pPr>
              <w:jc w:val="right"/>
              <w:spacing w:after="0"/>
              <w:rPr>
                <w:sz w:val="20"/>
                <w:szCs w:val="20"/>
                <w:color w:val="auto"/>
              </w:rPr>
            </w:pPr>
            <w:r>
              <w:rPr>
                <w:rFonts w:ascii="Arial" w:cs="Arial" w:eastAsia="Arial" w:hAnsi="Arial"/>
                <w:sz w:val="10"/>
                <w:szCs w:val="10"/>
                <w:color w:val="333740"/>
              </w:rPr>
              <w:t>3,643,844</w:t>
            </w:r>
          </w:p>
        </w:tc>
        <w:tc>
          <w:tcPr>
            <w:tcW w:w="0" w:type="dxa"/>
            <w:vAlign w:val="bottom"/>
          </w:tcPr>
          <w:p>
            <w:pPr>
              <w:spacing w:after="0"/>
              <w:rPr>
                <w:sz w:val="1"/>
                <w:szCs w:val="1"/>
                <w:color w:val="auto"/>
              </w:rPr>
            </w:pPr>
          </w:p>
        </w:tc>
      </w:tr>
      <w:tr>
        <w:trPr>
          <w:trHeight w:val="164"/>
        </w:trPr>
        <w:tc>
          <w:tcPr>
            <w:tcW w:w="1700" w:type="dxa"/>
            <w:vAlign w:val="bottom"/>
            <w:tcBorders>
              <w:bottom w:val="single" w:sz="8" w:color="D7D8D6"/>
            </w:tcBorders>
            <w:shd w:val="clear" w:color="auto" w:fill="D7D8D6"/>
          </w:tcPr>
          <w:p>
            <w:pPr>
              <w:ind w:left="20"/>
              <w:spacing w:after="0"/>
              <w:rPr>
                <w:sz w:val="20"/>
                <w:szCs w:val="20"/>
                <w:color w:val="auto"/>
              </w:rPr>
            </w:pPr>
            <w:r>
              <w:rPr>
                <w:rFonts w:ascii="Arial" w:cs="Arial" w:eastAsia="Arial" w:hAnsi="Arial"/>
                <w:sz w:val="10"/>
                <w:szCs w:val="10"/>
                <w:color w:val="333740"/>
              </w:rPr>
              <w:t>Executive Vice President and Chief</w:t>
            </w:r>
          </w:p>
        </w:tc>
        <w:tc>
          <w:tcPr>
            <w:tcW w:w="920" w:type="dxa"/>
            <w:vAlign w:val="bottom"/>
            <w:tcBorders>
              <w:bottom w:val="single" w:sz="8" w:color="D7D8D6"/>
            </w:tcBorders>
            <w:shd w:val="clear" w:color="auto" w:fill="D7D8D6"/>
          </w:tcPr>
          <w:p>
            <w:pPr>
              <w:jc w:val="right"/>
              <w:spacing w:after="0"/>
              <w:rPr>
                <w:sz w:val="20"/>
                <w:szCs w:val="20"/>
                <w:color w:val="auto"/>
              </w:rPr>
            </w:pPr>
            <w:r>
              <w:rPr>
                <w:rFonts w:ascii="Arial" w:cs="Arial" w:eastAsia="Arial" w:hAnsi="Arial"/>
                <w:sz w:val="10"/>
                <w:szCs w:val="10"/>
                <w:color w:val="333740"/>
              </w:rPr>
              <w:t>2018</w:t>
            </w:r>
          </w:p>
        </w:tc>
        <w:tc>
          <w:tcPr>
            <w:tcW w:w="1160" w:type="dxa"/>
            <w:vAlign w:val="bottom"/>
            <w:tcBorders>
              <w:bottom w:val="single" w:sz="8" w:color="D7D8D6"/>
            </w:tcBorders>
            <w:shd w:val="clear" w:color="auto" w:fill="D7D8D6"/>
          </w:tcPr>
          <w:p>
            <w:pPr>
              <w:jc w:val="right"/>
              <w:spacing w:after="0"/>
              <w:rPr>
                <w:sz w:val="20"/>
                <w:szCs w:val="20"/>
                <w:color w:val="auto"/>
              </w:rPr>
            </w:pPr>
            <w:r>
              <w:rPr>
                <w:rFonts w:ascii="Arial" w:cs="Arial" w:eastAsia="Arial" w:hAnsi="Arial"/>
                <w:sz w:val="10"/>
                <w:szCs w:val="10"/>
                <w:color w:val="333740"/>
              </w:rPr>
              <w:t>200,000</w:t>
            </w:r>
          </w:p>
        </w:tc>
        <w:tc>
          <w:tcPr>
            <w:tcW w:w="1000" w:type="dxa"/>
            <w:vAlign w:val="bottom"/>
            <w:tcBorders>
              <w:bottom w:val="single" w:sz="8" w:color="D7D8D6"/>
            </w:tcBorders>
            <w:shd w:val="clear" w:color="auto" w:fill="D7D8D6"/>
          </w:tcPr>
          <w:p>
            <w:pPr>
              <w:jc w:val="right"/>
              <w:ind w:right="133"/>
              <w:spacing w:after="0" w:line="117" w:lineRule="exact"/>
              <w:rPr>
                <w:sz w:val="20"/>
                <w:szCs w:val="20"/>
                <w:color w:val="auto"/>
              </w:rPr>
            </w:pPr>
            <w:r>
              <w:rPr>
                <w:rFonts w:ascii="Arial" w:cs="Arial" w:eastAsia="Arial" w:hAnsi="Arial"/>
                <w:sz w:val="8"/>
                <w:szCs w:val="8"/>
                <w:color w:val="333740"/>
              </w:rPr>
              <w:t>1,225,500</w:t>
            </w:r>
            <w:r>
              <w:rPr>
                <w:rFonts w:ascii="Arial" w:cs="Arial" w:eastAsia="Arial" w:hAnsi="Arial"/>
                <w:sz w:val="13"/>
                <w:szCs w:val="13"/>
                <w:color w:val="333740"/>
                <w:vertAlign w:val="superscript"/>
              </w:rPr>
              <w:t>5</w:t>
            </w:r>
          </w:p>
        </w:tc>
        <w:tc>
          <w:tcPr>
            <w:tcW w:w="1060" w:type="dxa"/>
            <w:vAlign w:val="bottom"/>
            <w:tcBorders>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2,099,986</w:t>
            </w:r>
          </w:p>
        </w:tc>
        <w:tc>
          <w:tcPr>
            <w:tcW w:w="1120" w:type="dxa"/>
            <w:vAlign w:val="bottom"/>
            <w:tcBorders>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w:t>
            </w:r>
          </w:p>
        </w:tc>
        <w:tc>
          <w:tcPr>
            <w:tcW w:w="1120" w:type="dxa"/>
            <w:vAlign w:val="bottom"/>
            <w:tcBorders>
              <w:bottom w:val="single" w:sz="8" w:color="D7D8D6"/>
            </w:tcBorders>
            <w:shd w:val="clear" w:color="auto" w:fill="D7D8D6"/>
          </w:tcPr>
          <w:p>
            <w:pPr>
              <w:jc w:val="right"/>
              <w:ind w:right="132"/>
              <w:spacing w:after="0"/>
              <w:rPr>
                <w:sz w:val="20"/>
                <w:szCs w:val="20"/>
                <w:color w:val="auto"/>
              </w:rPr>
            </w:pPr>
            <w:r>
              <w:rPr>
                <w:rFonts w:ascii="Arial" w:cs="Arial" w:eastAsia="Arial" w:hAnsi="Arial"/>
                <w:sz w:val="10"/>
                <w:szCs w:val="10"/>
                <w:color w:val="333740"/>
              </w:rPr>
              <w:t>244,500</w:t>
            </w:r>
          </w:p>
        </w:tc>
        <w:tc>
          <w:tcPr>
            <w:tcW w:w="1160" w:type="dxa"/>
            <w:vAlign w:val="bottom"/>
            <w:tcBorders>
              <w:bottom w:val="single" w:sz="8" w:color="D7D8D6"/>
            </w:tcBorders>
            <w:shd w:val="clear" w:color="auto" w:fill="D7D8D6"/>
          </w:tcPr>
          <w:p>
            <w:pPr>
              <w:jc w:val="right"/>
              <w:ind w:right="172"/>
              <w:spacing w:after="0"/>
              <w:rPr>
                <w:sz w:val="20"/>
                <w:szCs w:val="20"/>
                <w:color w:val="auto"/>
              </w:rPr>
            </w:pPr>
            <w:r>
              <w:rPr>
                <w:rFonts w:ascii="Arial" w:cs="Arial" w:eastAsia="Arial" w:hAnsi="Arial"/>
                <w:sz w:val="10"/>
                <w:szCs w:val="10"/>
                <w:color w:val="333740"/>
              </w:rPr>
              <w:t>—</w:t>
            </w:r>
          </w:p>
        </w:tc>
        <w:tc>
          <w:tcPr>
            <w:tcW w:w="1240" w:type="dxa"/>
            <w:vAlign w:val="bottom"/>
            <w:tcBorders>
              <w:bottom w:val="single" w:sz="8" w:color="D7D8D6"/>
            </w:tcBorders>
            <w:shd w:val="clear" w:color="auto" w:fill="D7D8D6"/>
          </w:tcPr>
          <w:p>
            <w:pPr>
              <w:jc w:val="right"/>
              <w:ind w:right="212"/>
              <w:spacing w:after="0"/>
              <w:rPr>
                <w:sz w:val="20"/>
                <w:szCs w:val="20"/>
                <w:color w:val="auto"/>
              </w:rPr>
            </w:pPr>
            <w:r>
              <w:rPr>
                <w:rFonts w:ascii="Arial" w:cs="Arial" w:eastAsia="Arial" w:hAnsi="Arial"/>
                <w:sz w:val="10"/>
                <w:szCs w:val="10"/>
                <w:color w:val="333740"/>
              </w:rPr>
              <w:t>10,325</w:t>
            </w:r>
          </w:p>
        </w:tc>
        <w:tc>
          <w:tcPr>
            <w:tcW w:w="780" w:type="dxa"/>
            <w:vAlign w:val="bottom"/>
            <w:tcBorders>
              <w:bottom w:val="single" w:sz="8" w:color="D7D8D6"/>
            </w:tcBorders>
            <w:shd w:val="clear" w:color="auto" w:fill="D7D8D6"/>
          </w:tcPr>
          <w:p>
            <w:pPr>
              <w:jc w:val="right"/>
              <w:spacing w:after="0"/>
              <w:rPr>
                <w:sz w:val="20"/>
                <w:szCs w:val="20"/>
                <w:color w:val="auto"/>
              </w:rPr>
            </w:pPr>
            <w:r>
              <w:rPr>
                <w:rFonts w:ascii="Arial" w:cs="Arial" w:eastAsia="Arial" w:hAnsi="Arial"/>
                <w:sz w:val="10"/>
                <w:szCs w:val="10"/>
                <w:color w:val="333740"/>
              </w:rPr>
              <w:t>3,780,311</w:t>
            </w:r>
          </w:p>
        </w:tc>
        <w:tc>
          <w:tcPr>
            <w:tcW w:w="0" w:type="dxa"/>
            <w:vAlign w:val="bottom"/>
          </w:tcPr>
          <w:p>
            <w:pPr>
              <w:spacing w:after="0"/>
              <w:rPr>
                <w:sz w:val="1"/>
                <w:szCs w:val="1"/>
                <w:color w:val="auto"/>
              </w:rPr>
            </w:pPr>
          </w:p>
        </w:tc>
      </w:tr>
      <w:tr>
        <w:trPr>
          <w:trHeight w:val="52"/>
        </w:trPr>
        <w:tc>
          <w:tcPr>
            <w:tcW w:w="1700" w:type="dxa"/>
            <w:vAlign w:val="bottom"/>
            <w:tcBorders>
              <w:top w:val="single" w:sz="8" w:color="D7D8D6"/>
            </w:tcBorders>
            <w:shd w:val="clear" w:color="auto" w:fill="D7D8D6"/>
          </w:tcPr>
          <w:p>
            <w:pPr>
              <w:ind w:left="160"/>
              <w:spacing w:after="0" w:line="52" w:lineRule="exact"/>
              <w:rPr>
                <w:sz w:val="20"/>
                <w:szCs w:val="20"/>
                <w:color w:val="auto"/>
              </w:rPr>
            </w:pPr>
            <w:r>
              <w:rPr>
                <w:rFonts w:ascii="Arial" w:cs="Arial" w:eastAsia="Arial" w:hAnsi="Arial"/>
                <w:sz w:val="6"/>
                <w:szCs w:val="6"/>
                <w:color w:val="333740"/>
              </w:rPr>
              <w:t>Technology Officer</w:t>
            </w:r>
          </w:p>
        </w:tc>
        <w:tc>
          <w:tcPr>
            <w:tcW w:w="920" w:type="dxa"/>
            <w:vAlign w:val="bottom"/>
            <w:tcBorders>
              <w:top w:val="single" w:sz="8" w:color="A3A7A9"/>
            </w:tcBorders>
            <w:shd w:val="clear" w:color="auto" w:fill="D7D8D6"/>
          </w:tcPr>
          <w:p>
            <w:pPr>
              <w:spacing w:after="0"/>
              <w:rPr>
                <w:sz w:val="4"/>
                <w:szCs w:val="4"/>
                <w:color w:val="auto"/>
              </w:rPr>
            </w:pPr>
          </w:p>
        </w:tc>
        <w:tc>
          <w:tcPr>
            <w:tcW w:w="1160" w:type="dxa"/>
            <w:vAlign w:val="bottom"/>
            <w:tcBorders>
              <w:top w:val="single" w:sz="8" w:color="A3A7A9"/>
            </w:tcBorders>
            <w:shd w:val="clear" w:color="auto" w:fill="D7D8D6"/>
          </w:tcPr>
          <w:p>
            <w:pPr>
              <w:spacing w:after="0"/>
              <w:rPr>
                <w:sz w:val="4"/>
                <w:szCs w:val="4"/>
                <w:color w:val="auto"/>
              </w:rPr>
            </w:pPr>
          </w:p>
        </w:tc>
        <w:tc>
          <w:tcPr>
            <w:tcW w:w="1000" w:type="dxa"/>
            <w:vAlign w:val="bottom"/>
            <w:tcBorders>
              <w:top w:val="single" w:sz="8" w:color="A3A7A9"/>
            </w:tcBorders>
            <w:shd w:val="clear" w:color="auto" w:fill="D7D8D6"/>
          </w:tcPr>
          <w:p>
            <w:pPr>
              <w:spacing w:after="0"/>
              <w:rPr>
                <w:sz w:val="4"/>
                <w:szCs w:val="4"/>
                <w:color w:val="auto"/>
              </w:rPr>
            </w:pPr>
          </w:p>
        </w:tc>
        <w:tc>
          <w:tcPr>
            <w:tcW w:w="1060" w:type="dxa"/>
            <w:vAlign w:val="bottom"/>
            <w:tcBorders>
              <w:top w:val="single" w:sz="8" w:color="A3A7A9"/>
            </w:tcBorders>
            <w:shd w:val="clear" w:color="auto" w:fill="D7D8D6"/>
          </w:tcPr>
          <w:p>
            <w:pPr>
              <w:spacing w:after="0"/>
              <w:rPr>
                <w:sz w:val="4"/>
                <w:szCs w:val="4"/>
                <w:color w:val="auto"/>
              </w:rPr>
            </w:pPr>
          </w:p>
        </w:tc>
        <w:tc>
          <w:tcPr>
            <w:tcW w:w="1120" w:type="dxa"/>
            <w:vAlign w:val="bottom"/>
            <w:tcBorders>
              <w:top w:val="single" w:sz="8" w:color="A3A7A9"/>
            </w:tcBorders>
            <w:shd w:val="clear" w:color="auto" w:fill="D7D8D6"/>
          </w:tcPr>
          <w:p>
            <w:pPr>
              <w:spacing w:after="0"/>
              <w:rPr>
                <w:sz w:val="4"/>
                <w:szCs w:val="4"/>
                <w:color w:val="auto"/>
              </w:rPr>
            </w:pPr>
          </w:p>
        </w:tc>
        <w:tc>
          <w:tcPr>
            <w:tcW w:w="1120" w:type="dxa"/>
            <w:vAlign w:val="bottom"/>
            <w:tcBorders>
              <w:top w:val="single" w:sz="8" w:color="A3A7A9"/>
            </w:tcBorders>
            <w:shd w:val="clear" w:color="auto" w:fill="D7D8D6"/>
          </w:tcPr>
          <w:p>
            <w:pPr>
              <w:spacing w:after="0"/>
              <w:rPr>
                <w:sz w:val="4"/>
                <w:szCs w:val="4"/>
                <w:color w:val="auto"/>
              </w:rPr>
            </w:pPr>
          </w:p>
        </w:tc>
        <w:tc>
          <w:tcPr>
            <w:tcW w:w="1160" w:type="dxa"/>
            <w:vAlign w:val="bottom"/>
            <w:tcBorders>
              <w:top w:val="single" w:sz="8" w:color="A3A7A9"/>
            </w:tcBorders>
            <w:shd w:val="clear" w:color="auto" w:fill="D7D8D6"/>
          </w:tcPr>
          <w:p>
            <w:pPr>
              <w:spacing w:after="0"/>
              <w:rPr>
                <w:sz w:val="4"/>
                <w:szCs w:val="4"/>
                <w:color w:val="auto"/>
              </w:rPr>
            </w:pPr>
          </w:p>
        </w:tc>
        <w:tc>
          <w:tcPr>
            <w:tcW w:w="1240" w:type="dxa"/>
            <w:vAlign w:val="bottom"/>
            <w:tcBorders>
              <w:top w:val="single" w:sz="8" w:color="A3A7A9"/>
            </w:tcBorders>
            <w:shd w:val="clear" w:color="auto" w:fill="D7D8D6"/>
          </w:tcPr>
          <w:p>
            <w:pPr>
              <w:spacing w:after="0"/>
              <w:rPr>
                <w:sz w:val="4"/>
                <w:szCs w:val="4"/>
                <w:color w:val="auto"/>
              </w:rPr>
            </w:pPr>
          </w:p>
        </w:tc>
        <w:tc>
          <w:tcPr>
            <w:tcW w:w="780" w:type="dxa"/>
            <w:vAlign w:val="bottom"/>
            <w:tcBorders>
              <w:top w:val="single" w:sz="8" w:color="A3A7A9"/>
            </w:tcBorders>
            <w:shd w:val="clear" w:color="auto" w:fill="D7D8D6"/>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D7D8D6"/>
          </w:tcPr>
          <w:p>
            <w:pPr>
              <w:spacing w:after="0"/>
              <w:rPr>
                <w:sz w:val="14"/>
                <w:szCs w:val="14"/>
                <w:color w:val="auto"/>
              </w:rPr>
            </w:pPr>
          </w:p>
        </w:tc>
        <w:tc>
          <w:tcPr>
            <w:tcW w:w="920" w:type="dxa"/>
            <w:vAlign w:val="bottom"/>
            <w:shd w:val="clear" w:color="auto" w:fill="D7D8D6"/>
          </w:tcPr>
          <w:p>
            <w:pPr>
              <w:spacing w:after="0"/>
              <w:rPr>
                <w:sz w:val="14"/>
                <w:szCs w:val="14"/>
                <w:color w:val="auto"/>
              </w:rPr>
            </w:pPr>
          </w:p>
        </w:tc>
        <w:tc>
          <w:tcPr>
            <w:tcW w:w="1160" w:type="dxa"/>
            <w:vAlign w:val="bottom"/>
            <w:shd w:val="clear" w:color="auto" w:fill="D7D8D6"/>
          </w:tcPr>
          <w:p>
            <w:pPr>
              <w:spacing w:after="0"/>
              <w:rPr>
                <w:sz w:val="14"/>
                <w:szCs w:val="14"/>
                <w:color w:val="auto"/>
              </w:rPr>
            </w:pPr>
          </w:p>
        </w:tc>
        <w:tc>
          <w:tcPr>
            <w:tcW w:w="1000" w:type="dxa"/>
            <w:vAlign w:val="bottom"/>
            <w:shd w:val="clear" w:color="auto" w:fill="D7D8D6"/>
          </w:tcPr>
          <w:p>
            <w:pPr>
              <w:spacing w:after="0"/>
              <w:rPr>
                <w:sz w:val="14"/>
                <w:szCs w:val="14"/>
                <w:color w:val="auto"/>
              </w:rPr>
            </w:pPr>
          </w:p>
        </w:tc>
        <w:tc>
          <w:tcPr>
            <w:tcW w:w="1060" w:type="dxa"/>
            <w:vAlign w:val="bottom"/>
            <w:shd w:val="clear" w:color="auto" w:fill="D7D8D6"/>
          </w:tcPr>
          <w:p>
            <w:pPr>
              <w:spacing w:after="0"/>
              <w:rPr>
                <w:sz w:val="14"/>
                <w:szCs w:val="14"/>
                <w:color w:val="auto"/>
              </w:rPr>
            </w:pPr>
          </w:p>
        </w:tc>
        <w:tc>
          <w:tcPr>
            <w:tcW w:w="1120" w:type="dxa"/>
            <w:vAlign w:val="bottom"/>
            <w:shd w:val="clear" w:color="auto" w:fill="D7D8D6"/>
          </w:tcPr>
          <w:p>
            <w:pPr>
              <w:spacing w:after="0"/>
              <w:rPr>
                <w:sz w:val="14"/>
                <w:szCs w:val="14"/>
                <w:color w:val="auto"/>
              </w:rPr>
            </w:pPr>
          </w:p>
        </w:tc>
        <w:tc>
          <w:tcPr>
            <w:tcW w:w="1120" w:type="dxa"/>
            <w:vAlign w:val="bottom"/>
            <w:shd w:val="clear" w:color="auto" w:fill="D7D8D6"/>
          </w:tcPr>
          <w:p>
            <w:pPr>
              <w:spacing w:after="0"/>
              <w:rPr>
                <w:sz w:val="14"/>
                <w:szCs w:val="14"/>
                <w:color w:val="auto"/>
              </w:rPr>
            </w:pPr>
          </w:p>
        </w:tc>
        <w:tc>
          <w:tcPr>
            <w:tcW w:w="1160" w:type="dxa"/>
            <w:vAlign w:val="bottom"/>
            <w:shd w:val="clear" w:color="auto" w:fill="D7D8D6"/>
          </w:tcPr>
          <w:p>
            <w:pPr>
              <w:spacing w:after="0"/>
              <w:rPr>
                <w:sz w:val="14"/>
                <w:szCs w:val="14"/>
                <w:color w:val="auto"/>
              </w:rPr>
            </w:pPr>
          </w:p>
        </w:tc>
        <w:tc>
          <w:tcPr>
            <w:tcW w:w="1240" w:type="dxa"/>
            <w:vAlign w:val="bottom"/>
            <w:shd w:val="clear" w:color="auto" w:fill="D7D8D6"/>
          </w:tcPr>
          <w:p>
            <w:pPr>
              <w:spacing w:after="0"/>
              <w:rPr>
                <w:sz w:val="14"/>
                <w:szCs w:val="14"/>
                <w:color w:val="auto"/>
              </w:rPr>
            </w:pPr>
          </w:p>
        </w:tc>
        <w:tc>
          <w:tcPr>
            <w:tcW w:w="780" w:type="dxa"/>
            <w:vAlign w:val="bottom"/>
            <w:shd w:val="clear" w:color="auto" w:fill="D7D8D6"/>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rPr>
                <w:sz w:val="20"/>
                <w:szCs w:val="20"/>
                <w:color w:val="auto"/>
              </w:rPr>
            </w:pPr>
            <w:r>
              <w:rPr>
                <w:rFonts w:ascii="Arial" w:cs="Arial" w:eastAsia="Arial" w:hAnsi="Arial"/>
                <w:sz w:val="10"/>
                <w:szCs w:val="10"/>
                <w:b w:val="1"/>
                <w:bCs w:val="1"/>
                <w:color w:val="333740"/>
              </w:rPr>
              <w:t>Nello Uccelletti</w:t>
            </w:r>
            <w:r>
              <w:rPr>
                <w:rFonts w:ascii="Arial" w:cs="Arial" w:eastAsia="Arial" w:hAnsi="Arial"/>
                <w:sz w:val="4"/>
                <w:szCs w:val="4"/>
                <w:b w:val="1"/>
                <w:bCs w:val="1"/>
                <w:color w:val="333740"/>
              </w:rPr>
              <w:t>6</w:t>
            </w:r>
          </w:p>
        </w:tc>
        <w:tc>
          <w:tcPr>
            <w:tcW w:w="920" w:type="dxa"/>
            <w:vAlign w:val="bottom"/>
          </w:tcPr>
          <w:p>
            <w:pPr>
              <w:jc w:val="right"/>
              <w:spacing w:after="0"/>
              <w:rPr>
                <w:sz w:val="20"/>
                <w:szCs w:val="20"/>
                <w:color w:val="auto"/>
              </w:rPr>
            </w:pPr>
            <w:r>
              <w:rPr>
                <w:rFonts w:ascii="Arial" w:cs="Arial" w:eastAsia="Arial" w:hAnsi="Arial"/>
                <w:sz w:val="10"/>
                <w:szCs w:val="10"/>
                <w:color w:val="333740"/>
              </w:rPr>
              <w:t>2019</w:t>
            </w:r>
          </w:p>
        </w:tc>
        <w:tc>
          <w:tcPr>
            <w:tcW w:w="1160" w:type="dxa"/>
            <w:vAlign w:val="bottom"/>
          </w:tcPr>
          <w:p>
            <w:pPr>
              <w:jc w:val="right"/>
              <w:spacing w:after="0"/>
              <w:rPr>
                <w:sz w:val="20"/>
                <w:szCs w:val="20"/>
                <w:color w:val="auto"/>
              </w:rPr>
            </w:pPr>
            <w:r>
              <w:rPr>
                <w:rFonts w:ascii="Arial" w:cs="Arial" w:eastAsia="Arial" w:hAnsi="Arial"/>
                <w:sz w:val="10"/>
                <w:szCs w:val="10"/>
                <w:color w:val="333740"/>
              </w:rPr>
              <w:t>561,997</w:t>
            </w:r>
          </w:p>
        </w:tc>
        <w:tc>
          <w:tcPr>
            <w:tcW w:w="1000" w:type="dxa"/>
            <w:vAlign w:val="bottom"/>
          </w:tcPr>
          <w:p>
            <w:pPr>
              <w:jc w:val="right"/>
              <w:ind w:right="133"/>
              <w:spacing w:after="0"/>
              <w:rPr>
                <w:sz w:val="20"/>
                <w:szCs w:val="20"/>
                <w:color w:val="auto"/>
              </w:rPr>
            </w:pPr>
            <w:r>
              <w:rPr>
                <w:rFonts w:ascii="Arial" w:cs="Arial" w:eastAsia="Arial" w:hAnsi="Arial"/>
                <w:sz w:val="10"/>
                <w:szCs w:val="10"/>
                <w:color w:val="333740"/>
              </w:rPr>
              <w:t>—</w:t>
            </w:r>
          </w:p>
        </w:tc>
        <w:tc>
          <w:tcPr>
            <w:tcW w:w="1060" w:type="dxa"/>
            <w:vAlign w:val="bottom"/>
          </w:tcPr>
          <w:p>
            <w:pPr>
              <w:jc w:val="right"/>
              <w:ind w:right="112"/>
              <w:spacing w:after="0"/>
              <w:rPr>
                <w:sz w:val="20"/>
                <w:szCs w:val="20"/>
                <w:color w:val="auto"/>
              </w:rPr>
            </w:pPr>
            <w:r>
              <w:rPr>
                <w:rFonts w:ascii="Arial" w:cs="Arial" w:eastAsia="Arial" w:hAnsi="Arial"/>
                <w:sz w:val="10"/>
                <w:szCs w:val="10"/>
                <w:color w:val="333740"/>
              </w:rPr>
              <w:t>1,189,806</w:t>
            </w:r>
          </w:p>
        </w:tc>
        <w:tc>
          <w:tcPr>
            <w:tcW w:w="1120" w:type="dxa"/>
            <w:vAlign w:val="bottom"/>
          </w:tcPr>
          <w:p>
            <w:pPr>
              <w:jc w:val="right"/>
              <w:ind w:right="112"/>
              <w:spacing w:after="0"/>
              <w:rPr>
                <w:sz w:val="20"/>
                <w:szCs w:val="20"/>
                <w:color w:val="auto"/>
              </w:rPr>
            </w:pPr>
            <w:r>
              <w:rPr>
                <w:rFonts w:ascii="Arial" w:cs="Arial" w:eastAsia="Arial" w:hAnsi="Arial"/>
                <w:sz w:val="10"/>
                <w:szCs w:val="10"/>
                <w:color w:val="333740"/>
              </w:rPr>
              <w:t>259,997</w:t>
            </w:r>
          </w:p>
        </w:tc>
        <w:tc>
          <w:tcPr>
            <w:tcW w:w="1120" w:type="dxa"/>
            <w:vAlign w:val="bottom"/>
          </w:tcPr>
          <w:p>
            <w:pPr>
              <w:jc w:val="right"/>
              <w:ind w:right="132"/>
              <w:spacing w:after="0"/>
              <w:rPr>
                <w:sz w:val="20"/>
                <w:szCs w:val="20"/>
                <w:color w:val="auto"/>
              </w:rPr>
            </w:pPr>
            <w:r>
              <w:rPr>
                <w:rFonts w:ascii="Arial" w:cs="Arial" w:eastAsia="Arial" w:hAnsi="Arial"/>
                <w:sz w:val="10"/>
                <w:szCs w:val="10"/>
                <w:color w:val="333740"/>
              </w:rPr>
              <w:t>921,674</w:t>
            </w:r>
          </w:p>
        </w:tc>
        <w:tc>
          <w:tcPr>
            <w:tcW w:w="1160" w:type="dxa"/>
            <w:vAlign w:val="bottom"/>
          </w:tcPr>
          <w:p>
            <w:pPr>
              <w:jc w:val="right"/>
              <w:ind w:right="172"/>
              <w:spacing w:after="0"/>
              <w:rPr>
                <w:sz w:val="20"/>
                <w:szCs w:val="20"/>
                <w:color w:val="auto"/>
              </w:rPr>
            </w:pPr>
            <w:r>
              <w:rPr>
                <w:rFonts w:ascii="Arial" w:cs="Arial" w:eastAsia="Arial" w:hAnsi="Arial"/>
                <w:sz w:val="10"/>
                <w:szCs w:val="10"/>
                <w:color w:val="333740"/>
              </w:rPr>
              <w:t>—</w:t>
            </w:r>
          </w:p>
        </w:tc>
        <w:tc>
          <w:tcPr>
            <w:tcW w:w="1240" w:type="dxa"/>
            <w:vAlign w:val="bottom"/>
          </w:tcPr>
          <w:p>
            <w:pPr>
              <w:jc w:val="right"/>
              <w:ind w:right="212"/>
              <w:spacing w:after="0"/>
              <w:rPr>
                <w:sz w:val="20"/>
                <w:szCs w:val="20"/>
                <w:color w:val="auto"/>
              </w:rPr>
            </w:pPr>
            <w:r>
              <w:rPr>
                <w:rFonts w:ascii="Arial" w:cs="Arial" w:eastAsia="Arial" w:hAnsi="Arial"/>
                <w:sz w:val="10"/>
                <w:szCs w:val="10"/>
                <w:color w:val="333740"/>
              </w:rPr>
              <w:t>459,497</w:t>
            </w:r>
          </w:p>
        </w:tc>
        <w:tc>
          <w:tcPr>
            <w:tcW w:w="780" w:type="dxa"/>
            <w:vAlign w:val="bottom"/>
          </w:tcPr>
          <w:p>
            <w:pPr>
              <w:jc w:val="right"/>
              <w:spacing w:after="0"/>
              <w:rPr>
                <w:sz w:val="20"/>
                <w:szCs w:val="20"/>
                <w:color w:val="auto"/>
              </w:rPr>
            </w:pPr>
            <w:r>
              <w:rPr>
                <w:rFonts w:ascii="Arial" w:cs="Arial" w:eastAsia="Arial" w:hAnsi="Arial"/>
                <w:sz w:val="10"/>
                <w:szCs w:val="10"/>
                <w:color w:val="333740"/>
              </w:rPr>
              <w:t>3,392,971</w:t>
            </w:r>
          </w:p>
        </w:tc>
        <w:tc>
          <w:tcPr>
            <w:tcW w:w="0" w:type="dxa"/>
            <w:vAlign w:val="bottom"/>
          </w:tcPr>
          <w:p>
            <w:pPr>
              <w:spacing w:after="0"/>
              <w:rPr>
                <w:sz w:val="1"/>
                <w:szCs w:val="1"/>
                <w:color w:val="auto"/>
              </w:rPr>
            </w:pPr>
          </w:p>
        </w:tc>
      </w:tr>
      <w:tr>
        <w:trPr>
          <w:trHeight w:val="155"/>
        </w:trPr>
        <w:tc>
          <w:tcPr>
            <w:tcW w:w="1700" w:type="dxa"/>
            <w:vAlign w:val="bottom"/>
          </w:tcPr>
          <w:p>
            <w:pPr>
              <w:ind w:left="20"/>
              <w:spacing w:after="0"/>
              <w:rPr>
                <w:sz w:val="20"/>
                <w:szCs w:val="20"/>
                <w:color w:val="auto"/>
              </w:rPr>
            </w:pPr>
            <w:r>
              <w:rPr>
                <w:rFonts w:ascii="Arial" w:cs="Arial" w:eastAsia="Arial" w:hAnsi="Arial"/>
                <w:sz w:val="10"/>
                <w:szCs w:val="10"/>
                <w:color w:val="333740"/>
              </w:rPr>
              <w:t>President and</w:t>
            </w: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
        <w:spacing w:after="0"/>
        <w:rPr>
          <w:sz w:val="20"/>
          <w:szCs w:val="20"/>
          <w:color w:val="auto"/>
        </w:rPr>
      </w:pPr>
      <w:r>
        <w:rPr>
          <w:rFonts w:ascii="Arial" w:cs="Arial" w:eastAsia="Arial" w:hAnsi="Arial"/>
          <w:sz w:val="10"/>
          <w:szCs w:val="10"/>
          <w:color w:val="333740"/>
        </w:rPr>
        <w:t>Advisor to the CEO</w:t>
      </w:r>
    </w:p>
    <w:p>
      <w:pPr>
        <w:spacing w:after="0" w:line="38" w:lineRule="exact"/>
        <w:rPr>
          <w:sz w:val="20"/>
          <w:szCs w:val="20"/>
          <w:color w:val="auto"/>
        </w:rPr>
      </w:pPr>
    </w:p>
    <w:p>
      <w:pPr>
        <w:ind w:left="304" w:right="120" w:hanging="304"/>
        <w:spacing w:after="0" w:line="226" w:lineRule="auto"/>
        <w:tabs>
          <w:tab w:leader="none" w:pos="304" w:val="left"/>
        </w:tabs>
        <w:numPr>
          <w:ilvl w:val="0"/>
          <w:numId w:val="105"/>
        </w:numPr>
        <w:rPr>
          <w:rFonts w:ascii="Arial" w:cs="Arial" w:eastAsia="Arial" w:hAnsi="Arial"/>
          <w:sz w:val="11"/>
          <w:szCs w:val="11"/>
          <w:color w:val="333740"/>
        </w:rPr>
      </w:pPr>
      <w:r>
        <w:rPr>
          <w:rFonts w:ascii="Arial" w:cs="Arial" w:eastAsia="Arial" w:hAnsi="Arial"/>
          <w:sz w:val="11"/>
          <w:szCs w:val="11"/>
          <w:color w:val="333740"/>
        </w:rPr>
        <w:t>Amounts disclosed in the Stock Awards column represent the sum of the aggregate grant date fair value of time-based RSUs and PSUs subject to either performance (ROIC) or market-based (TSR) vesting conditions. Determination of fair value was made in accordance with FASB ASC Topic 718. With respect to PSUs subject to performance-based (ROIC) vesting conditions and time-based RSUs, the aggregate grant date fair value of such awards was based on the Company’s share price on the grant date of the awards at target performance. With respect to PSUs subject to TSR market-based vesting conditions, the grant date fair value of such award was determined utilizing a Monte Carlo simulation as disclosed in our Form 10-K.</w:t>
      </w:r>
    </w:p>
    <w:p>
      <w:pPr>
        <w:spacing w:after="0" w:line="1" w:lineRule="exact"/>
        <w:rPr>
          <w:rFonts w:ascii="Arial" w:cs="Arial" w:eastAsia="Arial" w:hAnsi="Arial"/>
          <w:sz w:val="11"/>
          <w:szCs w:val="11"/>
          <w:color w:val="333740"/>
        </w:rPr>
      </w:pPr>
    </w:p>
    <w:p>
      <w:pPr>
        <w:ind w:left="284" w:right="260"/>
        <w:spacing w:after="0" w:line="239" w:lineRule="auto"/>
        <w:rPr>
          <w:rFonts w:ascii="Arial" w:cs="Arial" w:eastAsia="Arial" w:hAnsi="Arial"/>
          <w:sz w:val="11"/>
          <w:szCs w:val="11"/>
          <w:color w:val="333740"/>
        </w:rPr>
      </w:pPr>
      <w:r>
        <w:rPr>
          <w:rFonts w:ascii="Arial" w:cs="Arial" w:eastAsia="Arial" w:hAnsi="Arial"/>
          <w:sz w:val="11"/>
          <w:szCs w:val="11"/>
          <w:color w:val="333740"/>
        </w:rPr>
        <w:t>The maximum award value of PSUs subject to both performance conditions and market-based conditions are shown in the table below. The methodology used in this table is the same as in the Summary Compensation Table for the PSUs.</w:t>
      </w:r>
    </w:p>
    <w:p>
      <w:pPr>
        <w:spacing w:after="0" w:line="339" w:lineRule="exact"/>
        <w:rPr>
          <w:sz w:val="20"/>
          <w:szCs w:val="20"/>
          <w:color w:val="auto"/>
        </w:rPr>
      </w:pPr>
    </w:p>
    <w:tbl>
      <w:tblPr>
        <w:tblLayout w:type="fixed"/>
        <w:tblInd w:w="284"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1560" w:type="dxa"/>
            <w:vAlign w:val="bottom"/>
          </w:tcPr>
          <w:p>
            <w:pPr>
              <w:ind w:left="440"/>
              <w:spacing w:after="0"/>
              <w:rPr>
                <w:sz w:val="20"/>
                <w:szCs w:val="20"/>
                <w:color w:val="auto"/>
              </w:rPr>
            </w:pPr>
            <w:r>
              <w:rPr>
                <w:rFonts w:ascii="Arial" w:cs="Arial" w:eastAsia="Arial" w:hAnsi="Arial"/>
                <w:sz w:val="11"/>
                <w:szCs w:val="11"/>
                <w:color w:val="333740"/>
              </w:rPr>
              <w:t>Pferdehirt</w:t>
            </w:r>
          </w:p>
        </w:tc>
        <w:tc>
          <w:tcPr>
            <w:tcW w:w="1600" w:type="dxa"/>
            <w:vAlign w:val="bottom"/>
          </w:tcPr>
          <w:p>
            <w:pPr>
              <w:ind w:left="500"/>
              <w:spacing w:after="0"/>
              <w:rPr>
                <w:sz w:val="20"/>
                <w:szCs w:val="20"/>
                <w:color w:val="auto"/>
              </w:rPr>
            </w:pPr>
            <w:r>
              <w:rPr>
                <w:rFonts w:ascii="Arial" w:cs="Arial" w:eastAsia="Arial" w:hAnsi="Arial"/>
                <w:sz w:val="11"/>
                <w:szCs w:val="11"/>
                <w:color w:val="333740"/>
              </w:rPr>
              <w:t>Mannen</w:t>
            </w:r>
          </w:p>
        </w:tc>
        <w:tc>
          <w:tcPr>
            <w:tcW w:w="1760" w:type="dxa"/>
            <w:vAlign w:val="bottom"/>
          </w:tcPr>
          <w:p>
            <w:pPr>
              <w:ind w:left="540"/>
              <w:spacing w:after="0"/>
              <w:rPr>
                <w:sz w:val="20"/>
                <w:szCs w:val="20"/>
                <w:color w:val="auto"/>
              </w:rPr>
            </w:pPr>
            <w:r>
              <w:rPr>
                <w:rFonts w:ascii="Arial" w:cs="Arial" w:eastAsia="Arial" w:hAnsi="Arial"/>
                <w:sz w:val="11"/>
                <w:szCs w:val="11"/>
                <w:color w:val="333740"/>
              </w:rPr>
              <w:t>Ralston</w:t>
            </w:r>
          </w:p>
        </w:tc>
        <w:tc>
          <w:tcPr>
            <w:tcW w:w="1920" w:type="dxa"/>
            <w:vAlign w:val="bottom"/>
          </w:tcPr>
          <w:p>
            <w:pPr>
              <w:ind w:left="640"/>
              <w:spacing w:after="0"/>
              <w:rPr>
                <w:sz w:val="20"/>
                <w:szCs w:val="20"/>
                <w:color w:val="auto"/>
              </w:rPr>
            </w:pPr>
            <w:r>
              <w:rPr>
                <w:rFonts w:ascii="Arial" w:cs="Arial" w:eastAsia="Arial" w:hAnsi="Arial"/>
                <w:sz w:val="11"/>
                <w:szCs w:val="11"/>
                <w:color w:val="333740"/>
              </w:rPr>
              <w:t>Rounce</w:t>
            </w:r>
          </w:p>
        </w:tc>
        <w:tc>
          <w:tcPr>
            <w:tcW w:w="1280" w:type="dxa"/>
            <w:vAlign w:val="bottom"/>
          </w:tcPr>
          <w:p>
            <w:pPr>
              <w:ind w:left="720"/>
              <w:spacing w:after="0"/>
              <w:rPr>
                <w:sz w:val="20"/>
                <w:szCs w:val="20"/>
                <w:color w:val="auto"/>
              </w:rPr>
            </w:pPr>
            <w:r>
              <w:rPr>
                <w:rFonts w:ascii="Arial" w:cs="Arial" w:eastAsia="Arial" w:hAnsi="Arial"/>
                <w:sz w:val="11"/>
                <w:szCs w:val="11"/>
                <w:color w:val="333740"/>
              </w:rPr>
              <w:t>Uccelletti</w:t>
            </w:r>
          </w:p>
        </w:tc>
      </w:tr>
      <w:tr>
        <w:trPr>
          <w:trHeight w:val="119"/>
        </w:trPr>
        <w:tc>
          <w:tcPr>
            <w:tcW w:w="700" w:type="dxa"/>
            <w:vAlign w:val="bottom"/>
          </w:tcPr>
          <w:p>
            <w:pPr>
              <w:jc w:val="right"/>
              <w:ind w:right="384"/>
              <w:spacing w:after="0" w:line="120" w:lineRule="exact"/>
              <w:rPr>
                <w:sz w:val="20"/>
                <w:szCs w:val="20"/>
                <w:color w:val="auto"/>
              </w:rPr>
            </w:pPr>
            <w:r>
              <w:rPr>
                <w:rFonts w:ascii="Arial" w:cs="Arial" w:eastAsia="Arial" w:hAnsi="Arial"/>
                <w:sz w:val="11"/>
                <w:szCs w:val="11"/>
                <w:color w:val="333740"/>
                <w:w w:val="97"/>
              </w:rPr>
              <w:t>2019</w:t>
            </w:r>
          </w:p>
        </w:tc>
        <w:tc>
          <w:tcPr>
            <w:tcW w:w="1560" w:type="dxa"/>
            <w:vAlign w:val="bottom"/>
          </w:tcPr>
          <w:p>
            <w:pPr>
              <w:ind w:left="440"/>
              <w:spacing w:after="0" w:line="120" w:lineRule="exact"/>
              <w:rPr>
                <w:sz w:val="20"/>
                <w:szCs w:val="20"/>
                <w:color w:val="auto"/>
              </w:rPr>
            </w:pPr>
            <w:r>
              <w:rPr>
                <w:rFonts w:ascii="Arial" w:cs="Arial" w:eastAsia="Arial" w:hAnsi="Arial"/>
                <w:sz w:val="11"/>
                <w:szCs w:val="11"/>
                <w:color w:val="333740"/>
              </w:rPr>
              <w:t>$13,875,848</w:t>
            </w:r>
          </w:p>
        </w:tc>
        <w:tc>
          <w:tcPr>
            <w:tcW w:w="1600" w:type="dxa"/>
            <w:vAlign w:val="bottom"/>
          </w:tcPr>
          <w:p>
            <w:pPr>
              <w:ind w:left="500"/>
              <w:spacing w:after="0" w:line="120" w:lineRule="exact"/>
              <w:rPr>
                <w:sz w:val="20"/>
                <w:szCs w:val="20"/>
                <w:color w:val="auto"/>
              </w:rPr>
            </w:pPr>
            <w:r>
              <w:rPr>
                <w:rFonts w:ascii="Arial" w:cs="Arial" w:eastAsia="Arial" w:hAnsi="Arial"/>
                <w:sz w:val="11"/>
                <w:szCs w:val="11"/>
                <w:color w:val="333740"/>
              </w:rPr>
              <w:t>$4,434,472</w:t>
            </w:r>
          </w:p>
        </w:tc>
        <w:tc>
          <w:tcPr>
            <w:tcW w:w="1760" w:type="dxa"/>
            <w:vAlign w:val="bottom"/>
          </w:tcPr>
          <w:p>
            <w:pPr>
              <w:ind w:left="540"/>
              <w:spacing w:after="0" w:line="120" w:lineRule="exact"/>
              <w:rPr>
                <w:sz w:val="20"/>
                <w:szCs w:val="20"/>
                <w:color w:val="auto"/>
              </w:rPr>
            </w:pPr>
            <w:r>
              <w:rPr>
                <w:rFonts w:ascii="Arial" w:cs="Arial" w:eastAsia="Arial" w:hAnsi="Arial"/>
                <w:sz w:val="11"/>
                <w:szCs w:val="11"/>
                <w:color w:val="333740"/>
              </w:rPr>
              <w:t>$3,004,000</w:t>
            </w:r>
          </w:p>
        </w:tc>
        <w:tc>
          <w:tcPr>
            <w:tcW w:w="1920" w:type="dxa"/>
            <w:vAlign w:val="bottom"/>
          </w:tcPr>
          <w:p>
            <w:pPr>
              <w:ind w:left="640"/>
              <w:spacing w:after="0" w:line="120" w:lineRule="exact"/>
              <w:rPr>
                <w:sz w:val="20"/>
                <w:szCs w:val="20"/>
                <w:color w:val="auto"/>
              </w:rPr>
            </w:pPr>
            <w:r>
              <w:rPr>
                <w:rFonts w:ascii="Arial" w:cs="Arial" w:eastAsia="Arial" w:hAnsi="Arial"/>
                <w:sz w:val="11"/>
                <w:szCs w:val="11"/>
                <w:color w:val="333740"/>
              </w:rPr>
              <w:t>$2,574,830</w:t>
            </w:r>
          </w:p>
        </w:tc>
        <w:tc>
          <w:tcPr>
            <w:tcW w:w="1280" w:type="dxa"/>
            <w:vAlign w:val="bottom"/>
          </w:tcPr>
          <w:p>
            <w:pPr>
              <w:ind w:left="720"/>
              <w:spacing w:after="0" w:line="120" w:lineRule="exact"/>
              <w:rPr>
                <w:sz w:val="20"/>
                <w:szCs w:val="20"/>
                <w:color w:val="auto"/>
              </w:rPr>
            </w:pPr>
            <w:r>
              <w:rPr>
                <w:rFonts w:ascii="Arial" w:cs="Arial" w:eastAsia="Arial" w:hAnsi="Arial"/>
                <w:sz w:val="11"/>
                <w:szCs w:val="11"/>
                <w:color w:val="333740"/>
                <w:w w:val="98"/>
              </w:rPr>
              <w:t>$1,859,644</w:t>
            </w:r>
          </w:p>
        </w:tc>
      </w:tr>
      <w:tr>
        <w:trPr>
          <w:trHeight w:val="119"/>
        </w:trPr>
        <w:tc>
          <w:tcPr>
            <w:tcW w:w="700" w:type="dxa"/>
            <w:vAlign w:val="bottom"/>
          </w:tcPr>
          <w:p>
            <w:pPr>
              <w:jc w:val="right"/>
              <w:ind w:right="384"/>
              <w:spacing w:after="0" w:line="120" w:lineRule="exact"/>
              <w:rPr>
                <w:sz w:val="20"/>
                <w:szCs w:val="20"/>
                <w:color w:val="auto"/>
              </w:rPr>
            </w:pPr>
            <w:r>
              <w:rPr>
                <w:rFonts w:ascii="Arial" w:cs="Arial" w:eastAsia="Arial" w:hAnsi="Arial"/>
                <w:sz w:val="11"/>
                <w:szCs w:val="11"/>
                <w:color w:val="333740"/>
                <w:w w:val="97"/>
              </w:rPr>
              <w:t>2018</w:t>
            </w:r>
          </w:p>
        </w:tc>
        <w:tc>
          <w:tcPr>
            <w:tcW w:w="1560" w:type="dxa"/>
            <w:vAlign w:val="bottom"/>
          </w:tcPr>
          <w:p>
            <w:pPr>
              <w:ind w:left="440"/>
              <w:spacing w:after="0" w:line="120" w:lineRule="exact"/>
              <w:rPr>
                <w:sz w:val="20"/>
                <w:szCs w:val="20"/>
                <w:color w:val="auto"/>
              </w:rPr>
            </w:pPr>
            <w:r>
              <w:rPr>
                <w:rFonts w:ascii="Arial" w:cs="Arial" w:eastAsia="Arial" w:hAnsi="Arial"/>
                <w:sz w:val="11"/>
                <w:szCs w:val="11"/>
                <w:color w:val="333740"/>
              </w:rPr>
              <w:t>$12,450,470</w:t>
            </w:r>
          </w:p>
        </w:tc>
        <w:tc>
          <w:tcPr>
            <w:tcW w:w="1600" w:type="dxa"/>
            <w:vAlign w:val="bottom"/>
          </w:tcPr>
          <w:p>
            <w:pPr>
              <w:ind w:left="500"/>
              <w:spacing w:after="0" w:line="120" w:lineRule="exact"/>
              <w:rPr>
                <w:sz w:val="20"/>
                <w:szCs w:val="20"/>
                <w:color w:val="auto"/>
              </w:rPr>
            </w:pPr>
            <w:r>
              <w:rPr>
                <w:rFonts w:ascii="Arial" w:cs="Arial" w:eastAsia="Arial" w:hAnsi="Arial"/>
                <w:sz w:val="11"/>
                <w:szCs w:val="11"/>
                <w:color w:val="333740"/>
              </w:rPr>
              <w:t>$4,436,366</w:t>
            </w:r>
          </w:p>
        </w:tc>
        <w:tc>
          <w:tcPr>
            <w:tcW w:w="1760" w:type="dxa"/>
            <w:vAlign w:val="bottom"/>
          </w:tcPr>
          <w:p>
            <w:pPr>
              <w:ind w:left="540"/>
              <w:spacing w:after="0" w:line="120" w:lineRule="exact"/>
              <w:rPr>
                <w:sz w:val="20"/>
                <w:szCs w:val="20"/>
                <w:color w:val="auto"/>
              </w:rPr>
            </w:pPr>
            <w:r>
              <w:rPr>
                <w:rFonts w:ascii="Arial" w:cs="Arial" w:eastAsia="Arial" w:hAnsi="Arial"/>
                <w:sz w:val="11"/>
                <w:szCs w:val="11"/>
                <w:color w:val="333740"/>
              </w:rPr>
              <w:t>$3,005,276</w:t>
            </w:r>
          </w:p>
        </w:tc>
        <w:tc>
          <w:tcPr>
            <w:tcW w:w="1920" w:type="dxa"/>
            <w:vAlign w:val="bottom"/>
          </w:tcPr>
          <w:p>
            <w:pPr>
              <w:ind w:left="640"/>
              <w:spacing w:after="0" w:line="120" w:lineRule="exact"/>
              <w:rPr>
                <w:sz w:val="20"/>
                <w:szCs w:val="20"/>
                <w:color w:val="auto"/>
              </w:rPr>
            </w:pPr>
            <w:r>
              <w:rPr>
                <w:rFonts w:ascii="Arial" w:cs="Arial" w:eastAsia="Arial" w:hAnsi="Arial"/>
                <w:sz w:val="11"/>
                <w:szCs w:val="11"/>
                <w:color w:val="333740"/>
              </w:rPr>
              <w:t>N/A</w:t>
            </w:r>
          </w:p>
        </w:tc>
        <w:tc>
          <w:tcPr>
            <w:tcW w:w="1280" w:type="dxa"/>
            <w:vAlign w:val="bottom"/>
          </w:tcPr>
          <w:p>
            <w:pPr>
              <w:ind w:left="720"/>
              <w:spacing w:after="0" w:line="120" w:lineRule="exact"/>
              <w:rPr>
                <w:sz w:val="20"/>
                <w:szCs w:val="20"/>
                <w:color w:val="auto"/>
              </w:rPr>
            </w:pPr>
            <w:r>
              <w:rPr>
                <w:rFonts w:ascii="Arial" w:cs="Arial" w:eastAsia="Arial" w:hAnsi="Arial"/>
                <w:sz w:val="11"/>
                <w:szCs w:val="11"/>
                <w:color w:val="333740"/>
              </w:rPr>
              <w:t>N/A</w:t>
            </w:r>
          </w:p>
        </w:tc>
      </w:tr>
      <w:tr>
        <w:trPr>
          <w:trHeight w:val="133"/>
        </w:trPr>
        <w:tc>
          <w:tcPr>
            <w:tcW w:w="700" w:type="dxa"/>
            <w:vAlign w:val="bottom"/>
          </w:tcPr>
          <w:p>
            <w:pPr>
              <w:jc w:val="right"/>
              <w:ind w:right="384"/>
              <w:spacing w:after="0"/>
              <w:rPr>
                <w:sz w:val="20"/>
                <w:szCs w:val="20"/>
                <w:color w:val="auto"/>
              </w:rPr>
            </w:pPr>
            <w:r>
              <w:rPr>
                <w:rFonts w:ascii="Arial" w:cs="Arial" w:eastAsia="Arial" w:hAnsi="Arial"/>
                <w:sz w:val="11"/>
                <w:szCs w:val="11"/>
                <w:color w:val="333740"/>
                <w:w w:val="97"/>
              </w:rPr>
              <w:t>2017</w:t>
            </w:r>
          </w:p>
        </w:tc>
        <w:tc>
          <w:tcPr>
            <w:tcW w:w="1560" w:type="dxa"/>
            <w:vAlign w:val="bottom"/>
          </w:tcPr>
          <w:p>
            <w:pPr>
              <w:ind w:left="440"/>
              <w:spacing w:after="0"/>
              <w:rPr>
                <w:sz w:val="20"/>
                <w:szCs w:val="20"/>
                <w:color w:val="auto"/>
              </w:rPr>
            </w:pPr>
            <w:r>
              <w:rPr>
                <w:rFonts w:ascii="Arial" w:cs="Arial" w:eastAsia="Arial" w:hAnsi="Arial"/>
                <w:sz w:val="11"/>
                <w:szCs w:val="11"/>
                <w:color w:val="333740"/>
              </w:rPr>
              <w:t>$11,155,726</w:t>
            </w:r>
          </w:p>
        </w:tc>
        <w:tc>
          <w:tcPr>
            <w:tcW w:w="1600" w:type="dxa"/>
            <w:vAlign w:val="bottom"/>
          </w:tcPr>
          <w:p>
            <w:pPr>
              <w:ind w:left="500"/>
              <w:spacing w:after="0"/>
              <w:rPr>
                <w:sz w:val="20"/>
                <w:szCs w:val="20"/>
                <w:color w:val="auto"/>
              </w:rPr>
            </w:pPr>
            <w:r>
              <w:rPr>
                <w:rFonts w:ascii="Arial" w:cs="Arial" w:eastAsia="Arial" w:hAnsi="Arial"/>
                <w:sz w:val="11"/>
                <w:szCs w:val="11"/>
                <w:color w:val="333740"/>
              </w:rPr>
              <w:t>$4,156,182</w:t>
            </w:r>
          </w:p>
        </w:tc>
        <w:tc>
          <w:tcPr>
            <w:tcW w:w="1760" w:type="dxa"/>
            <w:vAlign w:val="bottom"/>
          </w:tcPr>
          <w:p>
            <w:pPr>
              <w:ind w:left="540"/>
              <w:spacing w:after="0"/>
              <w:rPr>
                <w:sz w:val="20"/>
                <w:szCs w:val="20"/>
                <w:color w:val="auto"/>
              </w:rPr>
            </w:pPr>
            <w:r>
              <w:rPr>
                <w:rFonts w:ascii="Arial" w:cs="Arial" w:eastAsia="Arial" w:hAnsi="Arial"/>
                <w:sz w:val="11"/>
                <w:szCs w:val="11"/>
                <w:color w:val="333740"/>
              </w:rPr>
              <w:t>$2,815,504</w:t>
            </w:r>
          </w:p>
        </w:tc>
        <w:tc>
          <w:tcPr>
            <w:tcW w:w="1920" w:type="dxa"/>
            <w:vAlign w:val="bottom"/>
          </w:tcPr>
          <w:p>
            <w:pPr>
              <w:ind w:left="640"/>
              <w:spacing w:after="0"/>
              <w:rPr>
                <w:sz w:val="20"/>
                <w:szCs w:val="20"/>
                <w:color w:val="auto"/>
              </w:rPr>
            </w:pPr>
            <w:r>
              <w:rPr>
                <w:rFonts w:ascii="Arial" w:cs="Arial" w:eastAsia="Arial" w:hAnsi="Arial"/>
                <w:sz w:val="11"/>
                <w:szCs w:val="11"/>
                <w:color w:val="333740"/>
              </w:rPr>
              <w:t>N/A</w:t>
            </w:r>
          </w:p>
        </w:tc>
        <w:tc>
          <w:tcPr>
            <w:tcW w:w="1280" w:type="dxa"/>
            <w:vAlign w:val="bottom"/>
          </w:tcPr>
          <w:p>
            <w:pPr>
              <w:ind w:left="720"/>
              <w:spacing w:after="0"/>
              <w:rPr>
                <w:sz w:val="20"/>
                <w:szCs w:val="20"/>
                <w:color w:val="auto"/>
              </w:rPr>
            </w:pPr>
            <w:r>
              <w:rPr>
                <w:rFonts w:ascii="Arial" w:cs="Arial" w:eastAsia="Arial" w:hAnsi="Arial"/>
                <w:sz w:val="11"/>
                <w:szCs w:val="11"/>
                <w:color w:val="333740"/>
              </w:rPr>
              <w:t>N/A</w:t>
            </w:r>
          </w:p>
        </w:tc>
      </w:tr>
    </w:tbl>
    <w:p>
      <w:pPr>
        <w:spacing w:after="0" w:line="171" w:lineRule="exact"/>
        <w:rPr>
          <w:sz w:val="20"/>
          <w:szCs w:val="20"/>
          <w:color w:val="auto"/>
        </w:rPr>
      </w:pPr>
    </w:p>
    <w:p>
      <w:pPr>
        <w:ind w:left="304" w:hanging="304"/>
        <w:spacing w:after="0"/>
        <w:tabs>
          <w:tab w:leader="none" w:pos="304" w:val="left"/>
        </w:tabs>
        <w:numPr>
          <w:ilvl w:val="0"/>
          <w:numId w:val="106"/>
        </w:numPr>
        <w:rPr>
          <w:rFonts w:ascii="Arial" w:cs="Arial" w:eastAsia="Arial" w:hAnsi="Arial"/>
          <w:sz w:val="11"/>
          <w:szCs w:val="11"/>
          <w:color w:val="333740"/>
        </w:rPr>
      </w:pPr>
      <w:r>
        <w:rPr>
          <w:rFonts w:ascii="Arial" w:cs="Arial" w:eastAsia="Arial" w:hAnsi="Arial"/>
          <w:sz w:val="11"/>
          <w:szCs w:val="11"/>
          <w:color w:val="333740"/>
        </w:rPr>
        <w:t>Represents the grant date fair value of stock options determined in accordance with FASB ASC Topic 718 using the Black-Scholes method as disclosed in our Form 10-K.</w:t>
      </w:r>
    </w:p>
    <w:p>
      <w:pPr>
        <w:ind w:left="304" w:right="180" w:hanging="304"/>
        <w:spacing w:after="0" w:line="226" w:lineRule="auto"/>
        <w:tabs>
          <w:tab w:leader="none" w:pos="304" w:val="left"/>
        </w:tabs>
        <w:numPr>
          <w:ilvl w:val="0"/>
          <w:numId w:val="106"/>
        </w:numPr>
        <w:rPr>
          <w:rFonts w:ascii="Arial" w:cs="Arial" w:eastAsia="Arial" w:hAnsi="Arial"/>
          <w:sz w:val="11"/>
          <w:szCs w:val="11"/>
          <w:color w:val="333740"/>
        </w:rPr>
      </w:pPr>
      <w:r>
        <w:rPr>
          <w:rFonts w:ascii="Arial" w:cs="Arial" w:eastAsia="Arial" w:hAnsi="Arial"/>
          <w:sz w:val="11"/>
          <w:szCs w:val="11"/>
          <w:color w:val="333740"/>
        </w:rPr>
        <w:t>The amounts shown in the Change in Pension Value column reflect the actuarial increase in the present value of the NEO’s benefits at the first retirement date with unreduced benefits (age 62 for U.S. pension programs) under all of our pension plans. These amounts are determined using interest rates and mortality rate assumptions consistent with those disclosed in our Form 10-K.</w:t>
      </w:r>
    </w:p>
    <w:p>
      <w:pPr>
        <w:ind w:left="584" w:right="400"/>
        <w:spacing w:after="0" w:line="226" w:lineRule="auto"/>
        <w:rPr>
          <w:rFonts w:ascii="Arial" w:cs="Arial" w:eastAsia="Arial" w:hAnsi="Arial"/>
          <w:sz w:val="11"/>
          <w:szCs w:val="11"/>
          <w:color w:val="333740"/>
        </w:rPr>
      </w:pPr>
      <w:r>
        <w:rPr>
          <w:rFonts w:ascii="Arial" w:cs="Arial" w:eastAsia="Arial" w:hAnsi="Arial"/>
          <w:sz w:val="11"/>
          <w:szCs w:val="11"/>
          <w:color w:val="333740"/>
        </w:rPr>
        <w:t>In 2018, the discount rate used to value the actuarial liability increased 70 basis points from 3.7% to 4.4%, resulting in a decrease in the pension value for Ms. Mannen by $299,788 and therefore, no increase is shown.</w:t>
      </w:r>
    </w:p>
    <w:p>
      <w:pPr>
        <w:ind w:left="304" w:hanging="304"/>
        <w:spacing w:after="0" w:line="226" w:lineRule="auto"/>
        <w:tabs>
          <w:tab w:leader="none" w:pos="304" w:val="left"/>
        </w:tabs>
        <w:numPr>
          <w:ilvl w:val="0"/>
          <w:numId w:val="106"/>
        </w:numPr>
        <w:rPr>
          <w:rFonts w:ascii="Arial" w:cs="Arial" w:eastAsia="Arial" w:hAnsi="Arial"/>
          <w:sz w:val="11"/>
          <w:szCs w:val="11"/>
          <w:color w:val="333740"/>
        </w:rPr>
      </w:pPr>
      <w:r>
        <w:rPr>
          <w:rFonts w:ascii="Arial" w:cs="Arial" w:eastAsia="Arial" w:hAnsi="Arial"/>
          <w:sz w:val="11"/>
          <w:szCs w:val="11"/>
          <w:color w:val="333740"/>
        </w:rPr>
        <w:t>The amounts reflected in the All Other Compensation column for the fiscal year ended December 31, 2019 represent:</w:t>
      </w:r>
    </w:p>
    <w:p>
      <w:pPr>
        <w:ind w:left="304" w:right="40"/>
        <w:spacing w:after="0" w:line="226" w:lineRule="auto"/>
        <w:rPr>
          <w:rFonts w:ascii="Arial" w:cs="Arial" w:eastAsia="Arial" w:hAnsi="Arial"/>
          <w:sz w:val="11"/>
          <w:szCs w:val="11"/>
          <w:color w:val="333740"/>
        </w:rPr>
      </w:pPr>
      <w:r>
        <w:rPr>
          <w:rFonts w:ascii="Arial" w:cs="Arial" w:eastAsia="Arial" w:hAnsi="Arial"/>
          <w:sz w:val="11"/>
          <w:szCs w:val="11"/>
          <w:color w:val="333740"/>
        </w:rPr>
        <w:t>Mr. Pferdehirt — contributions to the U.S. Qualified Savings Plan and U.S. Non-Qualified Savings Plan of $241,779, Company-provided apartment in Paris, France of $66,384, spouse travel for Company business functions of $42,699, financial planning and personal tax assistance of $20,935, security services of $16,378, personal use of Company automobile of $4,977, and Company-paid life insurance premium of $771.</w:t>
      </w:r>
    </w:p>
    <w:p>
      <w:pPr>
        <w:ind w:left="304" w:right="100"/>
        <w:spacing w:after="0" w:line="226" w:lineRule="auto"/>
        <w:rPr>
          <w:rFonts w:ascii="Arial" w:cs="Arial" w:eastAsia="Arial" w:hAnsi="Arial"/>
          <w:sz w:val="11"/>
          <w:szCs w:val="11"/>
          <w:color w:val="333740"/>
        </w:rPr>
      </w:pPr>
      <w:r>
        <w:rPr>
          <w:rFonts w:ascii="Arial" w:cs="Arial" w:eastAsia="Arial" w:hAnsi="Arial"/>
          <w:sz w:val="11"/>
          <w:szCs w:val="11"/>
          <w:color w:val="333740"/>
        </w:rPr>
        <w:t>Ms. Mannen — contributions to the U.S. Qualified Savings Plan and U.S. Non-Qualified Savings Plan of $124,740, Company-provided apartment in Paris, France of $46,955, spouse travel for Company business functions of $459, club membership of $21,459, financial planning and personal tax assistance of $20,935, security services of $3,667, and Company-paid life insurance premium of $498.</w:t>
      </w:r>
    </w:p>
    <w:p>
      <w:pPr>
        <w:jc w:val="both"/>
        <w:ind w:left="304" w:right="20"/>
        <w:spacing w:after="0" w:line="226" w:lineRule="auto"/>
        <w:rPr>
          <w:rFonts w:ascii="Arial" w:cs="Arial" w:eastAsia="Arial" w:hAnsi="Arial"/>
          <w:sz w:val="11"/>
          <w:szCs w:val="11"/>
          <w:color w:val="333740"/>
        </w:rPr>
      </w:pPr>
      <w:r>
        <w:rPr>
          <w:rFonts w:ascii="Arial" w:cs="Arial" w:eastAsia="Arial" w:hAnsi="Arial"/>
          <w:sz w:val="11"/>
          <w:szCs w:val="11"/>
          <w:color w:val="333740"/>
        </w:rPr>
        <w:t>Ms. Ralston — contributions to the U.S. Qualified Savings Plan and U.S. Non-Qualified Savings Plan of $98,272, club membership of $6,930, financial planning and personal tax assistance of $20,935, security services of $2,066, and Company-paid life insurance premium of $399. Mr. Rounce — contributions to the U.S. Qualified Savings Plan and U.S. Non-Qualified Savings Plan of $21,252, club membership of $10,018, personal tax assistance of $2,935, security services of $2,857, and Company-paid life insurance premium of $374.</w:t>
      </w:r>
    </w:p>
    <w:p>
      <w:pPr>
        <w:spacing w:after="0" w:line="1" w:lineRule="exact"/>
        <w:rPr>
          <w:rFonts w:ascii="Arial" w:cs="Arial" w:eastAsia="Arial" w:hAnsi="Arial"/>
          <w:sz w:val="11"/>
          <w:szCs w:val="11"/>
          <w:color w:val="333740"/>
        </w:rPr>
      </w:pPr>
    </w:p>
    <w:p>
      <w:pPr>
        <w:ind w:left="304" w:right="100"/>
        <w:spacing w:after="0" w:line="239" w:lineRule="auto"/>
        <w:rPr>
          <w:rFonts w:ascii="Arial" w:cs="Arial" w:eastAsia="Arial" w:hAnsi="Arial"/>
          <w:sz w:val="11"/>
          <w:szCs w:val="11"/>
          <w:color w:val="333740"/>
        </w:rPr>
      </w:pPr>
      <w:r>
        <w:rPr>
          <w:rFonts w:ascii="Arial" w:cs="Arial" w:eastAsia="Arial" w:hAnsi="Arial"/>
          <w:sz w:val="11"/>
          <w:szCs w:val="11"/>
          <w:color w:val="333740"/>
        </w:rPr>
        <w:t>Mr. Uccelletti — contributions to the Italian Statutory Pension Plan of $372,521, Company-provided apartment in Paris, France of $60,787, compensation for national holidays worked of $10,824, personal tax assistance of $2,935, personal use of Company automobile of $2,052, and Company-paid life insurance premium of $10,379.</w:t>
      </w:r>
    </w:p>
    <w:p>
      <w:pPr>
        <w:spacing w:after="0" w:line="331" w:lineRule="exact"/>
        <w:rPr>
          <w:sz w:val="20"/>
          <w:szCs w:val="20"/>
          <w:color w:val="auto"/>
        </w:rPr>
      </w:pPr>
    </w:p>
    <w:p>
      <w:pPr>
        <w:ind w:left="564" w:hanging="564"/>
        <w:spacing w:after="0"/>
        <w:tabs>
          <w:tab w:leader="none" w:pos="564" w:val="left"/>
        </w:tabs>
        <w:numPr>
          <w:ilvl w:val="0"/>
          <w:numId w:val="107"/>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92" w:name="page93"/>
    <w:bookmarkEnd w:id="92"/>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4" w:lineRule="exact"/>
        <w:rPr>
          <w:sz w:val="20"/>
          <w:szCs w:val="20"/>
          <w:color w:val="auto"/>
        </w:rPr>
      </w:pPr>
    </w:p>
    <w:p>
      <w:pPr>
        <w:ind w:left="304" w:right="60" w:hanging="304"/>
        <w:spacing w:after="0" w:line="226" w:lineRule="auto"/>
        <w:tabs>
          <w:tab w:leader="none" w:pos="304" w:val="left"/>
        </w:tabs>
        <w:numPr>
          <w:ilvl w:val="0"/>
          <w:numId w:val="108"/>
        </w:numPr>
        <w:rPr>
          <w:rFonts w:ascii="Arial" w:cs="Arial" w:eastAsia="Arial" w:hAnsi="Arial"/>
          <w:sz w:val="11"/>
          <w:szCs w:val="11"/>
          <w:color w:val="333740"/>
        </w:rPr>
      </w:pPr>
      <w:r>
        <w:rPr>
          <w:rFonts w:ascii="Arial" w:cs="Arial" w:eastAsia="Arial" w:hAnsi="Arial"/>
          <w:sz w:val="11"/>
          <w:szCs w:val="11"/>
          <w:color w:val="333740"/>
        </w:rPr>
        <w:t>Mr. Rounce commenced employment on September 14, 2018. In order to attract Mr. Rounce to join the Company and to make him whole for forfeited compensation at his prior company, he received a cash bonus totaling $750,000 in one-third increments over three years, subject to him not being terminated for cause. This amount is reflected in the Bonus column. In addition, Mr. Rounce was guaranteed a bonus of $720,000 that included a pro-rated annual cash incentive for 2018. The difference between the guaranteed amount of $720,000 and his actual annual cash incentive earned in 2018 is reflected in the Bonus column, and the actual annual cash incentive earned in 2018 is reflected in the Non-Equity Incentive Plan Compensation column.</w:t>
      </w:r>
    </w:p>
    <w:p>
      <w:pPr>
        <w:spacing w:after="0" w:line="1" w:lineRule="exact"/>
        <w:rPr>
          <w:rFonts w:ascii="Arial" w:cs="Arial" w:eastAsia="Arial" w:hAnsi="Arial"/>
          <w:sz w:val="11"/>
          <w:szCs w:val="11"/>
          <w:color w:val="333740"/>
        </w:rPr>
      </w:pPr>
    </w:p>
    <w:p>
      <w:pPr>
        <w:ind w:left="304" w:hanging="304"/>
        <w:spacing w:after="0" w:line="239" w:lineRule="auto"/>
        <w:tabs>
          <w:tab w:leader="none" w:pos="304" w:val="left"/>
        </w:tabs>
        <w:numPr>
          <w:ilvl w:val="0"/>
          <w:numId w:val="108"/>
        </w:numPr>
        <w:rPr>
          <w:rFonts w:ascii="Arial" w:cs="Arial" w:eastAsia="Arial" w:hAnsi="Arial"/>
          <w:sz w:val="11"/>
          <w:szCs w:val="11"/>
          <w:color w:val="333740"/>
        </w:rPr>
      </w:pPr>
      <w:r>
        <w:rPr>
          <w:rFonts w:ascii="Arial" w:cs="Arial" w:eastAsia="Arial" w:hAnsi="Arial"/>
          <w:sz w:val="11"/>
          <w:szCs w:val="11"/>
          <w:color w:val="333740"/>
        </w:rPr>
        <w:t>The amounts reported as salary, non-equity incentive compensation, bonus, and all other compensation for Mr. Uccelletti were paid in Euros. These amounts were converted to U.S. dollars utilizing an average of the Euro to U.S. dollar exchange rates on the last day of each month during 2019.</w:t>
      </w:r>
    </w:p>
    <w:p>
      <w:pPr>
        <w:spacing w:after="0" w:line="331" w:lineRule="exact"/>
        <w:rPr>
          <w:sz w:val="20"/>
          <w:szCs w:val="20"/>
          <w:color w:val="auto"/>
        </w:rPr>
      </w:pPr>
    </w:p>
    <w:p>
      <w:pPr>
        <w:ind w:left="564" w:hanging="564"/>
        <w:spacing w:after="0"/>
        <w:tabs>
          <w:tab w:leader="none" w:pos="564" w:val="left"/>
        </w:tabs>
        <w:numPr>
          <w:ilvl w:val="0"/>
          <w:numId w:val="109"/>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128" w:right="339" w:bottom="1440" w:gutter="0" w:footer="0" w:header="0"/>
        </w:sectPr>
      </w:pPr>
    </w:p>
    <w:bookmarkStart w:id="93" w:name="page94"/>
    <w:bookmarkEnd w:id="93"/>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3"/>
          <w:szCs w:val="33"/>
          <w:color w:val="481F6E"/>
        </w:rPr>
        <w:t>Grants of Plan-Based Awards Table</w:t>
      </w:r>
    </w:p>
    <w:p>
      <w:pPr>
        <w:spacing w:after="0" w:line="30" w:lineRule="exact"/>
        <w:rPr>
          <w:sz w:val="20"/>
          <w:szCs w:val="20"/>
          <w:color w:val="auto"/>
        </w:rPr>
      </w:pPr>
    </w:p>
    <w:p>
      <w:pPr>
        <w:ind w:left="4"/>
        <w:spacing w:after="0"/>
        <w:rPr>
          <w:sz w:val="20"/>
          <w:szCs w:val="20"/>
          <w:color w:val="auto"/>
        </w:rPr>
      </w:pPr>
      <w:r>
        <w:rPr>
          <w:rFonts w:ascii="Arial" w:cs="Arial" w:eastAsia="Arial" w:hAnsi="Arial"/>
          <w:sz w:val="16"/>
          <w:szCs w:val="16"/>
          <w:color w:val="333740"/>
        </w:rPr>
        <w:t>Shown below is information with respect to plan-based awards made in 2019 to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6601460</wp:posOffset>
            </wp:positionH>
            <wp:positionV relativeFrom="paragraph">
              <wp:posOffset>126365</wp:posOffset>
            </wp:positionV>
            <wp:extent cx="7620" cy="6826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20" cy="68262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126365</wp:posOffset>
            </wp:positionV>
            <wp:extent cx="7620" cy="6826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20" cy="68262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126365</wp:posOffset>
            </wp:positionV>
            <wp:extent cx="7620" cy="6826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20" cy="682625"/>
                    </a:xfrm>
                    <a:prstGeom prst="rect">
                      <a:avLst/>
                    </a:prstGeom>
                    <a:noFill/>
                  </pic:spPr>
                </pic:pic>
              </a:graphicData>
            </a:graphic>
          </wp:anchor>
        </w:drawing>
        <w:drawing>
          <wp:anchor simplePos="0" relativeHeight="251657728" behindDoc="1" locked="0" layoutInCell="0" allowOverlap="1">
            <wp:simplePos x="0" y="0"/>
            <wp:positionH relativeFrom="column">
              <wp:posOffset>4939665</wp:posOffset>
            </wp:positionH>
            <wp:positionV relativeFrom="paragraph">
              <wp:posOffset>126365</wp:posOffset>
            </wp:positionV>
            <wp:extent cx="7620" cy="6826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620" cy="68262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126365</wp:posOffset>
            </wp:positionV>
            <wp:extent cx="7620" cy="6826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20" cy="682625"/>
                    </a:xfrm>
                    <a:prstGeom prst="rect">
                      <a:avLst/>
                    </a:prstGeom>
                    <a:noFill/>
                  </pic:spPr>
                </pic:pic>
              </a:graphicData>
            </a:graphic>
          </wp:anchor>
        </w:drawing>
        <w:drawing>
          <wp:anchor simplePos="0" relativeHeight="251657728" behindDoc="1" locked="0" layoutInCell="0" allowOverlap="1">
            <wp:simplePos x="0" y="0"/>
            <wp:positionH relativeFrom="column">
              <wp:posOffset>1722755</wp:posOffset>
            </wp:positionH>
            <wp:positionV relativeFrom="paragraph">
              <wp:posOffset>126365</wp:posOffset>
            </wp:positionV>
            <wp:extent cx="7620" cy="6826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20" cy="682625"/>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126365</wp:posOffset>
            </wp:positionV>
            <wp:extent cx="7620" cy="6826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20" cy="682625"/>
                    </a:xfrm>
                    <a:prstGeom prst="rect">
                      <a:avLst/>
                    </a:prstGeom>
                    <a:noFill/>
                  </pic:spPr>
                </pic:pic>
              </a:graphicData>
            </a:graphic>
          </wp:anchor>
        </w:drawing>
        <w:drawing>
          <wp:anchor simplePos="0" relativeHeight="251657728" behindDoc="1" locked="0" layoutInCell="0" allowOverlap="1">
            <wp:simplePos x="0" y="0"/>
            <wp:positionH relativeFrom="column">
              <wp:posOffset>584200</wp:posOffset>
            </wp:positionH>
            <wp:positionV relativeFrom="paragraph">
              <wp:posOffset>126365</wp:posOffset>
            </wp:positionV>
            <wp:extent cx="7620" cy="6826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20" cy="682625"/>
                    </a:xfrm>
                    <a:prstGeom prst="rect">
                      <a:avLst/>
                    </a:prstGeom>
                    <a:noFill/>
                  </pic:spPr>
                </pic:pic>
              </a:graphicData>
            </a:graphic>
          </wp:anchor>
        </w:drawing>
      </w:r>
    </w:p>
    <w:p>
      <w:pPr>
        <w:spacing w:after="0" w:line="169" w:lineRule="exact"/>
        <w:rPr>
          <w:sz w:val="20"/>
          <w:szCs w:val="20"/>
          <w:color w:val="auto"/>
        </w:rPr>
      </w:pPr>
    </w:p>
    <w:tbl>
      <w:tblPr>
        <w:tblLayout w:type="fixed"/>
        <w:tblInd w:w="4" w:type="dxa"/>
        <w:tblCellMar>
          <w:top w:w="0" w:type="dxa"/>
          <w:left w:w="0" w:type="dxa"/>
          <w:bottom w:w="0" w:type="dxa"/>
          <w:right w:w="0" w:type="dxa"/>
        </w:tblCellMar>
      </w:tblPr>
      <w:tr>
        <w:trPr>
          <w:trHeight w:val="115"/>
        </w:trPr>
        <w:tc>
          <w:tcPr>
            <w:tcW w:w="920" w:type="dxa"/>
            <w:vAlign w:val="bottom"/>
            <w:shd w:val="clear" w:color="auto" w:fill="481F6E"/>
          </w:tcPr>
          <w:p>
            <w:pPr>
              <w:spacing w:after="0"/>
              <w:rPr>
                <w:sz w:val="10"/>
                <w:szCs w:val="10"/>
                <w:color w:val="auto"/>
              </w:rPr>
            </w:pPr>
          </w:p>
        </w:tc>
        <w:tc>
          <w:tcPr>
            <w:tcW w:w="900" w:type="dxa"/>
            <w:vAlign w:val="bottom"/>
            <w:shd w:val="clear" w:color="auto" w:fill="481F6E"/>
          </w:tcPr>
          <w:p>
            <w:pPr>
              <w:spacing w:after="0"/>
              <w:rPr>
                <w:sz w:val="10"/>
                <w:szCs w:val="10"/>
                <w:color w:val="auto"/>
              </w:rPr>
            </w:pPr>
          </w:p>
        </w:tc>
        <w:tc>
          <w:tcPr>
            <w:tcW w:w="880" w:type="dxa"/>
            <w:vAlign w:val="bottom"/>
            <w:shd w:val="clear" w:color="auto" w:fill="481F6E"/>
          </w:tcPr>
          <w:p>
            <w:pPr>
              <w:spacing w:after="0"/>
              <w:rPr>
                <w:sz w:val="10"/>
                <w:szCs w:val="10"/>
                <w:color w:val="auto"/>
              </w:rPr>
            </w:pPr>
          </w:p>
        </w:tc>
        <w:tc>
          <w:tcPr>
            <w:tcW w:w="2080" w:type="dxa"/>
            <w:vAlign w:val="bottom"/>
            <w:gridSpan w:val="2"/>
            <w:shd w:val="clear" w:color="auto" w:fill="481F6E"/>
          </w:tcPr>
          <w:p>
            <w:pPr>
              <w:jc w:val="right"/>
              <w:spacing w:after="0"/>
              <w:rPr>
                <w:sz w:val="20"/>
                <w:szCs w:val="20"/>
                <w:color w:val="auto"/>
              </w:rPr>
            </w:pPr>
            <w:r>
              <w:rPr>
                <w:rFonts w:ascii="Arial" w:cs="Arial" w:eastAsia="Arial" w:hAnsi="Arial"/>
                <w:sz w:val="10"/>
                <w:szCs w:val="10"/>
                <w:b w:val="1"/>
                <w:bCs w:val="1"/>
                <w:color w:val="FFFFFF"/>
              </w:rPr>
              <w:t>Estimated Possible Payouts Under</w:t>
            </w:r>
          </w:p>
        </w:tc>
        <w:tc>
          <w:tcPr>
            <w:tcW w:w="520" w:type="dxa"/>
            <w:vAlign w:val="bottom"/>
            <w:shd w:val="clear" w:color="auto" w:fill="481F6E"/>
          </w:tcPr>
          <w:p>
            <w:pPr>
              <w:spacing w:after="0"/>
              <w:rPr>
                <w:sz w:val="10"/>
                <w:szCs w:val="10"/>
                <w:color w:val="auto"/>
              </w:rPr>
            </w:pPr>
          </w:p>
        </w:tc>
        <w:tc>
          <w:tcPr>
            <w:tcW w:w="2480" w:type="dxa"/>
            <w:vAlign w:val="bottom"/>
            <w:gridSpan w:val="3"/>
            <w:shd w:val="clear" w:color="auto" w:fill="481F6E"/>
          </w:tcPr>
          <w:p>
            <w:pPr>
              <w:jc w:val="right"/>
              <w:ind w:right="92"/>
              <w:spacing w:after="0"/>
              <w:rPr>
                <w:sz w:val="20"/>
                <w:szCs w:val="20"/>
                <w:color w:val="auto"/>
              </w:rPr>
            </w:pPr>
            <w:r>
              <w:rPr>
                <w:rFonts w:ascii="Arial" w:cs="Arial" w:eastAsia="Arial" w:hAnsi="Arial"/>
                <w:sz w:val="10"/>
                <w:szCs w:val="10"/>
                <w:b w:val="1"/>
                <w:bCs w:val="1"/>
                <w:color w:val="FFFFFF"/>
              </w:rPr>
              <w:t>Estimated Possible Payouts Under Stock Option</w:t>
            </w:r>
          </w:p>
        </w:tc>
        <w:tc>
          <w:tcPr>
            <w:tcW w:w="860" w:type="dxa"/>
            <w:vAlign w:val="bottom"/>
            <w:shd w:val="clear" w:color="auto" w:fill="481F6E"/>
          </w:tcPr>
          <w:p>
            <w:pPr>
              <w:spacing w:after="0"/>
              <w:rPr>
                <w:sz w:val="10"/>
                <w:szCs w:val="10"/>
                <w:color w:val="auto"/>
              </w:rPr>
            </w:pPr>
          </w:p>
        </w:tc>
        <w:tc>
          <w:tcPr>
            <w:tcW w:w="1040" w:type="dxa"/>
            <w:vAlign w:val="bottom"/>
            <w:shd w:val="clear" w:color="auto" w:fill="481F6E"/>
          </w:tcPr>
          <w:p>
            <w:pPr>
              <w:spacing w:after="0"/>
              <w:rPr>
                <w:sz w:val="10"/>
                <w:szCs w:val="10"/>
                <w:color w:val="auto"/>
              </w:rPr>
            </w:pPr>
          </w:p>
        </w:tc>
        <w:tc>
          <w:tcPr>
            <w:tcW w:w="880" w:type="dxa"/>
            <w:vAlign w:val="bottom"/>
            <w:shd w:val="clear" w:color="auto" w:fill="481F6E"/>
          </w:tcPr>
          <w:p>
            <w:pPr>
              <w:spacing w:after="0"/>
              <w:rPr>
                <w:sz w:val="10"/>
                <w:szCs w:val="10"/>
                <w:color w:val="auto"/>
              </w:rPr>
            </w:pPr>
          </w:p>
        </w:tc>
        <w:tc>
          <w:tcPr>
            <w:tcW w:w="700" w:type="dxa"/>
            <w:vAlign w:val="bottom"/>
            <w:shd w:val="clear" w:color="auto" w:fill="481F6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920" w:type="dxa"/>
            <w:vAlign w:val="bottom"/>
            <w:shd w:val="clear" w:color="auto" w:fill="481F6E"/>
          </w:tcPr>
          <w:p>
            <w:pPr>
              <w:spacing w:after="0"/>
              <w:rPr>
                <w:sz w:val="11"/>
                <w:szCs w:val="11"/>
                <w:color w:val="auto"/>
              </w:rPr>
            </w:pPr>
          </w:p>
        </w:tc>
        <w:tc>
          <w:tcPr>
            <w:tcW w:w="900" w:type="dxa"/>
            <w:vAlign w:val="bottom"/>
            <w:shd w:val="clear" w:color="auto" w:fill="481F6E"/>
          </w:tcPr>
          <w:p>
            <w:pPr>
              <w:spacing w:after="0"/>
              <w:rPr>
                <w:sz w:val="11"/>
                <w:szCs w:val="11"/>
                <w:color w:val="auto"/>
              </w:rPr>
            </w:pPr>
          </w:p>
        </w:tc>
        <w:tc>
          <w:tcPr>
            <w:tcW w:w="880" w:type="dxa"/>
            <w:vAlign w:val="bottom"/>
            <w:shd w:val="clear" w:color="auto" w:fill="481F6E"/>
          </w:tcPr>
          <w:p>
            <w:pPr>
              <w:spacing w:after="0"/>
              <w:rPr>
                <w:sz w:val="11"/>
                <w:szCs w:val="11"/>
                <w:color w:val="auto"/>
              </w:rPr>
            </w:pPr>
          </w:p>
        </w:tc>
        <w:tc>
          <w:tcPr>
            <w:tcW w:w="2080" w:type="dxa"/>
            <w:vAlign w:val="bottom"/>
            <w:gridSpan w:val="2"/>
            <w:shd w:val="clear" w:color="auto" w:fill="481F6E"/>
          </w:tcPr>
          <w:p>
            <w:pPr>
              <w:jc w:val="right"/>
              <w:spacing w:after="0"/>
              <w:rPr>
                <w:sz w:val="20"/>
                <w:szCs w:val="20"/>
                <w:color w:val="auto"/>
              </w:rPr>
            </w:pPr>
            <w:r>
              <w:rPr>
                <w:rFonts w:ascii="Arial" w:cs="Arial" w:eastAsia="Arial" w:hAnsi="Arial"/>
                <w:sz w:val="10"/>
                <w:szCs w:val="10"/>
                <w:b w:val="1"/>
                <w:bCs w:val="1"/>
                <w:color w:val="FFFFFF"/>
              </w:rPr>
              <w:t>Non-Equity Incentive Plan Awards</w:t>
            </w:r>
          </w:p>
        </w:tc>
        <w:tc>
          <w:tcPr>
            <w:tcW w:w="520" w:type="dxa"/>
            <w:vAlign w:val="bottom"/>
            <w:shd w:val="clear" w:color="auto" w:fill="481F6E"/>
          </w:tcPr>
          <w:p>
            <w:pPr>
              <w:spacing w:after="0"/>
              <w:rPr>
                <w:sz w:val="11"/>
                <w:szCs w:val="11"/>
                <w:color w:val="auto"/>
              </w:rPr>
            </w:pPr>
          </w:p>
        </w:tc>
        <w:tc>
          <w:tcPr>
            <w:tcW w:w="1940" w:type="dxa"/>
            <w:vAlign w:val="bottom"/>
            <w:gridSpan w:val="2"/>
            <w:shd w:val="clear" w:color="auto" w:fill="481F6E"/>
          </w:tcPr>
          <w:p>
            <w:pPr>
              <w:jc w:val="right"/>
              <w:ind w:right="32"/>
              <w:spacing w:after="0"/>
              <w:rPr>
                <w:sz w:val="20"/>
                <w:szCs w:val="20"/>
                <w:color w:val="auto"/>
              </w:rPr>
            </w:pPr>
            <w:r>
              <w:rPr>
                <w:rFonts w:ascii="Arial" w:cs="Arial" w:eastAsia="Arial" w:hAnsi="Arial"/>
                <w:sz w:val="10"/>
                <w:szCs w:val="10"/>
                <w:b w:val="1"/>
                <w:bCs w:val="1"/>
                <w:color w:val="FFFFFF"/>
              </w:rPr>
              <w:t>Equity Incentive Plan Awards</w:t>
            </w:r>
          </w:p>
        </w:tc>
        <w:tc>
          <w:tcPr>
            <w:tcW w:w="540" w:type="dxa"/>
            <w:vAlign w:val="bottom"/>
            <w:shd w:val="clear" w:color="auto" w:fill="481F6E"/>
          </w:tcPr>
          <w:p>
            <w:pPr>
              <w:spacing w:after="0"/>
              <w:rPr>
                <w:sz w:val="11"/>
                <w:szCs w:val="11"/>
                <w:color w:val="auto"/>
              </w:rPr>
            </w:pPr>
          </w:p>
        </w:tc>
        <w:tc>
          <w:tcPr>
            <w:tcW w:w="860" w:type="dxa"/>
            <w:vAlign w:val="bottom"/>
            <w:vMerge w:val="restart"/>
            <w:shd w:val="clear" w:color="auto" w:fill="481F6E"/>
          </w:tcPr>
          <w:p>
            <w:pPr>
              <w:jc w:val="right"/>
              <w:spacing w:after="0"/>
              <w:rPr>
                <w:sz w:val="20"/>
                <w:szCs w:val="20"/>
                <w:color w:val="auto"/>
              </w:rPr>
            </w:pPr>
            <w:r>
              <w:rPr>
                <w:rFonts w:ascii="Arial" w:cs="Arial" w:eastAsia="Arial" w:hAnsi="Arial"/>
                <w:sz w:val="10"/>
                <w:szCs w:val="10"/>
                <w:b w:val="1"/>
                <w:bCs w:val="1"/>
                <w:color w:val="FFFFFF"/>
              </w:rPr>
              <w:t>All Other</w:t>
            </w:r>
          </w:p>
        </w:tc>
        <w:tc>
          <w:tcPr>
            <w:tcW w:w="1040" w:type="dxa"/>
            <w:vAlign w:val="bottom"/>
            <w:vMerge w:val="restart"/>
            <w:shd w:val="clear" w:color="auto" w:fill="481F6E"/>
          </w:tcPr>
          <w:p>
            <w:pPr>
              <w:jc w:val="right"/>
              <w:ind w:right="172"/>
              <w:spacing w:after="0"/>
              <w:rPr>
                <w:sz w:val="20"/>
                <w:szCs w:val="20"/>
                <w:color w:val="auto"/>
              </w:rPr>
            </w:pPr>
            <w:r>
              <w:rPr>
                <w:rFonts w:ascii="Arial" w:cs="Arial" w:eastAsia="Arial" w:hAnsi="Arial"/>
                <w:sz w:val="10"/>
                <w:szCs w:val="10"/>
                <w:b w:val="1"/>
                <w:bCs w:val="1"/>
                <w:color w:val="FFFFFF"/>
              </w:rPr>
              <w:t>All Other</w:t>
            </w:r>
          </w:p>
        </w:tc>
        <w:tc>
          <w:tcPr>
            <w:tcW w:w="880" w:type="dxa"/>
            <w:vAlign w:val="bottom"/>
            <w:shd w:val="clear" w:color="auto" w:fill="481F6E"/>
          </w:tcPr>
          <w:p>
            <w:pPr>
              <w:spacing w:after="0"/>
              <w:rPr>
                <w:sz w:val="11"/>
                <w:szCs w:val="11"/>
                <w:color w:val="auto"/>
              </w:rPr>
            </w:pPr>
          </w:p>
        </w:tc>
        <w:tc>
          <w:tcPr>
            <w:tcW w:w="700" w:type="dxa"/>
            <w:vAlign w:val="bottom"/>
            <w:shd w:val="clear" w:color="auto" w:fill="481F6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920" w:type="dxa"/>
            <w:vAlign w:val="bottom"/>
            <w:shd w:val="clear" w:color="auto" w:fill="481F6E"/>
          </w:tcPr>
          <w:p>
            <w:pPr>
              <w:spacing w:after="0"/>
              <w:rPr>
                <w:sz w:val="3"/>
                <w:szCs w:val="3"/>
                <w:color w:val="auto"/>
              </w:rPr>
            </w:pPr>
          </w:p>
        </w:tc>
        <w:tc>
          <w:tcPr>
            <w:tcW w:w="900" w:type="dxa"/>
            <w:vAlign w:val="bottom"/>
            <w:shd w:val="clear" w:color="auto" w:fill="481F6E"/>
          </w:tcPr>
          <w:p>
            <w:pPr>
              <w:spacing w:after="0"/>
              <w:rPr>
                <w:sz w:val="3"/>
                <w:szCs w:val="3"/>
                <w:color w:val="auto"/>
              </w:rPr>
            </w:pPr>
          </w:p>
        </w:tc>
        <w:tc>
          <w:tcPr>
            <w:tcW w:w="880" w:type="dxa"/>
            <w:vAlign w:val="bottom"/>
            <w:shd w:val="clear" w:color="auto" w:fill="481F6E"/>
          </w:tcPr>
          <w:p>
            <w:pPr>
              <w:spacing w:after="0"/>
              <w:rPr>
                <w:sz w:val="3"/>
                <w:szCs w:val="3"/>
                <w:color w:val="auto"/>
              </w:rPr>
            </w:pPr>
          </w:p>
        </w:tc>
        <w:tc>
          <w:tcPr>
            <w:tcW w:w="800" w:type="dxa"/>
            <w:vAlign w:val="bottom"/>
            <w:shd w:val="clear" w:color="auto" w:fill="481F6E"/>
          </w:tcPr>
          <w:p>
            <w:pPr>
              <w:spacing w:after="0"/>
              <w:rPr>
                <w:sz w:val="3"/>
                <w:szCs w:val="3"/>
                <w:color w:val="auto"/>
              </w:rPr>
            </w:pPr>
          </w:p>
        </w:tc>
        <w:tc>
          <w:tcPr>
            <w:tcW w:w="1280" w:type="dxa"/>
            <w:vAlign w:val="bottom"/>
            <w:shd w:val="clear" w:color="auto" w:fill="481F6E"/>
          </w:tcPr>
          <w:p>
            <w:pPr>
              <w:spacing w:after="0"/>
              <w:rPr>
                <w:sz w:val="3"/>
                <w:szCs w:val="3"/>
                <w:color w:val="auto"/>
              </w:rPr>
            </w:pPr>
          </w:p>
        </w:tc>
        <w:tc>
          <w:tcPr>
            <w:tcW w:w="520" w:type="dxa"/>
            <w:vAlign w:val="bottom"/>
            <w:shd w:val="clear" w:color="auto" w:fill="481F6E"/>
          </w:tcPr>
          <w:p>
            <w:pPr>
              <w:spacing w:after="0"/>
              <w:rPr>
                <w:sz w:val="3"/>
                <w:szCs w:val="3"/>
                <w:color w:val="auto"/>
              </w:rPr>
            </w:pPr>
          </w:p>
        </w:tc>
        <w:tc>
          <w:tcPr>
            <w:tcW w:w="1040" w:type="dxa"/>
            <w:vAlign w:val="bottom"/>
            <w:shd w:val="clear" w:color="auto" w:fill="481F6E"/>
          </w:tcPr>
          <w:p>
            <w:pPr>
              <w:spacing w:after="0"/>
              <w:rPr>
                <w:sz w:val="3"/>
                <w:szCs w:val="3"/>
                <w:color w:val="auto"/>
              </w:rPr>
            </w:pPr>
          </w:p>
        </w:tc>
        <w:tc>
          <w:tcPr>
            <w:tcW w:w="900" w:type="dxa"/>
            <w:vAlign w:val="bottom"/>
            <w:shd w:val="clear" w:color="auto" w:fill="481F6E"/>
          </w:tcPr>
          <w:p>
            <w:pPr>
              <w:spacing w:after="0"/>
              <w:rPr>
                <w:sz w:val="3"/>
                <w:szCs w:val="3"/>
                <w:color w:val="auto"/>
              </w:rPr>
            </w:pPr>
          </w:p>
        </w:tc>
        <w:tc>
          <w:tcPr>
            <w:tcW w:w="540" w:type="dxa"/>
            <w:vAlign w:val="bottom"/>
            <w:shd w:val="clear" w:color="auto" w:fill="481F6E"/>
          </w:tcPr>
          <w:p>
            <w:pPr>
              <w:spacing w:after="0"/>
              <w:rPr>
                <w:sz w:val="3"/>
                <w:szCs w:val="3"/>
                <w:color w:val="auto"/>
              </w:rPr>
            </w:pPr>
          </w:p>
        </w:tc>
        <w:tc>
          <w:tcPr>
            <w:tcW w:w="860" w:type="dxa"/>
            <w:vAlign w:val="bottom"/>
            <w:vMerge w:val="continue"/>
            <w:shd w:val="clear" w:color="auto" w:fill="481F6E"/>
          </w:tcPr>
          <w:p>
            <w:pPr>
              <w:spacing w:after="0"/>
              <w:rPr>
                <w:sz w:val="3"/>
                <w:szCs w:val="3"/>
                <w:color w:val="auto"/>
              </w:rPr>
            </w:pPr>
          </w:p>
        </w:tc>
        <w:tc>
          <w:tcPr>
            <w:tcW w:w="1040" w:type="dxa"/>
            <w:vAlign w:val="bottom"/>
            <w:vMerge w:val="continue"/>
            <w:shd w:val="clear" w:color="auto" w:fill="481F6E"/>
          </w:tcPr>
          <w:p>
            <w:pPr>
              <w:spacing w:after="0"/>
              <w:rPr>
                <w:sz w:val="3"/>
                <w:szCs w:val="3"/>
                <w:color w:val="auto"/>
              </w:rPr>
            </w:pPr>
          </w:p>
        </w:tc>
        <w:tc>
          <w:tcPr>
            <w:tcW w:w="880" w:type="dxa"/>
            <w:vAlign w:val="bottom"/>
            <w:shd w:val="clear" w:color="auto" w:fill="481F6E"/>
          </w:tcPr>
          <w:p>
            <w:pPr>
              <w:spacing w:after="0"/>
              <w:rPr>
                <w:sz w:val="3"/>
                <w:szCs w:val="3"/>
                <w:color w:val="auto"/>
              </w:rPr>
            </w:pPr>
          </w:p>
        </w:tc>
        <w:tc>
          <w:tcPr>
            <w:tcW w:w="700" w:type="dxa"/>
            <w:vAlign w:val="bottom"/>
            <w:shd w:val="clear" w:color="auto" w:fill="481F6E"/>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92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880" w:type="dxa"/>
            <w:vAlign w:val="bottom"/>
            <w:shd w:val="clear" w:color="auto" w:fill="481F6E"/>
          </w:tcPr>
          <w:p>
            <w:pPr>
              <w:spacing w:after="0"/>
              <w:rPr>
                <w:sz w:val="9"/>
                <w:szCs w:val="9"/>
                <w:color w:val="auto"/>
              </w:rPr>
            </w:pPr>
          </w:p>
        </w:tc>
        <w:tc>
          <w:tcPr>
            <w:tcW w:w="800" w:type="dxa"/>
            <w:vAlign w:val="bottom"/>
            <w:shd w:val="clear" w:color="auto" w:fill="481F6E"/>
          </w:tcPr>
          <w:p>
            <w:pPr>
              <w:spacing w:after="0"/>
              <w:rPr>
                <w:sz w:val="9"/>
                <w:szCs w:val="9"/>
                <w:color w:val="auto"/>
              </w:rPr>
            </w:pPr>
          </w:p>
        </w:tc>
        <w:tc>
          <w:tcPr>
            <w:tcW w:w="1280" w:type="dxa"/>
            <w:vAlign w:val="bottom"/>
            <w:shd w:val="clear" w:color="auto" w:fill="481F6E"/>
          </w:tcPr>
          <w:p>
            <w:pPr>
              <w:spacing w:after="0"/>
              <w:rPr>
                <w:sz w:val="9"/>
                <w:szCs w:val="9"/>
                <w:color w:val="auto"/>
              </w:rPr>
            </w:pPr>
          </w:p>
        </w:tc>
        <w:tc>
          <w:tcPr>
            <w:tcW w:w="520" w:type="dxa"/>
            <w:vAlign w:val="bottom"/>
            <w:shd w:val="clear" w:color="auto" w:fill="481F6E"/>
          </w:tcPr>
          <w:p>
            <w:pPr>
              <w:spacing w:after="0"/>
              <w:rPr>
                <w:sz w:val="9"/>
                <w:szCs w:val="9"/>
                <w:color w:val="auto"/>
              </w:rPr>
            </w:pPr>
          </w:p>
        </w:tc>
        <w:tc>
          <w:tcPr>
            <w:tcW w:w="104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540" w:type="dxa"/>
            <w:vAlign w:val="bottom"/>
            <w:shd w:val="clear" w:color="auto" w:fill="481F6E"/>
          </w:tcPr>
          <w:p>
            <w:pPr>
              <w:spacing w:after="0"/>
              <w:rPr>
                <w:sz w:val="9"/>
                <w:szCs w:val="9"/>
                <w:color w:val="auto"/>
              </w:rPr>
            </w:pPr>
          </w:p>
        </w:tc>
        <w:tc>
          <w:tcPr>
            <w:tcW w:w="86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Stock</w:t>
            </w:r>
          </w:p>
        </w:tc>
        <w:tc>
          <w:tcPr>
            <w:tcW w:w="1040" w:type="dxa"/>
            <w:vAlign w:val="bottom"/>
            <w:shd w:val="clear" w:color="auto" w:fill="481F6E"/>
          </w:tcPr>
          <w:p>
            <w:pPr>
              <w:jc w:val="right"/>
              <w:ind w:right="132"/>
              <w:spacing w:after="0" w:line="108" w:lineRule="exact"/>
              <w:rPr>
                <w:sz w:val="20"/>
                <w:szCs w:val="20"/>
                <w:color w:val="auto"/>
              </w:rPr>
            </w:pPr>
            <w:r>
              <w:rPr>
                <w:rFonts w:ascii="Arial" w:cs="Arial" w:eastAsia="Arial" w:hAnsi="Arial"/>
                <w:sz w:val="10"/>
                <w:szCs w:val="10"/>
                <w:b w:val="1"/>
                <w:bCs w:val="1"/>
                <w:color w:val="FFFFFF"/>
              </w:rPr>
              <w:t>Option</w:t>
            </w:r>
          </w:p>
        </w:tc>
        <w:tc>
          <w:tcPr>
            <w:tcW w:w="880" w:type="dxa"/>
            <w:vAlign w:val="bottom"/>
            <w:shd w:val="clear" w:color="auto" w:fill="481F6E"/>
          </w:tcPr>
          <w:p>
            <w:pPr>
              <w:spacing w:after="0"/>
              <w:rPr>
                <w:sz w:val="9"/>
                <w:szCs w:val="9"/>
                <w:color w:val="auto"/>
              </w:rPr>
            </w:pPr>
          </w:p>
        </w:tc>
        <w:tc>
          <w:tcPr>
            <w:tcW w:w="700" w:type="dxa"/>
            <w:vAlign w:val="bottom"/>
            <w:shd w:val="clear" w:color="auto" w:fill="481F6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880" w:type="dxa"/>
            <w:vAlign w:val="bottom"/>
            <w:shd w:val="clear" w:color="auto" w:fill="481F6E"/>
          </w:tcPr>
          <w:p>
            <w:pPr>
              <w:spacing w:after="0"/>
              <w:rPr>
                <w:sz w:val="9"/>
                <w:szCs w:val="9"/>
                <w:color w:val="auto"/>
              </w:rPr>
            </w:pPr>
          </w:p>
        </w:tc>
        <w:tc>
          <w:tcPr>
            <w:tcW w:w="800" w:type="dxa"/>
            <w:vAlign w:val="bottom"/>
            <w:shd w:val="clear" w:color="auto" w:fill="481F6E"/>
          </w:tcPr>
          <w:p>
            <w:pPr>
              <w:spacing w:after="0"/>
              <w:rPr>
                <w:sz w:val="9"/>
                <w:szCs w:val="9"/>
                <w:color w:val="auto"/>
              </w:rPr>
            </w:pPr>
          </w:p>
        </w:tc>
        <w:tc>
          <w:tcPr>
            <w:tcW w:w="1280" w:type="dxa"/>
            <w:vAlign w:val="bottom"/>
            <w:shd w:val="clear" w:color="auto" w:fill="481F6E"/>
          </w:tcPr>
          <w:p>
            <w:pPr>
              <w:spacing w:after="0"/>
              <w:rPr>
                <w:sz w:val="9"/>
                <w:szCs w:val="9"/>
                <w:color w:val="auto"/>
              </w:rPr>
            </w:pPr>
          </w:p>
        </w:tc>
        <w:tc>
          <w:tcPr>
            <w:tcW w:w="520" w:type="dxa"/>
            <w:vAlign w:val="bottom"/>
            <w:shd w:val="clear" w:color="auto" w:fill="481F6E"/>
          </w:tcPr>
          <w:p>
            <w:pPr>
              <w:spacing w:after="0"/>
              <w:rPr>
                <w:sz w:val="9"/>
                <w:szCs w:val="9"/>
                <w:color w:val="auto"/>
              </w:rPr>
            </w:pPr>
          </w:p>
        </w:tc>
        <w:tc>
          <w:tcPr>
            <w:tcW w:w="104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540" w:type="dxa"/>
            <w:vAlign w:val="bottom"/>
            <w:shd w:val="clear" w:color="auto" w:fill="481F6E"/>
          </w:tcPr>
          <w:p>
            <w:pPr>
              <w:spacing w:after="0"/>
              <w:rPr>
                <w:sz w:val="9"/>
                <w:szCs w:val="9"/>
                <w:color w:val="auto"/>
              </w:rPr>
            </w:pPr>
          </w:p>
        </w:tc>
        <w:tc>
          <w:tcPr>
            <w:tcW w:w="86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Awards:</w:t>
            </w:r>
          </w:p>
        </w:tc>
        <w:tc>
          <w:tcPr>
            <w:tcW w:w="1040" w:type="dxa"/>
            <w:vAlign w:val="bottom"/>
            <w:shd w:val="clear" w:color="auto" w:fill="481F6E"/>
          </w:tcPr>
          <w:p>
            <w:pPr>
              <w:jc w:val="right"/>
              <w:ind w:right="132"/>
              <w:spacing w:after="0" w:line="108" w:lineRule="exact"/>
              <w:rPr>
                <w:sz w:val="20"/>
                <w:szCs w:val="20"/>
                <w:color w:val="auto"/>
              </w:rPr>
            </w:pPr>
            <w:r>
              <w:rPr>
                <w:rFonts w:ascii="Arial" w:cs="Arial" w:eastAsia="Arial" w:hAnsi="Arial"/>
                <w:sz w:val="10"/>
                <w:szCs w:val="10"/>
                <w:b w:val="1"/>
                <w:bCs w:val="1"/>
                <w:color w:val="FFFFFF"/>
              </w:rPr>
              <w:t>Awards:</w:t>
            </w:r>
          </w:p>
        </w:tc>
        <w:tc>
          <w:tcPr>
            <w:tcW w:w="880" w:type="dxa"/>
            <w:vAlign w:val="bottom"/>
            <w:shd w:val="clear" w:color="auto" w:fill="481F6E"/>
          </w:tcPr>
          <w:p>
            <w:pPr>
              <w:spacing w:after="0"/>
              <w:rPr>
                <w:sz w:val="9"/>
                <w:szCs w:val="9"/>
                <w:color w:val="auto"/>
              </w:rPr>
            </w:pPr>
          </w:p>
        </w:tc>
        <w:tc>
          <w:tcPr>
            <w:tcW w:w="70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Grant Date</w:t>
            </w:r>
          </w:p>
        </w:tc>
        <w:tc>
          <w:tcPr>
            <w:tcW w:w="0" w:type="dxa"/>
            <w:vAlign w:val="bottom"/>
          </w:tcPr>
          <w:p>
            <w:pPr>
              <w:spacing w:after="0"/>
              <w:rPr>
                <w:sz w:val="1"/>
                <w:szCs w:val="1"/>
                <w:color w:val="auto"/>
              </w:rPr>
            </w:pPr>
          </w:p>
        </w:tc>
      </w:tr>
      <w:tr>
        <w:trPr>
          <w:trHeight w:val="108"/>
        </w:trPr>
        <w:tc>
          <w:tcPr>
            <w:tcW w:w="92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880" w:type="dxa"/>
            <w:vAlign w:val="bottom"/>
            <w:shd w:val="clear" w:color="auto" w:fill="481F6E"/>
          </w:tcPr>
          <w:p>
            <w:pPr>
              <w:spacing w:after="0"/>
              <w:rPr>
                <w:sz w:val="9"/>
                <w:szCs w:val="9"/>
                <w:color w:val="auto"/>
              </w:rPr>
            </w:pPr>
          </w:p>
        </w:tc>
        <w:tc>
          <w:tcPr>
            <w:tcW w:w="800" w:type="dxa"/>
            <w:vAlign w:val="bottom"/>
            <w:shd w:val="clear" w:color="auto" w:fill="481F6E"/>
          </w:tcPr>
          <w:p>
            <w:pPr>
              <w:spacing w:after="0"/>
              <w:rPr>
                <w:sz w:val="9"/>
                <w:szCs w:val="9"/>
                <w:color w:val="auto"/>
              </w:rPr>
            </w:pPr>
          </w:p>
        </w:tc>
        <w:tc>
          <w:tcPr>
            <w:tcW w:w="1280" w:type="dxa"/>
            <w:vAlign w:val="bottom"/>
            <w:shd w:val="clear" w:color="auto" w:fill="481F6E"/>
          </w:tcPr>
          <w:p>
            <w:pPr>
              <w:spacing w:after="0"/>
              <w:rPr>
                <w:sz w:val="9"/>
                <w:szCs w:val="9"/>
                <w:color w:val="auto"/>
              </w:rPr>
            </w:pPr>
          </w:p>
        </w:tc>
        <w:tc>
          <w:tcPr>
            <w:tcW w:w="520" w:type="dxa"/>
            <w:vAlign w:val="bottom"/>
            <w:shd w:val="clear" w:color="auto" w:fill="481F6E"/>
          </w:tcPr>
          <w:p>
            <w:pPr>
              <w:spacing w:after="0"/>
              <w:rPr>
                <w:sz w:val="9"/>
                <w:szCs w:val="9"/>
                <w:color w:val="auto"/>
              </w:rPr>
            </w:pPr>
          </w:p>
        </w:tc>
        <w:tc>
          <w:tcPr>
            <w:tcW w:w="104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540" w:type="dxa"/>
            <w:vAlign w:val="bottom"/>
            <w:shd w:val="clear" w:color="auto" w:fill="481F6E"/>
          </w:tcPr>
          <w:p>
            <w:pPr>
              <w:spacing w:after="0"/>
              <w:rPr>
                <w:sz w:val="9"/>
                <w:szCs w:val="9"/>
                <w:color w:val="auto"/>
              </w:rPr>
            </w:pPr>
          </w:p>
        </w:tc>
        <w:tc>
          <w:tcPr>
            <w:tcW w:w="86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Number of</w:t>
            </w:r>
          </w:p>
        </w:tc>
        <w:tc>
          <w:tcPr>
            <w:tcW w:w="1040" w:type="dxa"/>
            <w:vAlign w:val="bottom"/>
            <w:shd w:val="clear" w:color="auto" w:fill="481F6E"/>
          </w:tcPr>
          <w:p>
            <w:pPr>
              <w:jc w:val="right"/>
              <w:ind w:right="132"/>
              <w:spacing w:after="0" w:line="108" w:lineRule="exact"/>
              <w:rPr>
                <w:sz w:val="20"/>
                <w:szCs w:val="20"/>
                <w:color w:val="auto"/>
              </w:rPr>
            </w:pPr>
            <w:r>
              <w:rPr>
                <w:rFonts w:ascii="Arial" w:cs="Arial" w:eastAsia="Arial" w:hAnsi="Arial"/>
                <w:sz w:val="10"/>
                <w:szCs w:val="10"/>
                <w:b w:val="1"/>
                <w:bCs w:val="1"/>
                <w:color w:val="FFFFFF"/>
              </w:rPr>
              <w:t>Number of</w:t>
            </w:r>
          </w:p>
        </w:tc>
        <w:tc>
          <w:tcPr>
            <w:tcW w:w="880" w:type="dxa"/>
            <w:vAlign w:val="bottom"/>
            <w:shd w:val="clear" w:color="auto" w:fill="481F6E"/>
          </w:tcPr>
          <w:p>
            <w:pPr>
              <w:jc w:val="right"/>
              <w:ind w:right="132"/>
              <w:spacing w:after="0" w:line="108" w:lineRule="exact"/>
              <w:rPr>
                <w:sz w:val="20"/>
                <w:szCs w:val="20"/>
                <w:color w:val="auto"/>
              </w:rPr>
            </w:pPr>
            <w:r>
              <w:rPr>
                <w:rFonts w:ascii="Arial" w:cs="Arial" w:eastAsia="Arial" w:hAnsi="Arial"/>
                <w:sz w:val="10"/>
                <w:szCs w:val="10"/>
                <w:b w:val="1"/>
                <w:bCs w:val="1"/>
                <w:color w:val="FFFFFF"/>
              </w:rPr>
              <w:t>Exercise or</w:t>
            </w:r>
          </w:p>
        </w:tc>
        <w:tc>
          <w:tcPr>
            <w:tcW w:w="70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Fair Value</w:t>
            </w:r>
          </w:p>
        </w:tc>
        <w:tc>
          <w:tcPr>
            <w:tcW w:w="0" w:type="dxa"/>
            <w:vAlign w:val="bottom"/>
          </w:tcPr>
          <w:p>
            <w:pPr>
              <w:spacing w:after="0"/>
              <w:rPr>
                <w:sz w:val="1"/>
                <w:szCs w:val="1"/>
                <w:color w:val="auto"/>
              </w:rPr>
            </w:pPr>
          </w:p>
        </w:tc>
      </w:tr>
      <w:tr>
        <w:trPr>
          <w:trHeight w:val="108"/>
        </w:trPr>
        <w:tc>
          <w:tcPr>
            <w:tcW w:w="92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880" w:type="dxa"/>
            <w:vAlign w:val="bottom"/>
            <w:shd w:val="clear" w:color="auto" w:fill="481F6E"/>
          </w:tcPr>
          <w:p>
            <w:pPr>
              <w:spacing w:after="0"/>
              <w:rPr>
                <w:sz w:val="9"/>
                <w:szCs w:val="9"/>
                <w:color w:val="auto"/>
              </w:rPr>
            </w:pPr>
          </w:p>
        </w:tc>
        <w:tc>
          <w:tcPr>
            <w:tcW w:w="800" w:type="dxa"/>
            <w:vAlign w:val="bottom"/>
            <w:shd w:val="clear" w:color="auto" w:fill="481F6E"/>
          </w:tcPr>
          <w:p>
            <w:pPr>
              <w:spacing w:after="0"/>
              <w:rPr>
                <w:sz w:val="9"/>
                <w:szCs w:val="9"/>
                <w:color w:val="auto"/>
              </w:rPr>
            </w:pPr>
          </w:p>
        </w:tc>
        <w:tc>
          <w:tcPr>
            <w:tcW w:w="1280" w:type="dxa"/>
            <w:vAlign w:val="bottom"/>
            <w:shd w:val="clear" w:color="auto" w:fill="481F6E"/>
          </w:tcPr>
          <w:p>
            <w:pPr>
              <w:spacing w:after="0"/>
              <w:rPr>
                <w:sz w:val="9"/>
                <w:szCs w:val="9"/>
                <w:color w:val="auto"/>
              </w:rPr>
            </w:pPr>
          </w:p>
        </w:tc>
        <w:tc>
          <w:tcPr>
            <w:tcW w:w="520" w:type="dxa"/>
            <w:vAlign w:val="bottom"/>
            <w:shd w:val="clear" w:color="auto" w:fill="481F6E"/>
          </w:tcPr>
          <w:p>
            <w:pPr>
              <w:spacing w:after="0"/>
              <w:rPr>
                <w:sz w:val="9"/>
                <w:szCs w:val="9"/>
                <w:color w:val="auto"/>
              </w:rPr>
            </w:pPr>
          </w:p>
        </w:tc>
        <w:tc>
          <w:tcPr>
            <w:tcW w:w="104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540" w:type="dxa"/>
            <w:vAlign w:val="bottom"/>
            <w:shd w:val="clear" w:color="auto" w:fill="481F6E"/>
          </w:tcPr>
          <w:p>
            <w:pPr>
              <w:spacing w:after="0"/>
              <w:rPr>
                <w:sz w:val="9"/>
                <w:szCs w:val="9"/>
                <w:color w:val="auto"/>
              </w:rPr>
            </w:pPr>
          </w:p>
        </w:tc>
        <w:tc>
          <w:tcPr>
            <w:tcW w:w="86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Shares of</w:t>
            </w:r>
          </w:p>
        </w:tc>
        <w:tc>
          <w:tcPr>
            <w:tcW w:w="1040" w:type="dxa"/>
            <w:vAlign w:val="bottom"/>
            <w:shd w:val="clear" w:color="auto" w:fill="481F6E"/>
          </w:tcPr>
          <w:p>
            <w:pPr>
              <w:jc w:val="right"/>
              <w:ind w:right="132"/>
              <w:spacing w:after="0" w:line="108" w:lineRule="exact"/>
              <w:rPr>
                <w:sz w:val="20"/>
                <w:szCs w:val="20"/>
                <w:color w:val="auto"/>
              </w:rPr>
            </w:pPr>
            <w:r>
              <w:rPr>
                <w:rFonts w:ascii="Arial" w:cs="Arial" w:eastAsia="Arial" w:hAnsi="Arial"/>
                <w:sz w:val="10"/>
                <w:szCs w:val="10"/>
                <w:b w:val="1"/>
                <w:bCs w:val="1"/>
                <w:color w:val="FFFFFF"/>
              </w:rPr>
              <w:t>Securities</w:t>
            </w:r>
          </w:p>
        </w:tc>
        <w:tc>
          <w:tcPr>
            <w:tcW w:w="880" w:type="dxa"/>
            <w:vAlign w:val="bottom"/>
            <w:shd w:val="clear" w:color="auto" w:fill="481F6E"/>
          </w:tcPr>
          <w:p>
            <w:pPr>
              <w:jc w:val="right"/>
              <w:ind w:right="132"/>
              <w:spacing w:after="0" w:line="108" w:lineRule="exact"/>
              <w:rPr>
                <w:sz w:val="20"/>
                <w:szCs w:val="20"/>
                <w:color w:val="auto"/>
              </w:rPr>
            </w:pPr>
            <w:r>
              <w:rPr>
                <w:rFonts w:ascii="Arial" w:cs="Arial" w:eastAsia="Arial" w:hAnsi="Arial"/>
                <w:sz w:val="10"/>
                <w:szCs w:val="10"/>
                <w:b w:val="1"/>
                <w:bCs w:val="1"/>
                <w:color w:val="FFFFFF"/>
              </w:rPr>
              <w:t>Base Price</w:t>
            </w:r>
          </w:p>
        </w:tc>
        <w:tc>
          <w:tcPr>
            <w:tcW w:w="70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of Stock</w:t>
            </w:r>
          </w:p>
        </w:tc>
        <w:tc>
          <w:tcPr>
            <w:tcW w:w="0" w:type="dxa"/>
            <w:vAlign w:val="bottom"/>
          </w:tcPr>
          <w:p>
            <w:pPr>
              <w:spacing w:after="0"/>
              <w:rPr>
                <w:sz w:val="1"/>
                <w:szCs w:val="1"/>
                <w:color w:val="auto"/>
              </w:rPr>
            </w:pPr>
          </w:p>
        </w:tc>
      </w:tr>
      <w:tr>
        <w:trPr>
          <w:trHeight w:val="108"/>
        </w:trPr>
        <w:tc>
          <w:tcPr>
            <w:tcW w:w="92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880" w:type="dxa"/>
            <w:vAlign w:val="bottom"/>
            <w:shd w:val="clear" w:color="auto" w:fill="481F6E"/>
          </w:tcPr>
          <w:p>
            <w:pPr>
              <w:spacing w:after="0"/>
              <w:rPr>
                <w:sz w:val="9"/>
                <w:szCs w:val="9"/>
                <w:color w:val="auto"/>
              </w:rPr>
            </w:pPr>
          </w:p>
        </w:tc>
        <w:tc>
          <w:tcPr>
            <w:tcW w:w="800" w:type="dxa"/>
            <w:vAlign w:val="bottom"/>
            <w:shd w:val="clear" w:color="auto" w:fill="481F6E"/>
          </w:tcPr>
          <w:p>
            <w:pPr>
              <w:spacing w:after="0"/>
              <w:rPr>
                <w:sz w:val="9"/>
                <w:szCs w:val="9"/>
                <w:color w:val="auto"/>
              </w:rPr>
            </w:pPr>
          </w:p>
        </w:tc>
        <w:tc>
          <w:tcPr>
            <w:tcW w:w="1280" w:type="dxa"/>
            <w:vAlign w:val="bottom"/>
            <w:shd w:val="clear" w:color="auto" w:fill="481F6E"/>
          </w:tcPr>
          <w:p>
            <w:pPr>
              <w:spacing w:after="0"/>
              <w:rPr>
                <w:sz w:val="9"/>
                <w:szCs w:val="9"/>
                <w:color w:val="auto"/>
              </w:rPr>
            </w:pPr>
          </w:p>
        </w:tc>
        <w:tc>
          <w:tcPr>
            <w:tcW w:w="520" w:type="dxa"/>
            <w:vAlign w:val="bottom"/>
            <w:shd w:val="clear" w:color="auto" w:fill="481F6E"/>
          </w:tcPr>
          <w:p>
            <w:pPr>
              <w:spacing w:after="0"/>
              <w:rPr>
                <w:sz w:val="9"/>
                <w:szCs w:val="9"/>
                <w:color w:val="auto"/>
              </w:rPr>
            </w:pPr>
          </w:p>
        </w:tc>
        <w:tc>
          <w:tcPr>
            <w:tcW w:w="104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540" w:type="dxa"/>
            <w:vAlign w:val="bottom"/>
            <w:shd w:val="clear" w:color="auto" w:fill="481F6E"/>
          </w:tcPr>
          <w:p>
            <w:pPr>
              <w:spacing w:after="0"/>
              <w:rPr>
                <w:sz w:val="9"/>
                <w:szCs w:val="9"/>
                <w:color w:val="auto"/>
              </w:rPr>
            </w:pPr>
          </w:p>
        </w:tc>
        <w:tc>
          <w:tcPr>
            <w:tcW w:w="86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Stock or</w:t>
            </w:r>
          </w:p>
        </w:tc>
        <w:tc>
          <w:tcPr>
            <w:tcW w:w="1040" w:type="dxa"/>
            <w:vAlign w:val="bottom"/>
            <w:shd w:val="clear" w:color="auto" w:fill="481F6E"/>
          </w:tcPr>
          <w:p>
            <w:pPr>
              <w:jc w:val="right"/>
              <w:ind w:right="132"/>
              <w:spacing w:after="0" w:line="108" w:lineRule="exact"/>
              <w:rPr>
                <w:sz w:val="20"/>
                <w:szCs w:val="20"/>
                <w:color w:val="auto"/>
              </w:rPr>
            </w:pPr>
            <w:r>
              <w:rPr>
                <w:rFonts w:ascii="Arial" w:cs="Arial" w:eastAsia="Arial" w:hAnsi="Arial"/>
                <w:sz w:val="10"/>
                <w:szCs w:val="10"/>
                <w:b w:val="1"/>
                <w:bCs w:val="1"/>
                <w:color w:val="FFFFFF"/>
              </w:rPr>
              <w:t>Underlying</w:t>
            </w:r>
          </w:p>
        </w:tc>
        <w:tc>
          <w:tcPr>
            <w:tcW w:w="880" w:type="dxa"/>
            <w:vAlign w:val="bottom"/>
            <w:shd w:val="clear" w:color="auto" w:fill="481F6E"/>
          </w:tcPr>
          <w:p>
            <w:pPr>
              <w:jc w:val="right"/>
              <w:ind w:right="132"/>
              <w:spacing w:after="0" w:line="108" w:lineRule="exact"/>
              <w:rPr>
                <w:sz w:val="20"/>
                <w:szCs w:val="20"/>
                <w:color w:val="auto"/>
              </w:rPr>
            </w:pPr>
            <w:r>
              <w:rPr>
                <w:rFonts w:ascii="Arial" w:cs="Arial" w:eastAsia="Arial" w:hAnsi="Arial"/>
                <w:sz w:val="10"/>
                <w:szCs w:val="10"/>
                <w:b w:val="1"/>
                <w:bCs w:val="1"/>
                <w:color w:val="FFFFFF"/>
              </w:rPr>
              <w:t>of Option</w:t>
            </w:r>
          </w:p>
        </w:tc>
        <w:tc>
          <w:tcPr>
            <w:tcW w:w="70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and Option</w:t>
            </w:r>
          </w:p>
        </w:tc>
        <w:tc>
          <w:tcPr>
            <w:tcW w:w="0" w:type="dxa"/>
            <w:vAlign w:val="bottom"/>
          </w:tcPr>
          <w:p>
            <w:pPr>
              <w:spacing w:after="0"/>
              <w:rPr>
                <w:sz w:val="1"/>
                <w:szCs w:val="1"/>
                <w:color w:val="auto"/>
              </w:rPr>
            </w:pPr>
          </w:p>
        </w:tc>
      </w:tr>
      <w:tr>
        <w:trPr>
          <w:trHeight w:val="124"/>
        </w:trPr>
        <w:tc>
          <w:tcPr>
            <w:tcW w:w="920" w:type="dxa"/>
            <w:vAlign w:val="bottom"/>
            <w:shd w:val="clear" w:color="auto" w:fill="481F6E"/>
          </w:tcPr>
          <w:p>
            <w:pPr>
              <w:spacing w:after="0"/>
              <w:rPr>
                <w:sz w:val="10"/>
                <w:szCs w:val="10"/>
                <w:color w:val="auto"/>
              </w:rPr>
            </w:pPr>
          </w:p>
        </w:tc>
        <w:tc>
          <w:tcPr>
            <w:tcW w:w="900" w:type="dxa"/>
            <w:vAlign w:val="bottom"/>
            <w:shd w:val="clear" w:color="auto" w:fill="481F6E"/>
          </w:tcPr>
          <w:p>
            <w:pPr>
              <w:spacing w:after="0"/>
              <w:rPr>
                <w:sz w:val="10"/>
                <w:szCs w:val="10"/>
                <w:color w:val="auto"/>
              </w:rPr>
            </w:pPr>
          </w:p>
        </w:tc>
        <w:tc>
          <w:tcPr>
            <w:tcW w:w="880" w:type="dxa"/>
            <w:vAlign w:val="bottom"/>
            <w:shd w:val="clear" w:color="auto" w:fill="481F6E"/>
          </w:tcPr>
          <w:p>
            <w:pPr>
              <w:spacing w:after="0"/>
              <w:rPr>
                <w:sz w:val="10"/>
                <w:szCs w:val="10"/>
                <w:color w:val="auto"/>
              </w:rPr>
            </w:pPr>
          </w:p>
        </w:tc>
        <w:tc>
          <w:tcPr>
            <w:tcW w:w="800" w:type="dxa"/>
            <w:vAlign w:val="bottom"/>
            <w:shd w:val="clear" w:color="auto" w:fill="481F6E"/>
          </w:tcPr>
          <w:p>
            <w:pPr>
              <w:jc w:val="right"/>
              <w:spacing w:after="0"/>
              <w:rPr>
                <w:sz w:val="20"/>
                <w:szCs w:val="20"/>
                <w:color w:val="auto"/>
              </w:rPr>
            </w:pPr>
            <w:r>
              <w:rPr>
                <w:rFonts w:ascii="Arial" w:cs="Arial" w:eastAsia="Arial" w:hAnsi="Arial"/>
                <w:sz w:val="10"/>
                <w:szCs w:val="10"/>
                <w:b w:val="1"/>
                <w:bCs w:val="1"/>
                <w:color w:val="FFFFFF"/>
              </w:rPr>
              <w:t>Threshold</w:t>
            </w:r>
          </w:p>
        </w:tc>
        <w:tc>
          <w:tcPr>
            <w:tcW w:w="1280" w:type="dxa"/>
            <w:vAlign w:val="bottom"/>
            <w:shd w:val="clear" w:color="auto" w:fill="481F6E"/>
          </w:tcPr>
          <w:p>
            <w:pPr>
              <w:jc w:val="right"/>
              <w:ind w:right="372"/>
              <w:spacing w:after="0"/>
              <w:rPr>
                <w:sz w:val="20"/>
                <w:szCs w:val="20"/>
                <w:color w:val="auto"/>
              </w:rPr>
            </w:pPr>
            <w:r>
              <w:rPr>
                <w:rFonts w:ascii="Arial" w:cs="Arial" w:eastAsia="Arial" w:hAnsi="Arial"/>
                <w:sz w:val="10"/>
                <w:szCs w:val="10"/>
                <w:b w:val="1"/>
                <w:bCs w:val="1"/>
                <w:color w:val="FFFFFF"/>
              </w:rPr>
              <w:t>Target</w:t>
            </w:r>
          </w:p>
        </w:tc>
        <w:tc>
          <w:tcPr>
            <w:tcW w:w="520" w:type="dxa"/>
            <w:vAlign w:val="bottom"/>
            <w:shd w:val="clear" w:color="auto" w:fill="481F6E"/>
          </w:tcPr>
          <w:p>
            <w:pPr>
              <w:jc w:val="right"/>
              <w:ind w:right="32"/>
              <w:spacing w:after="0"/>
              <w:rPr>
                <w:sz w:val="20"/>
                <w:szCs w:val="20"/>
                <w:color w:val="auto"/>
              </w:rPr>
            </w:pPr>
            <w:r>
              <w:rPr>
                <w:rFonts w:ascii="Arial" w:cs="Arial" w:eastAsia="Arial" w:hAnsi="Arial"/>
                <w:sz w:val="10"/>
                <w:szCs w:val="10"/>
                <w:b w:val="1"/>
                <w:bCs w:val="1"/>
                <w:color w:val="FFFFFF"/>
                <w:w w:val="90"/>
              </w:rPr>
              <w:t>Maximum</w:t>
            </w:r>
          </w:p>
        </w:tc>
        <w:tc>
          <w:tcPr>
            <w:tcW w:w="1040" w:type="dxa"/>
            <w:vAlign w:val="bottom"/>
            <w:shd w:val="clear" w:color="auto" w:fill="481F6E"/>
          </w:tcPr>
          <w:p>
            <w:pPr>
              <w:jc w:val="right"/>
              <w:ind w:right="172"/>
              <w:spacing w:after="0"/>
              <w:rPr>
                <w:sz w:val="20"/>
                <w:szCs w:val="20"/>
                <w:color w:val="auto"/>
              </w:rPr>
            </w:pPr>
            <w:r>
              <w:rPr>
                <w:rFonts w:ascii="Arial" w:cs="Arial" w:eastAsia="Arial" w:hAnsi="Arial"/>
                <w:sz w:val="10"/>
                <w:szCs w:val="10"/>
                <w:b w:val="1"/>
                <w:bCs w:val="1"/>
                <w:color w:val="FFFFFF"/>
              </w:rPr>
              <w:t>Threshold</w:t>
            </w:r>
          </w:p>
        </w:tc>
        <w:tc>
          <w:tcPr>
            <w:tcW w:w="900" w:type="dxa"/>
            <w:vAlign w:val="bottom"/>
            <w:shd w:val="clear" w:color="auto" w:fill="481F6E"/>
          </w:tcPr>
          <w:p>
            <w:pPr>
              <w:jc w:val="right"/>
              <w:ind w:right="272"/>
              <w:spacing w:after="0"/>
              <w:rPr>
                <w:sz w:val="20"/>
                <w:szCs w:val="20"/>
                <w:color w:val="auto"/>
              </w:rPr>
            </w:pPr>
            <w:r>
              <w:rPr>
                <w:rFonts w:ascii="Arial" w:cs="Arial" w:eastAsia="Arial" w:hAnsi="Arial"/>
                <w:sz w:val="10"/>
                <w:szCs w:val="10"/>
                <w:b w:val="1"/>
                <w:bCs w:val="1"/>
                <w:color w:val="FFFFFF"/>
              </w:rPr>
              <w:t>Target</w:t>
            </w:r>
          </w:p>
        </w:tc>
        <w:tc>
          <w:tcPr>
            <w:tcW w:w="540" w:type="dxa"/>
            <w:vAlign w:val="bottom"/>
            <w:shd w:val="clear" w:color="auto" w:fill="481F6E"/>
          </w:tcPr>
          <w:p>
            <w:pPr>
              <w:jc w:val="right"/>
              <w:spacing w:after="0"/>
              <w:rPr>
                <w:sz w:val="20"/>
                <w:szCs w:val="20"/>
                <w:color w:val="auto"/>
              </w:rPr>
            </w:pPr>
            <w:r>
              <w:rPr>
                <w:rFonts w:ascii="Arial" w:cs="Arial" w:eastAsia="Arial" w:hAnsi="Arial"/>
                <w:sz w:val="10"/>
                <w:szCs w:val="10"/>
                <w:b w:val="1"/>
                <w:bCs w:val="1"/>
                <w:color w:val="FFFFFF"/>
              </w:rPr>
              <w:t>Maximum</w:t>
            </w:r>
          </w:p>
        </w:tc>
        <w:tc>
          <w:tcPr>
            <w:tcW w:w="860" w:type="dxa"/>
            <w:vAlign w:val="bottom"/>
            <w:shd w:val="clear" w:color="auto" w:fill="481F6E"/>
          </w:tcPr>
          <w:p>
            <w:pPr>
              <w:jc w:val="right"/>
              <w:spacing w:after="0"/>
              <w:rPr>
                <w:sz w:val="20"/>
                <w:szCs w:val="20"/>
                <w:color w:val="auto"/>
              </w:rPr>
            </w:pPr>
            <w:r>
              <w:rPr>
                <w:rFonts w:ascii="Arial" w:cs="Arial" w:eastAsia="Arial" w:hAnsi="Arial"/>
                <w:sz w:val="10"/>
                <w:szCs w:val="10"/>
                <w:b w:val="1"/>
                <w:bCs w:val="1"/>
                <w:color w:val="FFFFFF"/>
              </w:rPr>
              <w:t>Units</w:t>
            </w:r>
          </w:p>
        </w:tc>
        <w:tc>
          <w:tcPr>
            <w:tcW w:w="1040" w:type="dxa"/>
            <w:vAlign w:val="bottom"/>
            <w:shd w:val="clear" w:color="auto" w:fill="481F6E"/>
          </w:tcPr>
          <w:p>
            <w:pPr>
              <w:jc w:val="right"/>
              <w:ind w:right="132"/>
              <w:spacing w:after="0"/>
              <w:rPr>
                <w:sz w:val="20"/>
                <w:szCs w:val="20"/>
                <w:color w:val="auto"/>
              </w:rPr>
            </w:pPr>
            <w:r>
              <w:rPr>
                <w:rFonts w:ascii="Arial" w:cs="Arial" w:eastAsia="Arial" w:hAnsi="Arial"/>
                <w:sz w:val="10"/>
                <w:szCs w:val="10"/>
                <w:b w:val="1"/>
                <w:bCs w:val="1"/>
                <w:color w:val="FFFFFF"/>
              </w:rPr>
              <w:t>Options</w:t>
            </w:r>
          </w:p>
        </w:tc>
        <w:tc>
          <w:tcPr>
            <w:tcW w:w="880" w:type="dxa"/>
            <w:vAlign w:val="bottom"/>
            <w:shd w:val="clear" w:color="auto" w:fill="481F6E"/>
          </w:tcPr>
          <w:p>
            <w:pPr>
              <w:jc w:val="right"/>
              <w:ind w:right="132"/>
              <w:spacing w:after="0"/>
              <w:rPr>
                <w:sz w:val="20"/>
                <w:szCs w:val="20"/>
                <w:color w:val="auto"/>
              </w:rPr>
            </w:pPr>
            <w:r>
              <w:rPr>
                <w:rFonts w:ascii="Arial" w:cs="Arial" w:eastAsia="Arial" w:hAnsi="Arial"/>
                <w:sz w:val="10"/>
                <w:szCs w:val="10"/>
                <w:b w:val="1"/>
                <w:bCs w:val="1"/>
                <w:color w:val="FFFFFF"/>
              </w:rPr>
              <w:t>Awards</w:t>
            </w:r>
          </w:p>
        </w:tc>
        <w:tc>
          <w:tcPr>
            <w:tcW w:w="700" w:type="dxa"/>
            <w:vAlign w:val="bottom"/>
            <w:shd w:val="clear" w:color="auto" w:fill="481F6E"/>
          </w:tcPr>
          <w:p>
            <w:pPr>
              <w:jc w:val="right"/>
              <w:spacing w:after="0"/>
              <w:rPr>
                <w:sz w:val="20"/>
                <w:szCs w:val="20"/>
                <w:color w:val="auto"/>
              </w:rPr>
            </w:pPr>
            <w:r>
              <w:rPr>
                <w:rFonts w:ascii="Arial" w:cs="Arial" w:eastAsia="Arial" w:hAnsi="Arial"/>
                <w:sz w:val="10"/>
                <w:szCs w:val="10"/>
                <w:b w:val="1"/>
                <w:bCs w:val="1"/>
                <w:color w:val="FFFFFF"/>
              </w:rPr>
              <w:t>Awards</w:t>
            </w:r>
          </w:p>
        </w:tc>
        <w:tc>
          <w:tcPr>
            <w:tcW w:w="0" w:type="dxa"/>
            <w:vAlign w:val="bottom"/>
          </w:tcPr>
          <w:p>
            <w:pPr>
              <w:spacing w:after="0"/>
              <w:rPr>
                <w:sz w:val="1"/>
                <w:szCs w:val="1"/>
                <w:color w:val="auto"/>
              </w:rPr>
            </w:pPr>
          </w:p>
        </w:tc>
      </w:tr>
      <w:tr>
        <w:trPr>
          <w:trHeight w:val="142"/>
        </w:trPr>
        <w:tc>
          <w:tcPr>
            <w:tcW w:w="920" w:type="dxa"/>
            <w:vAlign w:val="bottom"/>
            <w:shd w:val="clear" w:color="auto" w:fill="481F6E"/>
          </w:tcPr>
          <w:p>
            <w:pPr>
              <w:ind w:left="60"/>
              <w:spacing w:after="0"/>
              <w:rPr>
                <w:sz w:val="20"/>
                <w:szCs w:val="20"/>
                <w:color w:val="auto"/>
              </w:rPr>
            </w:pPr>
            <w:r>
              <w:rPr>
                <w:rFonts w:ascii="Arial" w:cs="Arial" w:eastAsia="Arial" w:hAnsi="Arial"/>
                <w:sz w:val="10"/>
                <w:szCs w:val="10"/>
                <w:b w:val="1"/>
                <w:bCs w:val="1"/>
                <w:color w:val="FFFFFF"/>
              </w:rPr>
              <w:t>Name</w:t>
            </w:r>
          </w:p>
        </w:tc>
        <w:tc>
          <w:tcPr>
            <w:tcW w:w="900" w:type="dxa"/>
            <w:vAlign w:val="bottom"/>
            <w:shd w:val="clear" w:color="auto" w:fill="481F6E"/>
          </w:tcPr>
          <w:p>
            <w:pPr>
              <w:ind w:left="60"/>
              <w:spacing w:after="0"/>
              <w:rPr>
                <w:sz w:val="20"/>
                <w:szCs w:val="20"/>
                <w:color w:val="auto"/>
              </w:rPr>
            </w:pPr>
            <w:r>
              <w:rPr>
                <w:rFonts w:ascii="Arial" w:cs="Arial" w:eastAsia="Arial" w:hAnsi="Arial"/>
                <w:sz w:val="10"/>
                <w:szCs w:val="10"/>
                <w:b w:val="1"/>
                <w:bCs w:val="1"/>
                <w:color w:val="FFFFFF"/>
              </w:rPr>
              <w:t>Award Type</w:t>
            </w:r>
            <w:r>
              <w:rPr>
                <w:rFonts w:ascii="Arial" w:cs="Arial" w:eastAsia="Arial" w:hAnsi="Arial"/>
                <w:sz w:val="7"/>
                <w:szCs w:val="7"/>
                <w:b w:val="1"/>
                <w:bCs w:val="1"/>
                <w:color w:val="FFFFFF"/>
              </w:rPr>
              <w:t>1</w:t>
            </w:r>
          </w:p>
        </w:tc>
        <w:tc>
          <w:tcPr>
            <w:tcW w:w="880" w:type="dxa"/>
            <w:vAlign w:val="bottom"/>
            <w:shd w:val="clear" w:color="auto" w:fill="481F6E"/>
          </w:tcPr>
          <w:p>
            <w:pPr>
              <w:jc w:val="right"/>
              <w:ind w:right="112"/>
              <w:spacing w:after="0"/>
              <w:rPr>
                <w:sz w:val="20"/>
                <w:szCs w:val="20"/>
                <w:color w:val="auto"/>
              </w:rPr>
            </w:pPr>
            <w:r>
              <w:rPr>
                <w:rFonts w:ascii="Arial" w:cs="Arial" w:eastAsia="Arial" w:hAnsi="Arial"/>
                <w:sz w:val="10"/>
                <w:szCs w:val="10"/>
                <w:b w:val="1"/>
                <w:bCs w:val="1"/>
                <w:color w:val="FFFFFF"/>
              </w:rPr>
              <w:t>Grant Date</w:t>
            </w:r>
          </w:p>
        </w:tc>
        <w:tc>
          <w:tcPr>
            <w:tcW w:w="800" w:type="dxa"/>
            <w:vAlign w:val="bottom"/>
            <w:shd w:val="clear" w:color="auto" w:fill="481F6E"/>
          </w:tcPr>
          <w:p>
            <w:pPr>
              <w:jc w:val="right"/>
              <w:ind w:right="32"/>
              <w:spacing w:after="0"/>
              <w:rPr>
                <w:sz w:val="20"/>
                <w:szCs w:val="20"/>
                <w:color w:val="auto"/>
              </w:rPr>
            </w:pPr>
            <w:r>
              <w:rPr>
                <w:rFonts w:ascii="Arial" w:cs="Arial" w:eastAsia="Arial" w:hAnsi="Arial"/>
                <w:sz w:val="10"/>
                <w:szCs w:val="10"/>
                <w:b w:val="1"/>
                <w:bCs w:val="1"/>
                <w:color w:val="FFFFFF"/>
              </w:rPr>
              <w:t>($)</w:t>
            </w:r>
          </w:p>
        </w:tc>
        <w:tc>
          <w:tcPr>
            <w:tcW w:w="1280" w:type="dxa"/>
            <w:vAlign w:val="bottom"/>
            <w:shd w:val="clear" w:color="auto" w:fill="481F6E"/>
          </w:tcPr>
          <w:p>
            <w:pPr>
              <w:jc w:val="right"/>
              <w:ind w:right="432"/>
              <w:spacing w:after="0" w:line="142" w:lineRule="exact"/>
              <w:rPr>
                <w:sz w:val="20"/>
                <w:szCs w:val="20"/>
                <w:color w:val="auto"/>
              </w:rPr>
            </w:pPr>
            <w:r>
              <w:rPr>
                <w:rFonts w:ascii="Arial" w:cs="Arial" w:eastAsia="Arial" w:hAnsi="Arial"/>
                <w:sz w:val="10"/>
                <w:szCs w:val="10"/>
                <w:b w:val="1"/>
                <w:bCs w:val="1"/>
                <w:color w:val="FFFFFF"/>
              </w:rPr>
              <w:t>($)</w:t>
            </w:r>
            <w:r>
              <w:rPr>
                <w:rFonts w:ascii="Arial" w:cs="Arial" w:eastAsia="Arial" w:hAnsi="Arial"/>
                <w:sz w:val="13"/>
                <w:szCs w:val="13"/>
                <w:b w:val="1"/>
                <w:bCs w:val="1"/>
                <w:color w:val="FFFFFF"/>
                <w:vertAlign w:val="superscript"/>
              </w:rPr>
              <w:t>2</w:t>
            </w:r>
          </w:p>
        </w:tc>
        <w:tc>
          <w:tcPr>
            <w:tcW w:w="520" w:type="dxa"/>
            <w:vAlign w:val="bottom"/>
            <w:shd w:val="clear" w:color="auto" w:fill="481F6E"/>
          </w:tcPr>
          <w:p>
            <w:pPr>
              <w:jc w:val="right"/>
              <w:ind w:right="92"/>
              <w:spacing w:after="0"/>
              <w:rPr>
                <w:sz w:val="20"/>
                <w:szCs w:val="20"/>
                <w:color w:val="auto"/>
              </w:rPr>
            </w:pPr>
            <w:r>
              <w:rPr>
                <w:rFonts w:ascii="Arial" w:cs="Arial" w:eastAsia="Arial" w:hAnsi="Arial"/>
                <w:sz w:val="10"/>
                <w:szCs w:val="10"/>
                <w:b w:val="1"/>
                <w:bCs w:val="1"/>
                <w:color w:val="FFFFFF"/>
              </w:rPr>
              <w:t>($)</w:t>
            </w:r>
          </w:p>
        </w:tc>
        <w:tc>
          <w:tcPr>
            <w:tcW w:w="1040" w:type="dxa"/>
            <w:vAlign w:val="bottom"/>
            <w:shd w:val="clear" w:color="auto" w:fill="481F6E"/>
          </w:tcPr>
          <w:p>
            <w:pPr>
              <w:jc w:val="right"/>
              <w:ind w:right="272"/>
              <w:spacing w:after="0"/>
              <w:rPr>
                <w:sz w:val="20"/>
                <w:szCs w:val="20"/>
                <w:color w:val="auto"/>
              </w:rPr>
            </w:pPr>
            <w:r>
              <w:rPr>
                <w:rFonts w:ascii="Arial" w:cs="Arial" w:eastAsia="Arial" w:hAnsi="Arial"/>
                <w:sz w:val="10"/>
                <w:szCs w:val="10"/>
                <w:b w:val="1"/>
                <w:bCs w:val="1"/>
                <w:color w:val="FFFFFF"/>
              </w:rPr>
              <w:t>(#)</w:t>
            </w:r>
          </w:p>
        </w:tc>
        <w:tc>
          <w:tcPr>
            <w:tcW w:w="900" w:type="dxa"/>
            <w:vAlign w:val="bottom"/>
            <w:shd w:val="clear" w:color="auto" w:fill="481F6E"/>
          </w:tcPr>
          <w:p>
            <w:pPr>
              <w:jc w:val="right"/>
              <w:ind w:right="352"/>
              <w:spacing w:after="0"/>
              <w:rPr>
                <w:sz w:val="20"/>
                <w:szCs w:val="20"/>
                <w:color w:val="auto"/>
              </w:rPr>
            </w:pPr>
            <w:r>
              <w:rPr>
                <w:rFonts w:ascii="Arial" w:cs="Arial" w:eastAsia="Arial" w:hAnsi="Arial"/>
                <w:sz w:val="10"/>
                <w:szCs w:val="10"/>
                <w:b w:val="1"/>
                <w:bCs w:val="1"/>
                <w:color w:val="FFFFFF"/>
              </w:rPr>
              <w:t>(#)</w:t>
            </w:r>
          </w:p>
        </w:tc>
        <w:tc>
          <w:tcPr>
            <w:tcW w:w="540" w:type="dxa"/>
            <w:vAlign w:val="bottom"/>
            <w:shd w:val="clear" w:color="auto" w:fill="481F6E"/>
          </w:tcPr>
          <w:p>
            <w:pPr>
              <w:jc w:val="right"/>
              <w:ind w:right="32"/>
              <w:spacing w:after="0"/>
              <w:rPr>
                <w:sz w:val="20"/>
                <w:szCs w:val="20"/>
                <w:color w:val="auto"/>
              </w:rPr>
            </w:pPr>
            <w:r>
              <w:rPr>
                <w:rFonts w:ascii="Arial" w:cs="Arial" w:eastAsia="Arial" w:hAnsi="Arial"/>
                <w:sz w:val="10"/>
                <w:szCs w:val="10"/>
                <w:b w:val="1"/>
                <w:bCs w:val="1"/>
                <w:color w:val="FFFFFF"/>
              </w:rPr>
              <w:t>(#)</w:t>
            </w:r>
          </w:p>
        </w:tc>
        <w:tc>
          <w:tcPr>
            <w:tcW w:w="860" w:type="dxa"/>
            <w:vAlign w:val="bottom"/>
            <w:shd w:val="clear" w:color="auto" w:fill="481F6E"/>
          </w:tcPr>
          <w:p>
            <w:pPr>
              <w:jc w:val="right"/>
              <w:ind w:right="12"/>
              <w:spacing w:after="0"/>
              <w:rPr>
                <w:sz w:val="20"/>
                <w:szCs w:val="20"/>
                <w:color w:val="auto"/>
              </w:rPr>
            </w:pPr>
            <w:r>
              <w:rPr>
                <w:rFonts w:ascii="Arial" w:cs="Arial" w:eastAsia="Arial" w:hAnsi="Arial"/>
                <w:sz w:val="10"/>
                <w:szCs w:val="10"/>
                <w:b w:val="1"/>
                <w:bCs w:val="1"/>
                <w:color w:val="FFFFFF"/>
              </w:rPr>
              <w:t>(#)</w:t>
            </w:r>
          </w:p>
        </w:tc>
        <w:tc>
          <w:tcPr>
            <w:tcW w:w="1040" w:type="dxa"/>
            <w:vAlign w:val="bottom"/>
            <w:shd w:val="clear" w:color="auto" w:fill="481F6E"/>
          </w:tcPr>
          <w:p>
            <w:pPr>
              <w:jc w:val="right"/>
              <w:ind w:right="172"/>
              <w:spacing w:after="0"/>
              <w:rPr>
                <w:sz w:val="20"/>
                <w:szCs w:val="20"/>
                <w:color w:val="auto"/>
              </w:rPr>
            </w:pPr>
            <w:r>
              <w:rPr>
                <w:rFonts w:ascii="Arial" w:cs="Arial" w:eastAsia="Arial" w:hAnsi="Arial"/>
                <w:sz w:val="10"/>
                <w:szCs w:val="10"/>
                <w:b w:val="1"/>
                <w:bCs w:val="1"/>
                <w:color w:val="FFFFFF"/>
              </w:rPr>
              <w:t>(#)</w:t>
            </w:r>
          </w:p>
        </w:tc>
        <w:tc>
          <w:tcPr>
            <w:tcW w:w="880" w:type="dxa"/>
            <w:vAlign w:val="bottom"/>
            <w:shd w:val="clear" w:color="auto" w:fill="481F6E"/>
          </w:tcPr>
          <w:p>
            <w:pPr>
              <w:jc w:val="right"/>
              <w:ind w:right="172"/>
              <w:spacing w:after="0"/>
              <w:rPr>
                <w:sz w:val="20"/>
                <w:szCs w:val="20"/>
                <w:color w:val="auto"/>
              </w:rPr>
            </w:pPr>
            <w:r>
              <w:rPr>
                <w:rFonts w:ascii="Arial" w:cs="Arial" w:eastAsia="Arial" w:hAnsi="Arial"/>
                <w:sz w:val="10"/>
                <w:szCs w:val="10"/>
                <w:b w:val="1"/>
                <w:bCs w:val="1"/>
                <w:color w:val="FFFFFF"/>
              </w:rPr>
              <w:t>($/Sh)</w:t>
            </w:r>
          </w:p>
        </w:tc>
        <w:tc>
          <w:tcPr>
            <w:tcW w:w="700" w:type="dxa"/>
            <w:vAlign w:val="bottom"/>
            <w:shd w:val="clear" w:color="auto" w:fill="481F6E"/>
          </w:tcPr>
          <w:p>
            <w:pPr>
              <w:jc w:val="right"/>
              <w:ind w:right="12"/>
              <w:spacing w:after="0" w:line="142" w:lineRule="exact"/>
              <w:rPr>
                <w:sz w:val="20"/>
                <w:szCs w:val="20"/>
                <w:color w:val="auto"/>
              </w:rPr>
            </w:pPr>
            <w:r>
              <w:rPr>
                <w:rFonts w:ascii="Arial" w:cs="Arial" w:eastAsia="Arial" w:hAnsi="Arial"/>
                <w:sz w:val="10"/>
                <w:szCs w:val="10"/>
                <w:b w:val="1"/>
                <w:bCs w:val="1"/>
                <w:color w:val="FFFFFF"/>
              </w:rPr>
              <w:t>($)</w:t>
            </w:r>
            <w:r>
              <w:rPr>
                <w:rFonts w:ascii="Arial" w:cs="Arial" w:eastAsia="Arial" w:hAnsi="Arial"/>
                <w:sz w:val="15"/>
                <w:szCs w:val="15"/>
                <w:b w:val="1"/>
                <w:bCs w:val="1"/>
                <w:color w:val="FFFFFF"/>
                <w:vertAlign w:val="superscript"/>
              </w:rPr>
              <w:t>3</w:t>
            </w:r>
          </w:p>
        </w:tc>
        <w:tc>
          <w:tcPr>
            <w:tcW w:w="0" w:type="dxa"/>
            <w:vAlign w:val="bottom"/>
          </w:tcPr>
          <w:p>
            <w:pPr>
              <w:spacing w:after="0"/>
              <w:rPr>
                <w:sz w:val="1"/>
                <w:szCs w:val="1"/>
                <w:color w:val="auto"/>
              </w:rPr>
            </w:pPr>
          </w:p>
        </w:tc>
      </w:tr>
      <w:tr>
        <w:trPr>
          <w:trHeight w:val="105"/>
        </w:trPr>
        <w:tc>
          <w:tcPr>
            <w:tcW w:w="920" w:type="dxa"/>
            <w:vAlign w:val="bottom"/>
          </w:tcPr>
          <w:p>
            <w:pPr>
              <w:spacing w:after="0" w:line="105" w:lineRule="exact"/>
              <w:rPr>
                <w:sz w:val="20"/>
                <w:szCs w:val="20"/>
                <w:color w:val="auto"/>
              </w:rPr>
            </w:pPr>
            <w:r>
              <w:rPr>
                <w:rFonts w:ascii="Arial" w:cs="Arial" w:eastAsia="Arial" w:hAnsi="Arial"/>
                <w:sz w:val="10"/>
                <w:szCs w:val="10"/>
                <w:b w:val="1"/>
                <w:bCs w:val="1"/>
                <w:color w:val="333740"/>
              </w:rPr>
              <w:t>Douglas J.</w:t>
            </w:r>
          </w:p>
        </w:tc>
        <w:tc>
          <w:tcPr>
            <w:tcW w:w="900" w:type="dxa"/>
            <w:vAlign w:val="bottom"/>
          </w:tcPr>
          <w:p>
            <w:pPr>
              <w:ind w:left="60"/>
              <w:spacing w:after="0" w:line="105" w:lineRule="exact"/>
              <w:rPr>
                <w:sz w:val="20"/>
                <w:szCs w:val="20"/>
                <w:color w:val="auto"/>
              </w:rPr>
            </w:pPr>
            <w:r>
              <w:rPr>
                <w:rFonts w:ascii="Arial" w:cs="Arial" w:eastAsia="Arial" w:hAnsi="Arial"/>
                <w:sz w:val="10"/>
                <w:szCs w:val="10"/>
                <w:color w:val="333740"/>
              </w:rPr>
              <w:t>Annual Incentive</w:t>
            </w:r>
          </w:p>
        </w:tc>
        <w:tc>
          <w:tcPr>
            <w:tcW w:w="880" w:type="dxa"/>
            <w:vAlign w:val="bottom"/>
          </w:tcPr>
          <w:p>
            <w:pPr>
              <w:jc w:val="right"/>
              <w:spacing w:after="0" w:line="105" w:lineRule="exact"/>
              <w:rPr>
                <w:sz w:val="20"/>
                <w:szCs w:val="20"/>
                <w:color w:val="auto"/>
              </w:rPr>
            </w:pPr>
            <w:r>
              <w:rPr>
                <w:rFonts w:ascii="Arial" w:cs="Arial" w:eastAsia="Arial" w:hAnsi="Arial"/>
                <w:sz w:val="10"/>
                <w:szCs w:val="10"/>
                <w:color w:val="333740"/>
              </w:rPr>
              <w:t>2019</w:t>
            </w:r>
          </w:p>
        </w:tc>
        <w:tc>
          <w:tcPr>
            <w:tcW w:w="800" w:type="dxa"/>
            <w:vAlign w:val="bottom"/>
          </w:tcPr>
          <w:p>
            <w:pPr>
              <w:jc w:val="right"/>
              <w:spacing w:after="0" w:line="105" w:lineRule="exact"/>
              <w:rPr>
                <w:sz w:val="20"/>
                <w:szCs w:val="20"/>
                <w:color w:val="auto"/>
              </w:rPr>
            </w:pPr>
            <w:r>
              <w:rPr>
                <w:rFonts w:ascii="Arial" w:cs="Arial" w:eastAsia="Arial" w:hAnsi="Arial"/>
                <w:sz w:val="10"/>
                <w:szCs w:val="10"/>
                <w:color w:val="333740"/>
              </w:rPr>
              <w:t>—</w:t>
            </w:r>
          </w:p>
        </w:tc>
        <w:tc>
          <w:tcPr>
            <w:tcW w:w="1280" w:type="dxa"/>
            <w:vAlign w:val="bottom"/>
          </w:tcPr>
          <w:p>
            <w:pPr>
              <w:jc w:val="right"/>
              <w:ind w:right="372"/>
              <w:spacing w:after="0" w:line="105" w:lineRule="exact"/>
              <w:rPr>
                <w:sz w:val="20"/>
                <w:szCs w:val="20"/>
                <w:color w:val="auto"/>
              </w:rPr>
            </w:pPr>
            <w:r>
              <w:rPr>
                <w:rFonts w:ascii="Arial" w:cs="Arial" w:eastAsia="Arial" w:hAnsi="Arial"/>
                <w:sz w:val="10"/>
                <w:szCs w:val="10"/>
                <w:color w:val="333740"/>
              </w:rPr>
              <w:t>1,668,600</w:t>
            </w:r>
          </w:p>
        </w:tc>
        <w:tc>
          <w:tcPr>
            <w:tcW w:w="520" w:type="dxa"/>
            <w:vAlign w:val="bottom"/>
          </w:tcPr>
          <w:p>
            <w:pPr>
              <w:jc w:val="right"/>
              <w:ind w:right="32"/>
              <w:spacing w:after="0" w:line="105" w:lineRule="exact"/>
              <w:rPr>
                <w:sz w:val="20"/>
                <w:szCs w:val="20"/>
                <w:color w:val="auto"/>
              </w:rPr>
            </w:pPr>
            <w:r>
              <w:rPr>
                <w:rFonts w:ascii="Arial" w:cs="Arial" w:eastAsia="Arial" w:hAnsi="Arial"/>
                <w:sz w:val="10"/>
                <w:szCs w:val="10"/>
                <w:color w:val="333740"/>
                <w:w w:val="94"/>
              </w:rPr>
              <w:t>3,337,200</w:t>
            </w:r>
          </w:p>
        </w:tc>
        <w:tc>
          <w:tcPr>
            <w:tcW w:w="1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20" w:type="dxa"/>
            <w:vAlign w:val="bottom"/>
          </w:tcPr>
          <w:p>
            <w:pPr>
              <w:ind w:left="160"/>
              <w:spacing w:after="0"/>
              <w:rPr>
                <w:sz w:val="20"/>
                <w:szCs w:val="20"/>
                <w:color w:val="auto"/>
              </w:rPr>
            </w:pPr>
            <w:r>
              <w:rPr>
                <w:rFonts w:ascii="Arial" w:cs="Arial" w:eastAsia="Arial" w:hAnsi="Arial"/>
                <w:sz w:val="10"/>
                <w:szCs w:val="10"/>
                <w:b w:val="1"/>
                <w:bCs w:val="1"/>
                <w:color w:val="333740"/>
              </w:rPr>
              <w:t>Pferdehirt</w:t>
            </w:r>
          </w:p>
        </w:tc>
        <w:tc>
          <w:tcPr>
            <w:tcW w:w="900" w:type="dxa"/>
            <w:vAlign w:val="bottom"/>
            <w:tcBorders>
              <w:bottom w:val="single" w:sz="8" w:color="D7D8D6"/>
            </w:tcBorders>
          </w:tcPr>
          <w:p>
            <w:pPr>
              <w:spacing w:after="0"/>
              <w:rPr>
                <w:sz w:val="10"/>
                <w:szCs w:val="10"/>
                <w:color w:val="auto"/>
              </w:rPr>
            </w:pPr>
          </w:p>
        </w:tc>
        <w:tc>
          <w:tcPr>
            <w:tcW w:w="880" w:type="dxa"/>
            <w:vAlign w:val="bottom"/>
            <w:tcBorders>
              <w:bottom w:val="single" w:sz="8" w:color="D7D8D6"/>
            </w:tcBorders>
          </w:tcPr>
          <w:p>
            <w:pPr>
              <w:spacing w:after="0"/>
              <w:rPr>
                <w:sz w:val="10"/>
                <w:szCs w:val="10"/>
                <w:color w:val="auto"/>
              </w:rPr>
            </w:pPr>
          </w:p>
        </w:tc>
        <w:tc>
          <w:tcPr>
            <w:tcW w:w="800" w:type="dxa"/>
            <w:vAlign w:val="bottom"/>
            <w:tcBorders>
              <w:bottom w:val="single" w:sz="8" w:color="D7D8D6"/>
            </w:tcBorders>
          </w:tcPr>
          <w:p>
            <w:pPr>
              <w:spacing w:after="0"/>
              <w:rPr>
                <w:sz w:val="10"/>
                <w:szCs w:val="10"/>
                <w:color w:val="auto"/>
              </w:rPr>
            </w:pPr>
          </w:p>
        </w:tc>
        <w:tc>
          <w:tcPr>
            <w:tcW w:w="1280" w:type="dxa"/>
            <w:vAlign w:val="bottom"/>
            <w:tcBorders>
              <w:bottom w:val="single" w:sz="8" w:color="D7D8D6"/>
            </w:tcBorders>
          </w:tcPr>
          <w:p>
            <w:pPr>
              <w:spacing w:after="0"/>
              <w:rPr>
                <w:sz w:val="10"/>
                <w:szCs w:val="10"/>
                <w:color w:val="auto"/>
              </w:rPr>
            </w:pPr>
          </w:p>
        </w:tc>
        <w:tc>
          <w:tcPr>
            <w:tcW w:w="520" w:type="dxa"/>
            <w:vAlign w:val="bottom"/>
            <w:tcBorders>
              <w:bottom w:val="single" w:sz="8" w:color="D7D8D6"/>
            </w:tcBorders>
          </w:tcPr>
          <w:p>
            <w:pPr>
              <w:spacing w:after="0"/>
              <w:rPr>
                <w:sz w:val="10"/>
                <w:szCs w:val="10"/>
                <w:color w:val="auto"/>
              </w:rPr>
            </w:pPr>
          </w:p>
        </w:tc>
        <w:tc>
          <w:tcPr>
            <w:tcW w:w="1040" w:type="dxa"/>
            <w:vAlign w:val="bottom"/>
            <w:tcBorders>
              <w:bottom w:val="single" w:sz="8" w:color="D7D8D6"/>
            </w:tcBorders>
          </w:tcPr>
          <w:p>
            <w:pPr>
              <w:spacing w:after="0"/>
              <w:rPr>
                <w:sz w:val="10"/>
                <w:szCs w:val="10"/>
                <w:color w:val="auto"/>
              </w:rPr>
            </w:pPr>
          </w:p>
        </w:tc>
        <w:tc>
          <w:tcPr>
            <w:tcW w:w="900" w:type="dxa"/>
            <w:vAlign w:val="bottom"/>
            <w:tcBorders>
              <w:bottom w:val="single" w:sz="8" w:color="D7D8D6"/>
            </w:tcBorders>
          </w:tcPr>
          <w:p>
            <w:pPr>
              <w:spacing w:after="0"/>
              <w:rPr>
                <w:sz w:val="10"/>
                <w:szCs w:val="10"/>
                <w:color w:val="auto"/>
              </w:rPr>
            </w:pPr>
          </w:p>
        </w:tc>
        <w:tc>
          <w:tcPr>
            <w:tcW w:w="540" w:type="dxa"/>
            <w:vAlign w:val="bottom"/>
            <w:tcBorders>
              <w:bottom w:val="single" w:sz="8" w:color="D7D8D6"/>
            </w:tcBorders>
          </w:tcPr>
          <w:p>
            <w:pPr>
              <w:spacing w:after="0"/>
              <w:rPr>
                <w:sz w:val="10"/>
                <w:szCs w:val="10"/>
                <w:color w:val="auto"/>
              </w:rPr>
            </w:pPr>
          </w:p>
        </w:tc>
        <w:tc>
          <w:tcPr>
            <w:tcW w:w="860" w:type="dxa"/>
            <w:vAlign w:val="bottom"/>
            <w:tcBorders>
              <w:bottom w:val="single" w:sz="8" w:color="D7D8D6"/>
            </w:tcBorders>
          </w:tcPr>
          <w:p>
            <w:pPr>
              <w:spacing w:after="0"/>
              <w:rPr>
                <w:sz w:val="10"/>
                <w:szCs w:val="10"/>
                <w:color w:val="auto"/>
              </w:rPr>
            </w:pPr>
          </w:p>
        </w:tc>
        <w:tc>
          <w:tcPr>
            <w:tcW w:w="1040" w:type="dxa"/>
            <w:vAlign w:val="bottom"/>
            <w:tcBorders>
              <w:bottom w:val="single" w:sz="8" w:color="D7D8D6"/>
            </w:tcBorders>
          </w:tcPr>
          <w:p>
            <w:pPr>
              <w:spacing w:after="0"/>
              <w:rPr>
                <w:sz w:val="10"/>
                <w:szCs w:val="10"/>
                <w:color w:val="auto"/>
              </w:rPr>
            </w:pPr>
          </w:p>
        </w:tc>
        <w:tc>
          <w:tcPr>
            <w:tcW w:w="880" w:type="dxa"/>
            <w:vAlign w:val="bottom"/>
            <w:tcBorders>
              <w:bottom w:val="single" w:sz="8" w:color="D7D8D6"/>
            </w:tcBorders>
          </w:tcPr>
          <w:p>
            <w:pPr>
              <w:spacing w:after="0"/>
              <w:rPr>
                <w:sz w:val="10"/>
                <w:szCs w:val="10"/>
                <w:color w:val="auto"/>
              </w:rPr>
            </w:pPr>
          </w:p>
        </w:tc>
        <w:tc>
          <w:tcPr>
            <w:tcW w:w="700" w:type="dxa"/>
            <w:vAlign w:val="bottom"/>
            <w:tcBorders>
              <w:bottom w:val="single" w:sz="8" w:color="D7D8D6"/>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0"/>
                <w:szCs w:val="10"/>
                <w:color w:val="333740"/>
              </w:rPr>
              <w:t>RSU</w:t>
            </w:r>
          </w:p>
        </w:tc>
        <w:tc>
          <w:tcPr>
            <w:tcW w:w="880" w:type="dxa"/>
            <w:vAlign w:val="bottom"/>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333740"/>
              </w:rPr>
              <w:t>92,469</w:t>
            </w: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333740"/>
              </w:rPr>
              <w:t>1,940,000</w:t>
            </w:r>
          </w:p>
        </w:tc>
        <w:tc>
          <w:tcPr>
            <w:tcW w:w="0" w:type="dxa"/>
            <w:vAlign w:val="bottom"/>
          </w:tcPr>
          <w:p>
            <w:pPr>
              <w:spacing w:after="0"/>
              <w:rPr>
                <w:sz w:val="1"/>
                <w:szCs w:val="1"/>
                <w:color w:val="auto"/>
              </w:rPr>
            </w:pPr>
          </w:p>
        </w:tc>
      </w:tr>
      <w:tr>
        <w:trPr>
          <w:trHeight w:val="71"/>
        </w:trPr>
        <w:tc>
          <w:tcPr>
            <w:tcW w:w="920" w:type="dxa"/>
            <w:vAlign w:val="bottom"/>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800" w:type="dxa"/>
            <w:vAlign w:val="bottom"/>
            <w:tcBorders>
              <w:bottom w:val="single" w:sz="8" w:color="D7D8D6"/>
            </w:tcBorders>
          </w:tcPr>
          <w:p>
            <w:pPr>
              <w:spacing w:after="0"/>
              <w:rPr>
                <w:sz w:val="6"/>
                <w:szCs w:val="6"/>
                <w:color w:val="auto"/>
              </w:rPr>
            </w:pPr>
          </w:p>
        </w:tc>
        <w:tc>
          <w:tcPr>
            <w:tcW w:w="1280" w:type="dxa"/>
            <w:vAlign w:val="bottom"/>
            <w:tcBorders>
              <w:bottom w:val="single" w:sz="8" w:color="D7D8D6"/>
            </w:tcBorders>
          </w:tcPr>
          <w:p>
            <w:pPr>
              <w:spacing w:after="0"/>
              <w:rPr>
                <w:sz w:val="6"/>
                <w:szCs w:val="6"/>
                <w:color w:val="auto"/>
              </w:rPr>
            </w:pPr>
          </w:p>
        </w:tc>
        <w:tc>
          <w:tcPr>
            <w:tcW w:w="52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540" w:type="dxa"/>
            <w:vAlign w:val="bottom"/>
            <w:tcBorders>
              <w:bottom w:val="single" w:sz="8" w:color="D7D8D6"/>
            </w:tcBorders>
          </w:tcPr>
          <w:p>
            <w:pPr>
              <w:spacing w:after="0"/>
              <w:rPr>
                <w:sz w:val="6"/>
                <w:szCs w:val="6"/>
                <w:color w:val="auto"/>
              </w:rPr>
            </w:pPr>
          </w:p>
        </w:tc>
        <w:tc>
          <w:tcPr>
            <w:tcW w:w="86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700" w:type="dxa"/>
            <w:vAlign w:val="bottom"/>
            <w:tcBorders>
              <w:bottom w:val="single" w:sz="8" w:color="D7D8D6"/>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0"/>
                <w:szCs w:val="10"/>
                <w:color w:val="333740"/>
              </w:rPr>
              <w:t>PSU-ROIC</w:t>
            </w:r>
          </w:p>
        </w:tc>
        <w:tc>
          <w:tcPr>
            <w:tcW w:w="880" w:type="dxa"/>
            <w:vAlign w:val="bottom"/>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jc w:val="right"/>
              <w:ind w:right="172"/>
              <w:spacing w:after="0"/>
              <w:rPr>
                <w:sz w:val="20"/>
                <w:szCs w:val="20"/>
                <w:color w:val="auto"/>
              </w:rPr>
            </w:pPr>
            <w:r>
              <w:rPr>
                <w:rFonts w:ascii="Arial" w:cs="Arial" w:eastAsia="Arial" w:hAnsi="Arial"/>
                <w:sz w:val="10"/>
                <w:szCs w:val="10"/>
                <w:color w:val="333740"/>
              </w:rPr>
              <w:t>—</w:t>
            </w:r>
          </w:p>
        </w:tc>
        <w:tc>
          <w:tcPr>
            <w:tcW w:w="900" w:type="dxa"/>
            <w:vAlign w:val="bottom"/>
          </w:tcPr>
          <w:p>
            <w:pPr>
              <w:jc w:val="right"/>
              <w:ind w:right="272"/>
              <w:spacing w:after="0"/>
              <w:rPr>
                <w:sz w:val="20"/>
                <w:szCs w:val="20"/>
                <w:color w:val="auto"/>
              </w:rPr>
            </w:pPr>
            <w:r>
              <w:rPr>
                <w:rFonts w:ascii="Arial" w:cs="Arial" w:eastAsia="Arial" w:hAnsi="Arial"/>
                <w:sz w:val="10"/>
                <w:szCs w:val="10"/>
                <w:color w:val="333740"/>
              </w:rPr>
              <w:t>138,703</w:t>
            </w:r>
          </w:p>
        </w:tc>
        <w:tc>
          <w:tcPr>
            <w:tcW w:w="540" w:type="dxa"/>
            <w:vAlign w:val="bottom"/>
          </w:tcPr>
          <w:p>
            <w:pPr>
              <w:jc w:val="right"/>
              <w:spacing w:after="0"/>
              <w:rPr>
                <w:sz w:val="20"/>
                <w:szCs w:val="20"/>
                <w:color w:val="auto"/>
              </w:rPr>
            </w:pPr>
            <w:r>
              <w:rPr>
                <w:rFonts w:ascii="Arial" w:cs="Arial" w:eastAsia="Arial" w:hAnsi="Arial"/>
                <w:sz w:val="10"/>
                <w:szCs w:val="10"/>
                <w:color w:val="333740"/>
              </w:rPr>
              <w:t>277,406</w:t>
            </w: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333740"/>
              </w:rPr>
              <w:t>2,909,989</w:t>
            </w:r>
          </w:p>
        </w:tc>
        <w:tc>
          <w:tcPr>
            <w:tcW w:w="0" w:type="dxa"/>
            <w:vAlign w:val="bottom"/>
          </w:tcPr>
          <w:p>
            <w:pPr>
              <w:spacing w:after="0"/>
              <w:rPr>
                <w:sz w:val="1"/>
                <w:szCs w:val="1"/>
                <w:color w:val="auto"/>
              </w:rPr>
            </w:pPr>
          </w:p>
        </w:tc>
      </w:tr>
      <w:tr>
        <w:trPr>
          <w:trHeight w:val="71"/>
        </w:trPr>
        <w:tc>
          <w:tcPr>
            <w:tcW w:w="920" w:type="dxa"/>
            <w:vAlign w:val="bottom"/>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800" w:type="dxa"/>
            <w:vAlign w:val="bottom"/>
            <w:tcBorders>
              <w:bottom w:val="single" w:sz="8" w:color="D7D8D6"/>
            </w:tcBorders>
          </w:tcPr>
          <w:p>
            <w:pPr>
              <w:spacing w:after="0"/>
              <w:rPr>
                <w:sz w:val="6"/>
                <w:szCs w:val="6"/>
                <w:color w:val="auto"/>
              </w:rPr>
            </w:pPr>
          </w:p>
        </w:tc>
        <w:tc>
          <w:tcPr>
            <w:tcW w:w="1280" w:type="dxa"/>
            <w:vAlign w:val="bottom"/>
            <w:tcBorders>
              <w:bottom w:val="single" w:sz="8" w:color="D7D8D6"/>
            </w:tcBorders>
          </w:tcPr>
          <w:p>
            <w:pPr>
              <w:spacing w:after="0"/>
              <w:rPr>
                <w:sz w:val="6"/>
                <w:szCs w:val="6"/>
                <w:color w:val="auto"/>
              </w:rPr>
            </w:pPr>
          </w:p>
        </w:tc>
        <w:tc>
          <w:tcPr>
            <w:tcW w:w="52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540" w:type="dxa"/>
            <w:vAlign w:val="bottom"/>
            <w:tcBorders>
              <w:bottom w:val="single" w:sz="8" w:color="D7D8D6"/>
            </w:tcBorders>
          </w:tcPr>
          <w:p>
            <w:pPr>
              <w:spacing w:after="0"/>
              <w:rPr>
                <w:sz w:val="6"/>
                <w:szCs w:val="6"/>
                <w:color w:val="auto"/>
              </w:rPr>
            </w:pPr>
          </w:p>
        </w:tc>
        <w:tc>
          <w:tcPr>
            <w:tcW w:w="86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700" w:type="dxa"/>
            <w:vAlign w:val="bottom"/>
            <w:tcBorders>
              <w:bottom w:val="single" w:sz="8" w:color="D7D8D6"/>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0"/>
                <w:szCs w:val="10"/>
                <w:color w:val="333740"/>
              </w:rPr>
              <w:t>PSU-TSR</w:t>
            </w:r>
          </w:p>
        </w:tc>
        <w:tc>
          <w:tcPr>
            <w:tcW w:w="880" w:type="dxa"/>
            <w:vAlign w:val="bottom"/>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jc w:val="right"/>
              <w:ind w:right="172"/>
              <w:spacing w:after="0"/>
              <w:rPr>
                <w:sz w:val="20"/>
                <w:szCs w:val="20"/>
                <w:color w:val="auto"/>
              </w:rPr>
            </w:pPr>
            <w:r>
              <w:rPr>
                <w:rFonts w:ascii="Arial" w:cs="Arial" w:eastAsia="Arial" w:hAnsi="Arial"/>
                <w:sz w:val="10"/>
                <w:szCs w:val="10"/>
                <w:color w:val="333740"/>
              </w:rPr>
              <w:t>—</w:t>
            </w:r>
          </w:p>
        </w:tc>
        <w:tc>
          <w:tcPr>
            <w:tcW w:w="900" w:type="dxa"/>
            <w:vAlign w:val="bottom"/>
          </w:tcPr>
          <w:p>
            <w:pPr>
              <w:jc w:val="right"/>
              <w:ind w:right="272"/>
              <w:spacing w:after="0"/>
              <w:rPr>
                <w:sz w:val="20"/>
                <w:szCs w:val="20"/>
                <w:color w:val="auto"/>
              </w:rPr>
            </w:pPr>
            <w:r>
              <w:rPr>
                <w:rFonts w:ascii="Arial" w:cs="Arial" w:eastAsia="Arial" w:hAnsi="Arial"/>
                <w:sz w:val="10"/>
                <w:szCs w:val="10"/>
                <w:color w:val="333740"/>
              </w:rPr>
              <w:t>138,703</w:t>
            </w:r>
          </w:p>
        </w:tc>
        <w:tc>
          <w:tcPr>
            <w:tcW w:w="540" w:type="dxa"/>
            <w:vAlign w:val="bottom"/>
          </w:tcPr>
          <w:p>
            <w:pPr>
              <w:jc w:val="right"/>
              <w:spacing w:after="0"/>
              <w:rPr>
                <w:sz w:val="20"/>
                <w:szCs w:val="20"/>
                <w:color w:val="auto"/>
              </w:rPr>
            </w:pPr>
            <w:r>
              <w:rPr>
                <w:rFonts w:ascii="Arial" w:cs="Arial" w:eastAsia="Arial" w:hAnsi="Arial"/>
                <w:sz w:val="10"/>
                <w:szCs w:val="10"/>
                <w:color w:val="333740"/>
              </w:rPr>
              <w:t>277,406</w:t>
            </w: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333740"/>
              </w:rPr>
              <w:t>4,027,935</w:t>
            </w:r>
          </w:p>
        </w:tc>
        <w:tc>
          <w:tcPr>
            <w:tcW w:w="0" w:type="dxa"/>
            <w:vAlign w:val="bottom"/>
          </w:tcPr>
          <w:p>
            <w:pPr>
              <w:spacing w:after="0"/>
              <w:rPr>
                <w:sz w:val="1"/>
                <w:szCs w:val="1"/>
                <w:color w:val="auto"/>
              </w:rPr>
            </w:pPr>
          </w:p>
        </w:tc>
      </w:tr>
      <w:tr>
        <w:trPr>
          <w:trHeight w:val="71"/>
        </w:trPr>
        <w:tc>
          <w:tcPr>
            <w:tcW w:w="920" w:type="dxa"/>
            <w:vAlign w:val="bottom"/>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800" w:type="dxa"/>
            <w:vAlign w:val="bottom"/>
            <w:tcBorders>
              <w:bottom w:val="single" w:sz="8" w:color="D7D8D6"/>
            </w:tcBorders>
          </w:tcPr>
          <w:p>
            <w:pPr>
              <w:spacing w:after="0"/>
              <w:rPr>
                <w:sz w:val="6"/>
                <w:szCs w:val="6"/>
                <w:color w:val="auto"/>
              </w:rPr>
            </w:pPr>
          </w:p>
        </w:tc>
        <w:tc>
          <w:tcPr>
            <w:tcW w:w="1280" w:type="dxa"/>
            <w:vAlign w:val="bottom"/>
            <w:tcBorders>
              <w:bottom w:val="single" w:sz="8" w:color="D7D8D6"/>
            </w:tcBorders>
          </w:tcPr>
          <w:p>
            <w:pPr>
              <w:spacing w:after="0"/>
              <w:rPr>
                <w:sz w:val="6"/>
                <w:szCs w:val="6"/>
                <w:color w:val="auto"/>
              </w:rPr>
            </w:pPr>
          </w:p>
        </w:tc>
        <w:tc>
          <w:tcPr>
            <w:tcW w:w="52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540" w:type="dxa"/>
            <w:vAlign w:val="bottom"/>
            <w:tcBorders>
              <w:bottom w:val="single" w:sz="8" w:color="D7D8D6"/>
            </w:tcBorders>
          </w:tcPr>
          <w:p>
            <w:pPr>
              <w:spacing w:after="0"/>
              <w:rPr>
                <w:sz w:val="6"/>
                <w:szCs w:val="6"/>
                <w:color w:val="auto"/>
              </w:rPr>
            </w:pPr>
          </w:p>
        </w:tc>
        <w:tc>
          <w:tcPr>
            <w:tcW w:w="86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700" w:type="dxa"/>
            <w:vAlign w:val="bottom"/>
            <w:tcBorders>
              <w:bottom w:val="single" w:sz="8" w:color="D7D8D6"/>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0"/>
                <w:szCs w:val="10"/>
                <w:color w:val="333740"/>
              </w:rPr>
              <w:t>Stock Options</w:t>
            </w:r>
          </w:p>
        </w:tc>
        <w:tc>
          <w:tcPr>
            <w:tcW w:w="880" w:type="dxa"/>
            <w:vAlign w:val="bottom"/>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jc w:val="right"/>
              <w:ind w:right="132"/>
              <w:spacing w:after="0"/>
              <w:rPr>
                <w:sz w:val="20"/>
                <w:szCs w:val="20"/>
                <w:color w:val="auto"/>
              </w:rPr>
            </w:pPr>
            <w:r>
              <w:rPr>
                <w:rFonts w:ascii="Arial" w:cs="Arial" w:eastAsia="Arial" w:hAnsi="Arial"/>
                <w:sz w:val="10"/>
                <w:szCs w:val="10"/>
                <w:color w:val="333740"/>
              </w:rPr>
              <w:t>343,727</w:t>
            </w:r>
          </w:p>
        </w:tc>
        <w:tc>
          <w:tcPr>
            <w:tcW w:w="880" w:type="dxa"/>
            <w:vAlign w:val="bottom"/>
          </w:tcPr>
          <w:p>
            <w:pPr>
              <w:jc w:val="right"/>
              <w:ind w:right="132"/>
              <w:spacing w:after="0"/>
              <w:rPr>
                <w:sz w:val="20"/>
                <w:szCs w:val="20"/>
                <w:color w:val="auto"/>
              </w:rPr>
            </w:pPr>
            <w:r>
              <w:rPr>
                <w:rFonts w:ascii="Arial" w:cs="Arial" w:eastAsia="Arial" w:hAnsi="Arial"/>
                <w:sz w:val="10"/>
                <w:szCs w:val="10"/>
                <w:color w:val="333740"/>
              </w:rPr>
              <w:t>20.98</w:t>
            </w:r>
          </w:p>
        </w:tc>
        <w:tc>
          <w:tcPr>
            <w:tcW w:w="700" w:type="dxa"/>
            <w:vAlign w:val="bottom"/>
          </w:tcPr>
          <w:p>
            <w:pPr>
              <w:jc w:val="right"/>
              <w:spacing w:after="0"/>
              <w:rPr>
                <w:sz w:val="20"/>
                <w:szCs w:val="20"/>
                <w:color w:val="auto"/>
              </w:rPr>
            </w:pPr>
            <w:r>
              <w:rPr>
                <w:rFonts w:ascii="Arial" w:cs="Arial" w:eastAsia="Arial" w:hAnsi="Arial"/>
                <w:sz w:val="10"/>
                <w:szCs w:val="10"/>
                <w:color w:val="333740"/>
              </w:rPr>
              <w:t>1,939,995</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920" w:type="dxa"/>
            <w:vAlign w:val="bottom"/>
            <w:shd w:val="clear" w:color="auto" w:fill="D7D8D6"/>
          </w:tcPr>
          <w:p>
            <w:pPr>
              <w:spacing w:after="0"/>
              <w:rPr>
                <w:sz w:val="20"/>
                <w:szCs w:val="20"/>
                <w:color w:val="auto"/>
              </w:rPr>
            </w:pPr>
            <w:r>
              <w:rPr>
                <w:rFonts w:ascii="Arial" w:cs="Arial" w:eastAsia="Arial" w:hAnsi="Arial"/>
                <w:sz w:val="10"/>
                <w:szCs w:val="10"/>
                <w:b w:val="1"/>
                <w:bCs w:val="1"/>
                <w:color w:val="333740"/>
                <w:w w:val="96"/>
              </w:rPr>
              <w:t>Maryann T. Mannen</w:t>
            </w:r>
          </w:p>
        </w:tc>
        <w:tc>
          <w:tcPr>
            <w:tcW w:w="900" w:type="dxa"/>
            <w:vAlign w:val="bottom"/>
            <w:shd w:val="clear" w:color="auto" w:fill="D7D8D6"/>
          </w:tcPr>
          <w:p>
            <w:pPr>
              <w:ind w:left="60"/>
              <w:spacing w:after="0"/>
              <w:rPr>
                <w:sz w:val="20"/>
                <w:szCs w:val="20"/>
                <w:color w:val="auto"/>
              </w:rPr>
            </w:pPr>
            <w:r>
              <w:rPr>
                <w:rFonts w:ascii="Arial" w:cs="Arial" w:eastAsia="Arial" w:hAnsi="Arial"/>
                <w:sz w:val="10"/>
                <w:szCs w:val="10"/>
                <w:color w:val="333740"/>
              </w:rPr>
              <w:t>Annual Incentive</w:t>
            </w:r>
          </w:p>
        </w:tc>
        <w:tc>
          <w:tcPr>
            <w:tcW w:w="88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2019</w:t>
            </w:r>
          </w:p>
        </w:tc>
        <w:tc>
          <w:tcPr>
            <w:tcW w:w="80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w:t>
            </w:r>
          </w:p>
        </w:tc>
        <w:tc>
          <w:tcPr>
            <w:tcW w:w="1280" w:type="dxa"/>
            <w:vAlign w:val="bottom"/>
            <w:shd w:val="clear" w:color="auto" w:fill="D7D8D6"/>
          </w:tcPr>
          <w:p>
            <w:pPr>
              <w:jc w:val="right"/>
              <w:ind w:right="372"/>
              <w:spacing w:after="0"/>
              <w:rPr>
                <w:sz w:val="20"/>
                <w:szCs w:val="20"/>
                <w:color w:val="auto"/>
              </w:rPr>
            </w:pPr>
            <w:r>
              <w:rPr>
                <w:rFonts w:ascii="Arial" w:cs="Arial" w:eastAsia="Arial" w:hAnsi="Arial"/>
                <w:sz w:val="10"/>
                <w:szCs w:val="10"/>
                <w:color w:val="333740"/>
              </w:rPr>
              <w:t>797,917</w:t>
            </w:r>
          </w:p>
        </w:tc>
        <w:tc>
          <w:tcPr>
            <w:tcW w:w="520" w:type="dxa"/>
            <w:vAlign w:val="bottom"/>
            <w:shd w:val="clear" w:color="auto" w:fill="D7D8D6"/>
          </w:tcPr>
          <w:p>
            <w:pPr>
              <w:jc w:val="right"/>
              <w:ind w:right="32"/>
              <w:spacing w:after="0"/>
              <w:rPr>
                <w:sz w:val="20"/>
                <w:szCs w:val="20"/>
                <w:color w:val="auto"/>
              </w:rPr>
            </w:pPr>
            <w:r>
              <w:rPr>
                <w:rFonts w:ascii="Arial" w:cs="Arial" w:eastAsia="Arial" w:hAnsi="Arial"/>
                <w:sz w:val="10"/>
                <w:szCs w:val="10"/>
                <w:color w:val="333740"/>
                <w:w w:val="94"/>
              </w:rPr>
              <w:t>1,595,833</w:t>
            </w:r>
          </w:p>
        </w:tc>
        <w:tc>
          <w:tcPr>
            <w:tcW w:w="1040" w:type="dxa"/>
            <w:vAlign w:val="bottom"/>
            <w:shd w:val="clear" w:color="auto" w:fill="D7D8D6"/>
          </w:tcPr>
          <w:p>
            <w:pPr>
              <w:spacing w:after="0"/>
              <w:rPr>
                <w:sz w:val="11"/>
                <w:szCs w:val="11"/>
                <w:color w:val="auto"/>
              </w:rPr>
            </w:pPr>
          </w:p>
        </w:tc>
        <w:tc>
          <w:tcPr>
            <w:tcW w:w="900" w:type="dxa"/>
            <w:vAlign w:val="bottom"/>
            <w:shd w:val="clear" w:color="auto" w:fill="D7D8D6"/>
          </w:tcPr>
          <w:p>
            <w:pPr>
              <w:spacing w:after="0"/>
              <w:rPr>
                <w:sz w:val="11"/>
                <w:szCs w:val="11"/>
                <w:color w:val="auto"/>
              </w:rPr>
            </w:pPr>
          </w:p>
        </w:tc>
        <w:tc>
          <w:tcPr>
            <w:tcW w:w="540" w:type="dxa"/>
            <w:vAlign w:val="bottom"/>
            <w:shd w:val="clear" w:color="auto" w:fill="D7D8D6"/>
          </w:tcPr>
          <w:p>
            <w:pPr>
              <w:spacing w:after="0"/>
              <w:rPr>
                <w:sz w:val="11"/>
                <w:szCs w:val="11"/>
                <w:color w:val="auto"/>
              </w:rPr>
            </w:pPr>
          </w:p>
        </w:tc>
        <w:tc>
          <w:tcPr>
            <w:tcW w:w="860" w:type="dxa"/>
            <w:vAlign w:val="bottom"/>
            <w:shd w:val="clear" w:color="auto" w:fill="D7D8D6"/>
          </w:tcPr>
          <w:p>
            <w:pPr>
              <w:spacing w:after="0"/>
              <w:rPr>
                <w:sz w:val="11"/>
                <w:szCs w:val="11"/>
                <w:color w:val="auto"/>
              </w:rPr>
            </w:pPr>
          </w:p>
        </w:tc>
        <w:tc>
          <w:tcPr>
            <w:tcW w:w="1040" w:type="dxa"/>
            <w:vAlign w:val="bottom"/>
            <w:shd w:val="clear" w:color="auto" w:fill="D7D8D6"/>
          </w:tcPr>
          <w:p>
            <w:pPr>
              <w:spacing w:after="0"/>
              <w:rPr>
                <w:sz w:val="11"/>
                <w:szCs w:val="11"/>
                <w:color w:val="auto"/>
              </w:rPr>
            </w:pPr>
          </w:p>
        </w:tc>
        <w:tc>
          <w:tcPr>
            <w:tcW w:w="880" w:type="dxa"/>
            <w:vAlign w:val="bottom"/>
            <w:shd w:val="clear" w:color="auto" w:fill="D7D8D6"/>
          </w:tcPr>
          <w:p>
            <w:pPr>
              <w:spacing w:after="0"/>
              <w:rPr>
                <w:sz w:val="11"/>
                <w:szCs w:val="11"/>
                <w:color w:val="auto"/>
              </w:rPr>
            </w:pPr>
          </w:p>
        </w:tc>
        <w:tc>
          <w:tcPr>
            <w:tcW w:w="700" w:type="dxa"/>
            <w:vAlign w:val="bottom"/>
            <w:shd w:val="clear" w:color="auto" w:fill="D7D8D6"/>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920" w:type="dxa"/>
            <w:vAlign w:val="bottom"/>
            <w:tcBorders>
              <w:bottom w:val="single" w:sz="8" w:color="D7D8D6"/>
            </w:tcBorders>
            <w:shd w:val="clear" w:color="auto" w:fill="D7D8D6"/>
          </w:tcPr>
          <w:p>
            <w:pPr>
              <w:spacing w:after="0"/>
              <w:rPr>
                <w:sz w:val="5"/>
                <w:szCs w:val="5"/>
                <w:color w:val="auto"/>
              </w:rPr>
            </w:pPr>
          </w:p>
        </w:tc>
        <w:tc>
          <w:tcPr>
            <w:tcW w:w="900" w:type="dxa"/>
            <w:vAlign w:val="bottom"/>
            <w:tcBorders>
              <w:bottom w:val="single" w:sz="8" w:color="A3A7A9"/>
            </w:tcBorders>
            <w:shd w:val="clear" w:color="auto" w:fill="D7D8D6"/>
          </w:tcPr>
          <w:p>
            <w:pPr>
              <w:spacing w:after="0"/>
              <w:rPr>
                <w:sz w:val="5"/>
                <w:szCs w:val="5"/>
                <w:color w:val="auto"/>
              </w:rPr>
            </w:pPr>
          </w:p>
        </w:tc>
        <w:tc>
          <w:tcPr>
            <w:tcW w:w="880" w:type="dxa"/>
            <w:vAlign w:val="bottom"/>
            <w:tcBorders>
              <w:bottom w:val="single" w:sz="8" w:color="A3A7A9"/>
            </w:tcBorders>
            <w:shd w:val="clear" w:color="auto" w:fill="D7D8D6"/>
          </w:tcPr>
          <w:p>
            <w:pPr>
              <w:spacing w:after="0"/>
              <w:rPr>
                <w:sz w:val="5"/>
                <w:szCs w:val="5"/>
                <w:color w:val="auto"/>
              </w:rPr>
            </w:pPr>
          </w:p>
        </w:tc>
        <w:tc>
          <w:tcPr>
            <w:tcW w:w="800" w:type="dxa"/>
            <w:vAlign w:val="bottom"/>
            <w:tcBorders>
              <w:bottom w:val="single" w:sz="8" w:color="A3A7A9"/>
            </w:tcBorders>
            <w:shd w:val="clear" w:color="auto" w:fill="D7D8D6"/>
          </w:tcPr>
          <w:p>
            <w:pPr>
              <w:spacing w:after="0"/>
              <w:rPr>
                <w:sz w:val="5"/>
                <w:szCs w:val="5"/>
                <w:color w:val="auto"/>
              </w:rPr>
            </w:pPr>
          </w:p>
        </w:tc>
        <w:tc>
          <w:tcPr>
            <w:tcW w:w="1280" w:type="dxa"/>
            <w:vAlign w:val="bottom"/>
            <w:tcBorders>
              <w:bottom w:val="single" w:sz="8" w:color="A3A7A9"/>
            </w:tcBorders>
            <w:shd w:val="clear" w:color="auto" w:fill="D7D8D6"/>
          </w:tcPr>
          <w:p>
            <w:pPr>
              <w:spacing w:after="0"/>
              <w:rPr>
                <w:sz w:val="5"/>
                <w:szCs w:val="5"/>
                <w:color w:val="auto"/>
              </w:rPr>
            </w:pPr>
          </w:p>
        </w:tc>
        <w:tc>
          <w:tcPr>
            <w:tcW w:w="520" w:type="dxa"/>
            <w:vAlign w:val="bottom"/>
            <w:tcBorders>
              <w:bottom w:val="single" w:sz="8" w:color="A3A7A9"/>
            </w:tcBorders>
            <w:shd w:val="clear" w:color="auto" w:fill="D7D8D6"/>
          </w:tcPr>
          <w:p>
            <w:pPr>
              <w:spacing w:after="0"/>
              <w:rPr>
                <w:sz w:val="5"/>
                <w:szCs w:val="5"/>
                <w:color w:val="auto"/>
              </w:rPr>
            </w:pPr>
          </w:p>
        </w:tc>
        <w:tc>
          <w:tcPr>
            <w:tcW w:w="1040" w:type="dxa"/>
            <w:vAlign w:val="bottom"/>
            <w:tcBorders>
              <w:bottom w:val="single" w:sz="8" w:color="A3A7A9"/>
            </w:tcBorders>
            <w:shd w:val="clear" w:color="auto" w:fill="D7D8D6"/>
          </w:tcPr>
          <w:p>
            <w:pPr>
              <w:spacing w:after="0"/>
              <w:rPr>
                <w:sz w:val="5"/>
                <w:szCs w:val="5"/>
                <w:color w:val="auto"/>
              </w:rPr>
            </w:pPr>
          </w:p>
        </w:tc>
        <w:tc>
          <w:tcPr>
            <w:tcW w:w="900" w:type="dxa"/>
            <w:vAlign w:val="bottom"/>
            <w:tcBorders>
              <w:bottom w:val="single" w:sz="8" w:color="A3A7A9"/>
            </w:tcBorders>
            <w:shd w:val="clear" w:color="auto" w:fill="D7D8D6"/>
          </w:tcPr>
          <w:p>
            <w:pPr>
              <w:spacing w:after="0"/>
              <w:rPr>
                <w:sz w:val="5"/>
                <w:szCs w:val="5"/>
                <w:color w:val="auto"/>
              </w:rPr>
            </w:pPr>
          </w:p>
        </w:tc>
        <w:tc>
          <w:tcPr>
            <w:tcW w:w="540" w:type="dxa"/>
            <w:vAlign w:val="bottom"/>
            <w:tcBorders>
              <w:bottom w:val="single" w:sz="8" w:color="A3A7A9"/>
            </w:tcBorders>
            <w:shd w:val="clear" w:color="auto" w:fill="D7D8D6"/>
          </w:tcPr>
          <w:p>
            <w:pPr>
              <w:spacing w:after="0"/>
              <w:rPr>
                <w:sz w:val="5"/>
                <w:szCs w:val="5"/>
                <w:color w:val="auto"/>
              </w:rPr>
            </w:pPr>
          </w:p>
        </w:tc>
        <w:tc>
          <w:tcPr>
            <w:tcW w:w="860" w:type="dxa"/>
            <w:vAlign w:val="bottom"/>
            <w:tcBorders>
              <w:bottom w:val="single" w:sz="8" w:color="A3A7A9"/>
            </w:tcBorders>
            <w:shd w:val="clear" w:color="auto" w:fill="D7D8D6"/>
          </w:tcPr>
          <w:p>
            <w:pPr>
              <w:spacing w:after="0"/>
              <w:rPr>
                <w:sz w:val="5"/>
                <w:szCs w:val="5"/>
                <w:color w:val="auto"/>
              </w:rPr>
            </w:pPr>
          </w:p>
        </w:tc>
        <w:tc>
          <w:tcPr>
            <w:tcW w:w="1040" w:type="dxa"/>
            <w:vAlign w:val="bottom"/>
            <w:tcBorders>
              <w:bottom w:val="single" w:sz="8" w:color="A3A7A9"/>
            </w:tcBorders>
            <w:shd w:val="clear" w:color="auto" w:fill="D7D8D6"/>
          </w:tcPr>
          <w:p>
            <w:pPr>
              <w:spacing w:after="0"/>
              <w:rPr>
                <w:sz w:val="5"/>
                <w:szCs w:val="5"/>
                <w:color w:val="auto"/>
              </w:rPr>
            </w:pPr>
          </w:p>
        </w:tc>
        <w:tc>
          <w:tcPr>
            <w:tcW w:w="880" w:type="dxa"/>
            <w:vAlign w:val="bottom"/>
            <w:tcBorders>
              <w:bottom w:val="single" w:sz="8" w:color="A3A7A9"/>
            </w:tcBorders>
            <w:shd w:val="clear" w:color="auto" w:fill="D7D8D6"/>
          </w:tcPr>
          <w:p>
            <w:pPr>
              <w:spacing w:after="0"/>
              <w:rPr>
                <w:sz w:val="5"/>
                <w:szCs w:val="5"/>
                <w:color w:val="auto"/>
              </w:rPr>
            </w:pPr>
          </w:p>
        </w:tc>
        <w:tc>
          <w:tcPr>
            <w:tcW w:w="700" w:type="dxa"/>
            <w:vAlign w:val="bottom"/>
            <w:tcBorders>
              <w:bottom w:val="single" w:sz="8" w:color="A3A7A9"/>
            </w:tcBorders>
            <w:shd w:val="clear" w:color="auto" w:fill="D7D8D6"/>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shd w:val="clear" w:color="auto" w:fill="D7D8D6"/>
          </w:tcPr>
          <w:p>
            <w:pPr>
              <w:spacing w:after="0"/>
              <w:rPr>
                <w:sz w:val="10"/>
                <w:szCs w:val="10"/>
                <w:color w:val="auto"/>
              </w:rPr>
            </w:pPr>
          </w:p>
        </w:tc>
        <w:tc>
          <w:tcPr>
            <w:tcW w:w="900" w:type="dxa"/>
            <w:vAlign w:val="bottom"/>
            <w:shd w:val="clear" w:color="auto" w:fill="D7D8D6"/>
          </w:tcPr>
          <w:p>
            <w:pPr>
              <w:ind w:left="60"/>
              <w:spacing w:after="0"/>
              <w:rPr>
                <w:sz w:val="20"/>
                <w:szCs w:val="20"/>
                <w:color w:val="auto"/>
              </w:rPr>
            </w:pPr>
            <w:r>
              <w:rPr>
                <w:rFonts w:ascii="Arial" w:cs="Arial" w:eastAsia="Arial" w:hAnsi="Arial"/>
                <w:sz w:val="10"/>
                <w:szCs w:val="10"/>
                <w:color w:val="333740"/>
              </w:rPr>
              <w:t>RSU</w:t>
            </w:r>
          </w:p>
        </w:tc>
        <w:tc>
          <w:tcPr>
            <w:tcW w:w="88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shd w:val="clear" w:color="auto" w:fill="D7D8D6"/>
          </w:tcPr>
          <w:p>
            <w:pPr>
              <w:spacing w:after="0"/>
              <w:rPr>
                <w:sz w:val="10"/>
                <w:szCs w:val="10"/>
                <w:color w:val="auto"/>
              </w:rPr>
            </w:pPr>
          </w:p>
        </w:tc>
        <w:tc>
          <w:tcPr>
            <w:tcW w:w="1280" w:type="dxa"/>
            <w:vAlign w:val="bottom"/>
            <w:shd w:val="clear" w:color="auto" w:fill="D7D8D6"/>
          </w:tcPr>
          <w:p>
            <w:pPr>
              <w:spacing w:after="0"/>
              <w:rPr>
                <w:sz w:val="10"/>
                <w:szCs w:val="10"/>
                <w:color w:val="auto"/>
              </w:rPr>
            </w:pPr>
          </w:p>
        </w:tc>
        <w:tc>
          <w:tcPr>
            <w:tcW w:w="520" w:type="dxa"/>
            <w:vAlign w:val="bottom"/>
            <w:shd w:val="clear" w:color="auto" w:fill="D7D8D6"/>
          </w:tcPr>
          <w:p>
            <w:pPr>
              <w:spacing w:after="0"/>
              <w:rPr>
                <w:sz w:val="10"/>
                <w:szCs w:val="10"/>
                <w:color w:val="auto"/>
              </w:rPr>
            </w:pPr>
          </w:p>
        </w:tc>
        <w:tc>
          <w:tcPr>
            <w:tcW w:w="1040" w:type="dxa"/>
            <w:vAlign w:val="bottom"/>
            <w:shd w:val="clear" w:color="auto" w:fill="D7D8D6"/>
          </w:tcPr>
          <w:p>
            <w:pPr>
              <w:spacing w:after="0"/>
              <w:rPr>
                <w:sz w:val="10"/>
                <w:szCs w:val="10"/>
                <w:color w:val="auto"/>
              </w:rPr>
            </w:pPr>
          </w:p>
        </w:tc>
        <w:tc>
          <w:tcPr>
            <w:tcW w:w="900" w:type="dxa"/>
            <w:vAlign w:val="bottom"/>
            <w:shd w:val="clear" w:color="auto" w:fill="D7D8D6"/>
          </w:tcPr>
          <w:p>
            <w:pPr>
              <w:spacing w:after="0"/>
              <w:rPr>
                <w:sz w:val="10"/>
                <w:szCs w:val="10"/>
                <w:color w:val="auto"/>
              </w:rPr>
            </w:pPr>
          </w:p>
        </w:tc>
        <w:tc>
          <w:tcPr>
            <w:tcW w:w="540" w:type="dxa"/>
            <w:vAlign w:val="bottom"/>
            <w:shd w:val="clear" w:color="auto" w:fill="D7D8D6"/>
          </w:tcPr>
          <w:p>
            <w:pPr>
              <w:spacing w:after="0"/>
              <w:rPr>
                <w:sz w:val="10"/>
                <w:szCs w:val="10"/>
                <w:color w:val="auto"/>
              </w:rPr>
            </w:pPr>
          </w:p>
        </w:tc>
        <w:tc>
          <w:tcPr>
            <w:tcW w:w="86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29,551</w:t>
            </w:r>
          </w:p>
        </w:tc>
        <w:tc>
          <w:tcPr>
            <w:tcW w:w="1040" w:type="dxa"/>
            <w:vAlign w:val="bottom"/>
            <w:shd w:val="clear" w:color="auto" w:fill="D7D8D6"/>
          </w:tcPr>
          <w:p>
            <w:pPr>
              <w:spacing w:after="0"/>
              <w:rPr>
                <w:sz w:val="10"/>
                <w:szCs w:val="10"/>
                <w:color w:val="auto"/>
              </w:rPr>
            </w:pPr>
          </w:p>
        </w:tc>
        <w:tc>
          <w:tcPr>
            <w:tcW w:w="880" w:type="dxa"/>
            <w:vAlign w:val="bottom"/>
            <w:shd w:val="clear" w:color="auto" w:fill="D7D8D6"/>
          </w:tcPr>
          <w:p>
            <w:pPr>
              <w:spacing w:after="0"/>
              <w:rPr>
                <w:sz w:val="10"/>
                <w:szCs w:val="10"/>
                <w:color w:val="auto"/>
              </w:rPr>
            </w:pPr>
          </w:p>
        </w:tc>
        <w:tc>
          <w:tcPr>
            <w:tcW w:w="70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619,980</w:t>
            </w:r>
          </w:p>
        </w:tc>
        <w:tc>
          <w:tcPr>
            <w:tcW w:w="0" w:type="dxa"/>
            <w:vAlign w:val="bottom"/>
          </w:tcPr>
          <w:p>
            <w:pPr>
              <w:spacing w:after="0"/>
              <w:rPr>
                <w:sz w:val="1"/>
                <w:szCs w:val="1"/>
                <w:color w:val="auto"/>
              </w:rPr>
            </w:pPr>
          </w:p>
        </w:tc>
      </w:tr>
      <w:tr>
        <w:trPr>
          <w:trHeight w:val="71"/>
        </w:trPr>
        <w:tc>
          <w:tcPr>
            <w:tcW w:w="920" w:type="dxa"/>
            <w:vAlign w:val="bottom"/>
            <w:tcBorders>
              <w:bottom w:val="single" w:sz="8" w:color="D7D8D6"/>
            </w:tcBorders>
            <w:shd w:val="clear" w:color="auto" w:fill="D7D8D6"/>
          </w:tcPr>
          <w:p>
            <w:pPr>
              <w:spacing w:after="0"/>
              <w:rPr>
                <w:sz w:val="6"/>
                <w:szCs w:val="6"/>
                <w:color w:val="auto"/>
              </w:rPr>
            </w:pPr>
          </w:p>
        </w:tc>
        <w:tc>
          <w:tcPr>
            <w:tcW w:w="900" w:type="dxa"/>
            <w:vAlign w:val="bottom"/>
            <w:tcBorders>
              <w:bottom w:val="single" w:sz="8" w:color="A3A7A9"/>
            </w:tcBorders>
            <w:shd w:val="clear" w:color="auto" w:fill="D7D8D6"/>
          </w:tcPr>
          <w:p>
            <w:pPr>
              <w:spacing w:after="0"/>
              <w:rPr>
                <w:sz w:val="6"/>
                <w:szCs w:val="6"/>
                <w:color w:val="auto"/>
              </w:rPr>
            </w:pPr>
          </w:p>
        </w:tc>
        <w:tc>
          <w:tcPr>
            <w:tcW w:w="880" w:type="dxa"/>
            <w:vAlign w:val="bottom"/>
            <w:tcBorders>
              <w:bottom w:val="single" w:sz="8" w:color="A3A7A9"/>
            </w:tcBorders>
            <w:shd w:val="clear" w:color="auto" w:fill="D7D8D6"/>
          </w:tcPr>
          <w:p>
            <w:pPr>
              <w:spacing w:after="0"/>
              <w:rPr>
                <w:sz w:val="6"/>
                <w:szCs w:val="6"/>
                <w:color w:val="auto"/>
              </w:rPr>
            </w:pPr>
          </w:p>
        </w:tc>
        <w:tc>
          <w:tcPr>
            <w:tcW w:w="800" w:type="dxa"/>
            <w:vAlign w:val="bottom"/>
            <w:tcBorders>
              <w:bottom w:val="single" w:sz="8" w:color="A3A7A9"/>
            </w:tcBorders>
            <w:shd w:val="clear" w:color="auto" w:fill="D7D8D6"/>
          </w:tcPr>
          <w:p>
            <w:pPr>
              <w:spacing w:after="0"/>
              <w:rPr>
                <w:sz w:val="6"/>
                <w:szCs w:val="6"/>
                <w:color w:val="auto"/>
              </w:rPr>
            </w:pPr>
          </w:p>
        </w:tc>
        <w:tc>
          <w:tcPr>
            <w:tcW w:w="1280" w:type="dxa"/>
            <w:vAlign w:val="bottom"/>
            <w:tcBorders>
              <w:bottom w:val="single" w:sz="8" w:color="A3A7A9"/>
            </w:tcBorders>
            <w:shd w:val="clear" w:color="auto" w:fill="D7D8D6"/>
          </w:tcPr>
          <w:p>
            <w:pPr>
              <w:spacing w:after="0"/>
              <w:rPr>
                <w:sz w:val="6"/>
                <w:szCs w:val="6"/>
                <w:color w:val="auto"/>
              </w:rPr>
            </w:pPr>
          </w:p>
        </w:tc>
        <w:tc>
          <w:tcPr>
            <w:tcW w:w="520" w:type="dxa"/>
            <w:vAlign w:val="bottom"/>
            <w:tcBorders>
              <w:bottom w:val="single" w:sz="8" w:color="A3A7A9"/>
            </w:tcBorders>
            <w:shd w:val="clear" w:color="auto" w:fill="D7D8D6"/>
          </w:tcPr>
          <w:p>
            <w:pPr>
              <w:spacing w:after="0"/>
              <w:rPr>
                <w:sz w:val="6"/>
                <w:szCs w:val="6"/>
                <w:color w:val="auto"/>
              </w:rPr>
            </w:pPr>
          </w:p>
        </w:tc>
        <w:tc>
          <w:tcPr>
            <w:tcW w:w="1040" w:type="dxa"/>
            <w:vAlign w:val="bottom"/>
            <w:tcBorders>
              <w:bottom w:val="single" w:sz="8" w:color="A3A7A9"/>
            </w:tcBorders>
            <w:shd w:val="clear" w:color="auto" w:fill="D7D8D6"/>
          </w:tcPr>
          <w:p>
            <w:pPr>
              <w:spacing w:after="0"/>
              <w:rPr>
                <w:sz w:val="6"/>
                <w:szCs w:val="6"/>
                <w:color w:val="auto"/>
              </w:rPr>
            </w:pPr>
          </w:p>
        </w:tc>
        <w:tc>
          <w:tcPr>
            <w:tcW w:w="900" w:type="dxa"/>
            <w:vAlign w:val="bottom"/>
            <w:tcBorders>
              <w:bottom w:val="single" w:sz="8" w:color="A3A7A9"/>
            </w:tcBorders>
            <w:shd w:val="clear" w:color="auto" w:fill="D7D8D6"/>
          </w:tcPr>
          <w:p>
            <w:pPr>
              <w:spacing w:after="0"/>
              <w:rPr>
                <w:sz w:val="6"/>
                <w:szCs w:val="6"/>
                <w:color w:val="auto"/>
              </w:rPr>
            </w:pPr>
          </w:p>
        </w:tc>
        <w:tc>
          <w:tcPr>
            <w:tcW w:w="540" w:type="dxa"/>
            <w:vAlign w:val="bottom"/>
            <w:tcBorders>
              <w:bottom w:val="single" w:sz="8" w:color="A3A7A9"/>
            </w:tcBorders>
            <w:shd w:val="clear" w:color="auto" w:fill="D7D8D6"/>
          </w:tcPr>
          <w:p>
            <w:pPr>
              <w:spacing w:after="0"/>
              <w:rPr>
                <w:sz w:val="6"/>
                <w:szCs w:val="6"/>
                <w:color w:val="auto"/>
              </w:rPr>
            </w:pPr>
          </w:p>
        </w:tc>
        <w:tc>
          <w:tcPr>
            <w:tcW w:w="860" w:type="dxa"/>
            <w:vAlign w:val="bottom"/>
            <w:tcBorders>
              <w:bottom w:val="single" w:sz="8" w:color="A3A7A9"/>
            </w:tcBorders>
            <w:shd w:val="clear" w:color="auto" w:fill="D7D8D6"/>
          </w:tcPr>
          <w:p>
            <w:pPr>
              <w:spacing w:after="0"/>
              <w:rPr>
                <w:sz w:val="6"/>
                <w:szCs w:val="6"/>
                <w:color w:val="auto"/>
              </w:rPr>
            </w:pPr>
          </w:p>
        </w:tc>
        <w:tc>
          <w:tcPr>
            <w:tcW w:w="1040" w:type="dxa"/>
            <w:vAlign w:val="bottom"/>
            <w:tcBorders>
              <w:bottom w:val="single" w:sz="8" w:color="A3A7A9"/>
            </w:tcBorders>
            <w:shd w:val="clear" w:color="auto" w:fill="D7D8D6"/>
          </w:tcPr>
          <w:p>
            <w:pPr>
              <w:spacing w:after="0"/>
              <w:rPr>
                <w:sz w:val="6"/>
                <w:szCs w:val="6"/>
                <w:color w:val="auto"/>
              </w:rPr>
            </w:pPr>
          </w:p>
        </w:tc>
        <w:tc>
          <w:tcPr>
            <w:tcW w:w="880" w:type="dxa"/>
            <w:vAlign w:val="bottom"/>
            <w:tcBorders>
              <w:bottom w:val="single" w:sz="8" w:color="A3A7A9"/>
            </w:tcBorders>
            <w:shd w:val="clear" w:color="auto" w:fill="D7D8D6"/>
          </w:tcPr>
          <w:p>
            <w:pPr>
              <w:spacing w:after="0"/>
              <w:rPr>
                <w:sz w:val="6"/>
                <w:szCs w:val="6"/>
                <w:color w:val="auto"/>
              </w:rPr>
            </w:pPr>
          </w:p>
        </w:tc>
        <w:tc>
          <w:tcPr>
            <w:tcW w:w="700" w:type="dxa"/>
            <w:vAlign w:val="bottom"/>
            <w:tcBorders>
              <w:bottom w:val="single" w:sz="8" w:color="A3A7A9"/>
            </w:tcBorders>
            <w:shd w:val="clear" w:color="auto" w:fill="D7D8D6"/>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shd w:val="clear" w:color="auto" w:fill="D7D8D6"/>
          </w:tcPr>
          <w:p>
            <w:pPr>
              <w:spacing w:after="0"/>
              <w:rPr>
                <w:sz w:val="10"/>
                <w:szCs w:val="10"/>
                <w:color w:val="auto"/>
              </w:rPr>
            </w:pPr>
          </w:p>
        </w:tc>
        <w:tc>
          <w:tcPr>
            <w:tcW w:w="900" w:type="dxa"/>
            <w:vAlign w:val="bottom"/>
            <w:shd w:val="clear" w:color="auto" w:fill="D7D8D6"/>
          </w:tcPr>
          <w:p>
            <w:pPr>
              <w:ind w:left="60"/>
              <w:spacing w:after="0"/>
              <w:rPr>
                <w:sz w:val="20"/>
                <w:szCs w:val="20"/>
                <w:color w:val="auto"/>
              </w:rPr>
            </w:pPr>
            <w:r>
              <w:rPr>
                <w:rFonts w:ascii="Arial" w:cs="Arial" w:eastAsia="Arial" w:hAnsi="Arial"/>
                <w:sz w:val="10"/>
                <w:szCs w:val="10"/>
                <w:color w:val="333740"/>
              </w:rPr>
              <w:t>PSU-ROIC</w:t>
            </w:r>
          </w:p>
        </w:tc>
        <w:tc>
          <w:tcPr>
            <w:tcW w:w="88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shd w:val="clear" w:color="auto" w:fill="D7D8D6"/>
          </w:tcPr>
          <w:p>
            <w:pPr>
              <w:spacing w:after="0"/>
              <w:rPr>
                <w:sz w:val="10"/>
                <w:szCs w:val="10"/>
                <w:color w:val="auto"/>
              </w:rPr>
            </w:pPr>
          </w:p>
        </w:tc>
        <w:tc>
          <w:tcPr>
            <w:tcW w:w="1280" w:type="dxa"/>
            <w:vAlign w:val="bottom"/>
            <w:shd w:val="clear" w:color="auto" w:fill="D7D8D6"/>
          </w:tcPr>
          <w:p>
            <w:pPr>
              <w:spacing w:after="0"/>
              <w:rPr>
                <w:sz w:val="10"/>
                <w:szCs w:val="10"/>
                <w:color w:val="auto"/>
              </w:rPr>
            </w:pPr>
          </w:p>
        </w:tc>
        <w:tc>
          <w:tcPr>
            <w:tcW w:w="520" w:type="dxa"/>
            <w:vAlign w:val="bottom"/>
            <w:shd w:val="clear" w:color="auto" w:fill="D7D8D6"/>
          </w:tcPr>
          <w:p>
            <w:pPr>
              <w:spacing w:after="0"/>
              <w:rPr>
                <w:sz w:val="10"/>
                <w:szCs w:val="10"/>
                <w:color w:val="auto"/>
              </w:rPr>
            </w:pPr>
          </w:p>
        </w:tc>
        <w:tc>
          <w:tcPr>
            <w:tcW w:w="1040" w:type="dxa"/>
            <w:vAlign w:val="bottom"/>
            <w:shd w:val="clear" w:color="auto" w:fill="D7D8D6"/>
          </w:tcPr>
          <w:p>
            <w:pPr>
              <w:jc w:val="right"/>
              <w:ind w:right="172"/>
              <w:spacing w:after="0"/>
              <w:rPr>
                <w:sz w:val="20"/>
                <w:szCs w:val="20"/>
                <w:color w:val="auto"/>
              </w:rPr>
            </w:pPr>
            <w:r>
              <w:rPr>
                <w:rFonts w:ascii="Arial" w:cs="Arial" w:eastAsia="Arial" w:hAnsi="Arial"/>
                <w:sz w:val="10"/>
                <w:szCs w:val="10"/>
                <w:color w:val="333740"/>
              </w:rPr>
              <w:t>—</w:t>
            </w:r>
          </w:p>
        </w:tc>
        <w:tc>
          <w:tcPr>
            <w:tcW w:w="900" w:type="dxa"/>
            <w:vAlign w:val="bottom"/>
            <w:shd w:val="clear" w:color="auto" w:fill="D7D8D6"/>
          </w:tcPr>
          <w:p>
            <w:pPr>
              <w:jc w:val="right"/>
              <w:ind w:right="272"/>
              <w:spacing w:after="0"/>
              <w:rPr>
                <w:sz w:val="20"/>
                <w:szCs w:val="20"/>
                <w:color w:val="auto"/>
              </w:rPr>
            </w:pPr>
            <w:r>
              <w:rPr>
                <w:rFonts w:ascii="Arial" w:cs="Arial" w:eastAsia="Arial" w:hAnsi="Arial"/>
                <w:sz w:val="10"/>
                <w:szCs w:val="10"/>
                <w:color w:val="333740"/>
              </w:rPr>
              <w:t>44,327</w:t>
            </w:r>
          </w:p>
        </w:tc>
        <w:tc>
          <w:tcPr>
            <w:tcW w:w="54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88,654</w:t>
            </w:r>
          </w:p>
        </w:tc>
        <w:tc>
          <w:tcPr>
            <w:tcW w:w="860" w:type="dxa"/>
            <w:vAlign w:val="bottom"/>
            <w:shd w:val="clear" w:color="auto" w:fill="D7D8D6"/>
          </w:tcPr>
          <w:p>
            <w:pPr>
              <w:spacing w:after="0"/>
              <w:rPr>
                <w:sz w:val="10"/>
                <w:szCs w:val="10"/>
                <w:color w:val="auto"/>
              </w:rPr>
            </w:pPr>
          </w:p>
        </w:tc>
        <w:tc>
          <w:tcPr>
            <w:tcW w:w="1040" w:type="dxa"/>
            <w:vAlign w:val="bottom"/>
            <w:shd w:val="clear" w:color="auto" w:fill="D7D8D6"/>
          </w:tcPr>
          <w:p>
            <w:pPr>
              <w:spacing w:after="0"/>
              <w:rPr>
                <w:sz w:val="10"/>
                <w:szCs w:val="10"/>
                <w:color w:val="auto"/>
              </w:rPr>
            </w:pPr>
          </w:p>
        </w:tc>
        <w:tc>
          <w:tcPr>
            <w:tcW w:w="880" w:type="dxa"/>
            <w:vAlign w:val="bottom"/>
            <w:shd w:val="clear" w:color="auto" w:fill="D7D8D6"/>
          </w:tcPr>
          <w:p>
            <w:pPr>
              <w:spacing w:after="0"/>
              <w:rPr>
                <w:sz w:val="10"/>
                <w:szCs w:val="10"/>
                <w:color w:val="auto"/>
              </w:rPr>
            </w:pPr>
          </w:p>
        </w:tc>
        <w:tc>
          <w:tcPr>
            <w:tcW w:w="70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929,980</w:t>
            </w:r>
          </w:p>
        </w:tc>
        <w:tc>
          <w:tcPr>
            <w:tcW w:w="0" w:type="dxa"/>
            <w:vAlign w:val="bottom"/>
          </w:tcPr>
          <w:p>
            <w:pPr>
              <w:spacing w:after="0"/>
              <w:rPr>
                <w:sz w:val="1"/>
                <w:szCs w:val="1"/>
                <w:color w:val="auto"/>
              </w:rPr>
            </w:pPr>
          </w:p>
        </w:tc>
      </w:tr>
      <w:tr>
        <w:trPr>
          <w:trHeight w:val="71"/>
        </w:trPr>
        <w:tc>
          <w:tcPr>
            <w:tcW w:w="920" w:type="dxa"/>
            <w:vAlign w:val="bottom"/>
            <w:tcBorders>
              <w:bottom w:val="single" w:sz="8" w:color="D7D8D6"/>
            </w:tcBorders>
            <w:shd w:val="clear" w:color="auto" w:fill="D7D8D6"/>
          </w:tcPr>
          <w:p>
            <w:pPr>
              <w:spacing w:after="0"/>
              <w:rPr>
                <w:sz w:val="6"/>
                <w:szCs w:val="6"/>
                <w:color w:val="auto"/>
              </w:rPr>
            </w:pPr>
          </w:p>
        </w:tc>
        <w:tc>
          <w:tcPr>
            <w:tcW w:w="900" w:type="dxa"/>
            <w:vAlign w:val="bottom"/>
            <w:tcBorders>
              <w:bottom w:val="single" w:sz="8" w:color="A3A7A9"/>
            </w:tcBorders>
            <w:shd w:val="clear" w:color="auto" w:fill="D7D8D6"/>
          </w:tcPr>
          <w:p>
            <w:pPr>
              <w:spacing w:after="0"/>
              <w:rPr>
                <w:sz w:val="6"/>
                <w:szCs w:val="6"/>
                <w:color w:val="auto"/>
              </w:rPr>
            </w:pPr>
          </w:p>
        </w:tc>
        <w:tc>
          <w:tcPr>
            <w:tcW w:w="880" w:type="dxa"/>
            <w:vAlign w:val="bottom"/>
            <w:tcBorders>
              <w:bottom w:val="single" w:sz="8" w:color="A3A7A9"/>
            </w:tcBorders>
            <w:shd w:val="clear" w:color="auto" w:fill="D7D8D6"/>
          </w:tcPr>
          <w:p>
            <w:pPr>
              <w:spacing w:after="0"/>
              <w:rPr>
                <w:sz w:val="6"/>
                <w:szCs w:val="6"/>
                <w:color w:val="auto"/>
              </w:rPr>
            </w:pPr>
          </w:p>
        </w:tc>
        <w:tc>
          <w:tcPr>
            <w:tcW w:w="800" w:type="dxa"/>
            <w:vAlign w:val="bottom"/>
            <w:tcBorders>
              <w:bottom w:val="single" w:sz="8" w:color="A3A7A9"/>
            </w:tcBorders>
            <w:shd w:val="clear" w:color="auto" w:fill="D7D8D6"/>
          </w:tcPr>
          <w:p>
            <w:pPr>
              <w:spacing w:after="0"/>
              <w:rPr>
                <w:sz w:val="6"/>
                <w:szCs w:val="6"/>
                <w:color w:val="auto"/>
              </w:rPr>
            </w:pPr>
          </w:p>
        </w:tc>
        <w:tc>
          <w:tcPr>
            <w:tcW w:w="1280" w:type="dxa"/>
            <w:vAlign w:val="bottom"/>
            <w:tcBorders>
              <w:bottom w:val="single" w:sz="8" w:color="A3A7A9"/>
            </w:tcBorders>
            <w:shd w:val="clear" w:color="auto" w:fill="D7D8D6"/>
          </w:tcPr>
          <w:p>
            <w:pPr>
              <w:spacing w:after="0"/>
              <w:rPr>
                <w:sz w:val="6"/>
                <w:szCs w:val="6"/>
                <w:color w:val="auto"/>
              </w:rPr>
            </w:pPr>
          </w:p>
        </w:tc>
        <w:tc>
          <w:tcPr>
            <w:tcW w:w="520" w:type="dxa"/>
            <w:vAlign w:val="bottom"/>
            <w:tcBorders>
              <w:bottom w:val="single" w:sz="8" w:color="A3A7A9"/>
            </w:tcBorders>
            <w:shd w:val="clear" w:color="auto" w:fill="D7D8D6"/>
          </w:tcPr>
          <w:p>
            <w:pPr>
              <w:spacing w:after="0"/>
              <w:rPr>
                <w:sz w:val="6"/>
                <w:szCs w:val="6"/>
                <w:color w:val="auto"/>
              </w:rPr>
            </w:pPr>
          </w:p>
        </w:tc>
        <w:tc>
          <w:tcPr>
            <w:tcW w:w="1040" w:type="dxa"/>
            <w:vAlign w:val="bottom"/>
            <w:tcBorders>
              <w:bottom w:val="single" w:sz="8" w:color="A3A7A9"/>
            </w:tcBorders>
            <w:shd w:val="clear" w:color="auto" w:fill="D7D8D6"/>
          </w:tcPr>
          <w:p>
            <w:pPr>
              <w:spacing w:after="0"/>
              <w:rPr>
                <w:sz w:val="6"/>
                <w:szCs w:val="6"/>
                <w:color w:val="auto"/>
              </w:rPr>
            </w:pPr>
          </w:p>
        </w:tc>
        <w:tc>
          <w:tcPr>
            <w:tcW w:w="900" w:type="dxa"/>
            <w:vAlign w:val="bottom"/>
            <w:tcBorders>
              <w:bottom w:val="single" w:sz="8" w:color="A3A7A9"/>
            </w:tcBorders>
            <w:shd w:val="clear" w:color="auto" w:fill="D7D8D6"/>
          </w:tcPr>
          <w:p>
            <w:pPr>
              <w:spacing w:after="0"/>
              <w:rPr>
                <w:sz w:val="6"/>
                <w:szCs w:val="6"/>
                <w:color w:val="auto"/>
              </w:rPr>
            </w:pPr>
          </w:p>
        </w:tc>
        <w:tc>
          <w:tcPr>
            <w:tcW w:w="540" w:type="dxa"/>
            <w:vAlign w:val="bottom"/>
            <w:tcBorders>
              <w:bottom w:val="single" w:sz="8" w:color="A3A7A9"/>
            </w:tcBorders>
            <w:shd w:val="clear" w:color="auto" w:fill="D7D8D6"/>
          </w:tcPr>
          <w:p>
            <w:pPr>
              <w:spacing w:after="0"/>
              <w:rPr>
                <w:sz w:val="6"/>
                <w:szCs w:val="6"/>
                <w:color w:val="auto"/>
              </w:rPr>
            </w:pPr>
          </w:p>
        </w:tc>
        <w:tc>
          <w:tcPr>
            <w:tcW w:w="860" w:type="dxa"/>
            <w:vAlign w:val="bottom"/>
            <w:tcBorders>
              <w:bottom w:val="single" w:sz="8" w:color="A3A7A9"/>
            </w:tcBorders>
            <w:shd w:val="clear" w:color="auto" w:fill="D7D8D6"/>
          </w:tcPr>
          <w:p>
            <w:pPr>
              <w:spacing w:after="0"/>
              <w:rPr>
                <w:sz w:val="6"/>
                <w:szCs w:val="6"/>
                <w:color w:val="auto"/>
              </w:rPr>
            </w:pPr>
          </w:p>
        </w:tc>
        <w:tc>
          <w:tcPr>
            <w:tcW w:w="1040" w:type="dxa"/>
            <w:vAlign w:val="bottom"/>
            <w:tcBorders>
              <w:bottom w:val="single" w:sz="8" w:color="A3A7A9"/>
            </w:tcBorders>
            <w:shd w:val="clear" w:color="auto" w:fill="D7D8D6"/>
          </w:tcPr>
          <w:p>
            <w:pPr>
              <w:spacing w:after="0"/>
              <w:rPr>
                <w:sz w:val="6"/>
                <w:szCs w:val="6"/>
                <w:color w:val="auto"/>
              </w:rPr>
            </w:pPr>
          </w:p>
        </w:tc>
        <w:tc>
          <w:tcPr>
            <w:tcW w:w="880" w:type="dxa"/>
            <w:vAlign w:val="bottom"/>
            <w:tcBorders>
              <w:bottom w:val="single" w:sz="8" w:color="A3A7A9"/>
            </w:tcBorders>
            <w:shd w:val="clear" w:color="auto" w:fill="D7D8D6"/>
          </w:tcPr>
          <w:p>
            <w:pPr>
              <w:spacing w:after="0"/>
              <w:rPr>
                <w:sz w:val="6"/>
                <w:szCs w:val="6"/>
                <w:color w:val="auto"/>
              </w:rPr>
            </w:pPr>
          </w:p>
        </w:tc>
        <w:tc>
          <w:tcPr>
            <w:tcW w:w="700" w:type="dxa"/>
            <w:vAlign w:val="bottom"/>
            <w:tcBorders>
              <w:bottom w:val="single" w:sz="8" w:color="A3A7A9"/>
            </w:tcBorders>
            <w:shd w:val="clear" w:color="auto" w:fill="D7D8D6"/>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shd w:val="clear" w:color="auto" w:fill="D7D8D6"/>
          </w:tcPr>
          <w:p>
            <w:pPr>
              <w:spacing w:after="0"/>
              <w:rPr>
                <w:sz w:val="10"/>
                <w:szCs w:val="10"/>
                <w:color w:val="auto"/>
              </w:rPr>
            </w:pPr>
          </w:p>
        </w:tc>
        <w:tc>
          <w:tcPr>
            <w:tcW w:w="900" w:type="dxa"/>
            <w:vAlign w:val="bottom"/>
            <w:shd w:val="clear" w:color="auto" w:fill="D7D8D6"/>
          </w:tcPr>
          <w:p>
            <w:pPr>
              <w:ind w:left="60"/>
              <w:spacing w:after="0"/>
              <w:rPr>
                <w:sz w:val="20"/>
                <w:szCs w:val="20"/>
                <w:color w:val="auto"/>
              </w:rPr>
            </w:pPr>
            <w:r>
              <w:rPr>
                <w:rFonts w:ascii="Arial" w:cs="Arial" w:eastAsia="Arial" w:hAnsi="Arial"/>
                <w:sz w:val="10"/>
                <w:szCs w:val="10"/>
                <w:color w:val="333740"/>
              </w:rPr>
              <w:t>PSU-TSR</w:t>
            </w:r>
          </w:p>
        </w:tc>
        <w:tc>
          <w:tcPr>
            <w:tcW w:w="88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shd w:val="clear" w:color="auto" w:fill="D7D8D6"/>
          </w:tcPr>
          <w:p>
            <w:pPr>
              <w:spacing w:after="0"/>
              <w:rPr>
                <w:sz w:val="10"/>
                <w:szCs w:val="10"/>
                <w:color w:val="auto"/>
              </w:rPr>
            </w:pPr>
          </w:p>
        </w:tc>
        <w:tc>
          <w:tcPr>
            <w:tcW w:w="1280" w:type="dxa"/>
            <w:vAlign w:val="bottom"/>
            <w:shd w:val="clear" w:color="auto" w:fill="D7D8D6"/>
          </w:tcPr>
          <w:p>
            <w:pPr>
              <w:spacing w:after="0"/>
              <w:rPr>
                <w:sz w:val="10"/>
                <w:szCs w:val="10"/>
                <w:color w:val="auto"/>
              </w:rPr>
            </w:pPr>
          </w:p>
        </w:tc>
        <w:tc>
          <w:tcPr>
            <w:tcW w:w="520" w:type="dxa"/>
            <w:vAlign w:val="bottom"/>
            <w:shd w:val="clear" w:color="auto" w:fill="D7D8D6"/>
          </w:tcPr>
          <w:p>
            <w:pPr>
              <w:spacing w:after="0"/>
              <w:rPr>
                <w:sz w:val="10"/>
                <w:szCs w:val="10"/>
                <w:color w:val="auto"/>
              </w:rPr>
            </w:pPr>
          </w:p>
        </w:tc>
        <w:tc>
          <w:tcPr>
            <w:tcW w:w="1040" w:type="dxa"/>
            <w:vAlign w:val="bottom"/>
            <w:shd w:val="clear" w:color="auto" w:fill="D7D8D6"/>
          </w:tcPr>
          <w:p>
            <w:pPr>
              <w:jc w:val="right"/>
              <w:ind w:right="172"/>
              <w:spacing w:after="0"/>
              <w:rPr>
                <w:sz w:val="20"/>
                <w:szCs w:val="20"/>
                <w:color w:val="auto"/>
              </w:rPr>
            </w:pPr>
            <w:r>
              <w:rPr>
                <w:rFonts w:ascii="Arial" w:cs="Arial" w:eastAsia="Arial" w:hAnsi="Arial"/>
                <w:sz w:val="10"/>
                <w:szCs w:val="10"/>
                <w:color w:val="333740"/>
              </w:rPr>
              <w:t>—</w:t>
            </w:r>
          </w:p>
        </w:tc>
        <w:tc>
          <w:tcPr>
            <w:tcW w:w="900" w:type="dxa"/>
            <w:vAlign w:val="bottom"/>
            <w:shd w:val="clear" w:color="auto" w:fill="D7D8D6"/>
          </w:tcPr>
          <w:p>
            <w:pPr>
              <w:jc w:val="right"/>
              <w:ind w:right="272"/>
              <w:spacing w:after="0"/>
              <w:rPr>
                <w:sz w:val="20"/>
                <w:szCs w:val="20"/>
                <w:color w:val="auto"/>
              </w:rPr>
            </w:pPr>
            <w:r>
              <w:rPr>
                <w:rFonts w:ascii="Arial" w:cs="Arial" w:eastAsia="Arial" w:hAnsi="Arial"/>
                <w:sz w:val="10"/>
                <w:szCs w:val="10"/>
                <w:color w:val="333740"/>
              </w:rPr>
              <w:t>44,327</w:t>
            </w:r>
          </w:p>
        </w:tc>
        <w:tc>
          <w:tcPr>
            <w:tcW w:w="54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88,654</w:t>
            </w:r>
          </w:p>
        </w:tc>
        <w:tc>
          <w:tcPr>
            <w:tcW w:w="860" w:type="dxa"/>
            <w:vAlign w:val="bottom"/>
            <w:shd w:val="clear" w:color="auto" w:fill="D7D8D6"/>
          </w:tcPr>
          <w:p>
            <w:pPr>
              <w:spacing w:after="0"/>
              <w:rPr>
                <w:sz w:val="10"/>
                <w:szCs w:val="10"/>
                <w:color w:val="auto"/>
              </w:rPr>
            </w:pPr>
          </w:p>
        </w:tc>
        <w:tc>
          <w:tcPr>
            <w:tcW w:w="1040" w:type="dxa"/>
            <w:vAlign w:val="bottom"/>
            <w:shd w:val="clear" w:color="auto" w:fill="D7D8D6"/>
          </w:tcPr>
          <w:p>
            <w:pPr>
              <w:spacing w:after="0"/>
              <w:rPr>
                <w:sz w:val="10"/>
                <w:szCs w:val="10"/>
                <w:color w:val="auto"/>
              </w:rPr>
            </w:pPr>
          </w:p>
        </w:tc>
        <w:tc>
          <w:tcPr>
            <w:tcW w:w="880" w:type="dxa"/>
            <w:vAlign w:val="bottom"/>
            <w:shd w:val="clear" w:color="auto" w:fill="D7D8D6"/>
          </w:tcPr>
          <w:p>
            <w:pPr>
              <w:spacing w:after="0"/>
              <w:rPr>
                <w:sz w:val="10"/>
                <w:szCs w:val="10"/>
                <w:color w:val="auto"/>
              </w:rPr>
            </w:pPr>
          </w:p>
        </w:tc>
        <w:tc>
          <w:tcPr>
            <w:tcW w:w="70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1,287,256</w:t>
            </w:r>
          </w:p>
        </w:tc>
        <w:tc>
          <w:tcPr>
            <w:tcW w:w="0" w:type="dxa"/>
            <w:vAlign w:val="bottom"/>
          </w:tcPr>
          <w:p>
            <w:pPr>
              <w:spacing w:after="0"/>
              <w:rPr>
                <w:sz w:val="1"/>
                <w:szCs w:val="1"/>
                <w:color w:val="auto"/>
              </w:rPr>
            </w:pPr>
          </w:p>
        </w:tc>
      </w:tr>
      <w:tr>
        <w:trPr>
          <w:trHeight w:val="71"/>
        </w:trPr>
        <w:tc>
          <w:tcPr>
            <w:tcW w:w="920" w:type="dxa"/>
            <w:vAlign w:val="bottom"/>
            <w:tcBorders>
              <w:bottom w:val="single" w:sz="8" w:color="D7D8D6"/>
            </w:tcBorders>
            <w:shd w:val="clear" w:color="auto" w:fill="D7D8D6"/>
          </w:tcPr>
          <w:p>
            <w:pPr>
              <w:spacing w:after="0"/>
              <w:rPr>
                <w:sz w:val="6"/>
                <w:szCs w:val="6"/>
                <w:color w:val="auto"/>
              </w:rPr>
            </w:pPr>
          </w:p>
        </w:tc>
        <w:tc>
          <w:tcPr>
            <w:tcW w:w="900" w:type="dxa"/>
            <w:vAlign w:val="bottom"/>
            <w:tcBorders>
              <w:bottom w:val="single" w:sz="8" w:color="A3A7A9"/>
            </w:tcBorders>
            <w:shd w:val="clear" w:color="auto" w:fill="D7D8D6"/>
          </w:tcPr>
          <w:p>
            <w:pPr>
              <w:spacing w:after="0"/>
              <w:rPr>
                <w:sz w:val="6"/>
                <w:szCs w:val="6"/>
                <w:color w:val="auto"/>
              </w:rPr>
            </w:pPr>
          </w:p>
        </w:tc>
        <w:tc>
          <w:tcPr>
            <w:tcW w:w="880" w:type="dxa"/>
            <w:vAlign w:val="bottom"/>
            <w:tcBorders>
              <w:bottom w:val="single" w:sz="8" w:color="A3A7A9"/>
            </w:tcBorders>
            <w:shd w:val="clear" w:color="auto" w:fill="D7D8D6"/>
          </w:tcPr>
          <w:p>
            <w:pPr>
              <w:spacing w:after="0"/>
              <w:rPr>
                <w:sz w:val="6"/>
                <w:szCs w:val="6"/>
                <w:color w:val="auto"/>
              </w:rPr>
            </w:pPr>
          </w:p>
        </w:tc>
        <w:tc>
          <w:tcPr>
            <w:tcW w:w="800" w:type="dxa"/>
            <w:vAlign w:val="bottom"/>
            <w:tcBorders>
              <w:bottom w:val="single" w:sz="8" w:color="A3A7A9"/>
            </w:tcBorders>
            <w:shd w:val="clear" w:color="auto" w:fill="D7D8D6"/>
          </w:tcPr>
          <w:p>
            <w:pPr>
              <w:spacing w:after="0"/>
              <w:rPr>
                <w:sz w:val="6"/>
                <w:szCs w:val="6"/>
                <w:color w:val="auto"/>
              </w:rPr>
            </w:pPr>
          </w:p>
        </w:tc>
        <w:tc>
          <w:tcPr>
            <w:tcW w:w="1280" w:type="dxa"/>
            <w:vAlign w:val="bottom"/>
            <w:tcBorders>
              <w:bottom w:val="single" w:sz="8" w:color="A3A7A9"/>
            </w:tcBorders>
            <w:shd w:val="clear" w:color="auto" w:fill="D7D8D6"/>
          </w:tcPr>
          <w:p>
            <w:pPr>
              <w:spacing w:after="0"/>
              <w:rPr>
                <w:sz w:val="6"/>
                <w:szCs w:val="6"/>
                <w:color w:val="auto"/>
              </w:rPr>
            </w:pPr>
          </w:p>
        </w:tc>
        <w:tc>
          <w:tcPr>
            <w:tcW w:w="520" w:type="dxa"/>
            <w:vAlign w:val="bottom"/>
            <w:tcBorders>
              <w:bottom w:val="single" w:sz="8" w:color="A3A7A9"/>
            </w:tcBorders>
            <w:shd w:val="clear" w:color="auto" w:fill="D7D8D6"/>
          </w:tcPr>
          <w:p>
            <w:pPr>
              <w:spacing w:after="0"/>
              <w:rPr>
                <w:sz w:val="6"/>
                <w:szCs w:val="6"/>
                <w:color w:val="auto"/>
              </w:rPr>
            </w:pPr>
          </w:p>
        </w:tc>
        <w:tc>
          <w:tcPr>
            <w:tcW w:w="1040" w:type="dxa"/>
            <w:vAlign w:val="bottom"/>
            <w:tcBorders>
              <w:bottom w:val="single" w:sz="8" w:color="A3A7A9"/>
            </w:tcBorders>
            <w:shd w:val="clear" w:color="auto" w:fill="D7D8D6"/>
          </w:tcPr>
          <w:p>
            <w:pPr>
              <w:spacing w:after="0"/>
              <w:rPr>
                <w:sz w:val="6"/>
                <w:szCs w:val="6"/>
                <w:color w:val="auto"/>
              </w:rPr>
            </w:pPr>
          </w:p>
        </w:tc>
        <w:tc>
          <w:tcPr>
            <w:tcW w:w="900" w:type="dxa"/>
            <w:vAlign w:val="bottom"/>
            <w:tcBorders>
              <w:bottom w:val="single" w:sz="8" w:color="A3A7A9"/>
            </w:tcBorders>
            <w:shd w:val="clear" w:color="auto" w:fill="D7D8D6"/>
          </w:tcPr>
          <w:p>
            <w:pPr>
              <w:spacing w:after="0"/>
              <w:rPr>
                <w:sz w:val="6"/>
                <w:szCs w:val="6"/>
                <w:color w:val="auto"/>
              </w:rPr>
            </w:pPr>
          </w:p>
        </w:tc>
        <w:tc>
          <w:tcPr>
            <w:tcW w:w="540" w:type="dxa"/>
            <w:vAlign w:val="bottom"/>
            <w:tcBorders>
              <w:bottom w:val="single" w:sz="8" w:color="A3A7A9"/>
            </w:tcBorders>
            <w:shd w:val="clear" w:color="auto" w:fill="D7D8D6"/>
          </w:tcPr>
          <w:p>
            <w:pPr>
              <w:spacing w:after="0"/>
              <w:rPr>
                <w:sz w:val="6"/>
                <w:szCs w:val="6"/>
                <w:color w:val="auto"/>
              </w:rPr>
            </w:pPr>
          </w:p>
        </w:tc>
        <w:tc>
          <w:tcPr>
            <w:tcW w:w="860" w:type="dxa"/>
            <w:vAlign w:val="bottom"/>
            <w:tcBorders>
              <w:bottom w:val="single" w:sz="8" w:color="A3A7A9"/>
            </w:tcBorders>
            <w:shd w:val="clear" w:color="auto" w:fill="D7D8D6"/>
          </w:tcPr>
          <w:p>
            <w:pPr>
              <w:spacing w:after="0"/>
              <w:rPr>
                <w:sz w:val="6"/>
                <w:szCs w:val="6"/>
                <w:color w:val="auto"/>
              </w:rPr>
            </w:pPr>
          </w:p>
        </w:tc>
        <w:tc>
          <w:tcPr>
            <w:tcW w:w="1040" w:type="dxa"/>
            <w:vAlign w:val="bottom"/>
            <w:tcBorders>
              <w:bottom w:val="single" w:sz="8" w:color="A3A7A9"/>
            </w:tcBorders>
            <w:shd w:val="clear" w:color="auto" w:fill="D7D8D6"/>
          </w:tcPr>
          <w:p>
            <w:pPr>
              <w:spacing w:after="0"/>
              <w:rPr>
                <w:sz w:val="6"/>
                <w:szCs w:val="6"/>
                <w:color w:val="auto"/>
              </w:rPr>
            </w:pPr>
          </w:p>
        </w:tc>
        <w:tc>
          <w:tcPr>
            <w:tcW w:w="880" w:type="dxa"/>
            <w:vAlign w:val="bottom"/>
            <w:tcBorders>
              <w:bottom w:val="single" w:sz="8" w:color="A3A7A9"/>
            </w:tcBorders>
            <w:shd w:val="clear" w:color="auto" w:fill="D7D8D6"/>
          </w:tcPr>
          <w:p>
            <w:pPr>
              <w:spacing w:after="0"/>
              <w:rPr>
                <w:sz w:val="6"/>
                <w:szCs w:val="6"/>
                <w:color w:val="auto"/>
              </w:rPr>
            </w:pPr>
          </w:p>
        </w:tc>
        <w:tc>
          <w:tcPr>
            <w:tcW w:w="700" w:type="dxa"/>
            <w:vAlign w:val="bottom"/>
            <w:tcBorders>
              <w:bottom w:val="single" w:sz="8" w:color="A3A7A9"/>
            </w:tcBorders>
            <w:shd w:val="clear" w:color="auto" w:fill="D7D8D6"/>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shd w:val="clear" w:color="auto" w:fill="D7D8D6"/>
          </w:tcPr>
          <w:p>
            <w:pPr>
              <w:spacing w:after="0"/>
              <w:rPr>
                <w:sz w:val="10"/>
                <w:szCs w:val="10"/>
                <w:color w:val="auto"/>
              </w:rPr>
            </w:pPr>
          </w:p>
        </w:tc>
        <w:tc>
          <w:tcPr>
            <w:tcW w:w="900" w:type="dxa"/>
            <w:vAlign w:val="bottom"/>
            <w:shd w:val="clear" w:color="auto" w:fill="D7D8D6"/>
          </w:tcPr>
          <w:p>
            <w:pPr>
              <w:ind w:left="60"/>
              <w:spacing w:after="0"/>
              <w:rPr>
                <w:sz w:val="20"/>
                <w:szCs w:val="20"/>
                <w:color w:val="auto"/>
              </w:rPr>
            </w:pPr>
            <w:r>
              <w:rPr>
                <w:rFonts w:ascii="Arial" w:cs="Arial" w:eastAsia="Arial" w:hAnsi="Arial"/>
                <w:sz w:val="10"/>
                <w:szCs w:val="10"/>
                <w:color w:val="333740"/>
              </w:rPr>
              <w:t>Stock Options</w:t>
            </w:r>
          </w:p>
        </w:tc>
        <w:tc>
          <w:tcPr>
            <w:tcW w:w="88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shd w:val="clear" w:color="auto" w:fill="D7D8D6"/>
          </w:tcPr>
          <w:p>
            <w:pPr>
              <w:spacing w:after="0"/>
              <w:rPr>
                <w:sz w:val="10"/>
                <w:szCs w:val="10"/>
                <w:color w:val="auto"/>
              </w:rPr>
            </w:pPr>
          </w:p>
        </w:tc>
        <w:tc>
          <w:tcPr>
            <w:tcW w:w="1280" w:type="dxa"/>
            <w:vAlign w:val="bottom"/>
            <w:shd w:val="clear" w:color="auto" w:fill="D7D8D6"/>
          </w:tcPr>
          <w:p>
            <w:pPr>
              <w:spacing w:after="0"/>
              <w:rPr>
                <w:sz w:val="10"/>
                <w:szCs w:val="10"/>
                <w:color w:val="auto"/>
              </w:rPr>
            </w:pPr>
          </w:p>
        </w:tc>
        <w:tc>
          <w:tcPr>
            <w:tcW w:w="520" w:type="dxa"/>
            <w:vAlign w:val="bottom"/>
            <w:shd w:val="clear" w:color="auto" w:fill="D7D8D6"/>
          </w:tcPr>
          <w:p>
            <w:pPr>
              <w:spacing w:after="0"/>
              <w:rPr>
                <w:sz w:val="10"/>
                <w:szCs w:val="10"/>
                <w:color w:val="auto"/>
              </w:rPr>
            </w:pPr>
          </w:p>
        </w:tc>
        <w:tc>
          <w:tcPr>
            <w:tcW w:w="1040" w:type="dxa"/>
            <w:vAlign w:val="bottom"/>
            <w:shd w:val="clear" w:color="auto" w:fill="D7D8D6"/>
          </w:tcPr>
          <w:p>
            <w:pPr>
              <w:spacing w:after="0"/>
              <w:rPr>
                <w:sz w:val="10"/>
                <w:szCs w:val="10"/>
                <w:color w:val="auto"/>
              </w:rPr>
            </w:pPr>
          </w:p>
        </w:tc>
        <w:tc>
          <w:tcPr>
            <w:tcW w:w="900" w:type="dxa"/>
            <w:vAlign w:val="bottom"/>
            <w:shd w:val="clear" w:color="auto" w:fill="D7D8D6"/>
          </w:tcPr>
          <w:p>
            <w:pPr>
              <w:spacing w:after="0"/>
              <w:rPr>
                <w:sz w:val="10"/>
                <w:szCs w:val="10"/>
                <w:color w:val="auto"/>
              </w:rPr>
            </w:pPr>
          </w:p>
        </w:tc>
        <w:tc>
          <w:tcPr>
            <w:tcW w:w="540" w:type="dxa"/>
            <w:vAlign w:val="bottom"/>
            <w:shd w:val="clear" w:color="auto" w:fill="D7D8D6"/>
          </w:tcPr>
          <w:p>
            <w:pPr>
              <w:spacing w:after="0"/>
              <w:rPr>
                <w:sz w:val="10"/>
                <w:szCs w:val="10"/>
                <w:color w:val="auto"/>
              </w:rPr>
            </w:pPr>
          </w:p>
        </w:tc>
        <w:tc>
          <w:tcPr>
            <w:tcW w:w="860" w:type="dxa"/>
            <w:vAlign w:val="bottom"/>
            <w:shd w:val="clear" w:color="auto" w:fill="D7D8D6"/>
          </w:tcPr>
          <w:p>
            <w:pPr>
              <w:spacing w:after="0"/>
              <w:rPr>
                <w:sz w:val="10"/>
                <w:szCs w:val="10"/>
                <w:color w:val="auto"/>
              </w:rPr>
            </w:pPr>
          </w:p>
        </w:tc>
        <w:tc>
          <w:tcPr>
            <w:tcW w:w="1040" w:type="dxa"/>
            <w:vAlign w:val="bottom"/>
            <w:shd w:val="clear" w:color="auto" w:fill="D7D8D6"/>
          </w:tcPr>
          <w:p>
            <w:pPr>
              <w:jc w:val="right"/>
              <w:ind w:right="132"/>
              <w:spacing w:after="0"/>
              <w:rPr>
                <w:sz w:val="20"/>
                <w:szCs w:val="20"/>
                <w:color w:val="auto"/>
              </w:rPr>
            </w:pPr>
            <w:r>
              <w:rPr>
                <w:rFonts w:ascii="Arial" w:cs="Arial" w:eastAsia="Arial" w:hAnsi="Arial"/>
                <w:sz w:val="10"/>
                <w:szCs w:val="10"/>
                <w:color w:val="333740"/>
              </w:rPr>
              <w:t>109,851</w:t>
            </w:r>
          </w:p>
        </w:tc>
        <w:tc>
          <w:tcPr>
            <w:tcW w:w="880" w:type="dxa"/>
            <w:vAlign w:val="bottom"/>
            <w:shd w:val="clear" w:color="auto" w:fill="D7D8D6"/>
          </w:tcPr>
          <w:p>
            <w:pPr>
              <w:jc w:val="right"/>
              <w:ind w:right="132"/>
              <w:spacing w:after="0"/>
              <w:rPr>
                <w:sz w:val="20"/>
                <w:szCs w:val="20"/>
                <w:color w:val="auto"/>
              </w:rPr>
            </w:pPr>
            <w:r>
              <w:rPr>
                <w:rFonts w:ascii="Arial" w:cs="Arial" w:eastAsia="Arial" w:hAnsi="Arial"/>
                <w:sz w:val="10"/>
                <w:szCs w:val="10"/>
                <w:color w:val="333740"/>
              </w:rPr>
              <w:t>20.98</w:t>
            </w:r>
          </w:p>
        </w:tc>
        <w:tc>
          <w:tcPr>
            <w:tcW w:w="70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619,999</w:t>
            </w:r>
          </w:p>
        </w:tc>
        <w:tc>
          <w:tcPr>
            <w:tcW w:w="0" w:type="dxa"/>
            <w:vAlign w:val="bottom"/>
          </w:tcPr>
          <w:p>
            <w:pPr>
              <w:spacing w:after="0"/>
              <w:rPr>
                <w:sz w:val="1"/>
                <w:szCs w:val="1"/>
                <w:color w:val="auto"/>
              </w:rPr>
            </w:pPr>
          </w:p>
        </w:tc>
      </w:tr>
      <w:tr>
        <w:trPr>
          <w:trHeight w:val="68"/>
        </w:trPr>
        <w:tc>
          <w:tcPr>
            <w:tcW w:w="920" w:type="dxa"/>
            <w:vAlign w:val="bottom"/>
            <w:shd w:val="clear" w:color="auto" w:fill="D7D8D6"/>
          </w:tcPr>
          <w:p>
            <w:pPr>
              <w:spacing w:after="0"/>
              <w:rPr>
                <w:sz w:val="5"/>
                <w:szCs w:val="5"/>
                <w:color w:val="auto"/>
              </w:rPr>
            </w:pPr>
          </w:p>
        </w:tc>
        <w:tc>
          <w:tcPr>
            <w:tcW w:w="900" w:type="dxa"/>
            <w:vAlign w:val="bottom"/>
            <w:shd w:val="clear" w:color="auto" w:fill="D7D8D6"/>
          </w:tcPr>
          <w:p>
            <w:pPr>
              <w:spacing w:after="0"/>
              <w:rPr>
                <w:sz w:val="5"/>
                <w:szCs w:val="5"/>
                <w:color w:val="auto"/>
              </w:rPr>
            </w:pPr>
          </w:p>
        </w:tc>
        <w:tc>
          <w:tcPr>
            <w:tcW w:w="880" w:type="dxa"/>
            <w:vAlign w:val="bottom"/>
            <w:shd w:val="clear" w:color="auto" w:fill="D7D8D6"/>
          </w:tcPr>
          <w:p>
            <w:pPr>
              <w:spacing w:after="0"/>
              <w:rPr>
                <w:sz w:val="5"/>
                <w:szCs w:val="5"/>
                <w:color w:val="auto"/>
              </w:rPr>
            </w:pPr>
          </w:p>
        </w:tc>
        <w:tc>
          <w:tcPr>
            <w:tcW w:w="800" w:type="dxa"/>
            <w:vAlign w:val="bottom"/>
            <w:shd w:val="clear" w:color="auto" w:fill="D7D8D6"/>
          </w:tcPr>
          <w:p>
            <w:pPr>
              <w:spacing w:after="0"/>
              <w:rPr>
                <w:sz w:val="5"/>
                <w:szCs w:val="5"/>
                <w:color w:val="auto"/>
              </w:rPr>
            </w:pPr>
          </w:p>
        </w:tc>
        <w:tc>
          <w:tcPr>
            <w:tcW w:w="1280" w:type="dxa"/>
            <w:vAlign w:val="bottom"/>
            <w:shd w:val="clear" w:color="auto" w:fill="D7D8D6"/>
          </w:tcPr>
          <w:p>
            <w:pPr>
              <w:spacing w:after="0"/>
              <w:rPr>
                <w:sz w:val="5"/>
                <w:szCs w:val="5"/>
                <w:color w:val="auto"/>
              </w:rPr>
            </w:pPr>
          </w:p>
        </w:tc>
        <w:tc>
          <w:tcPr>
            <w:tcW w:w="520" w:type="dxa"/>
            <w:vAlign w:val="bottom"/>
            <w:shd w:val="clear" w:color="auto" w:fill="D7D8D6"/>
          </w:tcPr>
          <w:p>
            <w:pPr>
              <w:spacing w:after="0"/>
              <w:rPr>
                <w:sz w:val="5"/>
                <w:szCs w:val="5"/>
                <w:color w:val="auto"/>
              </w:rPr>
            </w:pPr>
          </w:p>
        </w:tc>
        <w:tc>
          <w:tcPr>
            <w:tcW w:w="1040" w:type="dxa"/>
            <w:vAlign w:val="bottom"/>
            <w:shd w:val="clear" w:color="auto" w:fill="D7D8D6"/>
          </w:tcPr>
          <w:p>
            <w:pPr>
              <w:spacing w:after="0"/>
              <w:rPr>
                <w:sz w:val="5"/>
                <w:szCs w:val="5"/>
                <w:color w:val="auto"/>
              </w:rPr>
            </w:pPr>
          </w:p>
        </w:tc>
        <w:tc>
          <w:tcPr>
            <w:tcW w:w="900" w:type="dxa"/>
            <w:vAlign w:val="bottom"/>
            <w:shd w:val="clear" w:color="auto" w:fill="D7D8D6"/>
          </w:tcPr>
          <w:p>
            <w:pPr>
              <w:spacing w:after="0"/>
              <w:rPr>
                <w:sz w:val="5"/>
                <w:szCs w:val="5"/>
                <w:color w:val="auto"/>
              </w:rPr>
            </w:pPr>
          </w:p>
        </w:tc>
        <w:tc>
          <w:tcPr>
            <w:tcW w:w="540" w:type="dxa"/>
            <w:vAlign w:val="bottom"/>
            <w:shd w:val="clear" w:color="auto" w:fill="D7D8D6"/>
          </w:tcPr>
          <w:p>
            <w:pPr>
              <w:spacing w:after="0"/>
              <w:rPr>
                <w:sz w:val="5"/>
                <w:szCs w:val="5"/>
                <w:color w:val="auto"/>
              </w:rPr>
            </w:pPr>
          </w:p>
        </w:tc>
        <w:tc>
          <w:tcPr>
            <w:tcW w:w="860" w:type="dxa"/>
            <w:vAlign w:val="bottom"/>
            <w:shd w:val="clear" w:color="auto" w:fill="D7D8D6"/>
          </w:tcPr>
          <w:p>
            <w:pPr>
              <w:spacing w:after="0"/>
              <w:rPr>
                <w:sz w:val="5"/>
                <w:szCs w:val="5"/>
                <w:color w:val="auto"/>
              </w:rPr>
            </w:pPr>
          </w:p>
        </w:tc>
        <w:tc>
          <w:tcPr>
            <w:tcW w:w="1040" w:type="dxa"/>
            <w:vAlign w:val="bottom"/>
            <w:shd w:val="clear" w:color="auto" w:fill="D7D8D6"/>
          </w:tcPr>
          <w:p>
            <w:pPr>
              <w:spacing w:after="0"/>
              <w:rPr>
                <w:sz w:val="5"/>
                <w:szCs w:val="5"/>
                <w:color w:val="auto"/>
              </w:rPr>
            </w:pPr>
          </w:p>
        </w:tc>
        <w:tc>
          <w:tcPr>
            <w:tcW w:w="880" w:type="dxa"/>
            <w:vAlign w:val="bottom"/>
            <w:shd w:val="clear" w:color="auto" w:fill="D7D8D6"/>
          </w:tcPr>
          <w:p>
            <w:pPr>
              <w:spacing w:after="0"/>
              <w:rPr>
                <w:sz w:val="5"/>
                <w:szCs w:val="5"/>
                <w:color w:val="auto"/>
              </w:rPr>
            </w:pPr>
          </w:p>
        </w:tc>
        <w:tc>
          <w:tcPr>
            <w:tcW w:w="700" w:type="dxa"/>
            <w:vAlign w:val="bottom"/>
            <w:shd w:val="clear" w:color="auto" w:fill="D7D8D6"/>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920" w:type="dxa"/>
            <w:vAlign w:val="bottom"/>
          </w:tcPr>
          <w:p>
            <w:pPr>
              <w:spacing w:after="0"/>
              <w:rPr>
                <w:sz w:val="20"/>
                <w:szCs w:val="20"/>
                <w:color w:val="auto"/>
              </w:rPr>
            </w:pPr>
            <w:r>
              <w:rPr>
                <w:rFonts w:ascii="Arial" w:cs="Arial" w:eastAsia="Arial" w:hAnsi="Arial"/>
                <w:sz w:val="10"/>
                <w:szCs w:val="10"/>
                <w:b w:val="1"/>
                <w:bCs w:val="1"/>
                <w:color w:val="333740"/>
              </w:rPr>
              <w:t>Dianne B. Ralston</w:t>
            </w:r>
          </w:p>
        </w:tc>
        <w:tc>
          <w:tcPr>
            <w:tcW w:w="900" w:type="dxa"/>
            <w:vAlign w:val="bottom"/>
          </w:tcPr>
          <w:p>
            <w:pPr>
              <w:ind w:left="60"/>
              <w:spacing w:after="0"/>
              <w:rPr>
                <w:sz w:val="20"/>
                <w:szCs w:val="20"/>
                <w:color w:val="auto"/>
              </w:rPr>
            </w:pPr>
            <w:r>
              <w:rPr>
                <w:rFonts w:ascii="Arial" w:cs="Arial" w:eastAsia="Arial" w:hAnsi="Arial"/>
                <w:sz w:val="10"/>
                <w:szCs w:val="10"/>
                <w:color w:val="333740"/>
              </w:rPr>
              <w:t>Annual Incentive</w:t>
            </w:r>
          </w:p>
        </w:tc>
        <w:tc>
          <w:tcPr>
            <w:tcW w:w="880" w:type="dxa"/>
            <w:vAlign w:val="bottom"/>
          </w:tcPr>
          <w:p>
            <w:pPr>
              <w:jc w:val="right"/>
              <w:spacing w:after="0"/>
              <w:rPr>
                <w:sz w:val="20"/>
                <w:szCs w:val="20"/>
                <w:color w:val="auto"/>
              </w:rPr>
            </w:pPr>
            <w:r>
              <w:rPr>
                <w:rFonts w:ascii="Arial" w:cs="Arial" w:eastAsia="Arial" w:hAnsi="Arial"/>
                <w:sz w:val="10"/>
                <w:szCs w:val="10"/>
                <w:color w:val="333740"/>
              </w:rPr>
              <w:t>2019</w:t>
            </w:r>
          </w:p>
        </w:tc>
        <w:tc>
          <w:tcPr>
            <w:tcW w:w="800" w:type="dxa"/>
            <w:vAlign w:val="bottom"/>
          </w:tcPr>
          <w:p>
            <w:pPr>
              <w:jc w:val="right"/>
              <w:spacing w:after="0"/>
              <w:rPr>
                <w:sz w:val="20"/>
                <w:szCs w:val="20"/>
                <w:color w:val="auto"/>
              </w:rPr>
            </w:pPr>
            <w:r>
              <w:rPr>
                <w:rFonts w:ascii="Arial" w:cs="Arial" w:eastAsia="Arial" w:hAnsi="Arial"/>
                <w:sz w:val="10"/>
                <w:szCs w:val="10"/>
                <w:color w:val="333740"/>
              </w:rPr>
              <w:t>—</w:t>
            </w:r>
          </w:p>
        </w:tc>
        <w:tc>
          <w:tcPr>
            <w:tcW w:w="1280" w:type="dxa"/>
            <w:vAlign w:val="bottom"/>
          </w:tcPr>
          <w:p>
            <w:pPr>
              <w:jc w:val="right"/>
              <w:ind w:right="372"/>
              <w:spacing w:after="0"/>
              <w:rPr>
                <w:sz w:val="20"/>
                <w:szCs w:val="20"/>
                <w:color w:val="auto"/>
              </w:rPr>
            </w:pPr>
            <w:r>
              <w:rPr>
                <w:rFonts w:ascii="Arial" w:cs="Arial" w:eastAsia="Arial" w:hAnsi="Arial"/>
                <w:sz w:val="10"/>
                <w:szCs w:val="10"/>
                <w:color w:val="333740"/>
              </w:rPr>
              <w:t>638,833</w:t>
            </w:r>
          </w:p>
        </w:tc>
        <w:tc>
          <w:tcPr>
            <w:tcW w:w="520" w:type="dxa"/>
            <w:vAlign w:val="bottom"/>
          </w:tcPr>
          <w:p>
            <w:pPr>
              <w:jc w:val="right"/>
              <w:ind w:right="32"/>
              <w:spacing w:after="0"/>
              <w:rPr>
                <w:sz w:val="20"/>
                <w:szCs w:val="20"/>
                <w:color w:val="auto"/>
              </w:rPr>
            </w:pPr>
            <w:r>
              <w:rPr>
                <w:rFonts w:ascii="Arial" w:cs="Arial" w:eastAsia="Arial" w:hAnsi="Arial"/>
                <w:sz w:val="10"/>
                <w:szCs w:val="10"/>
                <w:color w:val="333740"/>
                <w:w w:val="94"/>
              </w:rPr>
              <w:t>1,277,666</w:t>
            </w: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920" w:type="dxa"/>
            <w:vAlign w:val="bottom"/>
          </w:tcPr>
          <w:p>
            <w:pPr>
              <w:spacing w:after="0"/>
              <w:rPr>
                <w:sz w:val="5"/>
                <w:szCs w:val="5"/>
                <w:color w:val="auto"/>
              </w:rPr>
            </w:pPr>
          </w:p>
        </w:tc>
        <w:tc>
          <w:tcPr>
            <w:tcW w:w="900" w:type="dxa"/>
            <w:vAlign w:val="bottom"/>
            <w:tcBorders>
              <w:bottom w:val="single" w:sz="8" w:color="D7D8D6"/>
            </w:tcBorders>
          </w:tcPr>
          <w:p>
            <w:pPr>
              <w:spacing w:after="0"/>
              <w:rPr>
                <w:sz w:val="5"/>
                <w:szCs w:val="5"/>
                <w:color w:val="auto"/>
              </w:rPr>
            </w:pPr>
          </w:p>
        </w:tc>
        <w:tc>
          <w:tcPr>
            <w:tcW w:w="880" w:type="dxa"/>
            <w:vAlign w:val="bottom"/>
            <w:tcBorders>
              <w:bottom w:val="single" w:sz="8" w:color="D7D8D6"/>
            </w:tcBorders>
          </w:tcPr>
          <w:p>
            <w:pPr>
              <w:spacing w:after="0"/>
              <w:rPr>
                <w:sz w:val="5"/>
                <w:szCs w:val="5"/>
                <w:color w:val="auto"/>
              </w:rPr>
            </w:pPr>
          </w:p>
        </w:tc>
        <w:tc>
          <w:tcPr>
            <w:tcW w:w="800" w:type="dxa"/>
            <w:vAlign w:val="bottom"/>
            <w:tcBorders>
              <w:bottom w:val="single" w:sz="8" w:color="D7D8D6"/>
            </w:tcBorders>
          </w:tcPr>
          <w:p>
            <w:pPr>
              <w:spacing w:after="0"/>
              <w:rPr>
                <w:sz w:val="5"/>
                <w:szCs w:val="5"/>
                <w:color w:val="auto"/>
              </w:rPr>
            </w:pPr>
          </w:p>
        </w:tc>
        <w:tc>
          <w:tcPr>
            <w:tcW w:w="1280" w:type="dxa"/>
            <w:vAlign w:val="bottom"/>
            <w:tcBorders>
              <w:bottom w:val="single" w:sz="8" w:color="D7D8D6"/>
            </w:tcBorders>
          </w:tcPr>
          <w:p>
            <w:pPr>
              <w:spacing w:after="0"/>
              <w:rPr>
                <w:sz w:val="5"/>
                <w:szCs w:val="5"/>
                <w:color w:val="auto"/>
              </w:rPr>
            </w:pPr>
          </w:p>
        </w:tc>
        <w:tc>
          <w:tcPr>
            <w:tcW w:w="520" w:type="dxa"/>
            <w:vAlign w:val="bottom"/>
            <w:tcBorders>
              <w:bottom w:val="single" w:sz="8" w:color="D7D8D6"/>
            </w:tcBorders>
          </w:tcPr>
          <w:p>
            <w:pPr>
              <w:spacing w:after="0"/>
              <w:rPr>
                <w:sz w:val="5"/>
                <w:szCs w:val="5"/>
                <w:color w:val="auto"/>
              </w:rPr>
            </w:pPr>
          </w:p>
        </w:tc>
        <w:tc>
          <w:tcPr>
            <w:tcW w:w="1040" w:type="dxa"/>
            <w:vAlign w:val="bottom"/>
            <w:tcBorders>
              <w:bottom w:val="single" w:sz="8" w:color="D7D8D6"/>
            </w:tcBorders>
          </w:tcPr>
          <w:p>
            <w:pPr>
              <w:spacing w:after="0"/>
              <w:rPr>
                <w:sz w:val="5"/>
                <w:szCs w:val="5"/>
                <w:color w:val="auto"/>
              </w:rPr>
            </w:pPr>
          </w:p>
        </w:tc>
        <w:tc>
          <w:tcPr>
            <w:tcW w:w="900" w:type="dxa"/>
            <w:vAlign w:val="bottom"/>
            <w:tcBorders>
              <w:bottom w:val="single" w:sz="8" w:color="D7D8D6"/>
            </w:tcBorders>
          </w:tcPr>
          <w:p>
            <w:pPr>
              <w:spacing w:after="0"/>
              <w:rPr>
                <w:sz w:val="5"/>
                <w:szCs w:val="5"/>
                <w:color w:val="auto"/>
              </w:rPr>
            </w:pPr>
          </w:p>
        </w:tc>
        <w:tc>
          <w:tcPr>
            <w:tcW w:w="540" w:type="dxa"/>
            <w:vAlign w:val="bottom"/>
            <w:tcBorders>
              <w:bottom w:val="single" w:sz="8" w:color="D7D8D6"/>
            </w:tcBorders>
          </w:tcPr>
          <w:p>
            <w:pPr>
              <w:spacing w:after="0"/>
              <w:rPr>
                <w:sz w:val="5"/>
                <w:szCs w:val="5"/>
                <w:color w:val="auto"/>
              </w:rPr>
            </w:pPr>
          </w:p>
        </w:tc>
        <w:tc>
          <w:tcPr>
            <w:tcW w:w="860" w:type="dxa"/>
            <w:vAlign w:val="bottom"/>
            <w:tcBorders>
              <w:bottom w:val="single" w:sz="8" w:color="D7D8D6"/>
            </w:tcBorders>
          </w:tcPr>
          <w:p>
            <w:pPr>
              <w:spacing w:after="0"/>
              <w:rPr>
                <w:sz w:val="5"/>
                <w:szCs w:val="5"/>
                <w:color w:val="auto"/>
              </w:rPr>
            </w:pPr>
          </w:p>
        </w:tc>
        <w:tc>
          <w:tcPr>
            <w:tcW w:w="1040" w:type="dxa"/>
            <w:vAlign w:val="bottom"/>
            <w:tcBorders>
              <w:bottom w:val="single" w:sz="8" w:color="D7D8D6"/>
            </w:tcBorders>
          </w:tcPr>
          <w:p>
            <w:pPr>
              <w:spacing w:after="0"/>
              <w:rPr>
                <w:sz w:val="5"/>
                <w:szCs w:val="5"/>
                <w:color w:val="auto"/>
              </w:rPr>
            </w:pPr>
          </w:p>
        </w:tc>
        <w:tc>
          <w:tcPr>
            <w:tcW w:w="880" w:type="dxa"/>
            <w:vAlign w:val="bottom"/>
            <w:tcBorders>
              <w:bottom w:val="single" w:sz="8" w:color="D7D8D6"/>
            </w:tcBorders>
          </w:tcPr>
          <w:p>
            <w:pPr>
              <w:spacing w:after="0"/>
              <w:rPr>
                <w:sz w:val="5"/>
                <w:szCs w:val="5"/>
                <w:color w:val="auto"/>
              </w:rPr>
            </w:pPr>
          </w:p>
        </w:tc>
        <w:tc>
          <w:tcPr>
            <w:tcW w:w="700" w:type="dxa"/>
            <w:vAlign w:val="bottom"/>
            <w:tcBorders>
              <w:bottom w:val="single" w:sz="8" w:color="D7D8D6"/>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0"/>
                <w:szCs w:val="10"/>
                <w:color w:val="333740"/>
              </w:rPr>
              <w:t>RSU</w:t>
            </w:r>
          </w:p>
        </w:tc>
        <w:tc>
          <w:tcPr>
            <w:tcW w:w="880" w:type="dxa"/>
            <w:vAlign w:val="bottom"/>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333740"/>
              </w:rPr>
              <w:t>20,019</w:t>
            </w: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333740"/>
              </w:rPr>
              <w:t>419,999</w:t>
            </w:r>
          </w:p>
        </w:tc>
        <w:tc>
          <w:tcPr>
            <w:tcW w:w="0" w:type="dxa"/>
            <w:vAlign w:val="bottom"/>
          </w:tcPr>
          <w:p>
            <w:pPr>
              <w:spacing w:after="0"/>
              <w:rPr>
                <w:sz w:val="1"/>
                <w:szCs w:val="1"/>
                <w:color w:val="auto"/>
              </w:rPr>
            </w:pPr>
          </w:p>
        </w:tc>
      </w:tr>
      <w:tr>
        <w:trPr>
          <w:trHeight w:val="71"/>
        </w:trPr>
        <w:tc>
          <w:tcPr>
            <w:tcW w:w="920" w:type="dxa"/>
            <w:vAlign w:val="bottom"/>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800" w:type="dxa"/>
            <w:vAlign w:val="bottom"/>
            <w:tcBorders>
              <w:bottom w:val="single" w:sz="8" w:color="D7D8D6"/>
            </w:tcBorders>
          </w:tcPr>
          <w:p>
            <w:pPr>
              <w:spacing w:after="0"/>
              <w:rPr>
                <w:sz w:val="6"/>
                <w:szCs w:val="6"/>
                <w:color w:val="auto"/>
              </w:rPr>
            </w:pPr>
          </w:p>
        </w:tc>
        <w:tc>
          <w:tcPr>
            <w:tcW w:w="1280" w:type="dxa"/>
            <w:vAlign w:val="bottom"/>
            <w:tcBorders>
              <w:bottom w:val="single" w:sz="8" w:color="D7D8D6"/>
            </w:tcBorders>
          </w:tcPr>
          <w:p>
            <w:pPr>
              <w:spacing w:after="0"/>
              <w:rPr>
                <w:sz w:val="6"/>
                <w:szCs w:val="6"/>
                <w:color w:val="auto"/>
              </w:rPr>
            </w:pPr>
          </w:p>
        </w:tc>
        <w:tc>
          <w:tcPr>
            <w:tcW w:w="52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540" w:type="dxa"/>
            <w:vAlign w:val="bottom"/>
            <w:tcBorders>
              <w:bottom w:val="single" w:sz="8" w:color="D7D8D6"/>
            </w:tcBorders>
          </w:tcPr>
          <w:p>
            <w:pPr>
              <w:spacing w:after="0"/>
              <w:rPr>
                <w:sz w:val="6"/>
                <w:szCs w:val="6"/>
                <w:color w:val="auto"/>
              </w:rPr>
            </w:pPr>
          </w:p>
        </w:tc>
        <w:tc>
          <w:tcPr>
            <w:tcW w:w="86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700" w:type="dxa"/>
            <w:vAlign w:val="bottom"/>
            <w:tcBorders>
              <w:bottom w:val="single" w:sz="8" w:color="D7D8D6"/>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0"/>
                <w:szCs w:val="10"/>
                <w:color w:val="333740"/>
              </w:rPr>
              <w:t>PSU-ROIC</w:t>
            </w:r>
          </w:p>
        </w:tc>
        <w:tc>
          <w:tcPr>
            <w:tcW w:w="880" w:type="dxa"/>
            <w:vAlign w:val="bottom"/>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jc w:val="right"/>
              <w:ind w:right="172"/>
              <w:spacing w:after="0"/>
              <w:rPr>
                <w:sz w:val="20"/>
                <w:szCs w:val="20"/>
                <w:color w:val="auto"/>
              </w:rPr>
            </w:pPr>
            <w:r>
              <w:rPr>
                <w:rFonts w:ascii="Arial" w:cs="Arial" w:eastAsia="Arial" w:hAnsi="Arial"/>
                <w:sz w:val="10"/>
                <w:szCs w:val="10"/>
                <w:color w:val="333740"/>
              </w:rPr>
              <w:t>—</w:t>
            </w:r>
          </w:p>
        </w:tc>
        <w:tc>
          <w:tcPr>
            <w:tcW w:w="900" w:type="dxa"/>
            <w:vAlign w:val="bottom"/>
          </w:tcPr>
          <w:p>
            <w:pPr>
              <w:jc w:val="right"/>
              <w:ind w:right="272"/>
              <w:spacing w:after="0"/>
              <w:rPr>
                <w:sz w:val="20"/>
                <w:szCs w:val="20"/>
                <w:color w:val="auto"/>
              </w:rPr>
            </w:pPr>
            <w:r>
              <w:rPr>
                <w:rFonts w:ascii="Arial" w:cs="Arial" w:eastAsia="Arial" w:hAnsi="Arial"/>
                <w:sz w:val="10"/>
                <w:szCs w:val="10"/>
                <w:color w:val="333740"/>
              </w:rPr>
              <w:t>30,028</w:t>
            </w:r>
          </w:p>
        </w:tc>
        <w:tc>
          <w:tcPr>
            <w:tcW w:w="540" w:type="dxa"/>
            <w:vAlign w:val="bottom"/>
          </w:tcPr>
          <w:p>
            <w:pPr>
              <w:jc w:val="right"/>
              <w:spacing w:after="0"/>
              <w:rPr>
                <w:sz w:val="20"/>
                <w:szCs w:val="20"/>
                <w:color w:val="auto"/>
              </w:rPr>
            </w:pPr>
            <w:r>
              <w:rPr>
                <w:rFonts w:ascii="Arial" w:cs="Arial" w:eastAsia="Arial" w:hAnsi="Arial"/>
                <w:sz w:val="10"/>
                <w:szCs w:val="10"/>
                <w:color w:val="333740"/>
              </w:rPr>
              <w:t>60,056</w:t>
            </w: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333740"/>
              </w:rPr>
              <w:t>629,987</w:t>
            </w:r>
          </w:p>
        </w:tc>
        <w:tc>
          <w:tcPr>
            <w:tcW w:w="0" w:type="dxa"/>
            <w:vAlign w:val="bottom"/>
          </w:tcPr>
          <w:p>
            <w:pPr>
              <w:spacing w:after="0"/>
              <w:rPr>
                <w:sz w:val="1"/>
                <w:szCs w:val="1"/>
                <w:color w:val="auto"/>
              </w:rPr>
            </w:pPr>
          </w:p>
        </w:tc>
      </w:tr>
      <w:tr>
        <w:trPr>
          <w:trHeight w:val="71"/>
        </w:trPr>
        <w:tc>
          <w:tcPr>
            <w:tcW w:w="920" w:type="dxa"/>
            <w:vAlign w:val="bottom"/>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800" w:type="dxa"/>
            <w:vAlign w:val="bottom"/>
            <w:tcBorders>
              <w:bottom w:val="single" w:sz="8" w:color="D7D8D6"/>
            </w:tcBorders>
          </w:tcPr>
          <w:p>
            <w:pPr>
              <w:spacing w:after="0"/>
              <w:rPr>
                <w:sz w:val="6"/>
                <w:szCs w:val="6"/>
                <w:color w:val="auto"/>
              </w:rPr>
            </w:pPr>
          </w:p>
        </w:tc>
        <w:tc>
          <w:tcPr>
            <w:tcW w:w="1280" w:type="dxa"/>
            <w:vAlign w:val="bottom"/>
            <w:tcBorders>
              <w:bottom w:val="single" w:sz="8" w:color="D7D8D6"/>
            </w:tcBorders>
          </w:tcPr>
          <w:p>
            <w:pPr>
              <w:spacing w:after="0"/>
              <w:rPr>
                <w:sz w:val="6"/>
                <w:szCs w:val="6"/>
                <w:color w:val="auto"/>
              </w:rPr>
            </w:pPr>
          </w:p>
        </w:tc>
        <w:tc>
          <w:tcPr>
            <w:tcW w:w="52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540" w:type="dxa"/>
            <w:vAlign w:val="bottom"/>
            <w:tcBorders>
              <w:bottom w:val="single" w:sz="8" w:color="D7D8D6"/>
            </w:tcBorders>
          </w:tcPr>
          <w:p>
            <w:pPr>
              <w:spacing w:after="0"/>
              <w:rPr>
                <w:sz w:val="6"/>
                <w:szCs w:val="6"/>
                <w:color w:val="auto"/>
              </w:rPr>
            </w:pPr>
          </w:p>
        </w:tc>
        <w:tc>
          <w:tcPr>
            <w:tcW w:w="86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700" w:type="dxa"/>
            <w:vAlign w:val="bottom"/>
            <w:tcBorders>
              <w:bottom w:val="single" w:sz="8" w:color="D7D8D6"/>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0"/>
                <w:szCs w:val="10"/>
                <w:color w:val="333740"/>
              </w:rPr>
              <w:t>PSU-TSR</w:t>
            </w:r>
          </w:p>
        </w:tc>
        <w:tc>
          <w:tcPr>
            <w:tcW w:w="880" w:type="dxa"/>
            <w:vAlign w:val="bottom"/>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jc w:val="right"/>
              <w:ind w:right="172"/>
              <w:spacing w:after="0"/>
              <w:rPr>
                <w:sz w:val="20"/>
                <w:szCs w:val="20"/>
                <w:color w:val="auto"/>
              </w:rPr>
            </w:pPr>
            <w:r>
              <w:rPr>
                <w:rFonts w:ascii="Arial" w:cs="Arial" w:eastAsia="Arial" w:hAnsi="Arial"/>
                <w:sz w:val="10"/>
                <w:szCs w:val="10"/>
                <w:color w:val="333740"/>
              </w:rPr>
              <w:t>—</w:t>
            </w:r>
          </w:p>
        </w:tc>
        <w:tc>
          <w:tcPr>
            <w:tcW w:w="900" w:type="dxa"/>
            <w:vAlign w:val="bottom"/>
          </w:tcPr>
          <w:p>
            <w:pPr>
              <w:jc w:val="right"/>
              <w:ind w:right="272"/>
              <w:spacing w:after="0"/>
              <w:rPr>
                <w:sz w:val="20"/>
                <w:szCs w:val="20"/>
                <w:color w:val="auto"/>
              </w:rPr>
            </w:pPr>
            <w:r>
              <w:rPr>
                <w:rFonts w:ascii="Arial" w:cs="Arial" w:eastAsia="Arial" w:hAnsi="Arial"/>
                <w:sz w:val="10"/>
                <w:szCs w:val="10"/>
                <w:color w:val="333740"/>
              </w:rPr>
              <w:t>30,028</w:t>
            </w:r>
          </w:p>
        </w:tc>
        <w:tc>
          <w:tcPr>
            <w:tcW w:w="540" w:type="dxa"/>
            <w:vAlign w:val="bottom"/>
          </w:tcPr>
          <w:p>
            <w:pPr>
              <w:jc w:val="right"/>
              <w:spacing w:after="0"/>
              <w:rPr>
                <w:sz w:val="20"/>
                <w:szCs w:val="20"/>
                <w:color w:val="auto"/>
              </w:rPr>
            </w:pPr>
            <w:r>
              <w:rPr>
                <w:rFonts w:ascii="Arial" w:cs="Arial" w:eastAsia="Arial" w:hAnsi="Arial"/>
                <w:sz w:val="10"/>
                <w:szCs w:val="10"/>
                <w:color w:val="333740"/>
              </w:rPr>
              <w:t>60,056</w:t>
            </w: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333740"/>
              </w:rPr>
              <w:t>872,013</w:t>
            </w:r>
          </w:p>
        </w:tc>
        <w:tc>
          <w:tcPr>
            <w:tcW w:w="0" w:type="dxa"/>
            <w:vAlign w:val="bottom"/>
          </w:tcPr>
          <w:p>
            <w:pPr>
              <w:spacing w:after="0"/>
              <w:rPr>
                <w:sz w:val="1"/>
                <w:szCs w:val="1"/>
                <w:color w:val="auto"/>
              </w:rPr>
            </w:pPr>
          </w:p>
        </w:tc>
      </w:tr>
      <w:tr>
        <w:trPr>
          <w:trHeight w:val="71"/>
        </w:trPr>
        <w:tc>
          <w:tcPr>
            <w:tcW w:w="920" w:type="dxa"/>
            <w:vAlign w:val="bottom"/>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800" w:type="dxa"/>
            <w:vAlign w:val="bottom"/>
            <w:tcBorders>
              <w:bottom w:val="single" w:sz="8" w:color="D7D8D6"/>
            </w:tcBorders>
          </w:tcPr>
          <w:p>
            <w:pPr>
              <w:spacing w:after="0"/>
              <w:rPr>
                <w:sz w:val="6"/>
                <w:szCs w:val="6"/>
                <w:color w:val="auto"/>
              </w:rPr>
            </w:pPr>
          </w:p>
        </w:tc>
        <w:tc>
          <w:tcPr>
            <w:tcW w:w="1280" w:type="dxa"/>
            <w:vAlign w:val="bottom"/>
            <w:tcBorders>
              <w:bottom w:val="single" w:sz="8" w:color="D7D8D6"/>
            </w:tcBorders>
          </w:tcPr>
          <w:p>
            <w:pPr>
              <w:spacing w:after="0"/>
              <w:rPr>
                <w:sz w:val="6"/>
                <w:szCs w:val="6"/>
                <w:color w:val="auto"/>
              </w:rPr>
            </w:pPr>
          </w:p>
        </w:tc>
        <w:tc>
          <w:tcPr>
            <w:tcW w:w="52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540" w:type="dxa"/>
            <w:vAlign w:val="bottom"/>
            <w:tcBorders>
              <w:bottom w:val="single" w:sz="8" w:color="D7D8D6"/>
            </w:tcBorders>
          </w:tcPr>
          <w:p>
            <w:pPr>
              <w:spacing w:after="0"/>
              <w:rPr>
                <w:sz w:val="6"/>
                <w:szCs w:val="6"/>
                <w:color w:val="auto"/>
              </w:rPr>
            </w:pPr>
          </w:p>
        </w:tc>
        <w:tc>
          <w:tcPr>
            <w:tcW w:w="86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700" w:type="dxa"/>
            <w:vAlign w:val="bottom"/>
            <w:tcBorders>
              <w:bottom w:val="single" w:sz="8" w:color="D7D8D6"/>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0"/>
                <w:szCs w:val="10"/>
                <w:color w:val="333740"/>
              </w:rPr>
              <w:t>Stock Options</w:t>
            </w:r>
          </w:p>
        </w:tc>
        <w:tc>
          <w:tcPr>
            <w:tcW w:w="880" w:type="dxa"/>
            <w:vAlign w:val="bottom"/>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jc w:val="right"/>
              <w:ind w:right="132"/>
              <w:spacing w:after="0"/>
              <w:rPr>
                <w:sz w:val="20"/>
                <w:szCs w:val="20"/>
                <w:color w:val="auto"/>
              </w:rPr>
            </w:pPr>
            <w:r>
              <w:rPr>
                <w:rFonts w:ascii="Arial" w:cs="Arial" w:eastAsia="Arial" w:hAnsi="Arial"/>
                <w:sz w:val="10"/>
                <w:szCs w:val="10"/>
                <w:color w:val="333740"/>
              </w:rPr>
              <w:t>74,415</w:t>
            </w:r>
          </w:p>
        </w:tc>
        <w:tc>
          <w:tcPr>
            <w:tcW w:w="880" w:type="dxa"/>
            <w:vAlign w:val="bottom"/>
          </w:tcPr>
          <w:p>
            <w:pPr>
              <w:jc w:val="right"/>
              <w:ind w:right="132"/>
              <w:spacing w:after="0"/>
              <w:rPr>
                <w:sz w:val="20"/>
                <w:szCs w:val="20"/>
                <w:color w:val="auto"/>
              </w:rPr>
            </w:pPr>
            <w:r>
              <w:rPr>
                <w:rFonts w:ascii="Arial" w:cs="Arial" w:eastAsia="Arial" w:hAnsi="Arial"/>
                <w:sz w:val="10"/>
                <w:szCs w:val="10"/>
                <w:color w:val="333740"/>
              </w:rPr>
              <w:t>20.98</w:t>
            </w:r>
          </w:p>
        </w:tc>
        <w:tc>
          <w:tcPr>
            <w:tcW w:w="700" w:type="dxa"/>
            <w:vAlign w:val="bottom"/>
          </w:tcPr>
          <w:p>
            <w:pPr>
              <w:jc w:val="right"/>
              <w:spacing w:after="0"/>
              <w:rPr>
                <w:sz w:val="20"/>
                <w:szCs w:val="20"/>
                <w:color w:val="auto"/>
              </w:rPr>
            </w:pPr>
            <w:r>
              <w:rPr>
                <w:rFonts w:ascii="Arial" w:cs="Arial" w:eastAsia="Arial" w:hAnsi="Arial"/>
                <w:sz w:val="10"/>
                <w:szCs w:val="10"/>
                <w:color w:val="333740"/>
              </w:rPr>
              <w:t>419,998</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920" w:type="dxa"/>
            <w:vAlign w:val="bottom"/>
            <w:shd w:val="clear" w:color="auto" w:fill="D7D8D6"/>
          </w:tcPr>
          <w:p>
            <w:pPr>
              <w:spacing w:after="0"/>
              <w:rPr>
                <w:sz w:val="20"/>
                <w:szCs w:val="20"/>
                <w:color w:val="auto"/>
              </w:rPr>
            </w:pPr>
            <w:r>
              <w:rPr>
                <w:rFonts w:ascii="Arial" w:cs="Arial" w:eastAsia="Arial" w:hAnsi="Arial"/>
                <w:sz w:val="10"/>
                <w:szCs w:val="10"/>
                <w:b w:val="1"/>
                <w:bCs w:val="1"/>
                <w:color w:val="333740"/>
              </w:rPr>
              <w:t>Justin Rounce</w:t>
            </w:r>
          </w:p>
        </w:tc>
        <w:tc>
          <w:tcPr>
            <w:tcW w:w="900" w:type="dxa"/>
            <w:vAlign w:val="bottom"/>
            <w:shd w:val="clear" w:color="auto" w:fill="D7D8D6"/>
          </w:tcPr>
          <w:p>
            <w:pPr>
              <w:ind w:left="60"/>
              <w:spacing w:after="0"/>
              <w:rPr>
                <w:sz w:val="20"/>
                <w:szCs w:val="20"/>
                <w:color w:val="auto"/>
              </w:rPr>
            </w:pPr>
            <w:r>
              <w:rPr>
                <w:rFonts w:ascii="Arial" w:cs="Arial" w:eastAsia="Arial" w:hAnsi="Arial"/>
                <w:sz w:val="10"/>
                <w:szCs w:val="10"/>
                <w:color w:val="333740"/>
              </w:rPr>
              <w:t>Annual Incentive</w:t>
            </w:r>
          </w:p>
        </w:tc>
        <w:tc>
          <w:tcPr>
            <w:tcW w:w="88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2019</w:t>
            </w:r>
          </w:p>
        </w:tc>
        <w:tc>
          <w:tcPr>
            <w:tcW w:w="80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w:t>
            </w:r>
          </w:p>
        </w:tc>
        <w:tc>
          <w:tcPr>
            <w:tcW w:w="1280" w:type="dxa"/>
            <w:vAlign w:val="bottom"/>
            <w:shd w:val="clear" w:color="auto" w:fill="D7D8D6"/>
          </w:tcPr>
          <w:p>
            <w:pPr>
              <w:jc w:val="right"/>
              <w:ind w:right="372"/>
              <w:spacing w:after="0"/>
              <w:rPr>
                <w:sz w:val="20"/>
                <w:szCs w:val="20"/>
                <w:color w:val="auto"/>
              </w:rPr>
            </w:pPr>
            <w:r>
              <w:rPr>
                <w:rFonts w:ascii="Arial" w:cs="Arial" w:eastAsia="Arial" w:hAnsi="Arial"/>
                <w:sz w:val="10"/>
                <w:szCs w:val="10"/>
                <w:color w:val="333740"/>
              </w:rPr>
              <w:t>600,000</w:t>
            </w:r>
          </w:p>
        </w:tc>
        <w:tc>
          <w:tcPr>
            <w:tcW w:w="520" w:type="dxa"/>
            <w:vAlign w:val="bottom"/>
            <w:shd w:val="clear" w:color="auto" w:fill="D7D8D6"/>
          </w:tcPr>
          <w:p>
            <w:pPr>
              <w:jc w:val="right"/>
              <w:ind w:right="32"/>
              <w:spacing w:after="0"/>
              <w:rPr>
                <w:sz w:val="20"/>
                <w:szCs w:val="20"/>
                <w:color w:val="auto"/>
              </w:rPr>
            </w:pPr>
            <w:r>
              <w:rPr>
                <w:rFonts w:ascii="Arial" w:cs="Arial" w:eastAsia="Arial" w:hAnsi="Arial"/>
                <w:sz w:val="10"/>
                <w:szCs w:val="10"/>
                <w:color w:val="333740"/>
                <w:w w:val="94"/>
              </w:rPr>
              <w:t>1,200,000</w:t>
            </w:r>
          </w:p>
        </w:tc>
        <w:tc>
          <w:tcPr>
            <w:tcW w:w="1040" w:type="dxa"/>
            <w:vAlign w:val="bottom"/>
            <w:shd w:val="clear" w:color="auto" w:fill="D7D8D6"/>
          </w:tcPr>
          <w:p>
            <w:pPr>
              <w:spacing w:after="0"/>
              <w:rPr>
                <w:sz w:val="11"/>
                <w:szCs w:val="11"/>
                <w:color w:val="auto"/>
              </w:rPr>
            </w:pPr>
          </w:p>
        </w:tc>
        <w:tc>
          <w:tcPr>
            <w:tcW w:w="900" w:type="dxa"/>
            <w:vAlign w:val="bottom"/>
            <w:shd w:val="clear" w:color="auto" w:fill="D7D8D6"/>
          </w:tcPr>
          <w:p>
            <w:pPr>
              <w:spacing w:after="0"/>
              <w:rPr>
                <w:sz w:val="11"/>
                <w:szCs w:val="11"/>
                <w:color w:val="auto"/>
              </w:rPr>
            </w:pPr>
          </w:p>
        </w:tc>
        <w:tc>
          <w:tcPr>
            <w:tcW w:w="540" w:type="dxa"/>
            <w:vAlign w:val="bottom"/>
            <w:shd w:val="clear" w:color="auto" w:fill="D7D8D6"/>
          </w:tcPr>
          <w:p>
            <w:pPr>
              <w:spacing w:after="0"/>
              <w:rPr>
                <w:sz w:val="11"/>
                <w:szCs w:val="11"/>
                <w:color w:val="auto"/>
              </w:rPr>
            </w:pPr>
          </w:p>
        </w:tc>
        <w:tc>
          <w:tcPr>
            <w:tcW w:w="860" w:type="dxa"/>
            <w:vAlign w:val="bottom"/>
            <w:shd w:val="clear" w:color="auto" w:fill="D7D8D6"/>
          </w:tcPr>
          <w:p>
            <w:pPr>
              <w:spacing w:after="0"/>
              <w:rPr>
                <w:sz w:val="11"/>
                <w:szCs w:val="11"/>
                <w:color w:val="auto"/>
              </w:rPr>
            </w:pPr>
          </w:p>
        </w:tc>
        <w:tc>
          <w:tcPr>
            <w:tcW w:w="1040" w:type="dxa"/>
            <w:vAlign w:val="bottom"/>
            <w:shd w:val="clear" w:color="auto" w:fill="D7D8D6"/>
          </w:tcPr>
          <w:p>
            <w:pPr>
              <w:spacing w:after="0"/>
              <w:rPr>
                <w:sz w:val="11"/>
                <w:szCs w:val="11"/>
                <w:color w:val="auto"/>
              </w:rPr>
            </w:pPr>
          </w:p>
        </w:tc>
        <w:tc>
          <w:tcPr>
            <w:tcW w:w="880" w:type="dxa"/>
            <w:vAlign w:val="bottom"/>
            <w:shd w:val="clear" w:color="auto" w:fill="D7D8D6"/>
          </w:tcPr>
          <w:p>
            <w:pPr>
              <w:spacing w:after="0"/>
              <w:rPr>
                <w:sz w:val="11"/>
                <w:szCs w:val="11"/>
                <w:color w:val="auto"/>
              </w:rPr>
            </w:pPr>
          </w:p>
        </w:tc>
        <w:tc>
          <w:tcPr>
            <w:tcW w:w="700" w:type="dxa"/>
            <w:vAlign w:val="bottom"/>
            <w:shd w:val="clear" w:color="auto" w:fill="D7D8D6"/>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920" w:type="dxa"/>
            <w:vAlign w:val="bottom"/>
            <w:tcBorders>
              <w:bottom w:val="single" w:sz="8" w:color="D7D8D6"/>
            </w:tcBorders>
            <w:shd w:val="clear" w:color="auto" w:fill="D7D8D6"/>
          </w:tcPr>
          <w:p>
            <w:pPr>
              <w:spacing w:after="0"/>
              <w:rPr>
                <w:sz w:val="5"/>
                <w:szCs w:val="5"/>
                <w:color w:val="auto"/>
              </w:rPr>
            </w:pPr>
          </w:p>
        </w:tc>
        <w:tc>
          <w:tcPr>
            <w:tcW w:w="900" w:type="dxa"/>
            <w:vAlign w:val="bottom"/>
            <w:tcBorders>
              <w:bottom w:val="single" w:sz="8" w:color="A3A7A9"/>
            </w:tcBorders>
            <w:shd w:val="clear" w:color="auto" w:fill="D7D8D6"/>
          </w:tcPr>
          <w:p>
            <w:pPr>
              <w:spacing w:after="0"/>
              <w:rPr>
                <w:sz w:val="5"/>
                <w:szCs w:val="5"/>
                <w:color w:val="auto"/>
              </w:rPr>
            </w:pPr>
          </w:p>
        </w:tc>
        <w:tc>
          <w:tcPr>
            <w:tcW w:w="880" w:type="dxa"/>
            <w:vAlign w:val="bottom"/>
            <w:tcBorders>
              <w:bottom w:val="single" w:sz="8" w:color="A3A7A9"/>
            </w:tcBorders>
            <w:shd w:val="clear" w:color="auto" w:fill="D7D8D6"/>
          </w:tcPr>
          <w:p>
            <w:pPr>
              <w:spacing w:after="0"/>
              <w:rPr>
                <w:sz w:val="5"/>
                <w:szCs w:val="5"/>
                <w:color w:val="auto"/>
              </w:rPr>
            </w:pPr>
          </w:p>
        </w:tc>
        <w:tc>
          <w:tcPr>
            <w:tcW w:w="800" w:type="dxa"/>
            <w:vAlign w:val="bottom"/>
            <w:tcBorders>
              <w:bottom w:val="single" w:sz="8" w:color="A3A7A9"/>
            </w:tcBorders>
            <w:shd w:val="clear" w:color="auto" w:fill="D7D8D6"/>
          </w:tcPr>
          <w:p>
            <w:pPr>
              <w:spacing w:after="0"/>
              <w:rPr>
                <w:sz w:val="5"/>
                <w:szCs w:val="5"/>
                <w:color w:val="auto"/>
              </w:rPr>
            </w:pPr>
          </w:p>
        </w:tc>
        <w:tc>
          <w:tcPr>
            <w:tcW w:w="1280" w:type="dxa"/>
            <w:vAlign w:val="bottom"/>
            <w:tcBorders>
              <w:bottom w:val="single" w:sz="8" w:color="A3A7A9"/>
            </w:tcBorders>
            <w:shd w:val="clear" w:color="auto" w:fill="D7D8D6"/>
          </w:tcPr>
          <w:p>
            <w:pPr>
              <w:spacing w:after="0"/>
              <w:rPr>
                <w:sz w:val="5"/>
                <w:szCs w:val="5"/>
                <w:color w:val="auto"/>
              </w:rPr>
            </w:pPr>
          </w:p>
        </w:tc>
        <w:tc>
          <w:tcPr>
            <w:tcW w:w="520" w:type="dxa"/>
            <w:vAlign w:val="bottom"/>
            <w:tcBorders>
              <w:bottom w:val="single" w:sz="8" w:color="A3A7A9"/>
            </w:tcBorders>
            <w:shd w:val="clear" w:color="auto" w:fill="D7D8D6"/>
          </w:tcPr>
          <w:p>
            <w:pPr>
              <w:spacing w:after="0"/>
              <w:rPr>
                <w:sz w:val="5"/>
                <w:szCs w:val="5"/>
                <w:color w:val="auto"/>
              </w:rPr>
            </w:pPr>
          </w:p>
        </w:tc>
        <w:tc>
          <w:tcPr>
            <w:tcW w:w="1040" w:type="dxa"/>
            <w:vAlign w:val="bottom"/>
            <w:tcBorders>
              <w:bottom w:val="single" w:sz="8" w:color="A3A7A9"/>
            </w:tcBorders>
            <w:shd w:val="clear" w:color="auto" w:fill="D7D8D6"/>
          </w:tcPr>
          <w:p>
            <w:pPr>
              <w:spacing w:after="0"/>
              <w:rPr>
                <w:sz w:val="5"/>
                <w:szCs w:val="5"/>
                <w:color w:val="auto"/>
              </w:rPr>
            </w:pPr>
          </w:p>
        </w:tc>
        <w:tc>
          <w:tcPr>
            <w:tcW w:w="900" w:type="dxa"/>
            <w:vAlign w:val="bottom"/>
            <w:tcBorders>
              <w:bottom w:val="single" w:sz="8" w:color="A3A7A9"/>
            </w:tcBorders>
            <w:shd w:val="clear" w:color="auto" w:fill="D7D8D6"/>
          </w:tcPr>
          <w:p>
            <w:pPr>
              <w:spacing w:after="0"/>
              <w:rPr>
                <w:sz w:val="5"/>
                <w:szCs w:val="5"/>
                <w:color w:val="auto"/>
              </w:rPr>
            </w:pPr>
          </w:p>
        </w:tc>
        <w:tc>
          <w:tcPr>
            <w:tcW w:w="540" w:type="dxa"/>
            <w:vAlign w:val="bottom"/>
            <w:tcBorders>
              <w:bottom w:val="single" w:sz="8" w:color="A3A7A9"/>
            </w:tcBorders>
            <w:shd w:val="clear" w:color="auto" w:fill="D7D8D6"/>
          </w:tcPr>
          <w:p>
            <w:pPr>
              <w:spacing w:after="0"/>
              <w:rPr>
                <w:sz w:val="5"/>
                <w:szCs w:val="5"/>
                <w:color w:val="auto"/>
              </w:rPr>
            </w:pPr>
          </w:p>
        </w:tc>
        <w:tc>
          <w:tcPr>
            <w:tcW w:w="860" w:type="dxa"/>
            <w:vAlign w:val="bottom"/>
            <w:tcBorders>
              <w:bottom w:val="single" w:sz="8" w:color="A3A7A9"/>
            </w:tcBorders>
            <w:shd w:val="clear" w:color="auto" w:fill="D7D8D6"/>
          </w:tcPr>
          <w:p>
            <w:pPr>
              <w:spacing w:after="0"/>
              <w:rPr>
                <w:sz w:val="5"/>
                <w:szCs w:val="5"/>
                <w:color w:val="auto"/>
              </w:rPr>
            </w:pPr>
          </w:p>
        </w:tc>
        <w:tc>
          <w:tcPr>
            <w:tcW w:w="1040" w:type="dxa"/>
            <w:vAlign w:val="bottom"/>
            <w:tcBorders>
              <w:bottom w:val="single" w:sz="8" w:color="A3A7A9"/>
            </w:tcBorders>
            <w:shd w:val="clear" w:color="auto" w:fill="D7D8D6"/>
          </w:tcPr>
          <w:p>
            <w:pPr>
              <w:spacing w:after="0"/>
              <w:rPr>
                <w:sz w:val="5"/>
                <w:szCs w:val="5"/>
                <w:color w:val="auto"/>
              </w:rPr>
            </w:pPr>
          </w:p>
        </w:tc>
        <w:tc>
          <w:tcPr>
            <w:tcW w:w="880" w:type="dxa"/>
            <w:vAlign w:val="bottom"/>
            <w:tcBorders>
              <w:bottom w:val="single" w:sz="8" w:color="A3A7A9"/>
            </w:tcBorders>
            <w:shd w:val="clear" w:color="auto" w:fill="D7D8D6"/>
          </w:tcPr>
          <w:p>
            <w:pPr>
              <w:spacing w:after="0"/>
              <w:rPr>
                <w:sz w:val="5"/>
                <w:szCs w:val="5"/>
                <w:color w:val="auto"/>
              </w:rPr>
            </w:pPr>
          </w:p>
        </w:tc>
        <w:tc>
          <w:tcPr>
            <w:tcW w:w="700" w:type="dxa"/>
            <w:vAlign w:val="bottom"/>
            <w:tcBorders>
              <w:bottom w:val="single" w:sz="8" w:color="A3A7A9"/>
            </w:tcBorders>
            <w:shd w:val="clear" w:color="auto" w:fill="D7D8D6"/>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shd w:val="clear" w:color="auto" w:fill="D7D8D6"/>
          </w:tcPr>
          <w:p>
            <w:pPr>
              <w:spacing w:after="0"/>
              <w:rPr>
                <w:sz w:val="10"/>
                <w:szCs w:val="10"/>
                <w:color w:val="auto"/>
              </w:rPr>
            </w:pPr>
          </w:p>
        </w:tc>
        <w:tc>
          <w:tcPr>
            <w:tcW w:w="900" w:type="dxa"/>
            <w:vAlign w:val="bottom"/>
            <w:shd w:val="clear" w:color="auto" w:fill="D7D8D6"/>
          </w:tcPr>
          <w:p>
            <w:pPr>
              <w:ind w:left="60"/>
              <w:spacing w:after="0"/>
              <w:rPr>
                <w:sz w:val="20"/>
                <w:szCs w:val="20"/>
                <w:color w:val="auto"/>
              </w:rPr>
            </w:pPr>
            <w:r>
              <w:rPr>
                <w:rFonts w:ascii="Arial" w:cs="Arial" w:eastAsia="Arial" w:hAnsi="Arial"/>
                <w:sz w:val="10"/>
                <w:szCs w:val="10"/>
                <w:color w:val="333740"/>
              </w:rPr>
              <w:t>RSU</w:t>
            </w:r>
          </w:p>
        </w:tc>
        <w:tc>
          <w:tcPr>
            <w:tcW w:w="88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shd w:val="clear" w:color="auto" w:fill="D7D8D6"/>
          </w:tcPr>
          <w:p>
            <w:pPr>
              <w:spacing w:after="0"/>
              <w:rPr>
                <w:sz w:val="10"/>
                <w:szCs w:val="10"/>
                <w:color w:val="auto"/>
              </w:rPr>
            </w:pPr>
          </w:p>
        </w:tc>
        <w:tc>
          <w:tcPr>
            <w:tcW w:w="1280" w:type="dxa"/>
            <w:vAlign w:val="bottom"/>
            <w:shd w:val="clear" w:color="auto" w:fill="D7D8D6"/>
          </w:tcPr>
          <w:p>
            <w:pPr>
              <w:spacing w:after="0"/>
              <w:rPr>
                <w:sz w:val="10"/>
                <w:szCs w:val="10"/>
                <w:color w:val="auto"/>
              </w:rPr>
            </w:pPr>
          </w:p>
        </w:tc>
        <w:tc>
          <w:tcPr>
            <w:tcW w:w="520" w:type="dxa"/>
            <w:vAlign w:val="bottom"/>
            <w:shd w:val="clear" w:color="auto" w:fill="D7D8D6"/>
          </w:tcPr>
          <w:p>
            <w:pPr>
              <w:spacing w:after="0"/>
              <w:rPr>
                <w:sz w:val="10"/>
                <w:szCs w:val="10"/>
                <w:color w:val="auto"/>
              </w:rPr>
            </w:pPr>
          </w:p>
        </w:tc>
        <w:tc>
          <w:tcPr>
            <w:tcW w:w="1040" w:type="dxa"/>
            <w:vAlign w:val="bottom"/>
            <w:shd w:val="clear" w:color="auto" w:fill="D7D8D6"/>
          </w:tcPr>
          <w:p>
            <w:pPr>
              <w:spacing w:after="0"/>
              <w:rPr>
                <w:sz w:val="10"/>
                <w:szCs w:val="10"/>
                <w:color w:val="auto"/>
              </w:rPr>
            </w:pPr>
          </w:p>
        </w:tc>
        <w:tc>
          <w:tcPr>
            <w:tcW w:w="900" w:type="dxa"/>
            <w:vAlign w:val="bottom"/>
            <w:shd w:val="clear" w:color="auto" w:fill="D7D8D6"/>
          </w:tcPr>
          <w:p>
            <w:pPr>
              <w:spacing w:after="0"/>
              <w:rPr>
                <w:sz w:val="10"/>
                <w:szCs w:val="10"/>
                <w:color w:val="auto"/>
              </w:rPr>
            </w:pPr>
          </w:p>
        </w:tc>
        <w:tc>
          <w:tcPr>
            <w:tcW w:w="540" w:type="dxa"/>
            <w:vAlign w:val="bottom"/>
            <w:shd w:val="clear" w:color="auto" w:fill="D7D8D6"/>
          </w:tcPr>
          <w:p>
            <w:pPr>
              <w:spacing w:after="0"/>
              <w:rPr>
                <w:sz w:val="10"/>
                <w:szCs w:val="10"/>
                <w:color w:val="auto"/>
              </w:rPr>
            </w:pPr>
          </w:p>
        </w:tc>
        <w:tc>
          <w:tcPr>
            <w:tcW w:w="86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17,159</w:t>
            </w:r>
          </w:p>
        </w:tc>
        <w:tc>
          <w:tcPr>
            <w:tcW w:w="1040" w:type="dxa"/>
            <w:vAlign w:val="bottom"/>
            <w:shd w:val="clear" w:color="auto" w:fill="D7D8D6"/>
          </w:tcPr>
          <w:p>
            <w:pPr>
              <w:spacing w:after="0"/>
              <w:rPr>
                <w:sz w:val="10"/>
                <w:szCs w:val="10"/>
                <w:color w:val="auto"/>
              </w:rPr>
            </w:pPr>
          </w:p>
        </w:tc>
        <w:tc>
          <w:tcPr>
            <w:tcW w:w="880" w:type="dxa"/>
            <w:vAlign w:val="bottom"/>
            <w:shd w:val="clear" w:color="auto" w:fill="D7D8D6"/>
          </w:tcPr>
          <w:p>
            <w:pPr>
              <w:spacing w:after="0"/>
              <w:rPr>
                <w:sz w:val="10"/>
                <w:szCs w:val="10"/>
                <w:color w:val="auto"/>
              </w:rPr>
            </w:pPr>
          </w:p>
        </w:tc>
        <w:tc>
          <w:tcPr>
            <w:tcW w:w="70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359,996</w:t>
            </w:r>
          </w:p>
        </w:tc>
        <w:tc>
          <w:tcPr>
            <w:tcW w:w="0" w:type="dxa"/>
            <w:vAlign w:val="bottom"/>
          </w:tcPr>
          <w:p>
            <w:pPr>
              <w:spacing w:after="0"/>
              <w:rPr>
                <w:sz w:val="1"/>
                <w:szCs w:val="1"/>
                <w:color w:val="auto"/>
              </w:rPr>
            </w:pPr>
          </w:p>
        </w:tc>
      </w:tr>
      <w:tr>
        <w:trPr>
          <w:trHeight w:val="71"/>
        </w:trPr>
        <w:tc>
          <w:tcPr>
            <w:tcW w:w="920" w:type="dxa"/>
            <w:vAlign w:val="bottom"/>
            <w:tcBorders>
              <w:bottom w:val="single" w:sz="8" w:color="D7D8D6"/>
            </w:tcBorders>
            <w:shd w:val="clear" w:color="auto" w:fill="D7D8D6"/>
          </w:tcPr>
          <w:p>
            <w:pPr>
              <w:spacing w:after="0"/>
              <w:rPr>
                <w:sz w:val="6"/>
                <w:szCs w:val="6"/>
                <w:color w:val="auto"/>
              </w:rPr>
            </w:pPr>
          </w:p>
        </w:tc>
        <w:tc>
          <w:tcPr>
            <w:tcW w:w="900" w:type="dxa"/>
            <w:vAlign w:val="bottom"/>
            <w:tcBorders>
              <w:bottom w:val="single" w:sz="8" w:color="A3A7A9"/>
            </w:tcBorders>
            <w:shd w:val="clear" w:color="auto" w:fill="D7D8D6"/>
          </w:tcPr>
          <w:p>
            <w:pPr>
              <w:spacing w:after="0"/>
              <w:rPr>
                <w:sz w:val="6"/>
                <w:szCs w:val="6"/>
                <w:color w:val="auto"/>
              </w:rPr>
            </w:pPr>
          </w:p>
        </w:tc>
        <w:tc>
          <w:tcPr>
            <w:tcW w:w="880" w:type="dxa"/>
            <w:vAlign w:val="bottom"/>
            <w:tcBorders>
              <w:bottom w:val="single" w:sz="8" w:color="A3A7A9"/>
            </w:tcBorders>
            <w:shd w:val="clear" w:color="auto" w:fill="D7D8D6"/>
          </w:tcPr>
          <w:p>
            <w:pPr>
              <w:spacing w:after="0"/>
              <w:rPr>
                <w:sz w:val="6"/>
                <w:szCs w:val="6"/>
                <w:color w:val="auto"/>
              </w:rPr>
            </w:pPr>
          </w:p>
        </w:tc>
        <w:tc>
          <w:tcPr>
            <w:tcW w:w="800" w:type="dxa"/>
            <w:vAlign w:val="bottom"/>
            <w:tcBorders>
              <w:bottom w:val="single" w:sz="8" w:color="A3A7A9"/>
            </w:tcBorders>
            <w:shd w:val="clear" w:color="auto" w:fill="D7D8D6"/>
          </w:tcPr>
          <w:p>
            <w:pPr>
              <w:spacing w:after="0"/>
              <w:rPr>
                <w:sz w:val="6"/>
                <w:szCs w:val="6"/>
                <w:color w:val="auto"/>
              </w:rPr>
            </w:pPr>
          </w:p>
        </w:tc>
        <w:tc>
          <w:tcPr>
            <w:tcW w:w="1280" w:type="dxa"/>
            <w:vAlign w:val="bottom"/>
            <w:tcBorders>
              <w:bottom w:val="single" w:sz="8" w:color="A3A7A9"/>
            </w:tcBorders>
            <w:shd w:val="clear" w:color="auto" w:fill="D7D8D6"/>
          </w:tcPr>
          <w:p>
            <w:pPr>
              <w:spacing w:after="0"/>
              <w:rPr>
                <w:sz w:val="6"/>
                <w:szCs w:val="6"/>
                <w:color w:val="auto"/>
              </w:rPr>
            </w:pPr>
          </w:p>
        </w:tc>
        <w:tc>
          <w:tcPr>
            <w:tcW w:w="520" w:type="dxa"/>
            <w:vAlign w:val="bottom"/>
            <w:tcBorders>
              <w:bottom w:val="single" w:sz="8" w:color="A3A7A9"/>
            </w:tcBorders>
            <w:shd w:val="clear" w:color="auto" w:fill="D7D8D6"/>
          </w:tcPr>
          <w:p>
            <w:pPr>
              <w:spacing w:after="0"/>
              <w:rPr>
                <w:sz w:val="6"/>
                <w:szCs w:val="6"/>
                <w:color w:val="auto"/>
              </w:rPr>
            </w:pPr>
          </w:p>
        </w:tc>
        <w:tc>
          <w:tcPr>
            <w:tcW w:w="1040" w:type="dxa"/>
            <w:vAlign w:val="bottom"/>
            <w:tcBorders>
              <w:bottom w:val="single" w:sz="8" w:color="A3A7A9"/>
            </w:tcBorders>
            <w:shd w:val="clear" w:color="auto" w:fill="D7D8D6"/>
          </w:tcPr>
          <w:p>
            <w:pPr>
              <w:spacing w:after="0"/>
              <w:rPr>
                <w:sz w:val="6"/>
                <w:szCs w:val="6"/>
                <w:color w:val="auto"/>
              </w:rPr>
            </w:pPr>
          </w:p>
        </w:tc>
        <w:tc>
          <w:tcPr>
            <w:tcW w:w="900" w:type="dxa"/>
            <w:vAlign w:val="bottom"/>
            <w:tcBorders>
              <w:bottom w:val="single" w:sz="8" w:color="A3A7A9"/>
            </w:tcBorders>
            <w:shd w:val="clear" w:color="auto" w:fill="D7D8D6"/>
          </w:tcPr>
          <w:p>
            <w:pPr>
              <w:spacing w:after="0"/>
              <w:rPr>
                <w:sz w:val="6"/>
                <w:szCs w:val="6"/>
                <w:color w:val="auto"/>
              </w:rPr>
            </w:pPr>
          </w:p>
        </w:tc>
        <w:tc>
          <w:tcPr>
            <w:tcW w:w="540" w:type="dxa"/>
            <w:vAlign w:val="bottom"/>
            <w:tcBorders>
              <w:bottom w:val="single" w:sz="8" w:color="A3A7A9"/>
            </w:tcBorders>
            <w:shd w:val="clear" w:color="auto" w:fill="D7D8D6"/>
          </w:tcPr>
          <w:p>
            <w:pPr>
              <w:spacing w:after="0"/>
              <w:rPr>
                <w:sz w:val="6"/>
                <w:szCs w:val="6"/>
                <w:color w:val="auto"/>
              </w:rPr>
            </w:pPr>
          </w:p>
        </w:tc>
        <w:tc>
          <w:tcPr>
            <w:tcW w:w="860" w:type="dxa"/>
            <w:vAlign w:val="bottom"/>
            <w:tcBorders>
              <w:bottom w:val="single" w:sz="8" w:color="A3A7A9"/>
            </w:tcBorders>
            <w:shd w:val="clear" w:color="auto" w:fill="D7D8D6"/>
          </w:tcPr>
          <w:p>
            <w:pPr>
              <w:spacing w:after="0"/>
              <w:rPr>
                <w:sz w:val="6"/>
                <w:szCs w:val="6"/>
                <w:color w:val="auto"/>
              </w:rPr>
            </w:pPr>
          </w:p>
        </w:tc>
        <w:tc>
          <w:tcPr>
            <w:tcW w:w="1040" w:type="dxa"/>
            <w:vAlign w:val="bottom"/>
            <w:tcBorders>
              <w:bottom w:val="single" w:sz="8" w:color="A3A7A9"/>
            </w:tcBorders>
            <w:shd w:val="clear" w:color="auto" w:fill="D7D8D6"/>
          </w:tcPr>
          <w:p>
            <w:pPr>
              <w:spacing w:after="0"/>
              <w:rPr>
                <w:sz w:val="6"/>
                <w:szCs w:val="6"/>
                <w:color w:val="auto"/>
              </w:rPr>
            </w:pPr>
          </w:p>
        </w:tc>
        <w:tc>
          <w:tcPr>
            <w:tcW w:w="880" w:type="dxa"/>
            <w:vAlign w:val="bottom"/>
            <w:tcBorders>
              <w:bottom w:val="single" w:sz="8" w:color="A3A7A9"/>
            </w:tcBorders>
            <w:shd w:val="clear" w:color="auto" w:fill="D7D8D6"/>
          </w:tcPr>
          <w:p>
            <w:pPr>
              <w:spacing w:after="0"/>
              <w:rPr>
                <w:sz w:val="6"/>
                <w:szCs w:val="6"/>
                <w:color w:val="auto"/>
              </w:rPr>
            </w:pPr>
          </w:p>
        </w:tc>
        <w:tc>
          <w:tcPr>
            <w:tcW w:w="700" w:type="dxa"/>
            <w:vAlign w:val="bottom"/>
            <w:tcBorders>
              <w:bottom w:val="single" w:sz="8" w:color="A3A7A9"/>
            </w:tcBorders>
            <w:shd w:val="clear" w:color="auto" w:fill="D7D8D6"/>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shd w:val="clear" w:color="auto" w:fill="D7D8D6"/>
          </w:tcPr>
          <w:p>
            <w:pPr>
              <w:spacing w:after="0"/>
              <w:rPr>
                <w:sz w:val="10"/>
                <w:szCs w:val="10"/>
                <w:color w:val="auto"/>
              </w:rPr>
            </w:pPr>
          </w:p>
        </w:tc>
        <w:tc>
          <w:tcPr>
            <w:tcW w:w="900" w:type="dxa"/>
            <w:vAlign w:val="bottom"/>
            <w:shd w:val="clear" w:color="auto" w:fill="D7D8D6"/>
          </w:tcPr>
          <w:p>
            <w:pPr>
              <w:ind w:left="60"/>
              <w:spacing w:after="0"/>
              <w:rPr>
                <w:sz w:val="20"/>
                <w:szCs w:val="20"/>
                <w:color w:val="auto"/>
              </w:rPr>
            </w:pPr>
            <w:r>
              <w:rPr>
                <w:rFonts w:ascii="Arial" w:cs="Arial" w:eastAsia="Arial" w:hAnsi="Arial"/>
                <w:sz w:val="10"/>
                <w:szCs w:val="10"/>
                <w:color w:val="333740"/>
              </w:rPr>
              <w:t>PSU-ROIC</w:t>
            </w:r>
          </w:p>
        </w:tc>
        <w:tc>
          <w:tcPr>
            <w:tcW w:w="88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shd w:val="clear" w:color="auto" w:fill="D7D8D6"/>
          </w:tcPr>
          <w:p>
            <w:pPr>
              <w:spacing w:after="0"/>
              <w:rPr>
                <w:sz w:val="10"/>
                <w:szCs w:val="10"/>
                <w:color w:val="auto"/>
              </w:rPr>
            </w:pPr>
          </w:p>
        </w:tc>
        <w:tc>
          <w:tcPr>
            <w:tcW w:w="1280" w:type="dxa"/>
            <w:vAlign w:val="bottom"/>
            <w:shd w:val="clear" w:color="auto" w:fill="D7D8D6"/>
          </w:tcPr>
          <w:p>
            <w:pPr>
              <w:spacing w:after="0"/>
              <w:rPr>
                <w:sz w:val="10"/>
                <w:szCs w:val="10"/>
                <w:color w:val="auto"/>
              </w:rPr>
            </w:pPr>
          </w:p>
        </w:tc>
        <w:tc>
          <w:tcPr>
            <w:tcW w:w="520" w:type="dxa"/>
            <w:vAlign w:val="bottom"/>
            <w:shd w:val="clear" w:color="auto" w:fill="D7D8D6"/>
          </w:tcPr>
          <w:p>
            <w:pPr>
              <w:spacing w:after="0"/>
              <w:rPr>
                <w:sz w:val="10"/>
                <w:szCs w:val="10"/>
                <w:color w:val="auto"/>
              </w:rPr>
            </w:pPr>
          </w:p>
        </w:tc>
        <w:tc>
          <w:tcPr>
            <w:tcW w:w="1040" w:type="dxa"/>
            <w:vAlign w:val="bottom"/>
            <w:shd w:val="clear" w:color="auto" w:fill="D7D8D6"/>
          </w:tcPr>
          <w:p>
            <w:pPr>
              <w:jc w:val="right"/>
              <w:ind w:right="172"/>
              <w:spacing w:after="0"/>
              <w:rPr>
                <w:sz w:val="20"/>
                <w:szCs w:val="20"/>
                <w:color w:val="auto"/>
              </w:rPr>
            </w:pPr>
            <w:r>
              <w:rPr>
                <w:rFonts w:ascii="Arial" w:cs="Arial" w:eastAsia="Arial" w:hAnsi="Arial"/>
                <w:sz w:val="10"/>
                <w:szCs w:val="10"/>
                <w:color w:val="333740"/>
              </w:rPr>
              <w:t>—</w:t>
            </w:r>
          </w:p>
        </w:tc>
        <w:tc>
          <w:tcPr>
            <w:tcW w:w="900" w:type="dxa"/>
            <w:vAlign w:val="bottom"/>
            <w:shd w:val="clear" w:color="auto" w:fill="D7D8D6"/>
          </w:tcPr>
          <w:p>
            <w:pPr>
              <w:jc w:val="right"/>
              <w:ind w:right="272"/>
              <w:spacing w:after="0"/>
              <w:rPr>
                <w:sz w:val="20"/>
                <w:szCs w:val="20"/>
                <w:color w:val="auto"/>
              </w:rPr>
            </w:pPr>
            <w:r>
              <w:rPr>
                <w:rFonts w:ascii="Arial" w:cs="Arial" w:eastAsia="Arial" w:hAnsi="Arial"/>
                <w:sz w:val="10"/>
                <w:szCs w:val="10"/>
                <w:color w:val="333740"/>
              </w:rPr>
              <w:t>25,738</w:t>
            </w:r>
          </w:p>
        </w:tc>
        <w:tc>
          <w:tcPr>
            <w:tcW w:w="54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51,476</w:t>
            </w:r>
          </w:p>
        </w:tc>
        <w:tc>
          <w:tcPr>
            <w:tcW w:w="860" w:type="dxa"/>
            <w:vAlign w:val="bottom"/>
            <w:shd w:val="clear" w:color="auto" w:fill="D7D8D6"/>
          </w:tcPr>
          <w:p>
            <w:pPr>
              <w:spacing w:after="0"/>
              <w:rPr>
                <w:sz w:val="10"/>
                <w:szCs w:val="10"/>
                <w:color w:val="auto"/>
              </w:rPr>
            </w:pPr>
          </w:p>
        </w:tc>
        <w:tc>
          <w:tcPr>
            <w:tcW w:w="1040" w:type="dxa"/>
            <w:vAlign w:val="bottom"/>
            <w:shd w:val="clear" w:color="auto" w:fill="D7D8D6"/>
          </w:tcPr>
          <w:p>
            <w:pPr>
              <w:spacing w:after="0"/>
              <w:rPr>
                <w:sz w:val="10"/>
                <w:szCs w:val="10"/>
                <w:color w:val="auto"/>
              </w:rPr>
            </w:pPr>
          </w:p>
        </w:tc>
        <w:tc>
          <w:tcPr>
            <w:tcW w:w="880" w:type="dxa"/>
            <w:vAlign w:val="bottom"/>
            <w:shd w:val="clear" w:color="auto" w:fill="D7D8D6"/>
          </w:tcPr>
          <w:p>
            <w:pPr>
              <w:spacing w:after="0"/>
              <w:rPr>
                <w:sz w:val="10"/>
                <w:szCs w:val="10"/>
                <w:color w:val="auto"/>
              </w:rPr>
            </w:pPr>
          </w:p>
        </w:tc>
        <w:tc>
          <w:tcPr>
            <w:tcW w:w="70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539,983</w:t>
            </w:r>
          </w:p>
        </w:tc>
        <w:tc>
          <w:tcPr>
            <w:tcW w:w="0" w:type="dxa"/>
            <w:vAlign w:val="bottom"/>
          </w:tcPr>
          <w:p>
            <w:pPr>
              <w:spacing w:after="0"/>
              <w:rPr>
                <w:sz w:val="1"/>
                <w:szCs w:val="1"/>
                <w:color w:val="auto"/>
              </w:rPr>
            </w:pPr>
          </w:p>
        </w:tc>
      </w:tr>
      <w:tr>
        <w:trPr>
          <w:trHeight w:val="71"/>
        </w:trPr>
        <w:tc>
          <w:tcPr>
            <w:tcW w:w="920" w:type="dxa"/>
            <w:vAlign w:val="bottom"/>
            <w:tcBorders>
              <w:bottom w:val="single" w:sz="8" w:color="D7D8D6"/>
            </w:tcBorders>
            <w:shd w:val="clear" w:color="auto" w:fill="D7D8D6"/>
          </w:tcPr>
          <w:p>
            <w:pPr>
              <w:spacing w:after="0"/>
              <w:rPr>
                <w:sz w:val="6"/>
                <w:szCs w:val="6"/>
                <w:color w:val="auto"/>
              </w:rPr>
            </w:pPr>
          </w:p>
        </w:tc>
        <w:tc>
          <w:tcPr>
            <w:tcW w:w="900" w:type="dxa"/>
            <w:vAlign w:val="bottom"/>
            <w:tcBorders>
              <w:bottom w:val="single" w:sz="8" w:color="A3A7A9"/>
            </w:tcBorders>
            <w:shd w:val="clear" w:color="auto" w:fill="D7D8D6"/>
          </w:tcPr>
          <w:p>
            <w:pPr>
              <w:spacing w:after="0"/>
              <w:rPr>
                <w:sz w:val="6"/>
                <w:szCs w:val="6"/>
                <w:color w:val="auto"/>
              </w:rPr>
            </w:pPr>
          </w:p>
        </w:tc>
        <w:tc>
          <w:tcPr>
            <w:tcW w:w="880" w:type="dxa"/>
            <w:vAlign w:val="bottom"/>
            <w:tcBorders>
              <w:bottom w:val="single" w:sz="8" w:color="A3A7A9"/>
            </w:tcBorders>
            <w:shd w:val="clear" w:color="auto" w:fill="D7D8D6"/>
          </w:tcPr>
          <w:p>
            <w:pPr>
              <w:spacing w:after="0"/>
              <w:rPr>
                <w:sz w:val="6"/>
                <w:szCs w:val="6"/>
                <w:color w:val="auto"/>
              </w:rPr>
            </w:pPr>
          </w:p>
        </w:tc>
        <w:tc>
          <w:tcPr>
            <w:tcW w:w="800" w:type="dxa"/>
            <w:vAlign w:val="bottom"/>
            <w:tcBorders>
              <w:bottom w:val="single" w:sz="8" w:color="A3A7A9"/>
            </w:tcBorders>
            <w:shd w:val="clear" w:color="auto" w:fill="D7D8D6"/>
          </w:tcPr>
          <w:p>
            <w:pPr>
              <w:spacing w:after="0"/>
              <w:rPr>
                <w:sz w:val="6"/>
                <w:szCs w:val="6"/>
                <w:color w:val="auto"/>
              </w:rPr>
            </w:pPr>
          </w:p>
        </w:tc>
        <w:tc>
          <w:tcPr>
            <w:tcW w:w="1280" w:type="dxa"/>
            <w:vAlign w:val="bottom"/>
            <w:tcBorders>
              <w:bottom w:val="single" w:sz="8" w:color="A3A7A9"/>
            </w:tcBorders>
            <w:shd w:val="clear" w:color="auto" w:fill="D7D8D6"/>
          </w:tcPr>
          <w:p>
            <w:pPr>
              <w:spacing w:after="0"/>
              <w:rPr>
                <w:sz w:val="6"/>
                <w:szCs w:val="6"/>
                <w:color w:val="auto"/>
              </w:rPr>
            </w:pPr>
          </w:p>
        </w:tc>
        <w:tc>
          <w:tcPr>
            <w:tcW w:w="520" w:type="dxa"/>
            <w:vAlign w:val="bottom"/>
            <w:tcBorders>
              <w:bottom w:val="single" w:sz="8" w:color="A3A7A9"/>
            </w:tcBorders>
            <w:shd w:val="clear" w:color="auto" w:fill="D7D8D6"/>
          </w:tcPr>
          <w:p>
            <w:pPr>
              <w:spacing w:after="0"/>
              <w:rPr>
                <w:sz w:val="6"/>
                <w:szCs w:val="6"/>
                <w:color w:val="auto"/>
              </w:rPr>
            </w:pPr>
          </w:p>
        </w:tc>
        <w:tc>
          <w:tcPr>
            <w:tcW w:w="1040" w:type="dxa"/>
            <w:vAlign w:val="bottom"/>
            <w:tcBorders>
              <w:bottom w:val="single" w:sz="8" w:color="A3A7A9"/>
            </w:tcBorders>
            <w:shd w:val="clear" w:color="auto" w:fill="D7D8D6"/>
          </w:tcPr>
          <w:p>
            <w:pPr>
              <w:spacing w:after="0"/>
              <w:rPr>
                <w:sz w:val="6"/>
                <w:szCs w:val="6"/>
                <w:color w:val="auto"/>
              </w:rPr>
            </w:pPr>
          </w:p>
        </w:tc>
        <w:tc>
          <w:tcPr>
            <w:tcW w:w="900" w:type="dxa"/>
            <w:vAlign w:val="bottom"/>
            <w:tcBorders>
              <w:bottom w:val="single" w:sz="8" w:color="A3A7A9"/>
            </w:tcBorders>
            <w:shd w:val="clear" w:color="auto" w:fill="D7D8D6"/>
          </w:tcPr>
          <w:p>
            <w:pPr>
              <w:spacing w:after="0"/>
              <w:rPr>
                <w:sz w:val="6"/>
                <w:szCs w:val="6"/>
                <w:color w:val="auto"/>
              </w:rPr>
            </w:pPr>
          </w:p>
        </w:tc>
        <w:tc>
          <w:tcPr>
            <w:tcW w:w="540" w:type="dxa"/>
            <w:vAlign w:val="bottom"/>
            <w:tcBorders>
              <w:bottom w:val="single" w:sz="8" w:color="A3A7A9"/>
            </w:tcBorders>
            <w:shd w:val="clear" w:color="auto" w:fill="D7D8D6"/>
          </w:tcPr>
          <w:p>
            <w:pPr>
              <w:spacing w:after="0"/>
              <w:rPr>
                <w:sz w:val="6"/>
                <w:szCs w:val="6"/>
                <w:color w:val="auto"/>
              </w:rPr>
            </w:pPr>
          </w:p>
        </w:tc>
        <w:tc>
          <w:tcPr>
            <w:tcW w:w="860" w:type="dxa"/>
            <w:vAlign w:val="bottom"/>
            <w:tcBorders>
              <w:bottom w:val="single" w:sz="8" w:color="A3A7A9"/>
            </w:tcBorders>
            <w:shd w:val="clear" w:color="auto" w:fill="D7D8D6"/>
          </w:tcPr>
          <w:p>
            <w:pPr>
              <w:spacing w:after="0"/>
              <w:rPr>
                <w:sz w:val="6"/>
                <w:szCs w:val="6"/>
                <w:color w:val="auto"/>
              </w:rPr>
            </w:pPr>
          </w:p>
        </w:tc>
        <w:tc>
          <w:tcPr>
            <w:tcW w:w="1040" w:type="dxa"/>
            <w:vAlign w:val="bottom"/>
            <w:tcBorders>
              <w:bottom w:val="single" w:sz="8" w:color="A3A7A9"/>
            </w:tcBorders>
            <w:shd w:val="clear" w:color="auto" w:fill="D7D8D6"/>
          </w:tcPr>
          <w:p>
            <w:pPr>
              <w:spacing w:after="0"/>
              <w:rPr>
                <w:sz w:val="6"/>
                <w:szCs w:val="6"/>
                <w:color w:val="auto"/>
              </w:rPr>
            </w:pPr>
          </w:p>
        </w:tc>
        <w:tc>
          <w:tcPr>
            <w:tcW w:w="880" w:type="dxa"/>
            <w:vAlign w:val="bottom"/>
            <w:tcBorders>
              <w:bottom w:val="single" w:sz="8" w:color="A3A7A9"/>
            </w:tcBorders>
            <w:shd w:val="clear" w:color="auto" w:fill="D7D8D6"/>
          </w:tcPr>
          <w:p>
            <w:pPr>
              <w:spacing w:after="0"/>
              <w:rPr>
                <w:sz w:val="6"/>
                <w:szCs w:val="6"/>
                <w:color w:val="auto"/>
              </w:rPr>
            </w:pPr>
          </w:p>
        </w:tc>
        <w:tc>
          <w:tcPr>
            <w:tcW w:w="700" w:type="dxa"/>
            <w:vAlign w:val="bottom"/>
            <w:tcBorders>
              <w:bottom w:val="single" w:sz="8" w:color="A3A7A9"/>
            </w:tcBorders>
            <w:shd w:val="clear" w:color="auto" w:fill="D7D8D6"/>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shd w:val="clear" w:color="auto" w:fill="D7D8D6"/>
          </w:tcPr>
          <w:p>
            <w:pPr>
              <w:spacing w:after="0"/>
              <w:rPr>
                <w:sz w:val="10"/>
                <w:szCs w:val="10"/>
                <w:color w:val="auto"/>
              </w:rPr>
            </w:pPr>
          </w:p>
        </w:tc>
        <w:tc>
          <w:tcPr>
            <w:tcW w:w="900" w:type="dxa"/>
            <w:vAlign w:val="bottom"/>
            <w:shd w:val="clear" w:color="auto" w:fill="D7D8D6"/>
          </w:tcPr>
          <w:p>
            <w:pPr>
              <w:ind w:left="60"/>
              <w:spacing w:after="0"/>
              <w:rPr>
                <w:sz w:val="20"/>
                <w:szCs w:val="20"/>
                <w:color w:val="auto"/>
              </w:rPr>
            </w:pPr>
            <w:r>
              <w:rPr>
                <w:rFonts w:ascii="Arial" w:cs="Arial" w:eastAsia="Arial" w:hAnsi="Arial"/>
                <w:sz w:val="10"/>
                <w:szCs w:val="10"/>
                <w:color w:val="333740"/>
              </w:rPr>
              <w:t>PSU-TSR</w:t>
            </w:r>
          </w:p>
        </w:tc>
        <w:tc>
          <w:tcPr>
            <w:tcW w:w="88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shd w:val="clear" w:color="auto" w:fill="D7D8D6"/>
          </w:tcPr>
          <w:p>
            <w:pPr>
              <w:spacing w:after="0"/>
              <w:rPr>
                <w:sz w:val="10"/>
                <w:szCs w:val="10"/>
                <w:color w:val="auto"/>
              </w:rPr>
            </w:pPr>
          </w:p>
        </w:tc>
        <w:tc>
          <w:tcPr>
            <w:tcW w:w="1280" w:type="dxa"/>
            <w:vAlign w:val="bottom"/>
            <w:shd w:val="clear" w:color="auto" w:fill="D7D8D6"/>
          </w:tcPr>
          <w:p>
            <w:pPr>
              <w:spacing w:after="0"/>
              <w:rPr>
                <w:sz w:val="10"/>
                <w:szCs w:val="10"/>
                <w:color w:val="auto"/>
              </w:rPr>
            </w:pPr>
          </w:p>
        </w:tc>
        <w:tc>
          <w:tcPr>
            <w:tcW w:w="520" w:type="dxa"/>
            <w:vAlign w:val="bottom"/>
            <w:shd w:val="clear" w:color="auto" w:fill="D7D8D6"/>
          </w:tcPr>
          <w:p>
            <w:pPr>
              <w:spacing w:after="0"/>
              <w:rPr>
                <w:sz w:val="10"/>
                <w:szCs w:val="10"/>
                <w:color w:val="auto"/>
              </w:rPr>
            </w:pPr>
          </w:p>
        </w:tc>
        <w:tc>
          <w:tcPr>
            <w:tcW w:w="1040" w:type="dxa"/>
            <w:vAlign w:val="bottom"/>
            <w:shd w:val="clear" w:color="auto" w:fill="D7D8D6"/>
          </w:tcPr>
          <w:p>
            <w:pPr>
              <w:jc w:val="right"/>
              <w:ind w:right="172"/>
              <w:spacing w:after="0"/>
              <w:rPr>
                <w:sz w:val="20"/>
                <w:szCs w:val="20"/>
                <w:color w:val="auto"/>
              </w:rPr>
            </w:pPr>
            <w:r>
              <w:rPr>
                <w:rFonts w:ascii="Arial" w:cs="Arial" w:eastAsia="Arial" w:hAnsi="Arial"/>
                <w:sz w:val="10"/>
                <w:szCs w:val="10"/>
                <w:color w:val="333740"/>
              </w:rPr>
              <w:t>—</w:t>
            </w:r>
          </w:p>
        </w:tc>
        <w:tc>
          <w:tcPr>
            <w:tcW w:w="900" w:type="dxa"/>
            <w:vAlign w:val="bottom"/>
            <w:shd w:val="clear" w:color="auto" w:fill="D7D8D6"/>
          </w:tcPr>
          <w:p>
            <w:pPr>
              <w:jc w:val="right"/>
              <w:ind w:right="272"/>
              <w:spacing w:after="0"/>
              <w:rPr>
                <w:sz w:val="20"/>
                <w:szCs w:val="20"/>
                <w:color w:val="auto"/>
              </w:rPr>
            </w:pPr>
            <w:r>
              <w:rPr>
                <w:rFonts w:ascii="Arial" w:cs="Arial" w:eastAsia="Arial" w:hAnsi="Arial"/>
                <w:sz w:val="10"/>
                <w:szCs w:val="10"/>
                <w:color w:val="333740"/>
              </w:rPr>
              <w:t>25,738</w:t>
            </w:r>
          </w:p>
        </w:tc>
        <w:tc>
          <w:tcPr>
            <w:tcW w:w="54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51,476</w:t>
            </w:r>
          </w:p>
        </w:tc>
        <w:tc>
          <w:tcPr>
            <w:tcW w:w="860" w:type="dxa"/>
            <w:vAlign w:val="bottom"/>
            <w:shd w:val="clear" w:color="auto" w:fill="D7D8D6"/>
          </w:tcPr>
          <w:p>
            <w:pPr>
              <w:spacing w:after="0"/>
              <w:rPr>
                <w:sz w:val="10"/>
                <w:szCs w:val="10"/>
                <w:color w:val="auto"/>
              </w:rPr>
            </w:pPr>
          </w:p>
        </w:tc>
        <w:tc>
          <w:tcPr>
            <w:tcW w:w="1040" w:type="dxa"/>
            <w:vAlign w:val="bottom"/>
            <w:shd w:val="clear" w:color="auto" w:fill="D7D8D6"/>
          </w:tcPr>
          <w:p>
            <w:pPr>
              <w:spacing w:after="0"/>
              <w:rPr>
                <w:sz w:val="10"/>
                <w:szCs w:val="10"/>
                <w:color w:val="auto"/>
              </w:rPr>
            </w:pPr>
          </w:p>
        </w:tc>
        <w:tc>
          <w:tcPr>
            <w:tcW w:w="880" w:type="dxa"/>
            <w:vAlign w:val="bottom"/>
            <w:shd w:val="clear" w:color="auto" w:fill="D7D8D6"/>
          </w:tcPr>
          <w:p>
            <w:pPr>
              <w:spacing w:after="0"/>
              <w:rPr>
                <w:sz w:val="10"/>
                <w:szCs w:val="10"/>
                <w:color w:val="auto"/>
              </w:rPr>
            </w:pPr>
          </w:p>
        </w:tc>
        <w:tc>
          <w:tcPr>
            <w:tcW w:w="70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747,432</w:t>
            </w:r>
          </w:p>
        </w:tc>
        <w:tc>
          <w:tcPr>
            <w:tcW w:w="0" w:type="dxa"/>
            <w:vAlign w:val="bottom"/>
          </w:tcPr>
          <w:p>
            <w:pPr>
              <w:spacing w:after="0"/>
              <w:rPr>
                <w:sz w:val="1"/>
                <w:szCs w:val="1"/>
                <w:color w:val="auto"/>
              </w:rPr>
            </w:pPr>
          </w:p>
        </w:tc>
      </w:tr>
      <w:tr>
        <w:trPr>
          <w:trHeight w:val="71"/>
        </w:trPr>
        <w:tc>
          <w:tcPr>
            <w:tcW w:w="920" w:type="dxa"/>
            <w:vAlign w:val="bottom"/>
            <w:tcBorders>
              <w:bottom w:val="single" w:sz="8" w:color="D7D8D6"/>
            </w:tcBorders>
            <w:shd w:val="clear" w:color="auto" w:fill="D7D8D6"/>
          </w:tcPr>
          <w:p>
            <w:pPr>
              <w:spacing w:after="0"/>
              <w:rPr>
                <w:sz w:val="6"/>
                <w:szCs w:val="6"/>
                <w:color w:val="auto"/>
              </w:rPr>
            </w:pPr>
          </w:p>
        </w:tc>
        <w:tc>
          <w:tcPr>
            <w:tcW w:w="900" w:type="dxa"/>
            <w:vAlign w:val="bottom"/>
            <w:tcBorders>
              <w:bottom w:val="single" w:sz="8" w:color="A3A7A9"/>
            </w:tcBorders>
            <w:shd w:val="clear" w:color="auto" w:fill="D7D8D6"/>
          </w:tcPr>
          <w:p>
            <w:pPr>
              <w:spacing w:after="0"/>
              <w:rPr>
                <w:sz w:val="6"/>
                <w:szCs w:val="6"/>
                <w:color w:val="auto"/>
              </w:rPr>
            </w:pPr>
          </w:p>
        </w:tc>
        <w:tc>
          <w:tcPr>
            <w:tcW w:w="880" w:type="dxa"/>
            <w:vAlign w:val="bottom"/>
            <w:tcBorders>
              <w:bottom w:val="single" w:sz="8" w:color="A3A7A9"/>
            </w:tcBorders>
            <w:shd w:val="clear" w:color="auto" w:fill="D7D8D6"/>
          </w:tcPr>
          <w:p>
            <w:pPr>
              <w:spacing w:after="0"/>
              <w:rPr>
                <w:sz w:val="6"/>
                <w:szCs w:val="6"/>
                <w:color w:val="auto"/>
              </w:rPr>
            </w:pPr>
          </w:p>
        </w:tc>
        <w:tc>
          <w:tcPr>
            <w:tcW w:w="800" w:type="dxa"/>
            <w:vAlign w:val="bottom"/>
            <w:tcBorders>
              <w:bottom w:val="single" w:sz="8" w:color="A3A7A9"/>
            </w:tcBorders>
            <w:shd w:val="clear" w:color="auto" w:fill="D7D8D6"/>
          </w:tcPr>
          <w:p>
            <w:pPr>
              <w:spacing w:after="0"/>
              <w:rPr>
                <w:sz w:val="6"/>
                <w:szCs w:val="6"/>
                <w:color w:val="auto"/>
              </w:rPr>
            </w:pPr>
          </w:p>
        </w:tc>
        <w:tc>
          <w:tcPr>
            <w:tcW w:w="1280" w:type="dxa"/>
            <w:vAlign w:val="bottom"/>
            <w:tcBorders>
              <w:bottom w:val="single" w:sz="8" w:color="A3A7A9"/>
            </w:tcBorders>
            <w:shd w:val="clear" w:color="auto" w:fill="D7D8D6"/>
          </w:tcPr>
          <w:p>
            <w:pPr>
              <w:spacing w:after="0"/>
              <w:rPr>
                <w:sz w:val="6"/>
                <w:szCs w:val="6"/>
                <w:color w:val="auto"/>
              </w:rPr>
            </w:pPr>
          </w:p>
        </w:tc>
        <w:tc>
          <w:tcPr>
            <w:tcW w:w="520" w:type="dxa"/>
            <w:vAlign w:val="bottom"/>
            <w:tcBorders>
              <w:bottom w:val="single" w:sz="8" w:color="A3A7A9"/>
            </w:tcBorders>
            <w:shd w:val="clear" w:color="auto" w:fill="D7D8D6"/>
          </w:tcPr>
          <w:p>
            <w:pPr>
              <w:spacing w:after="0"/>
              <w:rPr>
                <w:sz w:val="6"/>
                <w:szCs w:val="6"/>
                <w:color w:val="auto"/>
              </w:rPr>
            </w:pPr>
          </w:p>
        </w:tc>
        <w:tc>
          <w:tcPr>
            <w:tcW w:w="1040" w:type="dxa"/>
            <w:vAlign w:val="bottom"/>
            <w:tcBorders>
              <w:bottom w:val="single" w:sz="8" w:color="A3A7A9"/>
            </w:tcBorders>
            <w:shd w:val="clear" w:color="auto" w:fill="D7D8D6"/>
          </w:tcPr>
          <w:p>
            <w:pPr>
              <w:spacing w:after="0"/>
              <w:rPr>
                <w:sz w:val="6"/>
                <w:szCs w:val="6"/>
                <w:color w:val="auto"/>
              </w:rPr>
            </w:pPr>
          </w:p>
        </w:tc>
        <w:tc>
          <w:tcPr>
            <w:tcW w:w="900" w:type="dxa"/>
            <w:vAlign w:val="bottom"/>
            <w:tcBorders>
              <w:bottom w:val="single" w:sz="8" w:color="A3A7A9"/>
            </w:tcBorders>
            <w:shd w:val="clear" w:color="auto" w:fill="D7D8D6"/>
          </w:tcPr>
          <w:p>
            <w:pPr>
              <w:spacing w:after="0"/>
              <w:rPr>
                <w:sz w:val="6"/>
                <w:szCs w:val="6"/>
                <w:color w:val="auto"/>
              </w:rPr>
            </w:pPr>
          </w:p>
        </w:tc>
        <w:tc>
          <w:tcPr>
            <w:tcW w:w="540" w:type="dxa"/>
            <w:vAlign w:val="bottom"/>
            <w:tcBorders>
              <w:bottom w:val="single" w:sz="8" w:color="A3A7A9"/>
            </w:tcBorders>
            <w:shd w:val="clear" w:color="auto" w:fill="D7D8D6"/>
          </w:tcPr>
          <w:p>
            <w:pPr>
              <w:spacing w:after="0"/>
              <w:rPr>
                <w:sz w:val="6"/>
                <w:szCs w:val="6"/>
                <w:color w:val="auto"/>
              </w:rPr>
            </w:pPr>
          </w:p>
        </w:tc>
        <w:tc>
          <w:tcPr>
            <w:tcW w:w="860" w:type="dxa"/>
            <w:vAlign w:val="bottom"/>
            <w:tcBorders>
              <w:bottom w:val="single" w:sz="8" w:color="A3A7A9"/>
            </w:tcBorders>
            <w:shd w:val="clear" w:color="auto" w:fill="D7D8D6"/>
          </w:tcPr>
          <w:p>
            <w:pPr>
              <w:spacing w:after="0"/>
              <w:rPr>
                <w:sz w:val="6"/>
                <w:szCs w:val="6"/>
                <w:color w:val="auto"/>
              </w:rPr>
            </w:pPr>
          </w:p>
        </w:tc>
        <w:tc>
          <w:tcPr>
            <w:tcW w:w="1040" w:type="dxa"/>
            <w:vAlign w:val="bottom"/>
            <w:tcBorders>
              <w:bottom w:val="single" w:sz="8" w:color="A3A7A9"/>
            </w:tcBorders>
            <w:shd w:val="clear" w:color="auto" w:fill="D7D8D6"/>
          </w:tcPr>
          <w:p>
            <w:pPr>
              <w:spacing w:after="0"/>
              <w:rPr>
                <w:sz w:val="6"/>
                <w:szCs w:val="6"/>
                <w:color w:val="auto"/>
              </w:rPr>
            </w:pPr>
          </w:p>
        </w:tc>
        <w:tc>
          <w:tcPr>
            <w:tcW w:w="880" w:type="dxa"/>
            <w:vAlign w:val="bottom"/>
            <w:tcBorders>
              <w:bottom w:val="single" w:sz="8" w:color="A3A7A9"/>
            </w:tcBorders>
            <w:shd w:val="clear" w:color="auto" w:fill="D7D8D6"/>
          </w:tcPr>
          <w:p>
            <w:pPr>
              <w:spacing w:after="0"/>
              <w:rPr>
                <w:sz w:val="6"/>
                <w:szCs w:val="6"/>
                <w:color w:val="auto"/>
              </w:rPr>
            </w:pPr>
          </w:p>
        </w:tc>
        <w:tc>
          <w:tcPr>
            <w:tcW w:w="700" w:type="dxa"/>
            <w:vAlign w:val="bottom"/>
            <w:tcBorders>
              <w:bottom w:val="single" w:sz="8" w:color="A3A7A9"/>
            </w:tcBorders>
            <w:shd w:val="clear" w:color="auto" w:fill="D7D8D6"/>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shd w:val="clear" w:color="auto" w:fill="D7D8D6"/>
          </w:tcPr>
          <w:p>
            <w:pPr>
              <w:spacing w:after="0"/>
              <w:rPr>
                <w:sz w:val="10"/>
                <w:szCs w:val="10"/>
                <w:color w:val="auto"/>
              </w:rPr>
            </w:pPr>
          </w:p>
        </w:tc>
        <w:tc>
          <w:tcPr>
            <w:tcW w:w="900" w:type="dxa"/>
            <w:vAlign w:val="bottom"/>
            <w:shd w:val="clear" w:color="auto" w:fill="D7D8D6"/>
          </w:tcPr>
          <w:p>
            <w:pPr>
              <w:ind w:left="60"/>
              <w:spacing w:after="0"/>
              <w:rPr>
                <w:sz w:val="20"/>
                <w:szCs w:val="20"/>
                <w:color w:val="auto"/>
              </w:rPr>
            </w:pPr>
            <w:r>
              <w:rPr>
                <w:rFonts w:ascii="Arial" w:cs="Arial" w:eastAsia="Arial" w:hAnsi="Arial"/>
                <w:sz w:val="10"/>
                <w:szCs w:val="10"/>
                <w:color w:val="333740"/>
              </w:rPr>
              <w:t>Stock Options</w:t>
            </w:r>
          </w:p>
        </w:tc>
        <w:tc>
          <w:tcPr>
            <w:tcW w:w="88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shd w:val="clear" w:color="auto" w:fill="D7D8D6"/>
          </w:tcPr>
          <w:p>
            <w:pPr>
              <w:spacing w:after="0"/>
              <w:rPr>
                <w:sz w:val="10"/>
                <w:szCs w:val="10"/>
                <w:color w:val="auto"/>
              </w:rPr>
            </w:pPr>
          </w:p>
        </w:tc>
        <w:tc>
          <w:tcPr>
            <w:tcW w:w="1280" w:type="dxa"/>
            <w:vAlign w:val="bottom"/>
            <w:shd w:val="clear" w:color="auto" w:fill="D7D8D6"/>
          </w:tcPr>
          <w:p>
            <w:pPr>
              <w:spacing w:after="0"/>
              <w:rPr>
                <w:sz w:val="10"/>
                <w:szCs w:val="10"/>
                <w:color w:val="auto"/>
              </w:rPr>
            </w:pPr>
          </w:p>
        </w:tc>
        <w:tc>
          <w:tcPr>
            <w:tcW w:w="520" w:type="dxa"/>
            <w:vAlign w:val="bottom"/>
            <w:shd w:val="clear" w:color="auto" w:fill="D7D8D6"/>
          </w:tcPr>
          <w:p>
            <w:pPr>
              <w:spacing w:after="0"/>
              <w:rPr>
                <w:sz w:val="10"/>
                <w:szCs w:val="10"/>
                <w:color w:val="auto"/>
              </w:rPr>
            </w:pPr>
          </w:p>
        </w:tc>
        <w:tc>
          <w:tcPr>
            <w:tcW w:w="1040" w:type="dxa"/>
            <w:vAlign w:val="bottom"/>
            <w:shd w:val="clear" w:color="auto" w:fill="D7D8D6"/>
          </w:tcPr>
          <w:p>
            <w:pPr>
              <w:spacing w:after="0"/>
              <w:rPr>
                <w:sz w:val="10"/>
                <w:szCs w:val="10"/>
                <w:color w:val="auto"/>
              </w:rPr>
            </w:pPr>
          </w:p>
        </w:tc>
        <w:tc>
          <w:tcPr>
            <w:tcW w:w="900" w:type="dxa"/>
            <w:vAlign w:val="bottom"/>
            <w:shd w:val="clear" w:color="auto" w:fill="D7D8D6"/>
          </w:tcPr>
          <w:p>
            <w:pPr>
              <w:spacing w:after="0"/>
              <w:rPr>
                <w:sz w:val="10"/>
                <w:szCs w:val="10"/>
                <w:color w:val="auto"/>
              </w:rPr>
            </w:pPr>
          </w:p>
        </w:tc>
        <w:tc>
          <w:tcPr>
            <w:tcW w:w="540" w:type="dxa"/>
            <w:vAlign w:val="bottom"/>
            <w:shd w:val="clear" w:color="auto" w:fill="D7D8D6"/>
          </w:tcPr>
          <w:p>
            <w:pPr>
              <w:spacing w:after="0"/>
              <w:rPr>
                <w:sz w:val="10"/>
                <w:szCs w:val="10"/>
                <w:color w:val="auto"/>
              </w:rPr>
            </w:pPr>
          </w:p>
        </w:tc>
        <w:tc>
          <w:tcPr>
            <w:tcW w:w="860" w:type="dxa"/>
            <w:vAlign w:val="bottom"/>
            <w:shd w:val="clear" w:color="auto" w:fill="D7D8D6"/>
          </w:tcPr>
          <w:p>
            <w:pPr>
              <w:spacing w:after="0"/>
              <w:rPr>
                <w:sz w:val="10"/>
                <w:szCs w:val="10"/>
                <w:color w:val="auto"/>
              </w:rPr>
            </w:pPr>
          </w:p>
        </w:tc>
        <w:tc>
          <w:tcPr>
            <w:tcW w:w="1040" w:type="dxa"/>
            <w:vAlign w:val="bottom"/>
            <w:shd w:val="clear" w:color="auto" w:fill="D7D8D6"/>
          </w:tcPr>
          <w:p>
            <w:pPr>
              <w:jc w:val="right"/>
              <w:ind w:right="132"/>
              <w:spacing w:after="0"/>
              <w:rPr>
                <w:sz w:val="20"/>
                <w:szCs w:val="20"/>
                <w:color w:val="auto"/>
              </w:rPr>
            </w:pPr>
            <w:r>
              <w:rPr>
                <w:rFonts w:ascii="Arial" w:cs="Arial" w:eastAsia="Arial" w:hAnsi="Arial"/>
                <w:sz w:val="10"/>
                <w:szCs w:val="10"/>
                <w:color w:val="333740"/>
              </w:rPr>
              <w:t>63,784</w:t>
            </w:r>
          </w:p>
        </w:tc>
        <w:tc>
          <w:tcPr>
            <w:tcW w:w="880" w:type="dxa"/>
            <w:vAlign w:val="bottom"/>
            <w:shd w:val="clear" w:color="auto" w:fill="D7D8D6"/>
          </w:tcPr>
          <w:p>
            <w:pPr>
              <w:jc w:val="right"/>
              <w:ind w:right="132"/>
              <w:spacing w:after="0"/>
              <w:rPr>
                <w:sz w:val="20"/>
                <w:szCs w:val="20"/>
                <w:color w:val="auto"/>
              </w:rPr>
            </w:pPr>
            <w:r>
              <w:rPr>
                <w:rFonts w:ascii="Arial" w:cs="Arial" w:eastAsia="Arial" w:hAnsi="Arial"/>
                <w:sz w:val="10"/>
                <w:szCs w:val="10"/>
                <w:color w:val="333740"/>
              </w:rPr>
              <w:t>20.98</w:t>
            </w:r>
          </w:p>
        </w:tc>
        <w:tc>
          <w:tcPr>
            <w:tcW w:w="70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359,997</w:t>
            </w:r>
          </w:p>
        </w:tc>
        <w:tc>
          <w:tcPr>
            <w:tcW w:w="0" w:type="dxa"/>
            <w:vAlign w:val="bottom"/>
          </w:tcPr>
          <w:p>
            <w:pPr>
              <w:spacing w:after="0"/>
              <w:rPr>
                <w:sz w:val="1"/>
                <w:szCs w:val="1"/>
                <w:color w:val="auto"/>
              </w:rPr>
            </w:pPr>
          </w:p>
        </w:tc>
      </w:tr>
      <w:tr>
        <w:trPr>
          <w:trHeight w:val="68"/>
        </w:trPr>
        <w:tc>
          <w:tcPr>
            <w:tcW w:w="920" w:type="dxa"/>
            <w:vAlign w:val="bottom"/>
            <w:shd w:val="clear" w:color="auto" w:fill="D7D8D6"/>
          </w:tcPr>
          <w:p>
            <w:pPr>
              <w:spacing w:after="0"/>
              <w:rPr>
                <w:sz w:val="5"/>
                <w:szCs w:val="5"/>
                <w:color w:val="auto"/>
              </w:rPr>
            </w:pPr>
          </w:p>
        </w:tc>
        <w:tc>
          <w:tcPr>
            <w:tcW w:w="900" w:type="dxa"/>
            <w:vAlign w:val="bottom"/>
            <w:shd w:val="clear" w:color="auto" w:fill="D7D8D6"/>
          </w:tcPr>
          <w:p>
            <w:pPr>
              <w:spacing w:after="0"/>
              <w:rPr>
                <w:sz w:val="5"/>
                <w:szCs w:val="5"/>
                <w:color w:val="auto"/>
              </w:rPr>
            </w:pPr>
          </w:p>
        </w:tc>
        <w:tc>
          <w:tcPr>
            <w:tcW w:w="880" w:type="dxa"/>
            <w:vAlign w:val="bottom"/>
            <w:shd w:val="clear" w:color="auto" w:fill="D7D8D6"/>
          </w:tcPr>
          <w:p>
            <w:pPr>
              <w:spacing w:after="0"/>
              <w:rPr>
                <w:sz w:val="5"/>
                <w:szCs w:val="5"/>
                <w:color w:val="auto"/>
              </w:rPr>
            </w:pPr>
          </w:p>
        </w:tc>
        <w:tc>
          <w:tcPr>
            <w:tcW w:w="800" w:type="dxa"/>
            <w:vAlign w:val="bottom"/>
            <w:shd w:val="clear" w:color="auto" w:fill="D7D8D6"/>
          </w:tcPr>
          <w:p>
            <w:pPr>
              <w:spacing w:after="0"/>
              <w:rPr>
                <w:sz w:val="5"/>
                <w:szCs w:val="5"/>
                <w:color w:val="auto"/>
              </w:rPr>
            </w:pPr>
          </w:p>
        </w:tc>
        <w:tc>
          <w:tcPr>
            <w:tcW w:w="1280" w:type="dxa"/>
            <w:vAlign w:val="bottom"/>
            <w:shd w:val="clear" w:color="auto" w:fill="D7D8D6"/>
          </w:tcPr>
          <w:p>
            <w:pPr>
              <w:spacing w:after="0"/>
              <w:rPr>
                <w:sz w:val="5"/>
                <w:szCs w:val="5"/>
                <w:color w:val="auto"/>
              </w:rPr>
            </w:pPr>
          </w:p>
        </w:tc>
        <w:tc>
          <w:tcPr>
            <w:tcW w:w="520" w:type="dxa"/>
            <w:vAlign w:val="bottom"/>
            <w:shd w:val="clear" w:color="auto" w:fill="D7D8D6"/>
          </w:tcPr>
          <w:p>
            <w:pPr>
              <w:spacing w:after="0"/>
              <w:rPr>
                <w:sz w:val="5"/>
                <w:szCs w:val="5"/>
                <w:color w:val="auto"/>
              </w:rPr>
            </w:pPr>
          </w:p>
        </w:tc>
        <w:tc>
          <w:tcPr>
            <w:tcW w:w="1040" w:type="dxa"/>
            <w:vAlign w:val="bottom"/>
            <w:shd w:val="clear" w:color="auto" w:fill="D7D8D6"/>
          </w:tcPr>
          <w:p>
            <w:pPr>
              <w:spacing w:after="0"/>
              <w:rPr>
                <w:sz w:val="5"/>
                <w:szCs w:val="5"/>
                <w:color w:val="auto"/>
              </w:rPr>
            </w:pPr>
          </w:p>
        </w:tc>
        <w:tc>
          <w:tcPr>
            <w:tcW w:w="900" w:type="dxa"/>
            <w:vAlign w:val="bottom"/>
            <w:shd w:val="clear" w:color="auto" w:fill="D7D8D6"/>
          </w:tcPr>
          <w:p>
            <w:pPr>
              <w:spacing w:after="0"/>
              <w:rPr>
                <w:sz w:val="5"/>
                <w:szCs w:val="5"/>
                <w:color w:val="auto"/>
              </w:rPr>
            </w:pPr>
          </w:p>
        </w:tc>
        <w:tc>
          <w:tcPr>
            <w:tcW w:w="540" w:type="dxa"/>
            <w:vAlign w:val="bottom"/>
            <w:shd w:val="clear" w:color="auto" w:fill="D7D8D6"/>
          </w:tcPr>
          <w:p>
            <w:pPr>
              <w:spacing w:after="0"/>
              <w:rPr>
                <w:sz w:val="5"/>
                <w:szCs w:val="5"/>
                <w:color w:val="auto"/>
              </w:rPr>
            </w:pPr>
          </w:p>
        </w:tc>
        <w:tc>
          <w:tcPr>
            <w:tcW w:w="860" w:type="dxa"/>
            <w:vAlign w:val="bottom"/>
            <w:shd w:val="clear" w:color="auto" w:fill="D7D8D6"/>
          </w:tcPr>
          <w:p>
            <w:pPr>
              <w:spacing w:after="0"/>
              <w:rPr>
                <w:sz w:val="5"/>
                <w:szCs w:val="5"/>
                <w:color w:val="auto"/>
              </w:rPr>
            </w:pPr>
          </w:p>
        </w:tc>
        <w:tc>
          <w:tcPr>
            <w:tcW w:w="1040" w:type="dxa"/>
            <w:vAlign w:val="bottom"/>
            <w:shd w:val="clear" w:color="auto" w:fill="D7D8D6"/>
          </w:tcPr>
          <w:p>
            <w:pPr>
              <w:spacing w:after="0"/>
              <w:rPr>
                <w:sz w:val="5"/>
                <w:szCs w:val="5"/>
                <w:color w:val="auto"/>
              </w:rPr>
            </w:pPr>
          </w:p>
        </w:tc>
        <w:tc>
          <w:tcPr>
            <w:tcW w:w="880" w:type="dxa"/>
            <w:vAlign w:val="bottom"/>
            <w:shd w:val="clear" w:color="auto" w:fill="D7D8D6"/>
          </w:tcPr>
          <w:p>
            <w:pPr>
              <w:spacing w:after="0"/>
              <w:rPr>
                <w:sz w:val="5"/>
                <w:szCs w:val="5"/>
                <w:color w:val="auto"/>
              </w:rPr>
            </w:pPr>
          </w:p>
        </w:tc>
        <w:tc>
          <w:tcPr>
            <w:tcW w:w="700" w:type="dxa"/>
            <w:vAlign w:val="bottom"/>
            <w:shd w:val="clear" w:color="auto" w:fill="D7D8D6"/>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920" w:type="dxa"/>
            <w:vAlign w:val="bottom"/>
          </w:tcPr>
          <w:p>
            <w:pPr>
              <w:spacing w:after="0"/>
              <w:rPr>
                <w:sz w:val="20"/>
                <w:szCs w:val="20"/>
                <w:color w:val="auto"/>
              </w:rPr>
            </w:pPr>
            <w:r>
              <w:rPr>
                <w:rFonts w:ascii="Arial" w:cs="Arial" w:eastAsia="Arial" w:hAnsi="Arial"/>
                <w:sz w:val="10"/>
                <w:szCs w:val="10"/>
                <w:b w:val="1"/>
                <w:bCs w:val="1"/>
                <w:color w:val="333740"/>
              </w:rPr>
              <w:t>Nello Uccelletti</w:t>
            </w:r>
          </w:p>
        </w:tc>
        <w:tc>
          <w:tcPr>
            <w:tcW w:w="900" w:type="dxa"/>
            <w:vAlign w:val="bottom"/>
          </w:tcPr>
          <w:p>
            <w:pPr>
              <w:ind w:left="60"/>
              <w:spacing w:after="0"/>
              <w:rPr>
                <w:sz w:val="20"/>
                <w:szCs w:val="20"/>
                <w:color w:val="auto"/>
              </w:rPr>
            </w:pPr>
            <w:r>
              <w:rPr>
                <w:rFonts w:ascii="Arial" w:cs="Arial" w:eastAsia="Arial" w:hAnsi="Arial"/>
                <w:sz w:val="10"/>
                <w:szCs w:val="10"/>
                <w:color w:val="333740"/>
              </w:rPr>
              <w:t>Annual Incentive</w:t>
            </w:r>
          </w:p>
        </w:tc>
        <w:tc>
          <w:tcPr>
            <w:tcW w:w="880" w:type="dxa"/>
            <w:vAlign w:val="bottom"/>
          </w:tcPr>
          <w:p>
            <w:pPr>
              <w:jc w:val="right"/>
              <w:spacing w:after="0"/>
              <w:rPr>
                <w:sz w:val="20"/>
                <w:szCs w:val="20"/>
                <w:color w:val="auto"/>
              </w:rPr>
            </w:pPr>
            <w:r>
              <w:rPr>
                <w:rFonts w:ascii="Arial" w:cs="Arial" w:eastAsia="Arial" w:hAnsi="Arial"/>
                <w:sz w:val="10"/>
                <w:szCs w:val="10"/>
                <w:color w:val="333740"/>
              </w:rPr>
              <w:t>2019</w:t>
            </w:r>
          </w:p>
        </w:tc>
        <w:tc>
          <w:tcPr>
            <w:tcW w:w="800" w:type="dxa"/>
            <w:vAlign w:val="bottom"/>
          </w:tcPr>
          <w:p>
            <w:pPr>
              <w:jc w:val="right"/>
              <w:spacing w:after="0"/>
              <w:rPr>
                <w:sz w:val="20"/>
                <w:szCs w:val="20"/>
                <w:color w:val="auto"/>
              </w:rPr>
            </w:pPr>
            <w:r>
              <w:rPr>
                <w:rFonts w:ascii="Arial" w:cs="Arial" w:eastAsia="Arial" w:hAnsi="Arial"/>
                <w:sz w:val="10"/>
                <w:szCs w:val="10"/>
                <w:color w:val="333740"/>
              </w:rPr>
              <w:t>—</w:t>
            </w:r>
          </w:p>
        </w:tc>
        <w:tc>
          <w:tcPr>
            <w:tcW w:w="1280" w:type="dxa"/>
            <w:vAlign w:val="bottom"/>
          </w:tcPr>
          <w:p>
            <w:pPr>
              <w:jc w:val="right"/>
              <w:ind w:right="372"/>
              <w:spacing w:after="0"/>
              <w:rPr>
                <w:sz w:val="20"/>
                <w:szCs w:val="20"/>
                <w:color w:val="auto"/>
              </w:rPr>
            </w:pPr>
            <w:r>
              <w:rPr>
                <w:rFonts w:ascii="Arial" w:cs="Arial" w:eastAsia="Arial" w:hAnsi="Arial"/>
                <w:sz w:val="10"/>
                <w:szCs w:val="10"/>
                <w:color w:val="333740"/>
              </w:rPr>
              <w:t>561,997</w:t>
            </w:r>
          </w:p>
        </w:tc>
        <w:tc>
          <w:tcPr>
            <w:tcW w:w="520" w:type="dxa"/>
            <w:vAlign w:val="bottom"/>
          </w:tcPr>
          <w:p>
            <w:pPr>
              <w:jc w:val="right"/>
              <w:ind w:right="32"/>
              <w:spacing w:after="0"/>
              <w:rPr>
                <w:sz w:val="20"/>
                <w:szCs w:val="20"/>
                <w:color w:val="auto"/>
              </w:rPr>
            </w:pPr>
            <w:r>
              <w:rPr>
                <w:rFonts w:ascii="Arial" w:cs="Arial" w:eastAsia="Arial" w:hAnsi="Arial"/>
                <w:sz w:val="10"/>
                <w:szCs w:val="10"/>
                <w:color w:val="333740"/>
                <w:w w:val="94"/>
              </w:rPr>
              <w:t>1,123,993</w:t>
            </w:r>
          </w:p>
        </w:tc>
        <w:tc>
          <w:tcPr>
            <w:tcW w:w="10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920" w:type="dxa"/>
            <w:vAlign w:val="bottom"/>
          </w:tcPr>
          <w:p>
            <w:pPr>
              <w:spacing w:after="0"/>
              <w:rPr>
                <w:sz w:val="5"/>
                <w:szCs w:val="5"/>
                <w:color w:val="auto"/>
              </w:rPr>
            </w:pPr>
          </w:p>
        </w:tc>
        <w:tc>
          <w:tcPr>
            <w:tcW w:w="900" w:type="dxa"/>
            <w:vAlign w:val="bottom"/>
            <w:tcBorders>
              <w:bottom w:val="single" w:sz="8" w:color="D7D8D6"/>
            </w:tcBorders>
          </w:tcPr>
          <w:p>
            <w:pPr>
              <w:spacing w:after="0"/>
              <w:rPr>
                <w:sz w:val="5"/>
                <w:szCs w:val="5"/>
                <w:color w:val="auto"/>
              </w:rPr>
            </w:pPr>
          </w:p>
        </w:tc>
        <w:tc>
          <w:tcPr>
            <w:tcW w:w="880" w:type="dxa"/>
            <w:vAlign w:val="bottom"/>
            <w:tcBorders>
              <w:bottom w:val="single" w:sz="8" w:color="D7D8D6"/>
            </w:tcBorders>
          </w:tcPr>
          <w:p>
            <w:pPr>
              <w:spacing w:after="0"/>
              <w:rPr>
                <w:sz w:val="5"/>
                <w:szCs w:val="5"/>
                <w:color w:val="auto"/>
              </w:rPr>
            </w:pPr>
          </w:p>
        </w:tc>
        <w:tc>
          <w:tcPr>
            <w:tcW w:w="800" w:type="dxa"/>
            <w:vAlign w:val="bottom"/>
            <w:tcBorders>
              <w:bottom w:val="single" w:sz="8" w:color="D7D8D6"/>
            </w:tcBorders>
          </w:tcPr>
          <w:p>
            <w:pPr>
              <w:spacing w:after="0"/>
              <w:rPr>
                <w:sz w:val="5"/>
                <w:szCs w:val="5"/>
                <w:color w:val="auto"/>
              </w:rPr>
            </w:pPr>
          </w:p>
        </w:tc>
        <w:tc>
          <w:tcPr>
            <w:tcW w:w="1280" w:type="dxa"/>
            <w:vAlign w:val="bottom"/>
            <w:tcBorders>
              <w:bottom w:val="single" w:sz="8" w:color="D7D8D6"/>
            </w:tcBorders>
          </w:tcPr>
          <w:p>
            <w:pPr>
              <w:spacing w:after="0"/>
              <w:rPr>
                <w:sz w:val="5"/>
                <w:szCs w:val="5"/>
                <w:color w:val="auto"/>
              </w:rPr>
            </w:pPr>
          </w:p>
        </w:tc>
        <w:tc>
          <w:tcPr>
            <w:tcW w:w="520" w:type="dxa"/>
            <w:vAlign w:val="bottom"/>
            <w:tcBorders>
              <w:bottom w:val="single" w:sz="8" w:color="D7D8D6"/>
            </w:tcBorders>
          </w:tcPr>
          <w:p>
            <w:pPr>
              <w:spacing w:after="0"/>
              <w:rPr>
                <w:sz w:val="5"/>
                <w:szCs w:val="5"/>
                <w:color w:val="auto"/>
              </w:rPr>
            </w:pPr>
          </w:p>
        </w:tc>
        <w:tc>
          <w:tcPr>
            <w:tcW w:w="1040" w:type="dxa"/>
            <w:vAlign w:val="bottom"/>
            <w:tcBorders>
              <w:bottom w:val="single" w:sz="8" w:color="D7D8D6"/>
            </w:tcBorders>
          </w:tcPr>
          <w:p>
            <w:pPr>
              <w:spacing w:after="0"/>
              <w:rPr>
                <w:sz w:val="5"/>
                <w:szCs w:val="5"/>
                <w:color w:val="auto"/>
              </w:rPr>
            </w:pPr>
          </w:p>
        </w:tc>
        <w:tc>
          <w:tcPr>
            <w:tcW w:w="900" w:type="dxa"/>
            <w:vAlign w:val="bottom"/>
            <w:tcBorders>
              <w:bottom w:val="single" w:sz="8" w:color="D7D8D6"/>
            </w:tcBorders>
          </w:tcPr>
          <w:p>
            <w:pPr>
              <w:spacing w:after="0"/>
              <w:rPr>
                <w:sz w:val="5"/>
                <w:szCs w:val="5"/>
                <w:color w:val="auto"/>
              </w:rPr>
            </w:pPr>
          </w:p>
        </w:tc>
        <w:tc>
          <w:tcPr>
            <w:tcW w:w="540" w:type="dxa"/>
            <w:vAlign w:val="bottom"/>
            <w:tcBorders>
              <w:bottom w:val="single" w:sz="8" w:color="D7D8D6"/>
            </w:tcBorders>
          </w:tcPr>
          <w:p>
            <w:pPr>
              <w:spacing w:after="0"/>
              <w:rPr>
                <w:sz w:val="5"/>
                <w:szCs w:val="5"/>
                <w:color w:val="auto"/>
              </w:rPr>
            </w:pPr>
          </w:p>
        </w:tc>
        <w:tc>
          <w:tcPr>
            <w:tcW w:w="860" w:type="dxa"/>
            <w:vAlign w:val="bottom"/>
            <w:tcBorders>
              <w:bottom w:val="single" w:sz="8" w:color="D7D8D6"/>
            </w:tcBorders>
          </w:tcPr>
          <w:p>
            <w:pPr>
              <w:spacing w:after="0"/>
              <w:rPr>
                <w:sz w:val="5"/>
                <w:szCs w:val="5"/>
                <w:color w:val="auto"/>
              </w:rPr>
            </w:pPr>
          </w:p>
        </w:tc>
        <w:tc>
          <w:tcPr>
            <w:tcW w:w="1040" w:type="dxa"/>
            <w:vAlign w:val="bottom"/>
            <w:tcBorders>
              <w:bottom w:val="single" w:sz="8" w:color="D7D8D6"/>
            </w:tcBorders>
          </w:tcPr>
          <w:p>
            <w:pPr>
              <w:spacing w:after="0"/>
              <w:rPr>
                <w:sz w:val="5"/>
                <w:szCs w:val="5"/>
                <w:color w:val="auto"/>
              </w:rPr>
            </w:pPr>
          </w:p>
        </w:tc>
        <w:tc>
          <w:tcPr>
            <w:tcW w:w="880" w:type="dxa"/>
            <w:vAlign w:val="bottom"/>
            <w:tcBorders>
              <w:bottom w:val="single" w:sz="8" w:color="D7D8D6"/>
            </w:tcBorders>
          </w:tcPr>
          <w:p>
            <w:pPr>
              <w:spacing w:after="0"/>
              <w:rPr>
                <w:sz w:val="5"/>
                <w:szCs w:val="5"/>
                <w:color w:val="auto"/>
              </w:rPr>
            </w:pPr>
          </w:p>
        </w:tc>
        <w:tc>
          <w:tcPr>
            <w:tcW w:w="700" w:type="dxa"/>
            <w:vAlign w:val="bottom"/>
            <w:tcBorders>
              <w:bottom w:val="single" w:sz="8" w:color="D7D8D6"/>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0"/>
                <w:szCs w:val="10"/>
                <w:color w:val="333740"/>
              </w:rPr>
              <w:t>RSU</w:t>
            </w:r>
          </w:p>
        </w:tc>
        <w:tc>
          <w:tcPr>
            <w:tcW w:w="880" w:type="dxa"/>
            <w:vAlign w:val="bottom"/>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333740"/>
              </w:rPr>
              <w:t>12,392</w:t>
            </w: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333740"/>
              </w:rPr>
              <w:t>259,984</w:t>
            </w:r>
          </w:p>
        </w:tc>
        <w:tc>
          <w:tcPr>
            <w:tcW w:w="0" w:type="dxa"/>
            <w:vAlign w:val="bottom"/>
          </w:tcPr>
          <w:p>
            <w:pPr>
              <w:spacing w:after="0"/>
              <w:rPr>
                <w:sz w:val="1"/>
                <w:szCs w:val="1"/>
                <w:color w:val="auto"/>
              </w:rPr>
            </w:pPr>
          </w:p>
        </w:tc>
      </w:tr>
      <w:tr>
        <w:trPr>
          <w:trHeight w:val="71"/>
        </w:trPr>
        <w:tc>
          <w:tcPr>
            <w:tcW w:w="920" w:type="dxa"/>
            <w:vAlign w:val="bottom"/>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800" w:type="dxa"/>
            <w:vAlign w:val="bottom"/>
            <w:tcBorders>
              <w:bottom w:val="single" w:sz="8" w:color="D7D8D6"/>
            </w:tcBorders>
          </w:tcPr>
          <w:p>
            <w:pPr>
              <w:spacing w:after="0"/>
              <w:rPr>
                <w:sz w:val="6"/>
                <w:szCs w:val="6"/>
                <w:color w:val="auto"/>
              </w:rPr>
            </w:pPr>
          </w:p>
        </w:tc>
        <w:tc>
          <w:tcPr>
            <w:tcW w:w="1280" w:type="dxa"/>
            <w:vAlign w:val="bottom"/>
            <w:tcBorders>
              <w:bottom w:val="single" w:sz="8" w:color="D7D8D6"/>
            </w:tcBorders>
          </w:tcPr>
          <w:p>
            <w:pPr>
              <w:spacing w:after="0"/>
              <w:rPr>
                <w:sz w:val="6"/>
                <w:szCs w:val="6"/>
                <w:color w:val="auto"/>
              </w:rPr>
            </w:pPr>
          </w:p>
        </w:tc>
        <w:tc>
          <w:tcPr>
            <w:tcW w:w="52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540" w:type="dxa"/>
            <w:vAlign w:val="bottom"/>
            <w:tcBorders>
              <w:bottom w:val="single" w:sz="8" w:color="D7D8D6"/>
            </w:tcBorders>
          </w:tcPr>
          <w:p>
            <w:pPr>
              <w:spacing w:after="0"/>
              <w:rPr>
                <w:sz w:val="6"/>
                <w:szCs w:val="6"/>
                <w:color w:val="auto"/>
              </w:rPr>
            </w:pPr>
          </w:p>
        </w:tc>
        <w:tc>
          <w:tcPr>
            <w:tcW w:w="86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700" w:type="dxa"/>
            <w:vAlign w:val="bottom"/>
            <w:tcBorders>
              <w:bottom w:val="single" w:sz="8" w:color="D7D8D6"/>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0"/>
                <w:szCs w:val="10"/>
                <w:color w:val="333740"/>
              </w:rPr>
              <w:t>PSU-ROIC</w:t>
            </w:r>
          </w:p>
        </w:tc>
        <w:tc>
          <w:tcPr>
            <w:tcW w:w="880" w:type="dxa"/>
            <w:vAlign w:val="bottom"/>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jc w:val="right"/>
              <w:ind w:right="172"/>
              <w:spacing w:after="0"/>
              <w:rPr>
                <w:sz w:val="20"/>
                <w:szCs w:val="20"/>
                <w:color w:val="auto"/>
              </w:rPr>
            </w:pPr>
            <w:r>
              <w:rPr>
                <w:rFonts w:ascii="Arial" w:cs="Arial" w:eastAsia="Arial" w:hAnsi="Arial"/>
                <w:sz w:val="10"/>
                <w:szCs w:val="10"/>
                <w:color w:val="333740"/>
              </w:rPr>
              <w:t>—</w:t>
            </w:r>
          </w:p>
        </w:tc>
        <w:tc>
          <w:tcPr>
            <w:tcW w:w="900" w:type="dxa"/>
            <w:vAlign w:val="bottom"/>
          </w:tcPr>
          <w:p>
            <w:pPr>
              <w:jc w:val="right"/>
              <w:ind w:right="272"/>
              <w:spacing w:after="0"/>
              <w:rPr>
                <w:sz w:val="20"/>
                <w:szCs w:val="20"/>
                <w:color w:val="auto"/>
              </w:rPr>
            </w:pPr>
            <w:r>
              <w:rPr>
                <w:rFonts w:ascii="Arial" w:cs="Arial" w:eastAsia="Arial" w:hAnsi="Arial"/>
                <w:sz w:val="10"/>
                <w:szCs w:val="10"/>
                <w:color w:val="333740"/>
              </w:rPr>
              <w:t>18,589</w:t>
            </w:r>
          </w:p>
        </w:tc>
        <w:tc>
          <w:tcPr>
            <w:tcW w:w="540" w:type="dxa"/>
            <w:vAlign w:val="bottom"/>
          </w:tcPr>
          <w:p>
            <w:pPr>
              <w:jc w:val="right"/>
              <w:spacing w:after="0"/>
              <w:rPr>
                <w:sz w:val="20"/>
                <w:szCs w:val="20"/>
                <w:color w:val="auto"/>
              </w:rPr>
            </w:pPr>
            <w:r>
              <w:rPr>
                <w:rFonts w:ascii="Arial" w:cs="Arial" w:eastAsia="Arial" w:hAnsi="Arial"/>
                <w:sz w:val="10"/>
                <w:szCs w:val="10"/>
                <w:color w:val="333740"/>
              </w:rPr>
              <w:t>37,178</w:t>
            </w: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333740"/>
              </w:rPr>
              <w:t>389,997</w:t>
            </w:r>
          </w:p>
        </w:tc>
        <w:tc>
          <w:tcPr>
            <w:tcW w:w="0" w:type="dxa"/>
            <w:vAlign w:val="bottom"/>
          </w:tcPr>
          <w:p>
            <w:pPr>
              <w:spacing w:after="0"/>
              <w:rPr>
                <w:sz w:val="1"/>
                <w:szCs w:val="1"/>
                <w:color w:val="auto"/>
              </w:rPr>
            </w:pPr>
          </w:p>
        </w:tc>
      </w:tr>
      <w:tr>
        <w:trPr>
          <w:trHeight w:val="71"/>
        </w:trPr>
        <w:tc>
          <w:tcPr>
            <w:tcW w:w="920" w:type="dxa"/>
            <w:vAlign w:val="bottom"/>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800" w:type="dxa"/>
            <w:vAlign w:val="bottom"/>
            <w:tcBorders>
              <w:bottom w:val="single" w:sz="8" w:color="D7D8D6"/>
            </w:tcBorders>
          </w:tcPr>
          <w:p>
            <w:pPr>
              <w:spacing w:after="0"/>
              <w:rPr>
                <w:sz w:val="6"/>
                <w:szCs w:val="6"/>
                <w:color w:val="auto"/>
              </w:rPr>
            </w:pPr>
          </w:p>
        </w:tc>
        <w:tc>
          <w:tcPr>
            <w:tcW w:w="1280" w:type="dxa"/>
            <w:vAlign w:val="bottom"/>
            <w:tcBorders>
              <w:bottom w:val="single" w:sz="8" w:color="D7D8D6"/>
            </w:tcBorders>
          </w:tcPr>
          <w:p>
            <w:pPr>
              <w:spacing w:after="0"/>
              <w:rPr>
                <w:sz w:val="6"/>
                <w:szCs w:val="6"/>
                <w:color w:val="auto"/>
              </w:rPr>
            </w:pPr>
          </w:p>
        </w:tc>
        <w:tc>
          <w:tcPr>
            <w:tcW w:w="52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540" w:type="dxa"/>
            <w:vAlign w:val="bottom"/>
            <w:tcBorders>
              <w:bottom w:val="single" w:sz="8" w:color="D7D8D6"/>
            </w:tcBorders>
          </w:tcPr>
          <w:p>
            <w:pPr>
              <w:spacing w:after="0"/>
              <w:rPr>
                <w:sz w:val="6"/>
                <w:szCs w:val="6"/>
                <w:color w:val="auto"/>
              </w:rPr>
            </w:pPr>
          </w:p>
        </w:tc>
        <w:tc>
          <w:tcPr>
            <w:tcW w:w="86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700" w:type="dxa"/>
            <w:vAlign w:val="bottom"/>
            <w:tcBorders>
              <w:bottom w:val="single" w:sz="8" w:color="D7D8D6"/>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0"/>
                <w:szCs w:val="10"/>
                <w:color w:val="333740"/>
              </w:rPr>
              <w:t>PSU-TSR</w:t>
            </w:r>
          </w:p>
        </w:tc>
        <w:tc>
          <w:tcPr>
            <w:tcW w:w="880" w:type="dxa"/>
            <w:vAlign w:val="bottom"/>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jc w:val="right"/>
              <w:ind w:right="172"/>
              <w:spacing w:after="0"/>
              <w:rPr>
                <w:sz w:val="20"/>
                <w:szCs w:val="20"/>
                <w:color w:val="auto"/>
              </w:rPr>
            </w:pPr>
            <w:r>
              <w:rPr>
                <w:rFonts w:ascii="Arial" w:cs="Arial" w:eastAsia="Arial" w:hAnsi="Arial"/>
                <w:sz w:val="10"/>
                <w:szCs w:val="10"/>
                <w:color w:val="333740"/>
              </w:rPr>
              <w:t>—</w:t>
            </w:r>
          </w:p>
        </w:tc>
        <w:tc>
          <w:tcPr>
            <w:tcW w:w="900" w:type="dxa"/>
            <w:vAlign w:val="bottom"/>
          </w:tcPr>
          <w:p>
            <w:pPr>
              <w:jc w:val="right"/>
              <w:ind w:right="272"/>
              <w:spacing w:after="0"/>
              <w:rPr>
                <w:sz w:val="20"/>
                <w:szCs w:val="20"/>
                <w:color w:val="auto"/>
              </w:rPr>
            </w:pPr>
            <w:r>
              <w:rPr>
                <w:rFonts w:ascii="Arial" w:cs="Arial" w:eastAsia="Arial" w:hAnsi="Arial"/>
                <w:sz w:val="10"/>
                <w:szCs w:val="10"/>
                <w:color w:val="333740"/>
              </w:rPr>
              <w:t>18,589</w:t>
            </w:r>
          </w:p>
        </w:tc>
        <w:tc>
          <w:tcPr>
            <w:tcW w:w="540" w:type="dxa"/>
            <w:vAlign w:val="bottom"/>
          </w:tcPr>
          <w:p>
            <w:pPr>
              <w:jc w:val="right"/>
              <w:spacing w:after="0"/>
              <w:rPr>
                <w:sz w:val="20"/>
                <w:szCs w:val="20"/>
                <w:color w:val="auto"/>
              </w:rPr>
            </w:pPr>
            <w:r>
              <w:rPr>
                <w:rFonts w:ascii="Arial" w:cs="Arial" w:eastAsia="Arial" w:hAnsi="Arial"/>
                <w:sz w:val="10"/>
                <w:szCs w:val="10"/>
                <w:color w:val="333740"/>
              </w:rPr>
              <w:t>37,178</w:t>
            </w: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333740"/>
              </w:rPr>
              <w:t>539,825</w:t>
            </w:r>
          </w:p>
        </w:tc>
        <w:tc>
          <w:tcPr>
            <w:tcW w:w="0" w:type="dxa"/>
            <w:vAlign w:val="bottom"/>
          </w:tcPr>
          <w:p>
            <w:pPr>
              <w:spacing w:after="0"/>
              <w:rPr>
                <w:sz w:val="1"/>
                <w:szCs w:val="1"/>
                <w:color w:val="auto"/>
              </w:rPr>
            </w:pPr>
          </w:p>
        </w:tc>
      </w:tr>
      <w:tr>
        <w:trPr>
          <w:trHeight w:val="71"/>
        </w:trPr>
        <w:tc>
          <w:tcPr>
            <w:tcW w:w="920" w:type="dxa"/>
            <w:vAlign w:val="bottom"/>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800" w:type="dxa"/>
            <w:vAlign w:val="bottom"/>
            <w:tcBorders>
              <w:bottom w:val="single" w:sz="8" w:color="D7D8D6"/>
            </w:tcBorders>
          </w:tcPr>
          <w:p>
            <w:pPr>
              <w:spacing w:after="0"/>
              <w:rPr>
                <w:sz w:val="6"/>
                <w:szCs w:val="6"/>
                <w:color w:val="auto"/>
              </w:rPr>
            </w:pPr>
          </w:p>
        </w:tc>
        <w:tc>
          <w:tcPr>
            <w:tcW w:w="1280" w:type="dxa"/>
            <w:vAlign w:val="bottom"/>
            <w:tcBorders>
              <w:bottom w:val="single" w:sz="8" w:color="D7D8D6"/>
            </w:tcBorders>
          </w:tcPr>
          <w:p>
            <w:pPr>
              <w:spacing w:after="0"/>
              <w:rPr>
                <w:sz w:val="6"/>
                <w:szCs w:val="6"/>
                <w:color w:val="auto"/>
              </w:rPr>
            </w:pPr>
          </w:p>
        </w:tc>
        <w:tc>
          <w:tcPr>
            <w:tcW w:w="52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540" w:type="dxa"/>
            <w:vAlign w:val="bottom"/>
            <w:tcBorders>
              <w:bottom w:val="single" w:sz="8" w:color="D7D8D6"/>
            </w:tcBorders>
          </w:tcPr>
          <w:p>
            <w:pPr>
              <w:spacing w:after="0"/>
              <w:rPr>
                <w:sz w:val="6"/>
                <w:szCs w:val="6"/>
                <w:color w:val="auto"/>
              </w:rPr>
            </w:pPr>
          </w:p>
        </w:tc>
        <w:tc>
          <w:tcPr>
            <w:tcW w:w="86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700" w:type="dxa"/>
            <w:vAlign w:val="bottom"/>
            <w:tcBorders>
              <w:bottom w:val="single" w:sz="8" w:color="D7D8D6"/>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0"/>
                <w:szCs w:val="10"/>
                <w:color w:val="333740"/>
              </w:rPr>
              <w:t>Stock Options</w:t>
            </w:r>
          </w:p>
        </w:tc>
        <w:tc>
          <w:tcPr>
            <w:tcW w:w="880" w:type="dxa"/>
            <w:vAlign w:val="bottom"/>
          </w:tcPr>
          <w:p>
            <w:pPr>
              <w:jc w:val="right"/>
              <w:spacing w:after="0"/>
              <w:rPr>
                <w:sz w:val="20"/>
                <w:szCs w:val="20"/>
                <w:color w:val="auto"/>
              </w:rPr>
            </w:pPr>
            <w:r>
              <w:rPr>
                <w:rFonts w:ascii="Arial" w:cs="Arial" w:eastAsia="Arial" w:hAnsi="Arial"/>
                <w:sz w:val="10"/>
                <w:szCs w:val="10"/>
                <w:color w:val="333740"/>
              </w:rPr>
              <w:t>3/8/2019</w:t>
            </w: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jc w:val="right"/>
              <w:ind w:right="132"/>
              <w:spacing w:after="0"/>
              <w:rPr>
                <w:sz w:val="20"/>
                <w:szCs w:val="20"/>
                <w:color w:val="auto"/>
              </w:rPr>
            </w:pPr>
            <w:r>
              <w:rPr>
                <w:rFonts w:ascii="Arial" w:cs="Arial" w:eastAsia="Arial" w:hAnsi="Arial"/>
                <w:sz w:val="10"/>
                <w:szCs w:val="10"/>
                <w:color w:val="333740"/>
              </w:rPr>
              <w:t>46,066</w:t>
            </w:r>
          </w:p>
        </w:tc>
        <w:tc>
          <w:tcPr>
            <w:tcW w:w="880" w:type="dxa"/>
            <w:vAlign w:val="bottom"/>
          </w:tcPr>
          <w:p>
            <w:pPr>
              <w:jc w:val="right"/>
              <w:ind w:right="132"/>
              <w:spacing w:after="0"/>
              <w:rPr>
                <w:sz w:val="20"/>
                <w:szCs w:val="20"/>
                <w:color w:val="auto"/>
              </w:rPr>
            </w:pPr>
            <w:r>
              <w:rPr>
                <w:rFonts w:ascii="Arial" w:cs="Arial" w:eastAsia="Arial" w:hAnsi="Arial"/>
                <w:sz w:val="10"/>
                <w:szCs w:val="10"/>
                <w:color w:val="333740"/>
              </w:rPr>
              <w:t>20.98</w:t>
            </w:r>
          </w:p>
        </w:tc>
        <w:tc>
          <w:tcPr>
            <w:tcW w:w="700" w:type="dxa"/>
            <w:vAlign w:val="bottom"/>
          </w:tcPr>
          <w:p>
            <w:pPr>
              <w:jc w:val="right"/>
              <w:spacing w:after="0"/>
              <w:rPr>
                <w:sz w:val="20"/>
                <w:szCs w:val="20"/>
                <w:color w:val="auto"/>
              </w:rPr>
            </w:pPr>
            <w:r>
              <w:rPr>
                <w:rFonts w:ascii="Arial" w:cs="Arial" w:eastAsia="Arial" w:hAnsi="Arial"/>
                <w:sz w:val="10"/>
                <w:szCs w:val="10"/>
                <w:color w:val="333740"/>
              </w:rPr>
              <w:t>259,997</w:t>
            </w:r>
          </w:p>
        </w:tc>
        <w:tc>
          <w:tcPr>
            <w:tcW w:w="0" w:type="dxa"/>
            <w:vAlign w:val="bottom"/>
          </w:tcPr>
          <w:p>
            <w:pPr>
              <w:spacing w:after="0"/>
              <w:rPr>
                <w:sz w:val="1"/>
                <w:szCs w:val="1"/>
                <w:color w:val="auto"/>
              </w:rPr>
            </w:pPr>
          </w:p>
        </w:tc>
      </w:tr>
      <w:tr>
        <w:trPr>
          <w:trHeight w:val="71"/>
        </w:trPr>
        <w:tc>
          <w:tcPr>
            <w:tcW w:w="920" w:type="dxa"/>
            <w:vAlign w:val="bottom"/>
            <w:tcBorders>
              <w:bottom w:val="single" w:sz="8" w:color="D7D8D6"/>
            </w:tcBorders>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800" w:type="dxa"/>
            <w:vAlign w:val="bottom"/>
            <w:tcBorders>
              <w:bottom w:val="single" w:sz="8" w:color="D7D8D6"/>
            </w:tcBorders>
          </w:tcPr>
          <w:p>
            <w:pPr>
              <w:spacing w:after="0"/>
              <w:rPr>
                <w:sz w:val="6"/>
                <w:szCs w:val="6"/>
                <w:color w:val="auto"/>
              </w:rPr>
            </w:pPr>
          </w:p>
        </w:tc>
        <w:tc>
          <w:tcPr>
            <w:tcW w:w="1280" w:type="dxa"/>
            <w:vAlign w:val="bottom"/>
            <w:tcBorders>
              <w:bottom w:val="single" w:sz="8" w:color="D7D8D6"/>
            </w:tcBorders>
          </w:tcPr>
          <w:p>
            <w:pPr>
              <w:spacing w:after="0"/>
              <w:rPr>
                <w:sz w:val="6"/>
                <w:szCs w:val="6"/>
                <w:color w:val="auto"/>
              </w:rPr>
            </w:pPr>
          </w:p>
        </w:tc>
        <w:tc>
          <w:tcPr>
            <w:tcW w:w="52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900" w:type="dxa"/>
            <w:vAlign w:val="bottom"/>
            <w:tcBorders>
              <w:bottom w:val="single" w:sz="8" w:color="D7D8D6"/>
            </w:tcBorders>
          </w:tcPr>
          <w:p>
            <w:pPr>
              <w:spacing w:after="0"/>
              <w:rPr>
                <w:sz w:val="6"/>
                <w:szCs w:val="6"/>
                <w:color w:val="auto"/>
              </w:rPr>
            </w:pPr>
          </w:p>
        </w:tc>
        <w:tc>
          <w:tcPr>
            <w:tcW w:w="540" w:type="dxa"/>
            <w:vAlign w:val="bottom"/>
            <w:tcBorders>
              <w:bottom w:val="single" w:sz="8" w:color="D7D8D6"/>
            </w:tcBorders>
          </w:tcPr>
          <w:p>
            <w:pPr>
              <w:spacing w:after="0"/>
              <w:rPr>
                <w:sz w:val="6"/>
                <w:szCs w:val="6"/>
                <w:color w:val="auto"/>
              </w:rPr>
            </w:pPr>
          </w:p>
        </w:tc>
        <w:tc>
          <w:tcPr>
            <w:tcW w:w="860" w:type="dxa"/>
            <w:vAlign w:val="bottom"/>
            <w:tcBorders>
              <w:bottom w:val="single" w:sz="8" w:color="D7D8D6"/>
            </w:tcBorders>
          </w:tcPr>
          <w:p>
            <w:pPr>
              <w:spacing w:after="0"/>
              <w:rPr>
                <w:sz w:val="6"/>
                <w:szCs w:val="6"/>
                <w:color w:val="auto"/>
              </w:rPr>
            </w:pPr>
          </w:p>
        </w:tc>
        <w:tc>
          <w:tcPr>
            <w:tcW w:w="1040" w:type="dxa"/>
            <w:vAlign w:val="bottom"/>
            <w:tcBorders>
              <w:bottom w:val="single" w:sz="8" w:color="D7D8D6"/>
            </w:tcBorders>
          </w:tcPr>
          <w:p>
            <w:pPr>
              <w:spacing w:after="0"/>
              <w:rPr>
                <w:sz w:val="6"/>
                <w:szCs w:val="6"/>
                <w:color w:val="auto"/>
              </w:rPr>
            </w:pPr>
          </w:p>
        </w:tc>
        <w:tc>
          <w:tcPr>
            <w:tcW w:w="880" w:type="dxa"/>
            <w:vAlign w:val="bottom"/>
            <w:tcBorders>
              <w:bottom w:val="single" w:sz="8" w:color="D7D8D6"/>
            </w:tcBorders>
          </w:tcPr>
          <w:p>
            <w:pPr>
              <w:spacing w:after="0"/>
              <w:rPr>
                <w:sz w:val="6"/>
                <w:szCs w:val="6"/>
                <w:color w:val="auto"/>
              </w:rPr>
            </w:pPr>
          </w:p>
        </w:tc>
        <w:tc>
          <w:tcPr>
            <w:tcW w:w="700" w:type="dxa"/>
            <w:vAlign w:val="bottom"/>
            <w:tcBorders>
              <w:bottom w:val="single" w:sz="8" w:color="D7D8D6"/>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04" w:right="220" w:hanging="304"/>
        <w:spacing w:after="0" w:line="226" w:lineRule="auto"/>
        <w:tabs>
          <w:tab w:leader="none" w:pos="304" w:val="left"/>
        </w:tabs>
        <w:numPr>
          <w:ilvl w:val="0"/>
          <w:numId w:val="110"/>
        </w:numPr>
        <w:rPr>
          <w:rFonts w:ascii="Arial" w:cs="Arial" w:eastAsia="Arial" w:hAnsi="Arial"/>
          <w:sz w:val="11"/>
          <w:szCs w:val="11"/>
          <w:color w:val="333740"/>
        </w:rPr>
      </w:pPr>
      <w:r>
        <w:rPr>
          <w:rFonts w:ascii="Arial" w:cs="Arial" w:eastAsia="Arial" w:hAnsi="Arial"/>
          <w:sz w:val="11"/>
          <w:szCs w:val="11"/>
          <w:color w:val="333740"/>
        </w:rPr>
        <w:t>“RSU” awards are time-based restricted stock unit awards, “PSU-ROIC” awards are performance-based restricted stock unit awards based on the ROIC performance measure, and “PSU-TSR” awards are market-based restricted stock unit awards based on the TSR performance measure.</w:t>
      </w:r>
    </w:p>
    <w:p>
      <w:pPr>
        <w:ind w:left="304" w:hanging="304"/>
        <w:spacing w:after="0" w:line="226" w:lineRule="auto"/>
        <w:tabs>
          <w:tab w:leader="none" w:pos="304" w:val="left"/>
        </w:tabs>
        <w:numPr>
          <w:ilvl w:val="0"/>
          <w:numId w:val="110"/>
        </w:numPr>
        <w:rPr>
          <w:rFonts w:ascii="Arial" w:cs="Arial" w:eastAsia="Arial" w:hAnsi="Arial"/>
          <w:sz w:val="11"/>
          <w:szCs w:val="11"/>
          <w:color w:val="333740"/>
        </w:rPr>
      </w:pPr>
      <w:r>
        <w:rPr>
          <w:rFonts w:ascii="Arial" w:cs="Arial" w:eastAsia="Arial" w:hAnsi="Arial"/>
          <w:sz w:val="11"/>
          <w:szCs w:val="11"/>
          <w:color w:val="333740"/>
        </w:rPr>
        <w:t>Each target award as a percentage of base salary: Mr. Pferdehirt – 135%; Ms. Mannen – 100%; Ms. Ralston – 100%; Mr. Rounce – 100%, and Mr. Uccelletti – 100%.</w:t>
      </w:r>
    </w:p>
    <w:p>
      <w:pPr>
        <w:ind w:left="304" w:right="100" w:hanging="304"/>
        <w:spacing w:after="0"/>
        <w:tabs>
          <w:tab w:leader="none" w:pos="304" w:val="left"/>
        </w:tabs>
        <w:numPr>
          <w:ilvl w:val="0"/>
          <w:numId w:val="110"/>
        </w:numPr>
        <w:rPr>
          <w:rFonts w:ascii="Arial" w:cs="Arial" w:eastAsia="Arial" w:hAnsi="Arial"/>
          <w:sz w:val="11"/>
          <w:szCs w:val="11"/>
          <w:color w:val="333740"/>
        </w:rPr>
      </w:pPr>
      <w:r>
        <w:rPr>
          <w:rFonts w:ascii="Arial" w:cs="Arial" w:eastAsia="Arial" w:hAnsi="Arial"/>
          <w:sz w:val="11"/>
          <w:szCs w:val="11"/>
          <w:color w:val="333740"/>
        </w:rPr>
        <w:t>Grant date fair values were determined in accordance with FASB ASC Topic 718. With respect to time-based RSUs and PSUs that are subject to performance (ROIC) vesting conditions, the aggregate grant date fair value of such awards was based on the Company’s share price on the grant date of the awards, assuming target performance. With respect to PSUs subject to market-based (TSR) vesting conditions, the grant date fair value of such award was determined utilizing a Monte Carlo simulation as disclosed in our Form 10-K. With respect to stock options, the grant date fair value was determined using the Black-Scholes method as disclosed in our Form 10-K.</w:t>
      </w:r>
    </w:p>
    <w:p>
      <w:pPr>
        <w:spacing w:after="0" w:line="200" w:lineRule="exact"/>
        <w:rPr>
          <w:sz w:val="20"/>
          <w:szCs w:val="20"/>
          <w:color w:val="auto"/>
        </w:rPr>
      </w:pPr>
    </w:p>
    <w:p>
      <w:pPr>
        <w:spacing w:after="0" w:line="214" w:lineRule="exact"/>
        <w:rPr>
          <w:sz w:val="20"/>
          <w:szCs w:val="20"/>
          <w:color w:val="auto"/>
        </w:rPr>
      </w:pPr>
    </w:p>
    <w:p>
      <w:pPr>
        <w:ind w:left="4" w:right="100"/>
        <w:spacing w:after="0" w:line="238" w:lineRule="auto"/>
        <w:rPr>
          <w:sz w:val="20"/>
          <w:szCs w:val="20"/>
          <w:color w:val="auto"/>
        </w:rPr>
      </w:pPr>
      <w:r>
        <w:rPr>
          <w:rFonts w:ascii="Arial" w:cs="Arial" w:eastAsia="Arial" w:hAnsi="Arial"/>
          <w:sz w:val="16"/>
          <w:szCs w:val="16"/>
          <w:color w:val="333740"/>
        </w:rPr>
        <w:t>For a description of the material terms of the RSU awards, including the vesting schedules and a description of the performance targets and potential award amounts for those restricted shares subject to performance-based conditions, and the time-vesting stock options, see the descriptions set forth in “</w:t>
      </w:r>
      <w:r>
        <w:rPr>
          <w:rFonts w:ascii="Arial" w:cs="Arial" w:eastAsia="Arial" w:hAnsi="Arial"/>
          <w:sz w:val="16"/>
          <w:szCs w:val="16"/>
          <w:i w:val="1"/>
          <w:iCs w:val="1"/>
          <w:color w:val="333740"/>
        </w:rPr>
        <w:t>Executive</w:t>
      </w:r>
      <w:r>
        <w:rPr>
          <w:rFonts w:ascii="Arial" w:cs="Arial" w:eastAsia="Arial" w:hAnsi="Arial"/>
          <w:sz w:val="16"/>
          <w:szCs w:val="16"/>
          <w:color w:val="333740"/>
        </w:rPr>
        <w:t xml:space="preserve"> </w:t>
      </w:r>
      <w:r>
        <w:rPr>
          <w:rFonts w:ascii="Arial" w:cs="Arial" w:eastAsia="Arial" w:hAnsi="Arial"/>
          <w:sz w:val="16"/>
          <w:szCs w:val="16"/>
          <w:i w:val="1"/>
          <w:iCs w:val="1"/>
          <w:color w:val="333740"/>
        </w:rPr>
        <w:t>Compensation Discussion and Analysis</w:t>
      </w:r>
      <w:r>
        <w:rPr>
          <w:rFonts w:ascii="Arial" w:cs="Arial" w:eastAsia="Arial" w:hAnsi="Arial"/>
          <w:sz w:val="16"/>
          <w:szCs w:val="16"/>
          <w:color w:val="333740"/>
        </w:rPr>
        <w:t>.” Dividend equivalents, where allowed, are accumulated on RSU and PSU awards and are payable only if and</w:t>
      </w:r>
      <w:r>
        <w:rPr>
          <w:rFonts w:ascii="Arial" w:cs="Arial" w:eastAsia="Arial" w:hAnsi="Arial"/>
          <w:sz w:val="16"/>
          <w:szCs w:val="16"/>
          <w:i w:val="1"/>
          <w:iCs w:val="1"/>
          <w:color w:val="333740"/>
        </w:rPr>
        <w:t xml:space="preserve"> </w:t>
      </w:r>
      <w:r>
        <w:rPr>
          <w:rFonts w:ascii="Arial" w:cs="Arial" w:eastAsia="Arial" w:hAnsi="Arial"/>
          <w:sz w:val="16"/>
          <w:szCs w:val="16"/>
          <w:color w:val="333740"/>
        </w:rPr>
        <w:t>when the RSUs and PSUs vest.</w:t>
      </w:r>
    </w:p>
    <w:p>
      <w:pPr>
        <w:spacing w:after="0" w:line="327" w:lineRule="exact"/>
        <w:rPr>
          <w:sz w:val="20"/>
          <w:szCs w:val="20"/>
          <w:color w:val="auto"/>
        </w:rPr>
      </w:pPr>
    </w:p>
    <w:p>
      <w:pPr>
        <w:ind w:left="564" w:hanging="564"/>
        <w:spacing w:after="0"/>
        <w:tabs>
          <w:tab w:leader="none" w:pos="564" w:val="left"/>
        </w:tabs>
        <w:numPr>
          <w:ilvl w:val="0"/>
          <w:numId w:val="111"/>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7" w:right="319" w:bottom="1440" w:gutter="0" w:footer="0" w:header="0"/>
        </w:sectPr>
      </w:pPr>
    </w:p>
    <w:bookmarkStart w:id="94" w:name="page95"/>
    <w:bookmarkEnd w:id="94"/>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3"/>
          <w:szCs w:val="33"/>
          <w:color w:val="481F6E"/>
        </w:rPr>
        <w:t>Outstanding Equity Awards at Fiscal Year-End Table</w:t>
      </w:r>
    </w:p>
    <w:p>
      <w:pPr>
        <w:spacing w:after="0" w:line="30" w:lineRule="exact"/>
        <w:rPr>
          <w:sz w:val="20"/>
          <w:szCs w:val="20"/>
          <w:color w:val="auto"/>
        </w:rPr>
      </w:pPr>
    </w:p>
    <w:p>
      <w:pPr>
        <w:ind w:left="4"/>
        <w:spacing w:after="0"/>
        <w:rPr>
          <w:sz w:val="20"/>
          <w:szCs w:val="20"/>
          <w:color w:val="auto"/>
        </w:rPr>
      </w:pPr>
      <w:r>
        <w:rPr>
          <w:rFonts w:ascii="Arial" w:cs="Arial" w:eastAsia="Arial" w:hAnsi="Arial"/>
          <w:sz w:val="16"/>
          <w:szCs w:val="16"/>
          <w:color w:val="333740"/>
        </w:rPr>
        <w:t>Shown below is information for each of the NEOs with respect to outstanding equity awards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6548755</wp:posOffset>
            </wp:positionH>
            <wp:positionV relativeFrom="paragraph">
              <wp:posOffset>126365</wp:posOffset>
            </wp:positionV>
            <wp:extent cx="7620" cy="895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20" cy="89535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126365</wp:posOffset>
            </wp:positionV>
            <wp:extent cx="7620" cy="895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20" cy="895350"/>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126365</wp:posOffset>
            </wp:positionV>
            <wp:extent cx="7620" cy="895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20" cy="89535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126365</wp:posOffset>
            </wp:positionV>
            <wp:extent cx="7620" cy="895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20" cy="895350"/>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126365</wp:posOffset>
            </wp:positionV>
            <wp:extent cx="7620" cy="895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20" cy="895350"/>
                    </a:xfrm>
                    <a:prstGeom prst="rect">
                      <a:avLst/>
                    </a:prstGeom>
                    <a:noFill/>
                  </pic:spPr>
                </pic:pic>
              </a:graphicData>
            </a:graphic>
          </wp:anchor>
        </w:drawing>
        <w:drawing>
          <wp:anchor simplePos="0" relativeHeight="251657728" behindDoc="1" locked="0" layoutInCell="0" allowOverlap="1">
            <wp:simplePos x="0" y="0"/>
            <wp:positionH relativeFrom="column">
              <wp:posOffset>3444875</wp:posOffset>
            </wp:positionH>
            <wp:positionV relativeFrom="paragraph">
              <wp:posOffset>126365</wp:posOffset>
            </wp:positionV>
            <wp:extent cx="7620" cy="895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20" cy="895350"/>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126365</wp:posOffset>
            </wp:positionV>
            <wp:extent cx="7620" cy="895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20" cy="895350"/>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126365</wp:posOffset>
            </wp:positionV>
            <wp:extent cx="7620" cy="895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20" cy="895350"/>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126365</wp:posOffset>
            </wp:positionV>
            <wp:extent cx="7620" cy="895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620" cy="89535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126365</wp:posOffset>
            </wp:positionV>
            <wp:extent cx="7620" cy="895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20" cy="895350"/>
                    </a:xfrm>
                    <a:prstGeom prst="rect">
                      <a:avLst/>
                    </a:prstGeom>
                    <a:noFill/>
                  </pic:spPr>
                </pic:pic>
              </a:graphicData>
            </a:graphic>
          </wp:anchor>
        </w:drawing>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200"/>
        </w:trPr>
        <w:tc>
          <w:tcPr>
            <w:tcW w:w="1240" w:type="dxa"/>
            <w:vAlign w:val="bottom"/>
            <w:shd w:val="clear" w:color="auto" w:fill="481F6E"/>
          </w:tcPr>
          <w:p>
            <w:pPr>
              <w:spacing w:after="0"/>
              <w:rPr>
                <w:sz w:val="17"/>
                <w:szCs w:val="17"/>
                <w:color w:val="auto"/>
              </w:rPr>
            </w:pPr>
          </w:p>
        </w:tc>
        <w:tc>
          <w:tcPr>
            <w:tcW w:w="1040" w:type="dxa"/>
            <w:vAlign w:val="bottom"/>
            <w:shd w:val="clear" w:color="auto" w:fill="481F6E"/>
          </w:tcPr>
          <w:p>
            <w:pPr>
              <w:spacing w:after="0"/>
              <w:rPr>
                <w:sz w:val="17"/>
                <w:szCs w:val="17"/>
                <w:color w:val="auto"/>
              </w:rPr>
            </w:pPr>
          </w:p>
        </w:tc>
        <w:tc>
          <w:tcPr>
            <w:tcW w:w="1140" w:type="dxa"/>
            <w:vAlign w:val="bottom"/>
            <w:shd w:val="clear" w:color="auto" w:fill="481F6E"/>
          </w:tcPr>
          <w:p>
            <w:pPr>
              <w:spacing w:after="0"/>
              <w:rPr>
                <w:sz w:val="17"/>
                <w:szCs w:val="17"/>
                <w:color w:val="auto"/>
              </w:rPr>
            </w:pPr>
          </w:p>
        </w:tc>
        <w:tc>
          <w:tcPr>
            <w:tcW w:w="1140" w:type="dxa"/>
            <w:vAlign w:val="bottom"/>
            <w:shd w:val="clear" w:color="auto" w:fill="481F6E"/>
          </w:tcPr>
          <w:p>
            <w:pPr>
              <w:spacing w:after="0"/>
              <w:rPr>
                <w:sz w:val="17"/>
                <w:szCs w:val="17"/>
                <w:color w:val="auto"/>
              </w:rPr>
            </w:pPr>
          </w:p>
        </w:tc>
        <w:tc>
          <w:tcPr>
            <w:tcW w:w="1040" w:type="dxa"/>
            <w:vAlign w:val="bottom"/>
            <w:shd w:val="clear" w:color="auto" w:fill="481F6E"/>
          </w:tcPr>
          <w:p>
            <w:pPr>
              <w:spacing w:after="0"/>
              <w:rPr>
                <w:sz w:val="17"/>
                <w:szCs w:val="17"/>
                <w:color w:val="auto"/>
              </w:rPr>
            </w:pPr>
          </w:p>
        </w:tc>
        <w:tc>
          <w:tcPr>
            <w:tcW w:w="1060" w:type="dxa"/>
            <w:vAlign w:val="bottom"/>
            <w:shd w:val="clear" w:color="auto" w:fill="481F6E"/>
          </w:tcPr>
          <w:p>
            <w:pPr>
              <w:spacing w:after="0"/>
              <w:rPr>
                <w:sz w:val="17"/>
                <w:szCs w:val="17"/>
                <w:color w:val="auto"/>
              </w:rPr>
            </w:pPr>
          </w:p>
        </w:tc>
        <w:tc>
          <w:tcPr>
            <w:tcW w:w="900" w:type="dxa"/>
            <w:vAlign w:val="bottom"/>
            <w:shd w:val="clear" w:color="auto" w:fill="481F6E"/>
          </w:tcPr>
          <w:p>
            <w:pPr>
              <w:spacing w:after="0"/>
              <w:rPr>
                <w:sz w:val="17"/>
                <w:szCs w:val="17"/>
                <w:color w:val="auto"/>
              </w:rPr>
            </w:pPr>
          </w:p>
        </w:tc>
        <w:tc>
          <w:tcPr>
            <w:tcW w:w="940" w:type="dxa"/>
            <w:vAlign w:val="bottom"/>
            <w:shd w:val="clear" w:color="auto" w:fill="481F6E"/>
          </w:tcPr>
          <w:p>
            <w:pPr>
              <w:spacing w:after="0"/>
              <w:rPr>
                <w:sz w:val="17"/>
                <w:szCs w:val="17"/>
                <w:color w:val="auto"/>
              </w:rPr>
            </w:pPr>
          </w:p>
        </w:tc>
        <w:tc>
          <w:tcPr>
            <w:tcW w:w="960" w:type="dxa"/>
            <w:vAlign w:val="bottom"/>
            <w:shd w:val="clear" w:color="auto" w:fill="481F6E"/>
          </w:tcPr>
          <w:p>
            <w:pPr>
              <w:spacing w:after="0"/>
              <w:rPr>
                <w:sz w:val="17"/>
                <w:szCs w:val="17"/>
                <w:color w:val="auto"/>
              </w:rPr>
            </w:pPr>
          </w:p>
        </w:tc>
        <w:tc>
          <w:tcPr>
            <w:tcW w:w="980" w:type="dxa"/>
            <w:vAlign w:val="bottom"/>
            <w:shd w:val="clear" w:color="auto" w:fill="481F6E"/>
          </w:tcPr>
          <w:p>
            <w:pPr>
              <w:spacing w:after="0"/>
              <w:rPr>
                <w:sz w:val="17"/>
                <w:szCs w:val="17"/>
                <w:color w:val="auto"/>
              </w:rPr>
            </w:pPr>
          </w:p>
        </w:tc>
        <w:tc>
          <w:tcPr>
            <w:tcW w:w="820" w:type="dxa"/>
            <w:vAlign w:val="bottom"/>
            <w:shd w:val="clear" w:color="auto" w:fill="481F6E"/>
          </w:tcPr>
          <w:p>
            <w:pPr>
              <w:jc w:val="right"/>
              <w:spacing w:after="0"/>
              <w:rPr>
                <w:sz w:val="20"/>
                <w:szCs w:val="20"/>
                <w:color w:val="auto"/>
              </w:rPr>
            </w:pPr>
            <w:r>
              <w:rPr>
                <w:rFonts w:ascii="Arial" w:cs="Arial" w:eastAsia="Arial" w:hAnsi="Arial"/>
                <w:sz w:val="10"/>
                <w:szCs w:val="10"/>
                <w:b w:val="1"/>
                <w:bCs w:val="1"/>
                <w:color w:val="FFFFFF"/>
              </w:rPr>
              <w:t>Incentive</w:t>
            </w:r>
          </w:p>
        </w:tc>
        <w:tc>
          <w:tcPr>
            <w:tcW w:w="0" w:type="dxa"/>
            <w:vAlign w:val="bottom"/>
          </w:tcPr>
          <w:p>
            <w:pPr>
              <w:spacing w:after="0"/>
              <w:rPr>
                <w:sz w:val="1"/>
                <w:szCs w:val="1"/>
                <w:color w:val="auto"/>
              </w:rPr>
            </w:pPr>
          </w:p>
        </w:tc>
      </w:tr>
      <w:tr>
        <w:trPr>
          <w:trHeight w:val="108"/>
        </w:trPr>
        <w:tc>
          <w:tcPr>
            <w:tcW w:w="1240" w:type="dxa"/>
            <w:vAlign w:val="bottom"/>
            <w:shd w:val="clear" w:color="auto" w:fill="481F6E"/>
          </w:tcPr>
          <w:p>
            <w:pPr>
              <w:spacing w:after="0"/>
              <w:rPr>
                <w:sz w:val="9"/>
                <w:szCs w:val="9"/>
                <w:color w:val="auto"/>
              </w:rPr>
            </w:pPr>
          </w:p>
        </w:tc>
        <w:tc>
          <w:tcPr>
            <w:tcW w:w="1040" w:type="dxa"/>
            <w:vAlign w:val="bottom"/>
            <w:shd w:val="clear" w:color="auto" w:fill="481F6E"/>
          </w:tcPr>
          <w:p>
            <w:pPr>
              <w:spacing w:after="0"/>
              <w:rPr>
                <w:sz w:val="9"/>
                <w:szCs w:val="9"/>
                <w:color w:val="auto"/>
              </w:rPr>
            </w:pPr>
          </w:p>
        </w:tc>
        <w:tc>
          <w:tcPr>
            <w:tcW w:w="1140" w:type="dxa"/>
            <w:vAlign w:val="bottom"/>
            <w:shd w:val="clear" w:color="auto" w:fill="481F6E"/>
          </w:tcPr>
          <w:p>
            <w:pPr>
              <w:spacing w:after="0"/>
              <w:rPr>
                <w:sz w:val="9"/>
                <w:szCs w:val="9"/>
                <w:color w:val="auto"/>
              </w:rPr>
            </w:pPr>
          </w:p>
        </w:tc>
        <w:tc>
          <w:tcPr>
            <w:tcW w:w="1140" w:type="dxa"/>
            <w:vAlign w:val="bottom"/>
            <w:shd w:val="clear" w:color="auto" w:fill="481F6E"/>
          </w:tcPr>
          <w:p>
            <w:pPr>
              <w:spacing w:after="0"/>
              <w:rPr>
                <w:sz w:val="9"/>
                <w:szCs w:val="9"/>
                <w:color w:val="auto"/>
              </w:rPr>
            </w:pPr>
          </w:p>
        </w:tc>
        <w:tc>
          <w:tcPr>
            <w:tcW w:w="1040" w:type="dxa"/>
            <w:vAlign w:val="bottom"/>
            <w:shd w:val="clear" w:color="auto" w:fill="481F6E"/>
          </w:tcPr>
          <w:p>
            <w:pPr>
              <w:spacing w:after="0"/>
              <w:rPr>
                <w:sz w:val="9"/>
                <w:szCs w:val="9"/>
                <w:color w:val="auto"/>
              </w:rPr>
            </w:pPr>
          </w:p>
        </w:tc>
        <w:tc>
          <w:tcPr>
            <w:tcW w:w="106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940" w:type="dxa"/>
            <w:vAlign w:val="bottom"/>
            <w:shd w:val="clear" w:color="auto" w:fill="481F6E"/>
          </w:tcPr>
          <w:p>
            <w:pPr>
              <w:spacing w:after="0"/>
              <w:rPr>
                <w:sz w:val="9"/>
                <w:szCs w:val="9"/>
                <w:color w:val="auto"/>
              </w:rPr>
            </w:pPr>
          </w:p>
        </w:tc>
        <w:tc>
          <w:tcPr>
            <w:tcW w:w="960" w:type="dxa"/>
            <w:vAlign w:val="bottom"/>
            <w:shd w:val="clear" w:color="auto" w:fill="481F6E"/>
          </w:tcPr>
          <w:p>
            <w:pPr>
              <w:spacing w:after="0"/>
              <w:rPr>
                <w:sz w:val="9"/>
                <w:szCs w:val="9"/>
                <w:color w:val="auto"/>
              </w:rPr>
            </w:pPr>
          </w:p>
        </w:tc>
        <w:tc>
          <w:tcPr>
            <w:tcW w:w="980" w:type="dxa"/>
            <w:vAlign w:val="bottom"/>
            <w:shd w:val="clear" w:color="auto" w:fill="481F6E"/>
          </w:tcPr>
          <w:p>
            <w:pPr>
              <w:jc w:val="right"/>
              <w:ind w:right="112"/>
              <w:spacing w:after="0" w:line="108" w:lineRule="exact"/>
              <w:rPr>
                <w:sz w:val="20"/>
                <w:szCs w:val="20"/>
                <w:color w:val="auto"/>
              </w:rPr>
            </w:pPr>
            <w:r>
              <w:rPr>
                <w:rFonts w:ascii="Arial" w:cs="Arial" w:eastAsia="Arial" w:hAnsi="Arial"/>
                <w:sz w:val="10"/>
                <w:szCs w:val="10"/>
                <w:b w:val="1"/>
                <w:bCs w:val="1"/>
                <w:color w:val="FFFFFF"/>
              </w:rPr>
              <w:t>Incentive</w:t>
            </w:r>
          </w:p>
        </w:tc>
        <w:tc>
          <w:tcPr>
            <w:tcW w:w="82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Award Plan</w:t>
            </w:r>
          </w:p>
        </w:tc>
        <w:tc>
          <w:tcPr>
            <w:tcW w:w="0" w:type="dxa"/>
            <w:vAlign w:val="bottom"/>
          </w:tcPr>
          <w:p>
            <w:pPr>
              <w:spacing w:after="0"/>
              <w:rPr>
                <w:sz w:val="1"/>
                <w:szCs w:val="1"/>
                <w:color w:val="auto"/>
              </w:rPr>
            </w:pPr>
          </w:p>
        </w:tc>
      </w:tr>
      <w:tr>
        <w:trPr>
          <w:trHeight w:val="108"/>
        </w:trPr>
        <w:tc>
          <w:tcPr>
            <w:tcW w:w="1240" w:type="dxa"/>
            <w:vAlign w:val="bottom"/>
            <w:shd w:val="clear" w:color="auto" w:fill="481F6E"/>
          </w:tcPr>
          <w:p>
            <w:pPr>
              <w:spacing w:after="0"/>
              <w:rPr>
                <w:sz w:val="9"/>
                <w:szCs w:val="9"/>
                <w:color w:val="auto"/>
              </w:rPr>
            </w:pPr>
          </w:p>
        </w:tc>
        <w:tc>
          <w:tcPr>
            <w:tcW w:w="1040" w:type="dxa"/>
            <w:vAlign w:val="bottom"/>
            <w:shd w:val="clear" w:color="auto" w:fill="481F6E"/>
          </w:tcPr>
          <w:p>
            <w:pPr>
              <w:spacing w:after="0"/>
              <w:rPr>
                <w:sz w:val="9"/>
                <w:szCs w:val="9"/>
                <w:color w:val="auto"/>
              </w:rPr>
            </w:pPr>
          </w:p>
        </w:tc>
        <w:tc>
          <w:tcPr>
            <w:tcW w:w="1140" w:type="dxa"/>
            <w:vAlign w:val="bottom"/>
            <w:shd w:val="clear" w:color="auto" w:fill="481F6E"/>
          </w:tcPr>
          <w:p>
            <w:pPr>
              <w:spacing w:after="0"/>
              <w:rPr>
                <w:sz w:val="9"/>
                <w:szCs w:val="9"/>
                <w:color w:val="auto"/>
              </w:rPr>
            </w:pPr>
          </w:p>
        </w:tc>
        <w:tc>
          <w:tcPr>
            <w:tcW w:w="1140" w:type="dxa"/>
            <w:vAlign w:val="bottom"/>
            <w:shd w:val="clear" w:color="auto" w:fill="481F6E"/>
          </w:tcPr>
          <w:p>
            <w:pPr>
              <w:spacing w:after="0"/>
              <w:rPr>
                <w:sz w:val="9"/>
                <w:szCs w:val="9"/>
                <w:color w:val="auto"/>
              </w:rPr>
            </w:pPr>
          </w:p>
        </w:tc>
        <w:tc>
          <w:tcPr>
            <w:tcW w:w="1040" w:type="dxa"/>
            <w:vAlign w:val="bottom"/>
            <w:shd w:val="clear" w:color="auto" w:fill="481F6E"/>
          </w:tcPr>
          <w:p>
            <w:pPr>
              <w:jc w:val="right"/>
              <w:ind w:right="152"/>
              <w:spacing w:after="0" w:line="108" w:lineRule="exact"/>
              <w:rPr>
                <w:sz w:val="20"/>
                <w:szCs w:val="20"/>
                <w:color w:val="auto"/>
              </w:rPr>
            </w:pPr>
            <w:r>
              <w:rPr>
                <w:rFonts w:ascii="Arial" w:cs="Arial" w:eastAsia="Arial" w:hAnsi="Arial"/>
                <w:sz w:val="10"/>
                <w:szCs w:val="10"/>
                <w:b w:val="1"/>
                <w:bCs w:val="1"/>
                <w:color w:val="FFFFFF"/>
              </w:rPr>
              <w:t>Incentive</w:t>
            </w:r>
          </w:p>
        </w:tc>
        <w:tc>
          <w:tcPr>
            <w:tcW w:w="106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940" w:type="dxa"/>
            <w:vAlign w:val="bottom"/>
            <w:shd w:val="clear" w:color="auto" w:fill="481F6E"/>
          </w:tcPr>
          <w:p>
            <w:pPr>
              <w:spacing w:after="0"/>
              <w:rPr>
                <w:sz w:val="9"/>
                <w:szCs w:val="9"/>
                <w:color w:val="auto"/>
              </w:rPr>
            </w:pPr>
          </w:p>
        </w:tc>
        <w:tc>
          <w:tcPr>
            <w:tcW w:w="960" w:type="dxa"/>
            <w:vAlign w:val="bottom"/>
            <w:shd w:val="clear" w:color="auto" w:fill="481F6E"/>
          </w:tcPr>
          <w:p>
            <w:pPr>
              <w:spacing w:after="0"/>
              <w:rPr>
                <w:sz w:val="9"/>
                <w:szCs w:val="9"/>
                <w:color w:val="auto"/>
              </w:rPr>
            </w:pPr>
          </w:p>
        </w:tc>
        <w:tc>
          <w:tcPr>
            <w:tcW w:w="980" w:type="dxa"/>
            <w:vAlign w:val="bottom"/>
            <w:shd w:val="clear" w:color="auto" w:fill="481F6E"/>
          </w:tcPr>
          <w:p>
            <w:pPr>
              <w:jc w:val="right"/>
              <w:ind w:right="112"/>
              <w:spacing w:after="0" w:line="108" w:lineRule="exact"/>
              <w:rPr>
                <w:sz w:val="20"/>
                <w:szCs w:val="20"/>
                <w:color w:val="auto"/>
              </w:rPr>
            </w:pPr>
            <w:r>
              <w:rPr>
                <w:rFonts w:ascii="Arial" w:cs="Arial" w:eastAsia="Arial" w:hAnsi="Arial"/>
                <w:sz w:val="10"/>
                <w:szCs w:val="10"/>
                <w:b w:val="1"/>
                <w:bCs w:val="1"/>
                <w:color w:val="FFFFFF"/>
              </w:rPr>
              <w:t>Award Plan</w:t>
            </w:r>
          </w:p>
        </w:tc>
        <w:tc>
          <w:tcPr>
            <w:tcW w:w="82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Awards:</w:t>
            </w:r>
          </w:p>
        </w:tc>
        <w:tc>
          <w:tcPr>
            <w:tcW w:w="0" w:type="dxa"/>
            <w:vAlign w:val="bottom"/>
          </w:tcPr>
          <w:p>
            <w:pPr>
              <w:spacing w:after="0"/>
              <w:rPr>
                <w:sz w:val="1"/>
                <w:szCs w:val="1"/>
                <w:color w:val="auto"/>
              </w:rPr>
            </w:pPr>
          </w:p>
        </w:tc>
      </w:tr>
      <w:tr>
        <w:trPr>
          <w:trHeight w:val="108"/>
        </w:trPr>
        <w:tc>
          <w:tcPr>
            <w:tcW w:w="1240" w:type="dxa"/>
            <w:vAlign w:val="bottom"/>
            <w:shd w:val="clear" w:color="auto" w:fill="481F6E"/>
          </w:tcPr>
          <w:p>
            <w:pPr>
              <w:spacing w:after="0"/>
              <w:rPr>
                <w:sz w:val="9"/>
                <w:szCs w:val="9"/>
                <w:color w:val="auto"/>
              </w:rPr>
            </w:pPr>
          </w:p>
        </w:tc>
        <w:tc>
          <w:tcPr>
            <w:tcW w:w="1040" w:type="dxa"/>
            <w:vAlign w:val="bottom"/>
            <w:shd w:val="clear" w:color="auto" w:fill="481F6E"/>
          </w:tcPr>
          <w:p>
            <w:pPr>
              <w:spacing w:after="0"/>
              <w:rPr>
                <w:sz w:val="9"/>
                <w:szCs w:val="9"/>
                <w:color w:val="auto"/>
              </w:rPr>
            </w:pPr>
          </w:p>
        </w:tc>
        <w:tc>
          <w:tcPr>
            <w:tcW w:w="1140" w:type="dxa"/>
            <w:vAlign w:val="bottom"/>
            <w:shd w:val="clear" w:color="auto" w:fill="481F6E"/>
          </w:tcPr>
          <w:p>
            <w:pPr>
              <w:spacing w:after="0"/>
              <w:rPr>
                <w:sz w:val="9"/>
                <w:szCs w:val="9"/>
                <w:color w:val="auto"/>
              </w:rPr>
            </w:pPr>
          </w:p>
        </w:tc>
        <w:tc>
          <w:tcPr>
            <w:tcW w:w="1140" w:type="dxa"/>
            <w:vAlign w:val="bottom"/>
            <w:shd w:val="clear" w:color="auto" w:fill="481F6E"/>
          </w:tcPr>
          <w:p>
            <w:pPr>
              <w:spacing w:after="0"/>
              <w:rPr>
                <w:sz w:val="9"/>
                <w:szCs w:val="9"/>
                <w:color w:val="auto"/>
              </w:rPr>
            </w:pPr>
          </w:p>
        </w:tc>
        <w:tc>
          <w:tcPr>
            <w:tcW w:w="1040" w:type="dxa"/>
            <w:vAlign w:val="bottom"/>
            <w:shd w:val="clear" w:color="auto" w:fill="481F6E"/>
          </w:tcPr>
          <w:p>
            <w:pPr>
              <w:jc w:val="right"/>
              <w:ind w:right="152"/>
              <w:spacing w:after="0" w:line="108" w:lineRule="exact"/>
              <w:rPr>
                <w:sz w:val="20"/>
                <w:szCs w:val="20"/>
                <w:color w:val="auto"/>
              </w:rPr>
            </w:pPr>
            <w:r>
              <w:rPr>
                <w:rFonts w:ascii="Arial" w:cs="Arial" w:eastAsia="Arial" w:hAnsi="Arial"/>
                <w:sz w:val="10"/>
                <w:szCs w:val="10"/>
                <w:b w:val="1"/>
                <w:bCs w:val="1"/>
                <w:color w:val="FFFFFF"/>
              </w:rPr>
              <w:t>Award Plan</w:t>
            </w:r>
          </w:p>
        </w:tc>
        <w:tc>
          <w:tcPr>
            <w:tcW w:w="106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940" w:type="dxa"/>
            <w:vAlign w:val="bottom"/>
            <w:shd w:val="clear" w:color="auto" w:fill="481F6E"/>
          </w:tcPr>
          <w:p>
            <w:pPr>
              <w:spacing w:after="0"/>
              <w:rPr>
                <w:sz w:val="9"/>
                <w:szCs w:val="9"/>
                <w:color w:val="auto"/>
              </w:rPr>
            </w:pPr>
          </w:p>
        </w:tc>
        <w:tc>
          <w:tcPr>
            <w:tcW w:w="960" w:type="dxa"/>
            <w:vAlign w:val="bottom"/>
            <w:shd w:val="clear" w:color="auto" w:fill="481F6E"/>
          </w:tcPr>
          <w:p>
            <w:pPr>
              <w:spacing w:after="0"/>
              <w:rPr>
                <w:sz w:val="9"/>
                <w:szCs w:val="9"/>
                <w:color w:val="auto"/>
              </w:rPr>
            </w:pPr>
          </w:p>
        </w:tc>
        <w:tc>
          <w:tcPr>
            <w:tcW w:w="980" w:type="dxa"/>
            <w:vAlign w:val="bottom"/>
            <w:shd w:val="clear" w:color="auto" w:fill="481F6E"/>
          </w:tcPr>
          <w:p>
            <w:pPr>
              <w:jc w:val="right"/>
              <w:ind w:right="112"/>
              <w:spacing w:after="0" w:line="108" w:lineRule="exact"/>
              <w:rPr>
                <w:sz w:val="20"/>
                <w:szCs w:val="20"/>
                <w:color w:val="auto"/>
              </w:rPr>
            </w:pPr>
            <w:r>
              <w:rPr>
                <w:rFonts w:ascii="Arial" w:cs="Arial" w:eastAsia="Arial" w:hAnsi="Arial"/>
                <w:sz w:val="10"/>
                <w:szCs w:val="10"/>
                <w:b w:val="1"/>
                <w:bCs w:val="1"/>
                <w:color w:val="FFFFFF"/>
              </w:rPr>
              <w:t>Awards:</w:t>
            </w:r>
          </w:p>
        </w:tc>
        <w:tc>
          <w:tcPr>
            <w:tcW w:w="82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Market or</w:t>
            </w:r>
          </w:p>
        </w:tc>
        <w:tc>
          <w:tcPr>
            <w:tcW w:w="0" w:type="dxa"/>
            <w:vAlign w:val="bottom"/>
          </w:tcPr>
          <w:p>
            <w:pPr>
              <w:spacing w:after="0"/>
              <w:rPr>
                <w:sz w:val="1"/>
                <w:szCs w:val="1"/>
                <w:color w:val="auto"/>
              </w:rPr>
            </w:pPr>
          </w:p>
        </w:tc>
      </w:tr>
      <w:tr>
        <w:trPr>
          <w:trHeight w:val="108"/>
        </w:trPr>
        <w:tc>
          <w:tcPr>
            <w:tcW w:w="1240" w:type="dxa"/>
            <w:vAlign w:val="bottom"/>
            <w:shd w:val="clear" w:color="auto" w:fill="481F6E"/>
          </w:tcPr>
          <w:p>
            <w:pPr>
              <w:spacing w:after="0"/>
              <w:rPr>
                <w:sz w:val="9"/>
                <w:szCs w:val="9"/>
                <w:color w:val="auto"/>
              </w:rPr>
            </w:pPr>
          </w:p>
        </w:tc>
        <w:tc>
          <w:tcPr>
            <w:tcW w:w="1040" w:type="dxa"/>
            <w:vAlign w:val="bottom"/>
            <w:shd w:val="clear" w:color="auto" w:fill="481F6E"/>
          </w:tcPr>
          <w:p>
            <w:pPr>
              <w:spacing w:after="0"/>
              <w:rPr>
                <w:sz w:val="9"/>
                <w:szCs w:val="9"/>
                <w:color w:val="auto"/>
              </w:rPr>
            </w:pPr>
          </w:p>
        </w:tc>
        <w:tc>
          <w:tcPr>
            <w:tcW w:w="1140" w:type="dxa"/>
            <w:vAlign w:val="bottom"/>
            <w:shd w:val="clear" w:color="auto" w:fill="481F6E"/>
          </w:tcPr>
          <w:p>
            <w:pPr>
              <w:spacing w:after="0"/>
              <w:rPr>
                <w:sz w:val="9"/>
                <w:szCs w:val="9"/>
                <w:color w:val="auto"/>
              </w:rPr>
            </w:pPr>
          </w:p>
        </w:tc>
        <w:tc>
          <w:tcPr>
            <w:tcW w:w="1140" w:type="dxa"/>
            <w:vAlign w:val="bottom"/>
            <w:shd w:val="clear" w:color="auto" w:fill="481F6E"/>
          </w:tcPr>
          <w:p>
            <w:pPr>
              <w:spacing w:after="0"/>
              <w:rPr>
                <w:sz w:val="9"/>
                <w:szCs w:val="9"/>
                <w:color w:val="auto"/>
              </w:rPr>
            </w:pPr>
          </w:p>
        </w:tc>
        <w:tc>
          <w:tcPr>
            <w:tcW w:w="1040" w:type="dxa"/>
            <w:vAlign w:val="bottom"/>
            <w:shd w:val="clear" w:color="auto" w:fill="481F6E"/>
          </w:tcPr>
          <w:p>
            <w:pPr>
              <w:jc w:val="right"/>
              <w:ind w:right="152"/>
              <w:spacing w:after="0" w:line="108" w:lineRule="exact"/>
              <w:rPr>
                <w:sz w:val="20"/>
                <w:szCs w:val="20"/>
                <w:color w:val="auto"/>
              </w:rPr>
            </w:pPr>
            <w:r>
              <w:rPr>
                <w:rFonts w:ascii="Arial" w:cs="Arial" w:eastAsia="Arial" w:hAnsi="Arial"/>
                <w:sz w:val="10"/>
                <w:szCs w:val="10"/>
                <w:b w:val="1"/>
                <w:bCs w:val="1"/>
                <w:color w:val="FFFFFF"/>
              </w:rPr>
              <w:t>Awards:</w:t>
            </w:r>
          </w:p>
        </w:tc>
        <w:tc>
          <w:tcPr>
            <w:tcW w:w="106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940" w:type="dxa"/>
            <w:vAlign w:val="bottom"/>
            <w:shd w:val="clear" w:color="auto" w:fill="481F6E"/>
          </w:tcPr>
          <w:p>
            <w:pPr>
              <w:spacing w:after="0"/>
              <w:rPr>
                <w:sz w:val="9"/>
                <w:szCs w:val="9"/>
                <w:color w:val="auto"/>
              </w:rPr>
            </w:pPr>
          </w:p>
        </w:tc>
        <w:tc>
          <w:tcPr>
            <w:tcW w:w="960" w:type="dxa"/>
            <w:vAlign w:val="bottom"/>
            <w:shd w:val="clear" w:color="auto" w:fill="481F6E"/>
          </w:tcPr>
          <w:p>
            <w:pPr>
              <w:spacing w:after="0"/>
              <w:rPr>
                <w:sz w:val="9"/>
                <w:szCs w:val="9"/>
                <w:color w:val="auto"/>
              </w:rPr>
            </w:pPr>
          </w:p>
        </w:tc>
        <w:tc>
          <w:tcPr>
            <w:tcW w:w="980" w:type="dxa"/>
            <w:vAlign w:val="bottom"/>
            <w:shd w:val="clear" w:color="auto" w:fill="481F6E"/>
          </w:tcPr>
          <w:p>
            <w:pPr>
              <w:jc w:val="right"/>
              <w:ind w:right="112"/>
              <w:spacing w:after="0" w:line="108" w:lineRule="exact"/>
              <w:rPr>
                <w:sz w:val="20"/>
                <w:szCs w:val="20"/>
                <w:color w:val="auto"/>
              </w:rPr>
            </w:pPr>
            <w:r>
              <w:rPr>
                <w:rFonts w:ascii="Arial" w:cs="Arial" w:eastAsia="Arial" w:hAnsi="Arial"/>
                <w:sz w:val="10"/>
                <w:szCs w:val="10"/>
                <w:b w:val="1"/>
                <w:bCs w:val="1"/>
                <w:color w:val="FFFFFF"/>
              </w:rPr>
              <w:t>Number of</w:t>
            </w:r>
          </w:p>
        </w:tc>
        <w:tc>
          <w:tcPr>
            <w:tcW w:w="82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Payout Value</w:t>
            </w:r>
          </w:p>
        </w:tc>
        <w:tc>
          <w:tcPr>
            <w:tcW w:w="0" w:type="dxa"/>
            <w:vAlign w:val="bottom"/>
          </w:tcPr>
          <w:p>
            <w:pPr>
              <w:spacing w:after="0"/>
              <w:rPr>
                <w:sz w:val="1"/>
                <w:szCs w:val="1"/>
                <w:color w:val="auto"/>
              </w:rPr>
            </w:pPr>
          </w:p>
        </w:tc>
      </w:tr>
      <w:tr>
        <w:trPr>
          <w:trHeight w:val="108"/>
        </w:trPr>
        <w:tc>
          <w:tcPr>
            <w:tcW w:w="1240" w:type="dxa"/>
            <w:vAlign w:val="bottom"/>
            <w:shd w:val="clear" w:color="auto" w:fill="481F6E"/>
          </w:tcPr>
          <w:p>
            <w:pPr>
              <w:spacing w:after="0"/>
              <w:rPr>
                <w:sz w:val="9"/>
                <w:szCs w:val="9"/>
                <w:color w:val="auto"/>
              </w:rPr>
            </w:pPr>
          </w:p>
        </w:tc>
        <w:tc>
          <w:tcPr>
            <w:tcW w:w="1040" w:type="dxa"/>
            <w:vAlign w:val="bottom"/>
            <w:shd w:val="clear" w:color="auto" w:fill="481F6E"/>
          </w:tcPr>
          <w:p>
            <w:pPr>
              <w:spacing w:after="0"/>
              <w:rPr>
                <w:sz w:val="9"/>
                <w:szCs w:val="9"/>
                <w:color w:val="auto"/>
              </w:rPr>
            </w:pPr>
          </w:p>
        </w:tc>
        <w:tc>
          <w:tcPr>
            <w:tcW w:w="1140" w:type="dxa"/>
            <w:vAlign w:val="bottom"/>
            <w:shd w:val="clear" w:color="auto" w:fill="481F6E"/>
          </w:tcPr>
          <w:p>
            <w:pPr>
              <w:jc w:val="right"/>
              <w:ind w:right="92"/>
              <w:spacing w:after="0" w:line="108" w:lineRule="exact"/>
              <w:rPr>
                <w:sz w:val="20"/>
                <w:szCs w:val="20"/>
                <w:color w:val="auto"/>
              </w:rPr>
            </w:pPr>
            <w:r>
              <w:rPr>
                <w:rFonts w:ascii="Arial" w:cs="Arial" w:eastAsia="Arial" w:hAnsi="Arial"/>
                <w:sz w:val="10"/>
                <w:szCs w:val="10"/>
                <w:b w:val="1"/>
                <w:bCs w:val="1"/>
                <w:color w:val="FFFFFF"/>
              </w:rPr>
              <w:t>Number of</w:t>
            </w:r>
          </w:p>
        </w:tc>
        <w:tc>
          <w:tcPr>
            <w:tcW w:w="1140" w:type="dxa"/>
            <w:vAlign w:val="bottom"/>
            <w:shd w:val="clear" w:color="auto" w:fill="481F6E"/>
          </w:tcPr>
          <w:p>
            <w:pPr>
              <w:jc w:val="right"/>
              <w:ind w:right="172"/>
              <w:spacing w:after="0" w:line="108" w:lineRule="exact"/>
              <w:rPr>
                <w:sz w:val="20"/>
                <w:szCs w:val="20"/>
                <w:color w:val="auto"/>
              </w:rPr>
            </w:pPr>
            <w:r>
              <w:rPr>
                <w:rFonts w:ascii="Arial" w:cs="Arial" w:eastAsia="Arial" w:hAnsi="Arial"/>
                <w:sz w:val="10"/>
                <w:szCs w:val="10"/>
                <w:b w:val="1"/>
                <w:bCs w:val="1"/>
                <w:color w:val="FFFFFF"/>
              </w:rPr>
              <w:t>Number of</w:t>
            </w:r>
          </w:p>
        </w:tc>
        <w:tc>
          <w:tcPr>
            <w:tcW w:w="1040" w:type="dxa"/>
            <w:vAlign w:val="bottom"/>
            <w:shd w:val="clear" w:color="auto" w:fill="481F6E"/>
          </w:tcPr>
          <w:p>
            <w:pPr>
              <w:jc w:val="right"/>
              <w:ind w:right="152"/>
              <w:spacing w:after="0" w:line="108" w:lineRule="exact"/>
              <w:rPr>
                <w:sz w:val="20"/>
                <w:szCs w:val="20"/>
                <w:color w:val="auto"/>
              </w:rPr>
            </w:pPr>
            <w:r>
              <w:rPr>
                <w:rFonts w:ascii="Arial" w:cs="Arial" w:eastAsia="Arial" w:hAnsi="Arial"/>
                <w:sz w:val="10"/>
                <w:szCs w:val="10"/>
                <w:b w:val="1"/>
                <w:bCs w:val="1"/>
                <w:color w:val="FFFFFF"/>
              </w:rPr>
              <w:t>Number of</w:t>
            </w:r>
          </w:p>
        </w:tc>
        <w:tc>
          <w:tcPr>
            <w:tcW w:w="106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940" w:type="dxa"/>
            <w:vAlign w:val="bottom"/>
            <w:shd w:val="clear" w:color="auto" w:fill="481F6E"/>
          </w:tcPr>
          <w:p>
            <w:pPr>
              <w:jc w:val="right"/>
              <w:ind w:right="152"/>
              <w:spacing w:after="0" w:line="108" w:lineRule="exact"/>
              <w:rPr>
                <w:sz w:val="20"/>
                <w:szCs w:val="20"/>
                <w:color w:val="auto"/>
              </w:rPr>
            </w:pPr>
            <w:r>
              <w:rPr>
                <w:rFonts w:ascii="Arial" w:cs="Arial" w:eastAsia="Arial" w:hAnsi="Arial"/>
                <w:sz w:val="10"/>
                <w:szCs w:val="10"/>
                <w:b w:val="1"/>
                <w:bCs w:val="1"/>
                <w:color w:val="FFFFFF"/>
              </w:rPr>
              <w:t>Number</w:t>
            </w:r>
          </w:p>
        </w:tc>
        <w:tc>
          <w:tcPr>
            <w:tcW w:w="960" w:type="dxa"/>
            <w:vAlign w:val="bottom"/>
            <w:shd w:val="clear" w:color="auto" w:fill="481F6E"/>
          </w:tcPr>
          <w:p>
            <w:pPr>
              <w:jc w:val="right"/>
              <w:ind w:right="112"/>
              <w:spacing w:after="0" w:line="108" w:lineRule="exact"/>
              <w:rPr>
                <w:sz w:val="20"/>
                <w:szCs w:val="20"/>
                <w:color w:val="auto"/>
              </w:rPr>
            </w:pPr>
            <w:r>
              <w:rPr>
                <w:rFonts w:ascii="Arial" w:cs="Arial" w:eastAsia="Arial" w:hAnsi="Arial"/>
                <w:sz w:val="10"/>
                <w:szCs w:val="10"/>
                <w:b w:val="1"/>
                <w:bCs w:val="1"/>
                <w:color w:val="FFFFFF"/>
              </w:rPr>
              <w:t>Market Value</w:t>
            </w:r>
          </w:p>
        </w:tc>
        <w:tc>
          <w:tcPr>
            <w:tcW w:w="980" w:type="dxa"/>
            <w:vAlign w:val="bottom"/>
            <w:shd w:val="clear" w:color="auto" w:fill="481F6E"/>
          </w:tcPr>
          <w:p>
            <w:pPr>
              <w:jc w:val="right"/>
              <w:ind w:right="112"/>
              <w:spacing w:after="0" w:line="108" w:lineRule="exact"/>
              <w:rPr>
                <w:sz w:val="20"/>
                <w:szCs w:val="20"/>
                <w:color w:val="auto"/>
              </w:rPr>
            </w:pPr>
            <w:r>
              <w:rPr>
                <w:rFonts w:ascii="Arial" w:cs="Arial" w:eastAsia="Arial" w:hAnsi="Arial"/>
                <w:sz w:val="10"/>
                <w:szCs w:val="10"/>
                <w:b w:val="1"/>
                <w:bCs w:val="1"/>
                <w:color w:val="FFFFFF"/>
              </w:rPr>
              <w:t>Unearned</w:t>
            </w:r>
          </w:p>
        </w:tc>
        <w:tc>
          <w:tcPr>
            <w:tcW w:w="82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of Unearned</w:t>
            </w:r>
          </w:p>
        </w:tc>
        <w:tc>
          <w:tcPr>
            <w:tcW w:w="0" w:type="dxa"/>
            <w:vAlign w:val="bottom"/>
          </w:tcPr>
          <w:p>
            <w:pPr>
              <w:spacing w:after="0"/>
              <w:rPr>
                <w:sz w:val="1"/>
                <w:szCs w:val="1"/>
                <w:color w:val="auto"/>
              </w:rPr>
            </w:pPr>
          </w:p>
        </w:tc>
      </w:tr>
      <w:tr>
        <w:trPr>
          <w:trHeight w:val="108"/>
        </w:trPr>
        <w:tc>
          <w:tcPr>
            <w:tcW w:w="1240" w:type="dxa"/>
            <w:vAlign w:val="bottom"/>
            <w:shd w:val="clear" w:color="auto" w:fill="481F6E"/>
          </w:tcPr>
          <w:p>
            <w:pPr>
              <w:spacing w:after="0"/>
              <w:rPr>
                <w:sz w:val="9"/>
                <w:szCs w:val="9"/>
                <w:color w:val="auto"/>
              </w:rPr>
            </w:pPr>
          </w:p>
        </w:tc>
        <w:tc>
          <w:tcPr>
            <w:tcW w:w="1040" w:type="dxa"/>
            <w:vAlign w:val="bottom"/>
            <w:shd w:val="clear" w:color="auto" w:fill="481F6E"/>
          </w:tcPr>
          <w:p>
            <w:pPr>
              <w:spacing w:after="0"/>
              <w:rPr>
                <w:sz w:val="9"/>
                <w:szCs w:val="9"/>
                <w:color w:val="auto"/>
              </w:rPr>
            </w:pPr>
          </w:p>
        </w:tc>
        <w:tc>
          <w:tcPr>
            <w:tcW w:w="1140" w:type="dxa"/>
            <w:vAlign w:val="bottom"/>
            <w:shd w:val="clear" w:color="auto" w:fill="481F6E"/>
          </w:tcPr>
          <w:p>
            <w:pPr>
              <w:jc w:val="right"/>
              <w:ind w:right="92"/>
              <w:spacing w:after="0" w:line="108" w:lineRule="exact"/>
              <w:rPr>
                <w:sz w:val="20"/>
                <w:szCs w:val="20"/>
                <w:color w:val="auto"/>
              </w:rPr>
            </w:pPr>
            <w:r>
              <w:rPr>
                <w:rFonts w:ascii="Arial" w:cs="Arial" w:eastAsia="Arial" w:hAnsi="Arial"/>
                <w:sz w:val="10"/>
                <w:szCs w:val="10"/>
                <w:b w:val="1"/>
                <w:bCs w:val="1"/>
                <w:color w:val="FFFFFF"/>
              </w:rPr>
              <w:t>Securities</w:t>
            </w:r>
          </w:p>
        </w:tc>
        <w:tc>
          <w:tcPr>
            <w:tcW w:w="1140" w:type="dxa"/>
            <w:vAlign w:val="bottom"/>
            <w:shd w:val="clear" w:color="auto" w:fill="481F6E"/>
          </w:tcPr>
          <w:p>
            <w:pPr>
              <w:jc w:val="right"/>
              <w:ind w:right="172"/>
              <w:spacing w:after="0" w:line="108" w:lineRule="exact"/>
              <w:rPr>
                <w:sz w:val="20"/>
                <w:szCs w:val="20"/>
                <w:color w:val="auto"/>
              </w:rPr>
            </w:pPr>
            <w:r>
              <w:rPr>
                <w:rFonts w:ascii="Arial" w:cs="Arial" w:eastAsia="Arial" w:hAnsi="Arial"/>
                <w:sz w:val="10"/>
                <w:szCs w:val="10"/>
                <w:b w:val="1"/>
                <w:bCs w:val="1"/>
                <w:color w:val="FFFFFF"/>
              </w:rPr>
              <w:t>Securities</w:t>
            </w:r>
          </w:p>
        </w:tc>
        <w:tc>
          <w:tcPr>
            <w:tcW w:w="1040" w:type="dxa"/>
            <w:vAlign w:val="bottom"/>
            <w:shd w:val="clear" w:color="auto" w:fill="481F6E"/>
          </w:tcPr>
          <w:p>
            <w:pPr>
              <w:jc w:val="right"/>
              <w:ind w:right="152"/>
              <w:spacing w:after="0" w:line="108" w:lineRule="exact"/>
              <w:rPr>
                <w:sz w:val="20"/>
                <w:szCs w:val="20"/>
                <w:color w:val="auto"/>
              </w:rPr>
            </w:pPr>
            <w:r>
              <w:rPr>
                <w:rFonts w:ascii="Arial" w:cs="Arial" w:eastAsia="Arial" w:hAnsi="Arial"/>
                <w:sz w:val="10"/>
                <w:szCs w:val="10"/>
                <w:b w:val="1"/>
                <w:bCs w:val="1"/>
                <w:color w:val="FFFFFF"/>
              </w:rPr>
              <w:t>Securities</w:t>
            </w:r>
          </w:p>
        </w:tc>
        <w:tc>
          <w:tcPr>
            <w:tcW w:w="106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940" w:type="dxa"/>
            <w:vAlign w:val="bottom"/>
            <w:shd w:val="clear" w:color="auto" w:fill="481F6E"/>
          </w:tcPr>
          <w:p>
            <w:pPr>
              <w:jc w:val="right"/>
              <w:ind w:right="152"/>
              <w:spacing w:after="0" w:line="108" w:lineRule="exact"/>
              <w:rPr>
                <w:sz w:val="20"/>
                <w:szCs w:val="20"/>
                <w:color w:val="auto"/>
              </w:rPr>
            </w:pPr>
            <w:r>
              <w:rPr>
                <w:rFonts w:ascii="Arial" w:cs="Arial" w:eastAsia="Arial" w:hAnsi="Arial"/>
                <w:sz w:val="10"/>
                <w:szCs w:val="10"/>
                <w:b w:val="1"/>
                <w:bCs w:val="1"/>
                <w:color w:val="FFFFFF"/>
              </w:rPr>
              <w:t>of Shares</w:t>
            </w:r>
          </w:p>
        </w:tc>
        <w:tc>
          <w:tcPr>
            <w:tcW w:w="960" w:type="dxa"/>
            <w:vAlign w:val="bottom"/>
            <w:shd w:val="clear" w:color="auto" w:fill="481F6E"/>
          </w:tcPr>
          <w:p>
            <w:pPr>
              <w:jc w:val="right"/>
              <w:ind w:right="112"/>
              <w:spacing w:after="0" w:line="108" w:lineRule="exact"/>
              <w:rPr>
                <w:sz w:val="20"/>
                <w:szCs w:val="20"/>
                <w:color w:val="auto"/>
              </w:rPr>
            </w:pPr>
            <w:r>
              <w:rPr>
                <w:rFonts w:ascii="Arial" w:cs="Arial" w:eastAsia="Arial" w:hAnsi="Arial"/>
                <w:sz w:val="10"/>
                <w:szCs w:val="10"/>
                <w:b w:val="1"/>
                <w:bCs w:val="1"/>
                <w:color w:val="FFFFFF"/>
              </w:rPr>
              <w:t>of Shares</w:t>
            </w:r>
          </w:p>
        </w:tc>
        <w:tc>
          <w:tcPr>
            <w:tcW w:w="980" w:type="dxa"/>
            <w:vAlign w:val="bottom"/>
            <w:shd w:val="clear" w:color="auto" w:fill="481F6E"/>
          </w:tcPr>
          <w:p>
            <w:pPr>
              <w:jc w:val="right"/>
              <w:ind w:right="112"/>
              <w:spacing w:after="0" w:line="108" w:lineRule="exact"/>
              <w:rPr>
                <w:sz w:val="20"/>
                <w:szCs w:val="20"/>
                <w:color w:val="auto"/>
              </w:rPr>
            </w:pPr>
            <w:r>
              <w:rPr>
                <w:rFonts w:ascii="Arial" w:cs="Arial" w:eastAsia="Arial" w:hAnsi="Arial"/>
                <w:sz w:val="10"/>
                <w:szCs w:val="10"/>
                <w:b w:val="1"/>
                <w:bCs w:val="1"/>
                <w:color w:val="FFFFFF"/>
              </w:rPr>
              <w:t>Shares, Units,</w:t>
            </w:r>
          </w:p>
        </w:tc>
        <w:tc>
          <w:tcPr>
            <w:tcW w:w="82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Shares, Units,</w:t>
            </w:r>
          </w:p>
        </w:tc>
        <w:tc>
          <w:tcPr>
            <w:tcW w:w="0" w:type="dxa"/>
            <w:vAlign w:val="bottom"/>
          </w:tcPr>
          <w:p>
            <w:pPr>
              <w:spacing w:after="0"/>
              <w:rPr>
                <w:sz w:val="1"/>
                <w:szCs w:val="1"/>
                <w:color w:val="auto"/>
              </w:rPr>
            </w:pPr>
          </w:p>
        </w:tc>
      </w:tr>
      <w:tr>
        <w:trPr>
          <w:trHeight w:val="108"/>
        </w:trPr>
        <w:tc>
          <w:tcPr>
            <w:tcW w:w="1240" w:type="dxa"/>
            <w:vAlign w:val="bottom"/>
            <w:shd w:val="clear" w:color="auto" w:fill="481F6E"/>
          </w:tcPr>
          <w:p>
            <w:pPr>
              <w:spacing w:after="0"/>
              <w:rPr>
                <w:sz w:val="9"/>
                <w:szCs w:val="9"/>
                <w:color w:val="auto"/>
              </w:rPr>
            </w:pPr>
          </w:p>
        </w:tc>
        <w:tc>
          <w:tcPr>
            <w:tcW w:w="1040" w:type="dxa"/>
            <w:vAlign w:val="bottom"/>
            <w:shd w:val="clear" w:color="auto" w:fill="481F6E"/>
          </w:tcPr>
          <w:p>
            <w:pPr>
              <w:spacing w:after="0"/>
              <w:rPr>
                <w:sz w:val="9"/>
                <w:szCs w:val="9"/>
                <w:color w:val="auto"/>
              </w:rPr>
            </w:pPr>
          </w:p>
        </w:tc>
        <w:tc>
          <w:tcPr>
            <w:tcW w:w="1140" w:type="dxa"/>
            <w:vAlign w:val="bottom"/>
            <w:shd w:val="clear" w:color="auto" w:fill="481F6E"/>
          </w:tcPr>
          <w:p>
            <w:pPr>
              <w:jc w:val="right"/>
              <w:ind w:right="92"/>
              <w:spacing w:after="0" w:line="108" w:lineRule="exact"/>
              <w:rPr>
                <w:sz w:val="20"/>
                <w:szCs w:val="20"/>
                <w:color w:val="auto"/>
              </w:rPr>
            </w:pPr>
            <w:r>
              <w:rPr>
                <w:rFonts w:ascii="Arial" w:cs="Arial" w:eastAsia="Arial" w:hAnsi="Arial"/>
                <w:sz w:val="10"/>
                <w:szCs w:val="10"/>
                <w:b w:val="1"/>
                <w:bCs w:val="1"/>
                <w:color w:val="FFFFFF"/>
              </w:rPr>
              <w:t>Underlying</w:t>
            </w:r>
          </w:p>
        </w:tc>
        <w:tc>
          <w:tcPr>
            <w:tcW w:w="1140" w:type="dxa"/>
            <w:vAlign w:val="bottom"/>
            <w:shd w:val="clear" w:color="auto" w:fill="481F6E"/>
          </w:tcPr>
          <w:p>
            <w:pPr>
              <w:jc w:val="right"/>
              <w:ind w:right="172"/>
              <w:spacing w:after="0" w:line="108" w:lineRule="exact"/>
              <w:rPr>
                <w:sz w:val="20"/>
                <w:szCs w:val="20"/>
                <w:color w:val="auto"/>
              </w:rPr>
            </w:pPr>
            <w:r>
              <w:rPr>
                <w:rFonts w:ascii="Arial" w:cs="Arial" w:eastAsia="Arial" w:hAnsi="Arial"/>
                <w:sz w:val="10"/>
                <w:szCs w:val="10"/>
                <w:b w:val="1"/>
                <w:bCs w:val="1"/>
                <w:color w:val="FFFFFF"/>
              </w:rPr>
              <w:t>Underlying</w:t>
            </w:r>
          </w:p>
        </w:tc>
        <w:tc>
          <w:tcPr>
            <w:tcW w:w="1040" w:type="dxa"/>
            <w:vAlign w:val="bottom"/>
            <w:shd w:val="clear" w:color="auto" w:fill="481F6E"/>
          </w:tcPr>
          <w:p>
            <w:pPr>
              <w:jc w:val="right"/>
              <w:ind w:right="152"/>
              <w:spacing w:after="0" w:line="108" w:lineRule="exact"/>
              <w:rPr>
                <w:sz w:val="20"/>
                <w:szCs w:val="20"/>
                <w:color w:val="auto"/>
              </w:rPr>
            </w:pPr>
            <w:r>
              <w:rPr>
                <w:rFonts w:ascii="Arial" w:cs="Arial" w:eastAsia="Arial" w:hAnsi="Arial"/>
                <w:sz w:val="10"/>
                <w:szCs w:val="10"/>
                <w:b w:val="1"/>
                <w:bCs w:val="1"/>
                <w:color w:val="FFFFFF"/>
              </w:rPr>
              <w:t>Underlying</w:t>
            </w:r>
          </w:p>
        </w:tc>
        <w:tc>
          <w:tcPr>
            <w:tcW w:w="1060" w:type="dxa"/>
            <w:vAlign w:val="bottom"/>
            <w:shd w:val="clear" w:color="auto" w:fill="481F6E"/>
          </w:tcPr>
          <w:p>
            <w:pPr>
              <w:spacing w:after="0"/>
              <w:rPr>
                <w:sz w:val="9"/>
                <w:szCs w:val="9"/>
                <w:color w:val="auto"/>
              </w:rPr>
            </w:pPr>
          </w:p>
        </w:tc>
        <w:tc>
          <w:tcPr>
            <w:tcW w:w="900" w:type="dxa"/>
            <w:vAlign w:val="bottom"/>
            <w:shd w:val="clear" w:color="auto" w:fill="481F6E"/>
          </w:tcPr>
          <w:p>
            <w:pPr>
              <w:spacing w:after="0"/>
              <w:rPr>
                <w:sz w:val="9"/>
                <w:szCs w:val="9"/>
                <w:color w:val="auto"/>
              </w:rPr>
            </w:pPr>
          </w:p>
        </w:tc>
        <w:tc>
          <w:tcPr>
            <w:tcW w:w="940" w:type="dxa"/>
            <w:vAlign w:val="bottom"/>
            <w:shd w:val="clear" w:color="auto" w:fill="481F6E"/>
          </w:tcPr>
          <w:p>
            <w:pPr>
              <w:jc w:val="right"/>
              <w:ind w:right="152"/>
              <w:spacing w:after="0" w:line="108" w:lineRule="exact"/>
              <w:rPr>
                <w:sz w:val="20"/>
                <w:szCs w:val="20"/>
                <w:color w:val="auto"/>
              </w:rPr>
            </w:pPr>
            <w:r>
              <w:rPr>
                <w:rFonts w:ascii="Arial" w:cs="Arial" w:eastAsia="Arial" w:hAnsi="Arial"/>
                <w:sz w:val="10"/>
                <w:szCs w:val="10"/>
                <w:b w:val="1"/>
                <w:bCs w:val="1"/>
                <w:color w:val="FFFFFF"/>
              </w:rPr>
              <w:t>or Units of</w:t>
            </w:r>
          </w:p>
        </w:tc>
        <w:tc>
          <w:tcPr>
            <w:tcW w:w="960" w:type="dxa"/>
            <w:vAlign w:val="bottom"/>
            <w:shd w:val="clear" w:color="auto" w:fill="481F6E"/>
          </w:tcPr>
          <w:p>
            <w:pPr>
              <w:jc w:val="right"/>
              <w:ind w:right="112"/>
              <w:spacing w:after="0" w:line="108" w:lineRule="exact"/>
              <w:rPr>
                <w:sz w:val="20"/>
                <w:szCs w:val="20"/>
                <w:color w:val="auto"/>
              </w:rPr>
            </w:pPr>
            <w:r>
              <w:rPr>
                <w:rFonts w:ascii="Arial" w:cs="Arial" w:eastAsia="Arial" w:hAnsi="Arial"/>
                <w:sz w:val="10"/>
                <w:szCs w:val="10"/>
                <w:b w:val="1"/>
                <w:bCs w:val="1"/>
                <w:color w:val="FFFFFF"/>
              </w:rPr>
              <w:t>or Units of</w:t>
            </w:r>
          </w:p>
        </w:tc>
        <w:tc>
          <w:tcPr>
            <w:tcW w:w="980" w:type="dxa"/>
            <w:vAlign w:val="bottom"/>
            <w:shd w:val="clear" w:color="auto" w:fill="481F6E"/>
          </w:tcPr>
          <w:p>
            <w:pPr>
              <w:jc w:val="right"/>
              <w:ind w:right="112"/>
              <w:spacing w:after="0" w:line="108" w:lineRule="exact"/>
              <w:rPr>
                <w:sz w:val="20"/>
                <w:szCs w:val="20"/>
                <w:color w:val="auto"/>
              </w:rPr>
            </w:pPr>
            <w:r>
              <w:rPr>
                <w:rFonts w:ascii="Arial" w:cs="Arial" w:eastAsia="Arial" w:hAnsi="Arial"/>
                <w:sz w:val="10"/>
                <w:szCs w:val="10"/>
                <w:b w:val="1"/>
                <w:bCs w:val="1"/>
                <w:color w:val="FFFFFF"/>
              </w:rPr>
              <w:t>or Other</w:t>
            </w:r>
          </w:p>
        </w:tc>
        <w:tc>
          <w:tcPr>
            <w:tcW w:w="82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or Other</w:t>
            </w:r>
          </w:p>
        </w:tc>
        <w:tc>
          <w:tcPr>
            <w:tcW w:w="0" w:type="dxa"/>
            <w:vAlign w:val="bottom"/>
          </w:tcPr>
          <w:p>
            <w:pPr>
              <w:spacing w:after="0"/>
              <w:rPr>
                <w:sz w:val="1"/>
                <w:szCs w:val="1"/>
                <w:color w:val="auto"/>
              </w:rPr>
            </w:pPr>
          </w:p>
        </w:tc>
      </w:tr>
      <w:tr>
        <w:trPr>
          <w:trHeight w:val="108"/>
        </w:trPr>
        <w:tc>
          <w:tcPr>
            <w:tcW w:w="1240" w:type="dxa"/>
            <w:vAlign w:val="bottom"/>
            <w:shd w:val="clear" w:color="auto" w:fill="481F6E"/>
          </w:tcPr>
          <w:p>
            <w:pPr>
              <w:spacing w:after="0"/>
              <w:rPr>
                <w:sz w:val="9"/>
                <w:szCs w:val="9"/>
                <w:color w:val="auto"/>
              </w:rPr>
            </w:pPr>
          </w:p>
        </w:tc>
        <w:tc>
          <w:tcPr>
            <w:tcW w:w="1040" w:type="dxa"/>
            <w:vAlign w:val="bottom"/>
            <w:shd w:val="clear" w:color="auto" w:fill="481F6E"/>
          </w:tcPr>
          <w:p>
            <w:pPr>
              <w:spacing w:after="0"/>
              <w:rPr>
                <w:sz w:val="9"/>
                <w:szCs w:val="9"/>
                <w:color w:val="auto"/>
              </w:rPr>
            </w:pPr>
          </w:p>
        </w:tc>
        <w:tc>
          <w:tcPr>
            <w:tcW w:w="1140" w:type="dxa"/>
            <w:vAlign w:val="bottom"/>
            <w:shd w:val="clear" w:color="auto" w:fill="481F6E"/>
          </w:tcPr>
          <w:p>
            <w:pPr>
              <w:jc w:val="right"/>
              <w:ind w:right="92"/>
              <w:spacing w:after="0" w:line="108" w:lineRule="exact"/>
              <w:rPr>
                <w:sz w:val="20"/>
                <w:szCs w:val="20"/>
                <w:color w:val="auto"/>
              </w:rPr>
            </w:pPr>
            <w:r>
              <w:rPr>
                <w:rFonts w:ascii="Arial" w:cs="Arial" w:eastAsia="Arial" w:hAnsi="Arial"/>
                <w:sz w:val="10"/>
                <w:szCs w:val="10"/>
                <w:b w:val="1"/>
                <w:bCs w:val="1"/>
                <w:color w:val="FFFFFF"/>
              </w:rPr>
              <w:t>Unexercised</w:t>
            </w:r>
          </w:p>
        </w:tc>
        <w:tc>
          <w:tcPr>
            <w:tcW w:w="1140" w:type="dxa"/>
            <w:vAlign w:val="bottom"/>
            <w:shd w:val="clear" w:color="auto" w:fill="481F6E"/>
          </w:tcPr>
          <w:p>
            <w:pPr>
              <w:jc w:val="right"/>
              <w:ind w:right="172"/>
              <w:spacing w:after="0" w:line="108" w:lineRule="exact"/>
              <w:rPr>
                <w:sz w:val="20"/>
                <w:szCs w:val="20"/>
                <w:color w:val="auto"/>
              </w:rPr>
            </w:pPr>
            <w:r>
              <w:rPr>
                <w:rFonts w:ascii="Arial" w:cs="Arial" w:eastAsia="Arial" w:hAnsi="Arial"/>
                <w:sz w:val="10"/>
                <w:szCs w:val="10"/>
                <w:b w:val="1"/>
                <w:bCs w:val="1"/>
                <w:color w:val="FFFFFF"/>
              </w:rPr>
              <w:t>Unexercised</w:t>
            </w:r>
          </w:p>
        </w:tc>
        <w:tc>
          <w:tcPr>
            <w:tcW w:w="1040" w:type="dxa"/>
            <w:vAlign w:val="bottom"/>
            <w:shd w:val="clear" w:color="auto" w:fill="481F6E"/>
          </w:tcPr>
          <w:p>
            <w:pPr>
              <w:jc w:val="right"/>
              <w:ind w:right="152"/>
              <w:spacing w:after="0" w:line="108" w:lineRule="exact"/>
              <w:rPr>
                <w:sz w:val="20"/>
                <w:szCs w:val="20"/>
                <w:color w:val="auto"/>
              </w:rPr>
            </w:pPr>
            <w:r>
              <w:rPr>
                <w:rFonts w:ascii="Arial" w:cs="Arial" w:eastAsia="Arial" w:hAnsi="Arial"/>
                <w:sz w:val="10"/>
                <w:szCs w:val="10"/>
                <w:b w:val="1"/>
                <w:bCs w:val="1"/>
                <w:color w:val="FFFFFF"/>
              </w:rPr>
              <w:t>Unexercised</w:t>
            </w:r>
          </w:p>
        </w:tc>
        <w:tc>
          <w:tcPr>
            <w:tcW w:w="1060" w:type="dxa"/>
            <w:vAlign w:val="bottom"/>
            <w:shd w:val="clear" w:color="auto" w:fill="481F6E"/>
          </w:tcPr>
          <w:p>
            <w:pPr>
              <w:jc w:val="right"/>
              <w:ind w:right="232"/>
              <w:spacing w:after="0" w:line="108" w:lineRule="exact"/>
              <w:rPr>
                <w:sz w:val="20"/>
                <w:szCs w:val="20"/>
                <w:color w:val="auto"/>
              </w:rPr>
            </w:pPr>
            <w:r>
              <w:rPr>
                <w:rFonts w:ascii="Arial" w:cs="Arial" w:eastAsia="Arial" w:hAnsi="Arial"/>
                <w:sz w:val="10"/>
                <w:szCs w:val="10"/>
                <w:b w:val="1"/>
                <w:bCs w:val="1"/>
                <w:color w:val="FFFFFF"/>
              </w:rPr>
              <w:t>Option</w:t>
            </w:r>
          </w:p>
        </w:tc>
        <w:tc>
          <w:tcPr>
            <w:tcW w:w="900" w:type="dxa"/>
            <w:vAlign w:val="bottom"/>
            <w:shd w:val="clear" w:color="auto" w:fill="481F6E"/>
          </w:tcPr>
          <w:p>
            <w:pPr>
              <w:jc w:val="right"/>
              <w:ind w:right="112"/>
              <w:spacing w:after="0" w:line="108" w:lineRule="exact"/>
              <w:rPr>
                <w:sz w:val="20"/>
                <w:szCs w:val="20"/>
                <w:color w:val="auto"/>
              </w:rPr>
            </w:pPr>
            <w:r>
              <w:rPr>
                <w:rFonts w:ascii="Arial" w:cs="Arial" w:eastAsia="Arial" w:hAnsi="Arial"/>
                <w:sz w:val="10"/>
                <w:szCs w:val="10"/>
                <w:b w:val="1"/>
                <w:bCs w:val="1"/>
                <w:color w:val="FFFFFF"/>
              </w:rPr>
              <w:t>Option</w:t>
            </w:r>
          </w:p>
        </w:tc>
        <w:tc>
          <w:tcPr>
            <w:tcW w:w="940" w:type="dxa"/>
            <w:vAlign w:val="bottom"/>
            <w:shd w:val="clear" w:color="auto" w:fill="481F6E"/>
          </w:tcPr>
          <w:p>
            <w:pPr>
              <w:jc w:val="right"/>
              <w:ind w:right="152"/>
              <w:spacing w:after="0" w:line="108" w:lineRule="exact"/>
              <w:rPr>
                <w:sz w:val="20"/>
                <w:szCs w:val="20"/>
                <w:color w:val="auto"/>
              </w:rPr>
            </w:pPr>
            <w:r>
              <w:rPr>
                <w:rFonts w:ascii="Arial" w:cs="Arial" w:eastAsia="Arial" w:hAnsi="Arial"/>
                <w:sz w:val="10"/>
                <w:szCs w:val="10"/>
                <w:b w:val="1"/>
                <w:bCs w:val="1"/>
                <w:color w:val="FFFFFF"/>
              </w:rPr>
              <w:t>Stock that</w:t>
            </w:r>
          </w:p>
        </w:tc>
        <w:tc>
          <w:tcPr>
            <w:tcW w:w="960" w:type="dxa"/>
            <w:vAlign w:val="bottom"/>
            <w:shd w:val="clear" w:color="auto" w:fill="481F6E"/>
          </w:tcPr>
          <w:p>
            <w:pPr>
              <w:jc w:val="right"/>
              <w:ind w:right="112"/>
              <w:spacing w:after="0" w:line="108" w:lineRule="exact"/>
              <w:rPr>
                <w:sz w:val="20"/>
                <w:szCs w:val="20"/>
                <w:color w:val="auto"/>
              </w:rPr>
            </w:pPr>
            <w:r>
              <w:rPr>
                <w:rFonts w:ascii="Arial" w:cs="Arial" w:eastAsia="Arial" w:hAnsi="Arial"/>
                <w:sz w:val="10"/>
                <w:szCs w:val="10"/>
                <w:b w:val="1"/>
                <w:bCs w:val="1"/>
                <w:color w:val="FFFFFF"/>
              </w:rPr>
              <w:t>Stock that</w:t>
            </w:r>
          </w:p>
        </w:tc>
        <w:tc>
          <w:tcPr>
            <w:tcW w:w="980" w:type="dxa"/>
            <w:vAlign w:val="bottom"/>
            <w:shd w:val="clear" w:color="auto" w:fill="481F6E"/>
          </w:tcPr>
          <w:p>
            <w:pPr>
              <w:jc w:val="right"/>
              <w:ind w:right="112"/>
              <w:spacing w:after="0" w:line="108" w:lineRule="exact"/>
              <w:rPr>
                <w:sz w:val="20"/>
                <w:szCs w:val="20"/>
                <w:color w:val="auto"/>
              </w:rPr>
            </w:pPr>
            <w:r>
              <w:rPr>
                <w:rFonts w:ascii="Arial" w:cs="Arial" w:eastAsia="Arial" w:hAnsi="Arial"/>
                <w:sz w:val="10"/>
                <w:szCs w:val="10"/>
                <w:b w:val="1"/>
                <w:bCs w:val="1"/>
                <w:color w:val="FFFFFF"/>
              </w:rPr>
              <w:t>Rights that</w:t>
            </w:r>
          </w:p>
        </w:tc>
        <w:tc>
          <w:tcPr>
            <w:tcW w:w="82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Rights that</w:t>
            </w:r>
          </w:p>
        </w:tc>
        <w:tc>
          <w:tcPr>
            <w:tcW w:w="0" w:type="dxa"/>
            <w:vAlign w:val="bottom"/>
          </w:tcPr>
          <w:p>
            <w:pPr>
              <w:spacing w:after="0"/>
              <w:rPr>
                <w:sz w:val="1"/>
                <w:szCs w:val="1"/>
                <w:color w:val="auto"/>
              </w:rPr>
            </w:pPr>
          </w:p>
        </w:tc>
      </w:tr>
      <w:tr>
        <w:trPr>
          <w:trHeight w:val="99"/>
        </w:trPr>
        <w:tc>
          <w:tcPr>
            <w:tcW w:w="1240" w:type="dxa"/>
            <w:vAlign w:val="bottom"/>
            <w:vMerge w:val="restart"/>
            <w:shd w:val="clear" w:color="auto" w:fill="481F6E"/>
          </w:tcPr>
          <w:p>
            <w:pPr>
              <w:ind w:left="900"/>
              <w:spacing w:after="0"/>
              <w:rPr>
                <w:sz w:val="20"/>
                <w:szCs w:val="20"/>
                <w:color w:val="auto"/>
              </w:rPr>
            </w:pPr>
            <w:r>
              <w:rPr>
                <w:rFonts w:ascii="Arial" w:cs="Arial" w:eastAsia="Arial" w:hAnsi="Arial"/>
                <w:sz w:val="10"/>
                <w:szCs w:val="10"/>
                <w:b w:val="1"/>
                <w:bCs w:val="1"/>
                <w:color w:val="FFFFFF"/>
              </w:rPr>
              <w:t>Name</w:t>
            </w:r>
          </w:p>
        </w:tc>
        <w:tc>
          <w:tcPr>
            <w:tcW w:w="1040" w:type="dxa"/>
            <w:vAlign w:val="bottom"/>
            <w:vMerge w:val="restart"/>
            <w:shd w:val="clear" w:color="auto" w:fill="481F6E"/>
          </w:tcPr>
          <w:p>
            <w:pPr>
              <w:jc w:val="right"/>
              <w:spacing w:after="0"/>
              <w:rPr>
                <w:sz w:val="20"/>
                <w:szCs w:val="20"/>
                <w:color w:val="auto"/>
              </w:rPr>
            </w:pPr>
            <w:r>
              <w:rPr>
                <w:rFonts w:ascii="Arial" w:cs="Arial" w:eastAsia="Arial" w:hAnsi="Arial"/>
                <w:sz w:val="10"/>
                <w:szCs w:val="10"/>
                <w:b w:val="1"/>
                <w:bCs w:val="1"/>
                <w:color w:val="FFFFFF"/>
              </w:rPr>
              <w:t>Grant Date</w:t>
            </w:r>
          </w:p>
        </w:tc>
        <w:tc>
          <w:tcPr>
            <w:tcW w:w="1140" w:type="dxa"/>
            <w:vAlign w:val="bottom"/>
            <w:shd w:val="clear" w:color="auto" w:fill="481F6E"/>
          </w:tcPr>
          <w:p>
            <w:pPr>
              <w:jc w:val="right"/>
              <w:ind w:right="92"/>
              <w:spacing w:after="0" w:line="99" w:lineRule="exact"/>
              <w:rPr>
                <w:sz w:val="20"/>
                <w:szCs w:val="20"/>
                <w:color w:val="auto"/>
              </w:rPr>
            </w:pPr>
            <w:r>
              <w:rPr>
                <w:rFonts w:ascii="Arial" w:cs="Arial" w:eastAsia="Arial" w:hAnsi="Arial"/>
                <w:sz w:val="10"/>
                <w:szCs w:val="10"/>
                <w:b w:val="1"/>
                <w:bCs w:val="1"/>
                <w:color w:val="FFFFFF"/>
              </w:rPr>
              <w:t>Options (#)</w:t>
            </w:r>
          </w:p>
        </w:tc>
        <w:tc>
          <w:tcPr>
            <w:tcW w:w="1140" w:type="dxa"/>
            <w:vAlign w:val="bottom"/>
            <w:shd w:val="clear" w:color="auto" w:fill="481F6E"/>
          </w:tcPr>
          <w:p>
            <w:pPr>
              <w:jc w:val="right"/>
              <w:ind w:right="172"/>
              <w:spacing w:after="0" w:line="99" w:lineRule="exact"/>
              <w:rPr>
                <w:sz w:val="20"/>
                <w:szCs w:val="20"/>
                <w:color w:val="auto"/>
              </w:rPr>
            </w:pPr>
            <w:r>
              <w:rPr>
                <w:rFonts w:ascii="Arial" w:cs="Arial" w:eastAsia="Arial" w:hAnsi="Arial"/>
                <w:sz w:val="10"/>
                <w:szCs w:val="10"/>
                <w:b w:val="1"/>
                <w:bCs w:val="1"/>
                <w:color w:val="FFFFFF"/>
              </w:rPr>
              <w:t>Options (#)</w:t>
            </w:r>
          </w:p>
        </w:tc>
        <w:tc>
          <w:tcPr>
            <w:tcW w:w="1040" w:type="dxa"/>
            <w:vAlign w:val="bottom"/>
            <w:shd w:val="clear" w:color="auto" w:fill="481F6E"/>
          </w:tcPr>
          <w:p>
            <w:pPr>
              <w:jc w:val="right"/>
              <w:ind w:right="152"/>
              <w:spacing w:after="0" w:line="99" w:lineRule="exact"/>
              <w:rPr>
                <w:sz w:val="20"/>
                <w:szCs w:val="20"/>
                <w:color w:val="auto"/>
              </w:rPr>
            </w:pPr>
            <w:r>
              <w:rPr>
                <w:rFonts w:ascii="Arial" w:cs="Arial" w:eastAsia="Arial" w:hAnsi="Arial"/>
                <w:sz w:val="10"/>
                <w:szCs w:val="10"/>
                <w:b w:val="1"/>
                <w:bCs w:val="1"/>
                <w:color w:val="FFFFFF"/>
              </w:rPr>
              <w:t>Unearned</w:t>
            </w:r>
          </w:p>
        </w:tc>
        <w:tc>
          <w:tcPr>
            <w:tcW w:w="1060" w:type="dxa"/>
            <w:vAlign w:val="bottom"/>
            <w:shd w:val="clear" w:color="auto" w:fill="481F6E"/>
          </w:tcPr>
          <w:p>
            <w:pPr>
              <w:jc w:val="right"/>
              <w:ind w:right="232"/>
              <w:spacing w:after="0" w:line="99" w:lineRule="exact"/>
              <w:rPr>
                <w:sz w:val="20"/>
                <w:szCs w:val="20"/>
                <w:color w:val="auto"/>
              </w:rPr>
            </w:pPr>
            <w:r>
              <w:rPr>
                <w:rFonts w:ascii="Arial" w:cs="Arial" w:eastAsia="Arial" w:hAnsi="Arial"/>
                <w:sz w:val="10"/>
                <w:szCs w:val="10"/>
                <w:b w:val="1"/>
                <w:bCs w:val="1"/>
                <w:color w:val="FFFFFF"/>
              </w:rPr>
              <w:t>Exercise</w:t>
            </w:r>
          </w:p>
        </w:tc>
        <w:tc>
          <w:tcPr>
            <w:tcW w:w="900" w:type="dxa"/>
            <w:vAlign w:val="bottom"/>
            <w:shd w:val="clear" w:color="auto" w:fill="481F6E"/>
          </w:tcPr>
          <w:p>
            <w:pPr>
              <w:jc w:val="right"/>
              <w:ind w:right="112"/>
              <w:spacing w:after="0" w:line="99" w:lineRule="exact"/>
              <w:rPr>
                <w:sz w:val="20"/>
                <w:szCs w:val="20"/>
                <w:color w:val="auto"/>
              </w:rPr>
            </w:pPr>
            <w:r>
              <w:rPr>
                <w:rFonts w:ascii="Arial" w:cs="Arial" w:eastAsia="Arial" w:hAnsi="Arial"/>
                <w:sz w:val="10"/>
                <w:szCs w:val="10"/>
                <w:b w:val="1"/>
                <w:bCs w:val="1"/>
                <w:color w:val="FFFFFF"/>
              </w:rPr>
              <w:t>Expiration</w:t>
            </w:r>
          </w:p>
        </w:tc>
        <w:tc>
          <w:tcPr>
            <w:tcW w:w="940" w:type="dxa"/>
            <w:vAlign w:val="bottom"/>
            <w:shd w:val="clear" w:color="auto" w:fill="481F6E"/>
          </w:tcPr>
          <w:p>
            <w:pPr>
              <w:jc w:val="right"/>
              <w:ind w:right="152"/>
              <w:spacing w:after="0" w:line="99" w:lineRule="exact"/>
              <w:rPr>
                <w:sz w:val="20"/>
                <w:szCs w:val="20"/>
                <w:color w:val="auto"/>
              </w:rPr>
            </w:pPr>
            <w:r>
              <w:rPr>
                <w:rFonts w:ascii="Arial" w:cs="Arial" w:eastAsia="Arial" w:hAnsi="Arial"/>
                <w:sz w:val="10"/>
                <w:szCs w:val="10"/>
                <w:b w:val="1"/>
                <w:bCs w:val="1"/>
                <w:color w:val="FFFFFF"/>
              </w:rPr>
              <w:t>have Not</w:t>
            </w:r>
          </w:p>
        </w:tc>
        <w:tc>
          <w:tcPr>
            <w:tcW w:w="960" w:type="dxa"/>
            <w:vAlign w:val="bottom"/>
            <w:shd w:val="clear" w:color="auto" w:fill="481F6E"/>
          </w:tcPr>
          <w:p>
            <w:pPr>
              <w:jc w:val="right"/>
              <w:ind w:right="112"/>
              <w:spacing w:after="0" w:line="99" w:lineRule="exact"/>
              <w:rPr>
                <w:sz w:val="20"/>
                <w:szCs w:val="20"/>
                <w:color w:val="auto"/>
              </w:rPr>
            </w:pPr>
            <w:r>
              <w:rPr>
                <w:rFonts w:ascii="Arial" w:cs="Arial" w:eastAsia="Arial" w:hAnsi="Arial"/>
                <w:sz w:val="10"/>
                <w:szCs w:val="10"/>
                <w:b w:val="1"/>
                <w:bCs w:val="1"/>
                <w:color w:val="FFFFFF"/>
              </w:rPr>
              <w:t>have Not</w:t>
            </w:r>
          </w:p>
        </w:tc>
        <w:tc>
          <w:tcPr>
            <w:tcW w:w="980" w:type="dxa"/>
            <w:vAlign w:val="bottom"/>
            <w:shd w:val="clear" w:color="auto" w:fill="481F6E"/>
          </w:tcPr>
          <w:p>
            <w:pPr>
              <w:jc w:val="right"/>
              <w:ind w:right="112"/>
              <w:spacing w:after="0" w:line="99" w:lineRule="exact"/>
              <w:rPr>
                <w:sz w:val="20"/>
                <w:szCs w:val="20"/>
                <w:color w:val="auto"/>
              </w:rPr>
            </w:pPr>
            <w:r>
              <w:rPr>
                <w:rFonts w:ascii="Arial" w:cs="Arial" w:eastAsia="Arial" w:hAnsi="Arial"/>
                <w:sz w:val="10"/>
                <w:szCs w:val="10"/>
                <w:b w:val="1"/>
                <w:bCs w:val="1"/>
                <w:color w:val="FFFFFF"/>
              </w:rPr>
              <w:t>have Not</w:t>
            </w:r>
          </w:p>
        </w:tc>
        <w:tc>
          <w:tcPr>
            <w:tcW w:w="820" w:type="dxa"/>
            <w:vAlign w:val="bottom"/>
            <w:shd w:val="clear" w:color="auto" w:fill="481F6E"/>
          </w:tcPr>
          <w:p>
            <w:pPr>
              <w:jc w:val="right"/>
              <w:spacing w:after="0" w:line="99" w:lineRule="exact"/>
              <w:rPr>
                <w:sz w:val="20"/>
                <w:szCs w:val="20"/>
                <w:color w:val="auto"/>
              </w:rPr>
            </w:pPr>
            <w:r>
              <w:rPr>
                <w:rFonts w:ascii="Arial" w:cs="Arial" w:eastAsia="Arial" w:hAnsi="Arial"/>
                <w:sz w:val="10"/>
                <w:szCs w:val="10"/>
                <w:b w:val="1"/>
                <w:bCs w:val="1"/>
                <w:color w:val="FFFFFF"/>
              </w:rPr>
              <w:t>have Not</w:t>
            </w:r>
          </w:p>
        </w:tc>
        <w:tc>
          <w:tcPr>
            <w:tcW w:w="0" w:type="dxa"/>
            <w:vAlign w:val="bottom"/>
          </w:tcPr>
          <w:p>
            <w:pPr>
              <w:spacing w:after="0"/>
              <w:rPr>
                <w:sz w:val="1"/>
                <w:szCs w:val="1"/>
                <w:color w:val="auto"/>
              </w:rPr>
            </w:pPr>
          </w:p>
        </w:tc>
      </w:tr>
      <w:tr>
        <w:trPr>
          <w:trHeight w:val="149"/>
        </w:trPr>
        <w:tc>
          <w:tcPr>
            <w:tcW w:w="1240" w:type="dxa"/>
            <w:vAlign w:val="bottom"/>
            <w:vMerge w:val="continue"/>
            <w:shd w:val="clear" w:color="auto" w:fill="481F6E"/>
          </w:tcPr>
          <w:p>
            <w:pPr>
              <w:spacing w:after="0"/>
              <w:rPr>
                <w:sz w:val="12"/>
                <w:szCs w:val="12"/>
                <w:color w:val="auto"/>
              </w:rPr>
            </w:pPr>
          </w:p>
        </w:tc>
        <w:tc>
          <w:tcPr>
            <w:tcW w:w="1040" w:type="dxa"/>
            <w:vAlign w:val="bottom"/>
            <w:vMerge w:val="continue"/>
            <w:shd w:val="clear" w:color="auto" w:fill="481F6E"/>
          </w:tcPr>
          <w:p>
            <w:pPr>
              <w:spacing w:after="0"/>
              <w:rPr>
                <w:sz w:val="12"/>
                <w:szCs w:val="12"/>
                <w:color w:val="auto"/>
              </w:rPr>
            </w:pPr>
          </w:p>
        </w:tc>
        <w:tc>
          <w:tcPr>
            <w:tcW w:w="1140" w:type="dxa"/>
            <w:vAlign w:val="bottom"/>
            <w:shd w:val="clear" w:color="auto" w:fill="481F6E"/>
          </w:tcPr>
          <w:p>
            <w:pPr>
              <w:jc w:val="right"/>
              <w:ind w:right="92"/>
              <w:spacing w:after="0"/>
              <w:rPr>
                <w:sz w:val="20"/>
                <w:szCs w:val="20"/>
                <w:color w:val="auto"/>
              </w:rPr>
            </w:pPr>
            <w:r>
              <w:rPr>
                <w:rFonts w:ascii="Arial" w:cs="Arial" w:eastAsia="Arial" w:hAnsi="Arial"/>
                <w:sz w:val="10"/>
                <w:szCs w:val="10"/>
                <w:b w:val="1"/>
                <w:bCs w:val="1"/>
                <w:color w:val="FFFFFF"/>
              </w:rPr>
              <w:t>Exercisable</w:t>
            </w:r>
          </w:p>
        </w:tc>
        <w:tc>
          <w:tcPr>
            <w:tcW w:w="1140" w:type="dxa"/>
            <w:vAlign w:val="bottom"/>
            <w:shd w:val="clear" w:color="auto" w:fill="481F6E"/>
          </w:tcPr>
          <w:p>
            <w:pPr>
              <w:jc w:val="right"/>
              <w:ind w:right="172"/>
              <w:spacing w:after="0"/>
              <w:rPr>
                <w:sz w:val="20"/>
                <w:szCs w:val="20"/>
                <w:color w:val="auto"/>
              </w:rPr>
            </w:pPr>
            <w:r>
              <w:rPr>
                <w:rFonts w:ascii="Arial" w:cs="Arial" w:eastAsia="Arial" w:hAnsi="Arial"/>
                <w:sz w:val="10"/>
                <w:szCs w:val="10"/>
                <w:b w:val="1"/>
                <w:bCs w:val="1"/>
                <w:color w:val="FFFFFF"/>
              </w:rPr>
              <w:t>Unexercisable</w:t>
            </w:r>
          </w:p>
        </w:tc>
        <w:tc>
          <w:tcPr>
            <w:tcW w:w="1040" w:type="dxa"/>
            <w:vAlign w:val="bottom"/>
            <w:shd w:val="clear" w:color="auto" w:fill="481F6E"/>
          </w:tcPr>
          <w:p>
            <w:pPr>
              <w:jc w:val="right"/>
              <w:ind w:right="152"/>
              <w:spacing w:after="0"/>
              <w:rPr>
                <w:sz w:val="20"/>
                <w:szCs w:val="20"/>
                <w:color w:val="auto"/>
              </w:rPr>
            </w:pPr>
            <w:r>
              <w:rPr>
                <w:rFonts w:ascii="Arial" w:cs="Arial" w:eastAsia="Arial" w:hAnsi="Arial"/>
                <w:sz w:val="10"/>
                <w:szCs w:val="10"/>
                <w:b w:val="1"/>
                <w:bCs w:val="1"/>
                <w:color w:val="FFFFFF"/>
              </w:rPr>
              <w:t>Options (#)</w:t>
            </w:r>
          </w:p>
        </w:tc>
        <w:tc>
          <w:tcPr>
            <w:tcW w:w="1060" w:type="dxa"/>
            <w:vAlign w:val="bottom"/>
            <w:shd w:val="clear" w:color="auto" w:fill="481F6E"/>
          </w:tcPr>
          <w:p>
            <w:pPr>
              <w:jc w:val="right"/>
              <w:ind w:right="232"/>
              <w:spacing w:after="0"/>
              <w:rPr>
                <w:sz w:val="20"/>
                <w:szCs w:val="20"/>
                <w:color w:val="auto"/>
              </w:rPr>
            </w:pPr>
            <w:r>
              <w:rPr>
                <w:rFonts w:ascii="Arial" w:cs="Arial" w:eastAsia="Arial" w:hAnsi="Arial"/>
                <w:sz w:val="10"/>
                <w:szCs w:val="10"/>
                <w:b w:val="1"/>
                <w:bCs w:val="1"/>
                <w:color w:val="FFFFFF"/>
              </w:rPr>
              <w:t>Price ($/€)</w:t>
            </w:r>
          </w:p>
        </w:tc>
        <w:tc>
          <w:tcPr>
            <w:tcW w:w="900" w:type="dxa"/>
            <w:vAlign w:val="bottom"/>
            <w:shd w:val="clear" w:color="auto" w:fill="481F6E"/>
          </w:tcPr>
          <w:p>
            <w:pPr>
              <w:jc w:val="right"/>
              <w:ind w:right="112"/>
              <w:spacing w:after="0"/>
              <w:rPr>
                <w:sz w:val="20"/>
                <w:szCs w:val="20"/>
                <w:color w:val="auto"/>
              </w:rPr>
            </w:pPr>
            <w:r>
              <w:rPr>
                <w:rFonts w:ascii="Arial" w:cs="Arial" w:eastAsia="Arial" w:hAnsi="Arial"/>
                <w:sz w:val="10"/>
                <w:szCs w:val="10"/>
                <w:b w:val="1"/>
                <w:bCs w:val="1"/>
                <w:color w:val="FFFFFF"/>
              </w:rPr>
              <w:t>Date</w:t>
            </w:r>
          </w:p>
        </w:tc>
        <w:tc>
          <w:tcPr>
            <w:tcW w:w="940" w:type="dxa"/>
            <w:vAlign w:val="bottom"/>
            <w:shd w:val="clear" w:color="auto" w:fill="481F6E"/>
          </w:tcPr>
          <w:p>
            <w:pPr>
              <w:jc w:val="right"/>
              <w:ind w:right="152"/>
              <w:spacing w:after="0"/>
              <w:rPr>
                <w:sz w:val="20"/>
                <w:szCs w:val="20"/>
                <w:color w:val="auto"/>
              </w:rPr>
            </w:pPr>
            <w:r>
              <w:rPr>
                <w:rFonts w:ascii="Arial" w:cs="Arial" w:eastAsia="Arial" w:hAnsi="Arial"/>
                <w:sz w:val="10"/>
                <w:szCs w:val="10"/>
                <w:b w:val="1"/>
                <w:bCs w:val="1"/>
                <w:color w:val="FFFFFF"/>
              </w:rPr>
              <w:t>Vested (#)</w:t>
            </w:r>
          </w:p>
        </w:tc>
        <w:tc>
          <w:tcPr>
            <w:tcW w:w="960" w:type="dxa"/>
            <w:vAlign w:val="bottom"/>
            <w:shd w:val="clear" w:color="auto" w:fill="481F6E"/>
          </w:tcPr>
          <w:p>
            <w:pPr>
              <w:jc w:val="right"/>
              <w:ind w:right="112"/>
              <w:spacing w:after="0"/>
              <w:rPr>
                <w:sz w:val="20"/>
                <w:szCs w:val="20"/>
                <w:color w:val="auto"/>
              </w:rPr>
            </w:pPr>
            <w:r>
              <w:rPr>
                <w:rFonts w:ascii="Arial" w:cs="Arial" w:eastAsia="Arial" w:hAnsi="Arial"/>
                <w:sz w:val="10"/>
                <w:szCs w:val="10"/>
                <w:b w:val="1"/>
                <w:bCs w:val="1"/>
                <w:color w:val="FFFFFF"/>
              </w:rPr>
              <w:t>Vested ($)</w:t>
            </w:r>
            <w:r>
              <w:rPr>
                <w:rFonts w:ascii="Arial" w:cs="Arial" w:eastAsia="Arial" w:hAnsi="Arial"/>
                <w:sz w:val="5"/>
                <w:szCs w:val="5"/>
                <w:b w:val="1"/>
                <w:bCs w:val="1"/>
                <w:color w:val="FFFFFF"/>
              </w:rPr>
              <w:t>1</w:t>
            </w:r>
          </w:p>
        </w:tc>
        <w:tc>
          <w:tcPr>
            <w:tcW w:w="980" w:type="dxa"/>
            <w:vAlign w:val="bottom"/>
            <w:shd w:val="clear" w:color="auto" w:fill="481F6E"/>
          </w:tcPr>
          <w:p>
            <w:pPr>
              <w:jc w:val="right"/>
              <w:ind w:right="112"/>
              <w:spacing w:after="0"/>
              <w:rPr>
                <w:sz w:val="20"/>
                <w:szCs w:val="20"/>
                <w:color w:val="auto"/>
              </w:rPr>
            </w:pPr>
            <w:r>
              <w:rPr>
                <w:rFonts w:ascii="Arial" w:cs="Arial" w:eastAsia="Arial" w:hAnsi="Arial"/>
                <w:sz w:val="10"/>
                <w:szCs w:val="10"/>
                <w:b w:val="1"/>
                <w:bCs w:val="1"/>
                <w:color w:val="FFFFFF"/>
              </w:rPr>
              <w:t>Vested (#)</w:t>
            </w:r>
          </w:p>
        </w:tc>
        <w:tc>
          <w:tcPr>
            <w:tcW w:w="820" w:type="dxa"/>
            <w:vAlign w:val="bottom"/>
            <w:shd w:val="clear" w:color="auto" w:fill="481F6E"/>
          </w:tcPr>
          <w:p>
            <w:pPr>
              <w:jc w:val="right"/>
              <w:spacing w:after="0"/>
              <w:rPr>
                <w:sz w:val="20"/>
                <w:szCs w:val="20"/>
                <w:color w:val="auto"/>
              </w:rPr>
            </w:pPr>
            <w:r>
              <w:rPr>
                <w:rFonts w:ascii="Arial" w:cs="Arial" w:eastAsia="Arial" w:hAnsi="Arial"/>
                <w:sz w:val="10"/>
                <w:szCs w:val="10"/>
                <w:b w:val="1"/>
                <w:bCs w:val="1"/>
                <w:color w:val="FFFFFF"/>
              </w:rPr>
              <w:t>Vested ($)</w:t>
            </w:r>
            <w:r>
              <w:rPr>
                <w:rFonts w:ascii="Arial" w:cs="Arial" w:eastAsia="Arial" w:hAnsi="Arial"/>
                <w:sz w:val="5"/>
                <w:szCs w:val="5"/>
                <w:b w:val="1"/>
                <w:bCs w:val="1"/>
                <w:color w:val="FFFFFF"/>
              </w:rPr>
              <w:t>1</w:t>
            </w:r>
          </w:p>
        </w:tc>
        <w:tc>
          <w:tcPr>
            <w:tcW w:w="0" w:type="dxa"/>
            <w:vAlign w:val="bottom"/>
          </w:tcPr>
          <w:p>
            <w:pPr>
              <w:spacing w:after="0"/>
              <w:rPr>
                <w:sz w:val="1"/>
                <w:szCs w:val="1"/>
                <w:color w:val="auto"/>
              </w:rPr>
            </w:pPr>
          </w:p>
        </w:tc>
      </w:tr>
      <w:tr>
        <w:trPr>
          <w:trHeight w:val="102"/>
        </w:trPr>
        <w:tc>
          <w:tcPr>
            <w:tcW w:w="1240" w:type="dxa"/>
            <w:vAlign w:val="bottom"/>
            <w:shd w:val="clear" w:color="auto" w:fill="481F6E"/>
          </w:tcPr>
          <w:p>
            <w:pPr>
              <w:spacing w:after="0"/>
              <w:rPr>
                <w:sz w:val="8"/>
                <w:szCs w:val="8"/>
                <w:color w:val="auto"/>
              </w:rPr>
            </w:pPr>
          </w:p>
        </w:tc>
        <w:tc>
          <w:tcPr>
            <w:tcW w:w="1040" w:type="dxa"/>
            <w:vAlign w:val="bottom"/>
            <w:shd w:val="clear" w:color="auto" w:fill="481F6E"/>
          </w:tcPr>
          <w:p>
            <w:pPr>
              <w:spacing w:after="0"/>
              <w:rPr>
                <w:sz w:val="8"/>
                <w:szCs w:val="8"/>
                <w:color w:val="auto"/>
              </w:rPr>
            </w:pPr>
          </w:p>
        </w:tc>
        <w:tc>
          <w:tcPr>
            <w:tcW w:w="1140" w:type="dxa"/>
            <w:vAlign w:val="bottom"/>
            <w:shd w:val="clear" w:color="auto" w:fill="481F6E"/>
          </w:tcPr>
          <w:p>
            <w:pPr>
              <w:spacing w:after="0"/>
              <w:rPr>
                <w:sz w:val="8"/>
                <w:szCs w:val="8"/>
                <w:color w:val="auto"/>
              </w:rPr>
            </w:pPr>
          </w:p>
        </w:tc>
        <w:tc>
          <w:tcPr>
            <w:tcW w:w="1140" w:type="dxa"/>
            <w:vAlign w:val="bottom"/>
            <w:shd w:val="clear" w:color="auto" w:fill="481F6E"/>
          </w:tcPr>
          <w:p>
            <w:pPr>
              <w:spacing w:after="0"/>
              <w:rPr>
                <w:sz w:val="8"/>
                <w:szCs w:val="8"/>
                <w:color w:val="auto"/>
              </w:rPr>
            </w:pPr>
          </w:p>
        </w:tc>
        <w:tc>
          <w:tcPr>
            <w:tcW w:w="1040" w:type="dxa"/>
            <w:vAlign w:val="bottom"/>
            <w:shd w:val="clear" w:color="auto" w:fill="481F6E"/>
          </w:tcPr>
          <w:p>
            <w:pPr>
              <w:spacing w:after="0"/>
              <w:rPr>
                <w:sz w:val="8"/>
                <w:szCs w:val="8"/>
                <w:color w:val="auto"/>
              </w:rPr>
            </w:pPr>
          </w:p>
        </w:tc>
        <w:tc>
          <w:tcPr>
            <w:tcW w:w="1060" w:type="dxa"/>
            <w:vAlign w:val="bottom"/>
            <w:shd w:val="clear" w:color="auto" w:fill="481F6E"/>
          </w:tcPr>
          <w:p>
            <w:pPr>
              <w:spacing w:after="0"/>
              <w:rPr>
                <w:sz w:val="8"/>
                <w:szCs w:val="8"/>
                <w:color w:val="auto"/>
              </w:rPr>
            </w:pPr>
          </w:p>
        </w:tc>
        <w:tc>
          <w:tcPr>
            <w:tcW w:w="900" w:type="dxa"/>
            <w:vAlign w:val="bottom"/>
            <w:shd w:val="clear" w:color="auto" w:fill="481F6E"/>
          </w:tcPr>
          <w:p>
            <w:pPr>
              <w:spacing w:after="0"/>
              <w:rPr>
                <w:sz w:val="8"/>
                <w:szCs w:val="8"/>
                <w:color w:val="auto"/>
              </w:rPr>
            </w:pPr>
          </w:p>
        </w:tc>
        <w:tc>
          <w:tcPr>
            <w:tcW w:w="940" w:type="dxa"/>
            <w:vAlign w:val="bottom"/>
            <w:shd w:val="clear" w:color="auto" w:fill="481F6E"/>
          </w:tcPr>
          <w:p>
            <w:pPr>
              <w:spacing w:after="0"/>
              <w:rPr>
                <w:sz w:val="8"/>
                <w:szCs w:val="8"/>
                <w:color w:val="auto"/>
              </w:rPr>
            </w:pPr>
          </w:p>
        </w:tc>
        <w:tc>
          <w:tcPr>
            <w:tcW w:w="960" w:type="dxa"/>
            <w:vAlign w:val="bottom"/>
            <w:shd w:val="clear" w:color="auto" w:fill="481F6E"/>
          </w:tcPr>
          <w:p>
            <w:pPr>
              <w:spacing w:after="0"/>
              <w:rPr>
                <w:sz w:val="8"/>
                <w:szCs w:val="8"/>
                <w:color w:val="auto"/>
              </w:rPr>
            </w:pPr>
          </w:p>
        </w:tc>
        <w:tc>
          <w:tcPr>
            <w:tcW w:w="980" w:type="dxa"/>
            <w:vAlign w:val="bottom"/>
            <w:shd w:val="clear" w:color="auto" w:fill="481F6E"/>
          </w:tcPr>
          <w:p>
            <w:pPr>
              <w:spacing w:after="0"/>
              <w:rPr>
                <w:sz w:val="8"/>
                <w:szCs w:val="8"/>
                <w:color w:val="auto"/>
              </w:rPr>
            </w:pPr>
          </w:p>
        </w:tc>
        <w:tc>
          <w:tcPr>
            <w:tcW w:w="820" w:type="dxa"/>
            <w:vAlign w:val="bottom"/>
            <w:shd w:val="clear" w:color="auto" w:fill="481F6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rPr>
                <w:sz w:val="20"/>
                <w:szCs w:val="20"/>
                <w:color w:val="auto"/>
              </w:rPr>
            </w:pPr>
            <w:r>
              <w:rPr>
                <w:rFonts w:ascii="Arial" w:cs="Arial" w:eastAsia="Arial" w:hAnsi="Arial"/>
                <w:sz w:val="10"/>
                <w:szCs w:val="10"/>
                <w:b w:val="1"/>
                <w:bCs w:val="1"/>
                <w:color w:val="333740"/>
              </w:rPr>
              <w:t>Douglas J.</w:t>
            </w:r>
          </w:p>
        </w:tc>
        <w:tc>
          <w:tcPr>
            <w:tcW w:w="1040" w:type="dxa"/>
            <w:vAlign w:val="bottom"/>
          </w:tcPr>
          <w:p>
            <w:pPr>
              <w:jc w:val="right"/>
              <w:spacing w:after="0"/>
              <w:rPr>
                <w:sz w:val="20"/>
                <w:szCs w:val="20"/>
                <w:color w:val="auto"/>
              </w:rPr>
            </w:pPr>
            <w:r>
              <w:rPr>
                <w:rFonts w:ascii="Arial" w:cs="Arial" w:eastAsia="Arial" w:hAnsi="Arial"/>
                <w:sz w:val="10"/>
                <w:szCs w:val="10"/>
                <w:color w:val="333740"/>
              </w:rPr>
              <w:t>6/20/2017</w:t>
            </w:r>
          </w:p>
        </w:tc>
        <w:tc>
          <w:tcPr>
            <w:tcW w:w="1140" w:type="dxa"/>
            <w:vAlign w:val="bottom"/>
          </w:tcPr>
          <w:p>
            <w:pPr>
              <w:spacing w:after="0"/>
              <w:rPr>
                <w:sz w:val="16"/>
                <w:szCs w:val="16"/>
                <w:color w:val="auto"/>
              </w:rPr>
            </w:pPr>
          </w:p>
        </w:tc>
        <w:tc>
          <w:tcPr>
            <w:tcW w:w="1140" w:type="dxa"/>
            <w:vAlign w:val="bottom"/>
          </w:tcPr>
          <w:p>
            <w:pPr>
              <w:jc w:val="right"/>
              <w:ind w:right="172"/>
              <w:spacing w:after="0"/>
              <w:rPr>
                <w:sz w:val="20"/>
                <w:szCs w:val="20"/>
                <w:color w:val="auto"/>
              </w:rPr>
            </w:pPr>
            <w:r>
              <w:rPr>
                <w:rFonts w:ascii="Arial" w:cs="Arial" w:eastAsia="Arial" w:hAnsi="Arial"/>
                <w:sz w:val="10"/>
                <w:szCs w:val="10"/>
                <w:color w:val="333740"/>
              </w:rPr>
              <w:t>224,835</w:t>
            </w:r>
            <w:r>
              <w:rPr>
                <w:rFonts w:ascii="Arial" w:cs="Arial" w:eastAsia="Arial" w:hAnsi="Arial"/>
                <w:sz w:val="6"/>
                <w:szCs w:val="6"/>
                <w:color w:val="333740"/>
              </w:rPr>
              <w:t>2</w:t>
            </w:r>
          </w:p>
        </w:tc>
        <w:tc>
          <w:tcPr>
            <w:tcW w:w="1040" w:type="dxa"/>
            <w:vAlign w:val="bottom"/>
          </w:tcPr>
          <w:p>
            <w:pPr>
              <w:spacing w:after="0"/>
              <w:rPr>
                <w:sz w:val="16"/>
                <w:szCs w:val="16"/>
                <w:color w:val="auto"/>
              </w:rPr>
            </w:pPr>
          </w:p>
        </w:tc>
        <w:tc>
          <w:tcPr>
            <w:tcW w:w="1060" w:type="dxa"/>
            <w:vAlign w:val="bottom"/>
          </w:tcPr>
          <w:p>
            <w:pPr>
              <w:jc w:val="right"/>
              <w:ind w:right="232"/>
              <w:spacing w:after="0"/>
              <w:rPr>
                <w:sz w:val="20"/>
                <w:szCs w:val="20"/>
                <w:color w:val="auto"/>
              </w:rPr>
            </w:pPr>
            <w:r>
              <w:rPr>
                <w:rFonts w:ascii="Arial" w:cs="Arial" w:eastAsia="Arial" w:hAnsi="Arial"/>
                <w:sz w:val="10"/>
                <w:szCs w:val="10"/>
                <w:color w:val="333740"/>
              </w:rPr>
              <w:t>$26.62</w:t>
            </w:r>
          </w:p>
        </w:tc>
        <w:tc>
          <w:tcPr>
            <w:tcW w:w="900" w:type="dxa"/>
            <w:vAlign w:val="bottom"/>
          </w:tcPr>
          <w:p>
            <w:pPr>
              <w:jc w:val="right"/>
              <w:ind w:right="112"/>
              <w:spacing w:after="0"/>
              <w:rPr>
                <w:sz w:val="20"/>
                <w:szCs w:val="20"/>
                <w:color w:val="auto"/>
              </w:rPr>
            </w:pPr>
            <w:r>
              <w:rPr>
                <w:rFonts w:ascii="Arial" w:cs="Arial" w:eastAsia="Arial" w:hAnsi="Arial"/>
                <w:sz w:val="10"/>
                <w:szCs w:val="10"/>
                <w:color w:val="333740"/>
              </w:rPr>
              <w:t>6/20/2027</w:t>
            </w:r>
          </w:p>
        </w:tc>
        <w:tc>
          <w:tcPr>
            <w:tcW w:w="940" w:type="dxa"/>
            <w:vAlign w:val="bottom"/>
          </w:tcPr>
          <w:p>
            <w:pPr>
              <w:jc w:val="right"/>
              <w:ind w:right="152"/>
              <w:spacing w:after="0"/>
              <w:rPr>
                <w:sz w:val="20"/>
                <w:szCs w:val="20"/>
                <w:color w:val="auto"/>
              </w:rPr>
            </w:pPr>
            <w:r>
              <w:rPr>
                <w:rFonts w:ascii="Arial" w:cs="Arial" w:eastAsia="Arial" w:hAnsi="Arial"/>
                <w:sz w:val="10"/>
                <w:szCs w:val="10"/>
                <w:color w:val="333740"/>
              </w:rPr>
              <w:t>65,364</w:t>
            </w:r>
            <w:r>
              <w:rPr>
                <w:rFonts w:ascii="Arial" w:cs="Arial" w:eastAsia="Arial" w:hAnsi="Arial"/>
                <w:sz w:val="13"/>
                <w:szCs w:val="13"/>
                <w:color w:val="333740"/>
                <w:vertAlign w:val="superscript"/>
              </w:rPr>
              <w:t>2</w:t>
            </w:r>
          </w:p>
        </w:tc>
        <w:tc>
          <w:tcPr>
            <w:tcW w:w="960" w:type="dxa"/>
            <w:vAlign w:val="bottom"/>
          </w:tcPr>
          <w:p>
            <w:pPr>
              <w:jc w:val="right"/>
              <w:ind w:right="112"/>
              <w:spacing w:after="0"/>
              <w:rPr>
                <w:sz w:val="20"/>
                <w:szCs w:val="20"/>
                <w:color w:val="auto"/>
              </w:rPr>
            </w:pPr>
            <w:r>
              <w:rPr>
                <w:rFonts w:ascii="Arial" w:cs="Arial" w:eastAsia="Arial" w:hAnsi="Arial"/>
                <w:sz w:val="10"/>
                <w:szCs w:val="10"/>
                <w:color w:val="333740"/>
              </w:rPr>
              <w:t>1,401,404</w:t>
            </w:r>
          </w:p>
        </w:tc>
        <w:tc>
          <w:tcPr>
            <w:tcW w:w="980" w:type="dxa"/>
            <w:vAlign w:val="bottom"/>
          </w:tcPr>
          <w:p>
            <w:pPr>
              <w:jc w:val="right"/>
              <w:ind w:right="112"/>
              <w:spacing w:after="0"/>
              <w:rPr>
                <w:sz w:val="20"/>
                <w:szCs w:val="20"/>
                <w:color w:val="auto"/>
              </w:rPr>
            </w:pPr>
            <w:r>
              <w:rPr>
                <w:rFonts w:ascii="Arial" w:cs="Arial" w:eastAsia="Arial" w:hAnsi="Arial"/>
                <w:sz w:val="10"/>
                <w:szCs w:val="10"/>
                <w:color w:val="333740"/>
              </w:rPr>
              <w:t>196,093</w:t>
            </w:r>
            <w:r>
              <w:rPr>
                <w:rFonts w:ascii="Arial" w:cs="Arial" w:eastAsia="Arial" w:hAnsi="Arial"/>
                <w:sz w:val="13"/>
                <w:szCs w:val="13"/>
                <w:color w:val="333740"/>
                <w:vertAlign w:val="superscript"/>
              </w:rPr>
              <w:t>3</w:t>
            </w:r>
          </w:p>
        </w:tc>
        <w:tc>
          <w:tcPr>
            <w:tcW w:w="820" w:type="dxa"/>
            <w:vAlign w:val="bottom"/>
          </w:tcPr>
          <w:p>
            <w:pPr>
              <w:jc w:val="right"/>
              <w:spacing w:after="0"/>
              <w:rPr>
                <w:sz w:val="20"/>
                <w:szCs w:val="20"/>
                <w:color w:val="auto"/>
              </w:rPr>
            </w:pPr>
            <w:r>
              <w:rPr>
                <w:rFonts w:ascii="Arial" w:cs="Arial" w:eastAsia="Arial" w:hAnsi="Arial"/>
                <w:sz w:val="10"/>
                <w:szCs w:val="10"/>
                <w:color w:val="333740"/>
              </w:rPr>
              <w:t>4,204,234</w:t>
            </w:r>
          </w:p>
        </w:tc>
        <w:tc>
          <w:tcPr>
            <w:tcW w:w="0" w:type="dxa"/>
            <w:vAlign w:val="bottom"/>
          </w:tcPr>
          <w:p>
            <w:pPr>
              <w:spacing w:after="0"/>
              <w:rPr>
                <w:sz w:val="1"/>
                <w:szCs w:val="1"/>
                <w:color w:val="auto"/>
              </w:rPr>
            </w:pPr>
          </w:p>
        </w:tc>
      </w:tr>
      <w:tr>
        <w:trPr>
          <w:trHeight w:val="25"/>
        </w:trPr>
        <w:tc>
          <w:tcPr>
            <w:tcW w:w="1240" w:type="dxa"/>
            <w:vAlign w:val="bottom"/>
            <w:vMerge w:val="restart"/>
          </w:tcPr>
          <w:p>
            <w:pPr>
              <w:ind w:left="20"/>
              <w:spacing w:after="0"/>
              <w:rPr>
                <w:sz w:val="20"/>
                <w:szCs w:val="20"/>
                <w:color w:val="auto"/>
              </w:rPr>
            </w:pPr>
            <w:r>
              <w:rPr>
                <w:rFonts w:ascii="Arial" w:cs="Arial" w:eastAsia="Arial" w:hAnsi="Arial"/>
                <w:sz w:val="10"/>
                <w:szCs w:val="10"/>
                <w:b w:val="1"/>
                <w:bCs w:val="1"/>
                <w:color w:val="333740"/>
              </w:rPr>
              <w:t>Pferdehirt</w:t>
            </w:r>
          </w:p>
        </w:tc>
        <w:tc>
          <w:tcPr>
            <w:tcW w:w="10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040" w:type="dxa"/>
            <w:vAlign w:val="bottom"/>
            <w:tcBorders>
              <w:bottom w:val="single" w:sz="8" w:color="D7D8D6"/>
            </w:tcBorders>
          </w:tcPr>
          <w:p>
            <w:pPr>
              <w:spacing w:after="0"/>
              <w:rPr>
                <w:sz w:val="2"/>
                <w:szCs w:val="2"/>
                <w:color w:val="auto"/>
              </w:rPr>
            </w:pPr>
          </w:p>
        </w:tc>
        <w:tc>
          <w:tcPr>
            <w:tcW w:w="1060" w:type="dxa"/>
            <w:vAlign w:val="bottom"/>
            <w:tcBorders>
              <w:bottom w:val="single" w:sz="8" w:color="D7D8D6"/>
            </w:tcBorders>
          </w:tcPr>
          <w:p>
            <w:pPr>
              <w:spacing w:after="0"/>
              <w:rPr>
                <w:sz w:val="2"/>
                <w:szCs w:val="2"/>
                <w:color w:val="auto"/>
              </w:rPr>
            </w:pPr>
          </w:p>
        </w:tc>
        <w:tc>
          <w:tcPr>
            <w:tcW w:w="900" w:type="dxa"/>
            <w:vAlign w:val="bottom"/>
            <w:tcBorders>
              <w:bottom w:val="single" w:sz="8" w:color="D7D8D6"/>
            </w:tcBorders>
          </w:tcPr>
          <w:p>
            <w:pPr>
              <w:spacing w:after="0"/>
              <w:rPr>
                <w:sz w:val="2"/>
                <w:szCs w:val="2"/>
                <w:color w:val="auto"/>
              </w:rPr>
            </w:pPr>
          </w:p>
        </w:tc>
        <w:tc>
          <w:tcPr>
            <w:tcW w:w="940" w:type="dxa"/>
            <w:vAlign w:val="bottom"/>
            <w:tcBorders>
              <w:bottom w:val="single" w:sz="8" w:color="D7D8D6"/>
            </w:tcBorders>
          </w:tcPr>
          <w:p>
            <w:pPr>
              <w:spacing w:after="0"/>
              <w:rPr>
                <w:sz w:val="2"/>
                <w:szCs w:val="2"/>
                <w:color w:val="auto"/>
              </w:rPr>
            </w:pPr>
          </w:p>
        </w:tc>
        <w:tc>
          <w:tcPr>
            <w:tcW w:w="960" w:type="dxa"/>
            <w:vAlign w:val="bottom"/>
            <w:tcBorders>
              <w:bottom w:val="single" w:sz="8" w:color="D7D8D6"/>
            </w:tcBorders>
          </w:tcPr>
          <w:p>
            <w:pPr>
              <w:spacing w:after="0"/>
              <w:rPr>
                <w:sz w:val="2"/>
                <w:szCs w:val="2"/>
                <w:color w:val="auto"/>
              </w:rPr>
            </w:pPr>
          </w:p>
        </w:tc>
        <w:tc>
          <w:tcPr>
            <w:tcW w:w="980" w:type="dxa"/>
            <w:vAlign w:val="bottom"/>
            <w:tcBorders>
              <w:bottom w:val="single" w:sz="8" w:color="D7D8D6"/>
            </w:tcBorders>
          </w:tcPr>
          <w:p>
            <w:pPr>
              <w:spacing w:after="0"/>
              <w:rPr>
                <w:sz w:val="2"/>
                <w:szCs w:val="2"/>
                <w:color w:val="auto"/>
              </w:rPr>
            </w:pPr>
          </w:p>
        </w:tc>
        <w:tc>
          <w:tcPr>
            <w:tcW w:w="820" w:type="dxa"/>
            <w:vAlign w:val="bottom"/>
            <w:tcBorders>
              <w:bottom w:val="single" w:sz="8" w:color="D7D8D6"/>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40" w:type="dxa"/>
            <w:vAlign w:val="bottom"/>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333740"/>
              </w:rPr>
              <w:t>2/26/2018</w:t>
            </w:r>
          </w:p>
        </w:tc>
        <w:tc>
          <w:tcPr>
            <w:tcW w:w="1140" w:type="dxa"/>
            <w:vAlign w:val="bottom"/>
          </w:tcPr>
          <w:p>
            <w:pPr>
              <w:spacing w:after="0"/>
              <w:rPr>
                <w:sz w:val="16"/>
                <w:szCs w:val="16"/>
                <w:color w:val="auto"/>
              </w:rPr>
            </w:pPr>
          </w:p>
        </w:tc>
        <w:tc>
          <w:tcPr>
            <w:tcW w:w="1140" w:type="dxa"/>
            <w:vAlign w:val="bottom"/>
          </w:tcPr>
          <w:p>
            <w:pPr>
              <w:jc w:val="right"/>
              <w:ind w:right="172"/>
              <w:spacing w:after="0"/>
              <w:rPr>
                <w:sz w:val="20"/>
                <w:szCs w:val="20"/>
                <w:color w:val="auto"/>
              </w:rPr>
            </w:pPr>
            <w:r>
              <w:rPr>
                <w:rFonts w:ascii="Arial" w:cs="Arial" w:eastAsia="Arial" w:hAnsi="Arial"/>
                <w:sz w:val="10"/>
                <w:szCs w:val="10"/>
                <w:color w:val="333740"/>
              </w:rPr>
              <w:t>193,011</w:t>
            </w:r>
            <w:r>
              <w:rPr>
                <w:rFonts w:ascii="Arial" w:cs="Arial" w:eastAsia="Arial" w:hAnsi="Arial"/>
                <w:sz w:val="6"/>
                <w:szCs w:val="6"/>
                <w:color w:val="333740"/>
              </w:rPr>
              <w:t>4</w:t>
            </w:r>
          </w:p>
        </w:tc>
        <w:tc>
          <w:tcPr>
            <w:tcW w:w="1040" w:type="dxa"/>
            <w:vAlign w:val="bottom"/>
          </w:tcPr>
          <w:p>
            <w:pPr>
              <w:spacing w:after="0"/>
              <w:rPr>
                <w:sz w:val="16"/>
                <w:szCs w:val="16"/>
                <w:color w:val="auto"/>
              </w:rPr>
            </w:pPr>
          </w:p>
        </w:tc>
        <w:tc>
          <w:tcPr>
            <w:tcW w:w="1060" w:type="dxa"/>
            <w:vAlign w:val="bottom"/>
          </w:tcPr>
          <w:p>
            <w:pPr>
              <w:jc w:val="right"/>
              <w:ind w:right="232"/>
              <w:spacing w:after="0"/>
              <w:rPr>
                <w:sz w:val="20"/>
                <w:szCs w:val="20"/>
                <w:color w:val="auto"/>
              </w:rPr>
            </w:pPr>
            <w:r>
              <w:rPr>
                <w:rFonts w:ascii="Arial" w:cs="Arial" w:eastAsia="Arial" w:hAnsi="Arial"/>
                <w:sz w:val="10"/>
                <w:szCs w:val="10"/>
                <w:color w:val="333740"/>
              </w:rPr>
              <w:t>$30.30</w:t>
            </w:r>
          </w:p>
        </w:tc>
        <w:tc>
          <w:tcPr>
            <w:tcW w:w="900" w:type="dxa"/>
            <w:vAlign w:val="bottom"/>
          </w:tcPr>
          <w:p>
            <w:pPr>
              <w:jc w:val="right"/>
              <w:ind w:right="112"/>
              <w:spacing w:after="0"/>
              <w:rPr>
                <w:sz w:val="20"/>
                <w:szCs w:val="20"/>
                <w:color w:val="auto"/>
              </w:rPr>
            </w:pPr>
            <w:r>
              <w:rPr>
                <w:rFonts w:ascii="Arial" w:cs="Arial" w:eastAsia="Arial" w:hAnsi="Arial"/>
                <w:sz w:val="10"/>
                <w:szCs w:val="10"/>
                <w:color w:val="333740"/>
              </w:rPr>
              <w:t>2/26/2028</w:t>
            </w:r>
          </w:p>
        </w:tc>
        <w:tc>
          <w:tcPr>
            <w:tcW w:w="940" w:type="dxa"/>
            <w:vAlign w:val="bottom"/>
          </w:tcPr>
          <w:p>
            <w:pPr>
              <w:jc w:val="right"/>
              <w:ind w:right="152"/>
              <w:spacing w:after="0"/>
              <w:rPr>
                <w:sz w:val="20"/>
                <w:szCs w:val="20"/>
                <w:color w:val="auto"/>
              </w:rPr>
            </w:pPr>
            <w:r>
              <w:rPr>
                <w:rFonts w:ascii="Arial" w:cs="Arial" w:eastAsia="Arial" w:hAnsi="Arial"/>
                <w:sz w:val="10"/>
                <w:szCs w:val="10"/>
                <w:color w:val="333740"/>
              </w:rPr>
              <w:t>57,425</w:t>
            </w:r>
            <w:r>
              <w:rPr>
                <w:rFonts w:ascii="Arial" w:cs="Arial" w:eastAsia="Arial" w:hAnsi="Arial"/>
                <w:sz w:val="13"/>
                <w:szCs w:val="13"/>
                <w:color w:val="333740"/>
                <w:vertAlign w:val="superscript"/>
              </w:rPr>
              <w:t>4</w:t>
            </w:r>
          </w:p>
        </w:tc>
        <w:tc>
          <w:tcPr>
            <w:tcW w:w="960" w:type="dxa"/>
            <w:vAlign w:val="bottom"/>
          </w:tcPr>
          <w:p>
            <w:pPr>
              <w:jc w:val="right"/>
              <w:ind w:right="112"/>
              <w:spacing w:after="0"/>
              <w:rPr>
                <w:sz w:val="20"/>
                <w:szCs w:val="20"/>
                <w:color w:val="auto"/>
              </w:rPr>
            </w:pPr>
            <w:r>
              <w:rPr>
                <w:rFonts w:ascii="Arial" w:cs="Arial" w:eastAsia="Arial" w:hAnsi="Arial"/>
                <w:sz w:val="10"/>
                <w:szCs w:val="10"/>
                <w:color w:val="333740"/>
              </w:rPr>
              <w:t>1,231,192</w:t>
            </w:r>
          </w:p>
        </w:tc>
        <w:tc>
          <w:tcPr>
            <w:tcW w:w="980" w:type="dxa"/>
            <w:vAlign w:val="bottom"/>
          </w:tcPr>
          <w:p>
            <w:pPr>
              <w:jc w:val="right"/>
              <w:ind w:right="112"/>
              <w:spacing w:after="0"/>
              <w:rPr>
                <w:sz w:val="20"/>
                <w:szCs w:val="20"/>
                <w:color w:val="auto"/>
              </w:rPr>
            </w:pPr>
            <w:r>
              <w:rPr>
                <w:rFonts w:ascii="Arial" w:cs="Arial" w:eastAsia="Arial" w:hAnsi="Arial"/>
                <w:sz w:val="10"/>
                <w:szCs w:val="10"/>
                <w:color w:val="333740"/>
              </w:rPr>
              <w:t>172,277</w:t>
            </w:r>
            <w:r>
              <w:rPr>
                <w:rFonts w:ascii="Arial" w:cs="Arial" w:eastAsia="Arial" w:hAnsi="Arial"/>
                <w:sz w:val="13"/>
                <w:szCs w:val="13"/>
                <w:color w:val="333740"/>
                <w:vertAlign w:val="superscript"/>
              </w:rPr>
              <w:t>5</w:t>
            </w:r>
          </w:p>
        </w:tc>
        <w:tc>
          <w:tcPr>
            <w:tcW w:w="820" w:type="dxa"/>
            <w:vAlign w:val="bottom"/>
          </w:tcPr>
          <w:p>
            <w:pPr>
              <w:jc w:val="right"/>
              <w:spacing w:after="0"/>
              <w:rPr>
                <w:sz w:val="20"/>
                <w:szCs w:val="20"/>
                <w:color w:val="auto"/>
              </w:rPr>
            </w:pPr>
            <w:r>
              <w:rPr>
                <w:rFonts w:ascii="Arial" w:cs="Arial" w:eastAsia="Arial" w:hAnsi="Arial"/>
                <w:sz w:val="10"/>
                <w:szCs w:val="10"/>
                <w:color w:val="333740"/>
              </w:rPr>
              <w:t>3,693,619</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040" w:type="dxa"/>
            <w:vAlign w:val="bottom"/>
            <w:tcBorders>
              <w:bottom w:val="single" w:sz="8" w:color="D7D8D6"/>
            </w:tcBorders>
          </w:tcPr>
          <w:p>
            <w:pPr>
              <w:spacing w:after="0"/>
              <w:rPr>
                <w:sz w:val="2"/>
                <w:szCs w:val="2"/>
                <w:color w:val="auto"/>
              </w:rPr>
            </w:pPr>
          </w:p>
        </w:tc>
        <w:tc>
          <w:tcPr>
            <w:tcW w:w="1060" w:type="dxa"/>
            <w:vAlign w:val="bottom"/>
            <w:tcBorders>
              <w:bottom w:val="single" w:sz="8" w:color="D7D8D6"/>
            </w:tcBorders>
          </w:tcPr>
          <w:p>
            <w:pPr>
              <w:spacing w:after="0"/>
              <w:rPr>
                <w:sz w:val="2"/>
                <w:szCs w:val="2"/>
                <w:color w:val="auto"/>
              </w:rPr>
            </w:pPr>
          </w:p>
        </w:tc>
        <w:tc>
          <w:tcPr>
            <w:tcW w:w="900" w:type="dxa"/>
            <w:vAlign w:val="bottom"/>
            <w:tcBorders>
              <w:bottom w:val="single" w:sz="8" w:color="D7D8D6"/>
            </w:tcBorders>
          </w:tcPr>
          <w:p>
            <w:pPr>
              <w:spacing w:after="0"/>
              <w:rPr>
                <w:sz w:val="2"/>
                <w:szCs w:val="2"/>
                <w:color w:val="auto"/>
              </w:rPr>
            </w:pPr>
          </w:p>
        </w:tc>
        <w:tc>
          <w:tcPr>
            <w:tcW w:w="940" w:type="dxa"/>
            <w:vAlign w:val="bottom"/>
            <w:tcBorders>
              <w:bottom w:val="single" w:sz="8" w:color="D7D8D6"/>
            </w:tcBorders>
          </w:tcPr>
          <w:p>
            <w:pPr>
              <w:spacing w:after="0"/>
              <w:rPr>
                <w:sz w:val="2"/>
                <w:szCs w:val="2"/>
                <w:color w:val="auto"/>
              </w:rPr>
            </w:pPr>
          </w:p>
        </w:tc>
        <w:tc>
          <w:tcPr>
            <w:tcW w:w="960" w:type="dxa"/>
            <w:vAlign w:val="bottom"/>
            <w:tcBorders>
              <w:bottom w:val="single" w:sz="8" w:color="D7D8D6"/>
            </w:tcBorders>
          </w:tcPr>
          <w:p>
            <w:pPr>
              <w:spacing w:after="0"/>
              <w:rPr>
                <w:sz w:val="2"/>
                <w:szCs w:val="2"/>
                <w:color w:val="auto"/>
              </w:rPr>
            </w:pPr>
          </w:p>
        </w:tc>
        <w:tc>
          <w:tcPr>
            <w:tcW w:w="980" w:type="dxa"/>
            <w:vAlign w:val="bottom"/>
            <w:tcBorders>
              <w:bottom w:val="single" w:sz="8" w:color="D7D8D6"/>
            </w:tcBorders>
          </w:tcPr>
          <w:p>
            <w:pPr>
              <w:spacing w:after="0"/>
              <w:rPr>
                <w:sz w:val="2"/>
                <w:szCs w:val="2"/>
                <w:color w:val="auto"/>
              </w:rPr>
            </w:pPr>
          </w:p>
        </w:tc>
        <w:tc>
          <w:tcPr>
            <w:tcW w:w="820" w:type="dxa"/>
            <w:vAlign w:val="bottom"/>
            <w:tcBorders>
              <w:bottom w:val="single" w:sz="8" w:color="D7D8D6"/>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333740"/>
              </w:rPr>
              <w:t>3/8/2019</w:t>
            </w:r>
          </w:p>
        </w:tc>
        <w:tc>
          <w:tcPr>
            <w:tcW w:w="1140" w:type="dxa"/>
            <w:vAlign w:val="bottom"/>
          </w:tcPr>
          <w:p>
            <w:pPr>
              <w:spacing w:after="0"/>
              <w:rPr>
                <w:sz w:val="16"/>
                <w:szCs w:val="16"/>
                <w:color w:val="auto"/>
              </w:rPr>
            </w:pPr>
          </w:p>
        </w:tc>
        <w:tc>
          <w:tcPr>
            <w:tcW w:w="1140" w:type="dxa"/>
            <w:vAlign w:val="bottom"/>
          </w:tcPr>
          <w:p>
            <w:pPr>
              <w:jc w:val="right"/>
              <w:ind w:right="172"/>
              <w:spacing w:after="0"/>
              <w:rPr>
                <w:sz w:val="20"/>
                <w:szCs w:val="20"/>
                <w:color w:val="auto"/>
              </w:rPr>
            </w:pPr>
            <w:r>
              <w:rPr>
                <w:rFonts w:ascii="Arial" w:cs="Arial" w:eastAsia="Arial" w:hAnsi="Arial"/>
                <w:sz w:val="10"/>
                <w:szCs w:val="10"/>
                <w:color w:val="333740"/>
              </w:rPr>
              <w:t>343,727</w:t>
            </w:r>
            <w:r>
              <w:rPr>
                <w:rFonts w:ascii="Arial" w:cs="Arial" w:eastAsia="Arial" w:hAnsi="Arial"/>
                <w:sz w:val="13"/>
                <w:szCs w:val="13"/>
                <w:color w:val="333740"/>
                <w:vertAlign w:val="superscript"/>
              </w:rPr>
              <w:t>6</w:t>
            </w:r>
          </w:p>
        </w:tc>
        <w:tc>
          <w:tcPr>
            <w:tcW w:w="1040" w:type="dxa"/>
            <w:vAlign w:val="bottom"/>
          </w:tcPr>
          <w:p>
            <w:pPr>
              <w:spacing w:after="0"/>
              <w:rPr>
                <w:sz w:val="16"/>
                <w:szCs w:val="16"/>
                <w:color w:val="auto"/>
              </w:rPr>
            </w:pPr>
          </w:p>
        </w:tc>
        <w:tc>
          <w:tcPr>
            <w:tcW w:w="1060" w:type="dxa"/>
            <w:vAlign w:val="bottom"/>
          </w:tcPr>
          <w:p>
            <w:pPr>
              <w:jc w:val="right"/>
              <w:ind w:right="232"/>
              <w:spacing w:after="0"/>
              <w:rPr>
                <w:sz w:val="20"/>
                <w:szCs w:val="20"/>
                <w:color w:val="auto"/>
              </w:rPr>
            </w:pPr>
            <w:r>
              <w:rPr>
                <w:rFonts w:ascii="Arial" w:cs="Arial" w:eastAsia="Arial" w:hAnsi="Arial"/>
                <w:sz w:val="10"/>
                <w:szCs w:val="10"/>
                <w:color w:val="333740"/>
              </w:rPr>
              <w:t>$20.98</w:t>
            </w:r>
          </w:p>
        </w:tc>
        <w:tc>
          <w:tcPr>
            <w:tcW w:w="900" w:type="dxa"/>
            <w:vAlign w:val="bottom"/>
          </w:tcPr>
          <w:p>
            <w:pPr>
              <w:jc w:val="right"/>
              <w:ind w:right="112"/>
              <w:spacing w:after="0"/>
              <w:rPr>
                <w:sz w:val="20"/>
                <w:szCs w:val="20"/>
                <w:color w:val="auto"/>
              </w:rPr>
            </w:pPr>
            <w:r>
              <w:rPr>
                <w:rFonts w:ascii="Arial" w:cs="Arial" w:eastAsia="Arial" w:hAnsi="Arial"/>
                <w:sz w:val="10"/>
                <w:szCs w:val="10"/>
                <w:color w:val="333740"/>
              </w:rPr>
              <w:t>3/8/2029</w:t>
            </w:r>
          </w:p>
        </w:tc>
        <w:tc>
          <w:tcPr>
            <w:tcW w:w="940" w:type="dxa"/>
            <w:vAlign w:val="bottom"/>
          </w:tcPr>
          <w:p>
            <w:pPr>
              <w:jc w:val="right"/>
              <w:ind w:right="152"/>
              <w:spacing w:after="0"/>
              <w:rPr>
                <w:sz w:val="20"/>
                <w:szCs w:val="20"/>
                <w:color w:val="auto"/>
              </w:rPr>
            </w:pPr>
            <w:r>
              <w:rPr>
                <w:rFonts w:ascii="Arial" w:cs="Arial" w:eastAsia="Arial" w:hAnsi="Arial"/>
                <w:sz w:val="10"/>
                <w:szCs w:val="10"/>
                <w:color w:val="333740"/>
              </w:rPr>
              <w:t>92,469</w:t>
            </w:r>
            <w:r>
              <w:rPr>
                <w:rFonts w:ascii="Arial" w:cs="Arial" w:eastAsia="Arial" w:hAnsi="Arial"/>
                <w:sz w:val="13"/>
                <w:szCs w:val="13"/>
                <w:color w:val="333740"/>
                <w:vertAlign w:val="superscript"/>
              </w:rPr>
              <w:t>6</w:t>
            </w:r>
          </w:p>
        </w:tc>
        <w:tc>
          <w:tcPr>
            <w:tcW w:w="960" w:type="dxa"/>
            <w:vAlign w:val="bottom"/>
          </w:tcPr>
          <w:p>
            <w:pPr>
              <w:jc w:val="right"/>
              <w:ind w:right="112"/>
              <w:spacing w:after="0"/>
              <w:rPr>
                <w:sz w:val="20"/>
                <w:szCs w:val="20"/>
                <w:color w:val="auto"/>
              </w:rPr>
            </w:pPr>
            <w:r>
              <w:rPr>
                <w:rFonts w:ascii="Arial" w:cs="Arial" w:eastAsia="Arial" w:hAnsi="Arial"/>
                <w:sz w:val="10"/>
                <w:szCs w:val="10"/>
                <w:color w:val="333740"/>
              </w:rPr>
              <w:t>1,982,535</w:t>
            </w:r>
          </w:p>
        </w:tc>
        <w:tc>
          <w:tcPr>
            <w:tcW w:w="980" w:type="dxa"/>
            <w:vAlign w:val="bottom"/>
          </w:tcPr>
          <w:p>
            <w:pPr>
              <w:jc w:val="right"/>
              <w:ind w:right="112"/>
              <w:spacing w:after="0"/>
              <w:rPr>
                <w:sz w:val="20"/>
                <w:szCs w:val="20"/>
                <w:color w:val="auto"/>
              </w:rPr>
            </w:pPr>
            <w:r>
              <w:rPr>
                <w:rFonts w:ascii="Arial" w:cs="Arial" w:eastAsia="Arial" w:hAnsi="Arial"/>
                <w:sz w:val="10"/>
                <w:szCs w:val="10"/>
                <w:color w:val="333740"/>
              </w:rPr>
              <w:t>277,407</w:t>
            </w:r>
            <w:r>
              <w:rPr>
                <w:rFonts w:ascii="Arial" w:cs="Arial" w:eastAsia="Arial" w:hAnsi="Arial"/>
                <w:sz w:val="13"/>
                <w:szCs w:val="13"/>
                <w:color w:val="333740"/>
                <w:vertAlign w:val="superscript"/>
              </w:rPr>
              <w:t>7</w:t>
            </w:r>
          </w:p>
        </w:tc>
        <w:tc>
          <w:tcPr>
            <w:tcW w:w="820" w:type="dxa"/>
            <w:vAlign w:val="bottom"/>
          </w:tcPr>
          <w:p>
            <w:pPr>
              <w:jc w:val="right"/>
              <w:spacing w:after="0"/>
              <w:rPr>
                <w:sz w:val="20"/>
                <w:szCs w:val="20"/>
                <w:color w:val="auto"/>
              </w:rPr>
            </w:pPr>
            <w:r>
              <w:rPr>
                <w:rFonts w:ascii="Arial" w:cs="Arial" w:eastAsia="Arial" w:hAnsi="Arial"/>
                <w:sz w:val="10"/>
                <w:szCs w:val="10"/>
                <w:color w:val="333740"/>
              </w:rPr>
              <w:t>5,947,606</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40" w:type="dxa"/>
            <w:vAlign w:val="bottom"/>
            <w:tcBorders>
              <w:bottom w:val="single" w:sz="8" w:color="D7D8D6"/>
            </w:tcBorders>
            <w:shd w:val="clear" w:color="auto" w:fill="D7D8D6"/>
          </w:tcPr>
          <w:p>
            <w:pPr>
              <w:ind w:left="20"/>
              <w:spacing w:after="0"/>
              <w:rPr>
                <w:sz w:val="20"/>
                <w:szCs w:val="20"/>
                <w:color w:val="auto"/>
              </w:rPr>
            </w:pPr>
            <w:r>
              <w:rPr>
                <w:rFonts w:ascii="Arial" w:cs="Arial" w:eastAsia="Arial" w:hAnsi="Arial"/>
                <w:sz w:val="10"/>
                <w:szCs w:val="10"/>
                <w:b w:val="1"/>
                <w:bCs w:val="1"/>
                <w:color w:val="333740"/>
              </w:rPr>
              <w:t>Maryann T.</w:t>
            </w:r>
          </w:p>
        </w:tc>
        <w:tc>
          <w:tcPr>
            <w:tcW w:w="1040" w:type="dxa"/>
            <w:vAlign w:val="bottom"/>
            <w:tcBorders>
              <w:bottom w:val="single" w:sz="8" w:color="D7D8D6"/>
            </w:tcBorders>
            <w:shd w:val="clear" w:color="auto" w:fill="D7D8D6"/>
          </w:tcPr>
          <w:p>
            <w:pPr>
              <w:jc w:val="right"/>
              <w:spacing w:after="0"/>
              <w:rPr>
                <w:sz w:val="20"/>
                <w:szCs w:val="20"/>
                <w:color w:val="auto"/>
              </w:rPr>
            </w:pPr>
            <w:r>
              <w:rPr>
                <w:rFonts w:ascii="Arial" w:cs="Arial" w:eastAsia="Arial" w:hAnsi="Arial"/>
                <w:sz w:val="10"/>
                <w:szCs w:val="10"/>
                <w:color w:val="333740"/>
              </w:rPr>
              <w:t>2/28/2017</w:t>
            </w:r>
          </w:p>
        </w:tc>
        <w:tc>
          <w:tcPr>
            <w:tcW w:w="1140" w:type="dxa"/>
            <w:vAlign w:val="bottom"/>
            <w:tcBorders>
              <w:bottom w:val="single" w:sz="8" w:color="D7D8D6"/>
            </w:tcBorders>
            <w:shd w:val="clear" w:color="auto" w:fill="D7D8D6"/>
          </w:tcPr>
          <w:p>
            <w:pPr>
              <w:spacing w:after="0"/>
              <w:rPr>
                <w:sz w:val="19"/>
                <w:szCs w:val="19"/>
                <w:color w:val="auto"/>
              </w:rPr>
            </w:pPr>
          </w:p>
        </w:tc>
        <w:tc>
          <w:tcPr>
            <w:tcW w:w="1140" w:type="dxa"/>
            <w:vAlign w:val="bottom"/>
            <w:tcBorders>
              <w:bottom w:val="single" w:sz="8" w:color="D7D8D6"/>
            </w:tcBorders>
            <w:shd w:val="clear" w:color="auto" w:fill="D7D8D6"/>
          </w:tcPr>
          <w:p>
            <w:pPr>
              <w:jc w:val="right"/>
              <w:ind w:right="172"/>
              <w:spacing w:after="0"/>
              <w:rPr>
                <w:sz w:val="20"/>
                <w:szCs w:val="20"/>
                <w:color w:val="auto"/>
              </w:rPr>
            </w:pPr>
            <w:r>
              <w:rPr>
                <w:rFonts w:ascii="Arial" w:cs="Arial" w:eastAsia="Arial" w:hAnsi="Arial"/>
                <w:sz w:val="10"/>
                <w:szCs w:val="10"/>
                <w:color w:val="333740"/>
              </w:rPr>
              <w:t>66,148</w:t>
            </w:r>
            <w:r>
              <w:rPr>
                <w:rFonts w:ascii="Arial" w:cs="Arial" w:eastAsia="Arial" w:hAnsi="Arial"/>
                <w:sz w:val="13"/>
                <w:szCs w:val="13"/>
                <w:color w:val="333740"/>
                <w:vertAlign w:val="superscript"/>
              </w:rPr>
              <w:t>2</w:t>
            </w:r>
          </w:p>
        </w:tc>
        <w:tc>
          <w:tcPr>
            <w:tcW w:w="1040" w:type="dxa"/>
            <w:vAlign w:val="bottom"/>
            <w:tcBorders>
              <w:bottom w:val="single" w:sz="8" w:color="D7D8D6"/>
            </w:tcBorders>
            <w:shd w:val="clear" w:color="auto" w:fill="D7D8D6"/>
          </w:tcPr>
          <w:p>
            <w:pPr>
              <w:spacing w:after="0"/>
              <w:rPr>
                <w:sz w:val="19"/>
                <w:szCs w:val="19"/>
                <w:color w:val="auto"/>
              </w:rPr>
            </w:pPr>
          </w:p>
        </w:tc>
        <w:tc>
          <w:tcPr>
            <w:tcW w:w="1060" w:type="dxa"/>
            <w:vAlign w:val="bottom"/>
            <w:tcBorders>
              <w:bottom w:val="single" w:sz="8" w:color="D7D8D6"/>
            </w:tcBorders>
            <w:shd w:val="clear" w:color="auto" w:fill="D7D8D6"/>
          </w:tcPr>
          <w:p>
            <w:pPr>
              <w:jc w:val="right"/>
              <w:ind w:right="232"/>
              <w:spacing w:after="0"/>
              <w:rPr>
                <w:sz w:val="20"/>
                <w:szCs w:val="20"/>
                <w:color w:val="auto"/>
              </w:rPr>
            </w:pPr>
            <w:r>
              <w:rPr>
                <w:rFonts w:ascii="Arial" w:cs="Arial" w:eastAsia="Arial" w:hAnsi="Arial"/>
                <w:sz w:val="10"/>
                <w:szCs w:val="10"/>
                <w:color w:val="333740"/>
              </w:rPr>
              <w:t>$32.32</w:t>
            </w:r>
          </w:p>
        </w:tc>
        <w:tc>
          <w:tcPr>
            <w:tcW w:w="900" w:type="dxa"/>
            <w:vAlign w:val="bottom"/>
            <w:tcBorders>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2/28/2027</w:t>
            </w:r>
          </w:p>
        </w:tc>
        <w:tc>
          <w:tcPr>
            <w:tcW w:w="940" w:type="dxa"/>
            <w:vAlign w:val="bottom"/>
            <w:tcBorders>
              <w:bottom w:val="single" w:sz="8" w:color="D7D8D6"/>
            </w:tcBorders>
            <w:shd w:val="clear" w:color="auto" w:fill="D7D8D6"/>
          </w:tcPr>
          <w:p>
            <w:pPr>
              <w:jc w:val="right"/>
              <w:ind w:right="152"/>
              <w:spacing w:after="0"/>
              <w:rPr>
                <w:sz w:val="20"/>
                <w:szCs w:val="20"/>
                <w:color w:val="auto"/>
              </w:rPr>
            </w:pPr>
            <w:r>
              <w:rPr>
                <w:rFonts w:ascii="Arial" w:cs="Arial" w:eastAsia="Arial" w:hAnsi="Arial"/>
                <w:sz w:val="10"/>
                <w:szCs w:val="10"/>
                <w:color w:val="333740"/>
              </w:rPr>
              <w:t>19,183</w:t>
            </w:r>
            <w:r>
              <w:rPr>
                <w:rFonts w:ascii="Arial" w:cs="Arial" w:eastAsia="Arial" w:hAnsi="Arial"/>
                <w:sz w:val="13"/>
                <w:szCs w:val="13"/>
                <w:color w:val="333740"/>
                <w:vertAlign w:val="superscript"/>
              </w:rPr>
              <w:t>2</w:t>
            </w:r>
          </w:p>
        </w:tc>
        <w:tc>
          <w:tcPr>
            <w:tcW w:w="960" w:type="dxa"/>
            <w:vAlign w:val="bottom"/>
            <w:tcBorders>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411,284</w:t>
            </w:r>
          </w:p>
        </w:tc>
        <w:tc>
          <w:tcPr>
            <w:tcW w:w="980" w:type="dxa"/>
            <w:vAlign w:val="bottom"/>
            <w:tcBorders>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57,549</w:t>
            </w:r>
            <w:r>
              <w:rPr>
                <w:rFonts w:ascii="Arial" w:cs="Arial" w:eastAsia="Arial" w:hAnsi="Arial"/>
                <w:sz w:val="13"/>
                <w:szCs w:val="13"/>
                <w:color w:val="333740"/>
                <w:vertAlign w:val="superscript"/>
              </w:rPr>
              <w:t>3</w:t>
            </w:r>
          </w:p>
        </w:tc>
        <w:tc>
          <w:tcPr>
            <w:tcW w:w="820" w:type="dxa"/>
            <w:vAlign w:val="bottom"/>
            <w:tcBorders>
              <w:bottom w:val="single" w:sz="8" w:color="D7D8D6"/>
            </w:tcBorders>
            <w:shd w:val="clear" w:color="auto" w:fill="D7D8D6"/>
          </w:tcPr>
          <w:p>
            <w:pPr>
              <w:jc w:val="right"/>
              <w:spacing w:after="0"/>
              <w:rPr>
                <w:sz w:val="20"/>
                <w:szCs w:val="20"/>
                <w:color w:val="auto"/>
              </w:rPr>
            </w:pPr>
            <w:r>
              <w:rPr>
                <w:rFonts w:ascii="Arial" w:cs="Arial" w:eastAsia="Arial" w:hAnsi="Arial"/>
                <w:sz w:val="10"/>
                <w:szCs w:val="10"/>
                <w:color w:val="333740"/>
              </w:rPr>
              <w:t>1,233,851</w:t>
            </w:r>
          </w:p>
        </w:tc>
        <w:tc>
          <w:tcPr>
            <w:tcW w:w="0" w:type="dxa"/>
            <w:vAlign w:val="bottom"/>
          </w:tcPr>
          <w:p>
            <w:pPr>
              <w:spacing w:after="0"/>
              <w:rPr>
                <w:sz w:val="1"/>
                <w:szCs w:val="1"/>
                <w:color w:val="auto"/>
              </w:rPr>
            </w:pPr>
          </w:p>
        </w:tc>
      </w:tr>
      <w:tr>
        <w:trPr>
          <w:trHeight w:val="224"/>
        </w:trPr>
        <w:tc>
          <w:tcPr>
            <w:tcW w:w="1240" w:type="dxa"/>
            <w:vAlign w:val="bottom"/>
            <w:tcBorders>
              <w:top w:val="single" w:sz="8" w:color="D7D8D6"/>
              <w:bottom w:val="single" w:sz="8" w:color="D7D8D6"/>
            </w:tcBorders>
            <w:shd w:val="clear" w:color="auto" w:fill="D7D8D6"/>
          </w:tcPr>
          <w:p>
            <w:pPr>
              <w:ind w:left="20"/>
              <w:spacing w:after="0"/>
              <w:rPr>
                <w:sz w:val="20"/>
                <w:szCs w:val="20"/>
                <w:color w:val="auto"/>
              </w:rPr>
            </w:pPr>
            <w:r>
              <w:rPr>
                <w:rFonts w:ascii="Arial" w:cs="Arial" w:eastAsia="Arial" w:hAnsi="Arial"/>
                <w:sz w:val="10"/>
                <w:szCs w:val="10"/>
                <w:b w:val="1"/>
                <w:bCs w:val="1"/>
                <w:color w:val="333740"/>
              </w:rPr>
              <w:t>Mannen</w:t>
            </w:r>
          </w:p>
        </w:tc>
        <w:tc>
          <w:tcPr>
            <w:tcW w:w="1040" w:type="dxa"/>
            <w:vAlign w:val="bottom"/>
            <w:tcBorders>
              <w:top w:val="single" w:sz="8" w:color="A3A7A9"/>
              <w:bottom w:val="single" w:sz="8" w:color="D7D8D6"/>
            </w:tcBorders>
            <w:shd w:val="clear" w:color="auto" w:fill="D7D8D6"/>
          </w:tcPr>
          <w:p>
            <w:pPr>
              <w:jc w:val="right"/>
              <w:spacing w:after="0"/>
              <w:rPr>
                <w:sz w:val="20"/>
                <w:szCs w:val="20"/>
                <w:color w:val="auto"/>
              </w:rPr>
            </w:pPr>
            <w:r>
              <w:rPr>
                <w:rFonts w:ascii="Arial" w:cs="Arial" w:eastAsia="Arial" w:hAnsi="Arial"/>
                <w:sz w:val="10"/>
                <w:szCs w:val="10"/>
                <w:color w:val="333740"/>
              </w:rPr>
              <w:t>2/26/2018</w:t>
            </w:r>
          </w:p>
        </w:tc>
        <w:tc>
          <w:tcPr>
            <w:tcW w:w="1140" w:type="dxa"/>
            <w:vAlign w:val="bottom"/>
            <w:tcBorders>
              <w:top w:val="single" w:sz="8" w:color="A3A7A9"/>
              <w:bottom w:val="single" w:sz="8" w:color="D7D8D6"/>
            </w:tcBorders>
            <w:shd w:val="clear" w:color="auto" w:fill="D7D8D6"/>
          </w:tcPr>
          <w:p>
            <w:pPr>
              <w:spacing w:after="0"/>
              <w:rPr>
                <w:sz w:val="19"/>
                <w:szCs w:val="19"/>
                <w:color w:val="auto"/>
              </w:rPr>
            </w:pPr>
          </w:p>
        </w:tc>
        <w:tc>
          <w:tcPr>
            <w:tcW w:w="1140" w:type="dxa"/>
            <w:vAlign w:val="bottom"/>
            <w:tcBorders>
              <w:top w:val="single" w:sz="8" w:color="A3A7A9"/>
              <w:bottom w:val="single" w:sz="8" w:color="D7D8D6"/>
            </w:tcBorders>
            <w:shd w:val="clear" w:color="auto" w:fill="D7D8D6"/>
          </w:tcPr>
          <w:p>
            <w:pPr>
              <w:jc w:val="right"/>
              <w:ind w:right="172"/>
              <w:spacing w:after="0"/>
              <w:rPr>
                <w:sz w:val="20"/>
                <w:szCs w:val="20"/>
                <w:color w:val="auto"/>
              </w:rPr>
            </w:pPr>
            <w:r>
              <w:rPr>
                <w:rFonts w:ascii="Arial" w:cs="Arial" w:eastAsia="Arial" w:hAnsi="Arial"/>
                <w:sz w:val="10"/>
                <w:szCs w:val="10"/>
                <w:color w:val="333740"/>
              </w:rPr>
              <w:t>68,774</w:t>
            </w:r>
            <w:r>
              <w:rPr>
                <w:rFonts w:ascii="Arial" w:cs="Arial" w:eastAsia="Arial" w:hAnsi="Arial"/>
                <w:sz w:val="13"/>
                <w:szCs w:val="13"/>
                <w:color w:val="333740"/>
                <w:vertAlign w:val="superscript"/>
              </w:rPr>
              <w:t>4</w:t>
            </w:r>
          </w:p>
        </w:tc>
        <w:tc>
          <w:tcPr>
            <w:tcW w:w="1040" w:type="dxa"/>
            <w:vAlign w:val="bottom"/>
            <w:tcBorders>
              <w:top w:val="single" w:sz="8" w:color="A3A7A9"/>
              <w:bottom w:val="single" w:sz="8" w:color="D7D8D6"/>
            </w:tcBorders>
            <w:shd w:val="clear" w:color="auto" w:fill="D7D8D6"/>
          </w:tcPr>
          <w:p>
            <w:pPr>
              <w:spacing w:after="0"/>
              <w:rPr>
                <w:sz w:val="19"/>
                <w:szCs w:val="19"/>
                <w:color w:val="auto"/>
              </w:rPr>
            </w:pPr>
          </w:p>
        </w:tc>
        <w:tc>
          <w:tcPr>
            <w:tcW w:w="1060" w:type="dxa"/>
            <w:vAlign w:val="bottom"/>
            <w:tcBorders>
              <w:top w:val="single" w:sz="8" w:color="A3A7A9"/>
              <w:bottom w:val="single" w:sz="8" w:color="D7D8D6"/>
            </w:tcBorders>
            <w:shd w:val="clear" w:color="auto" w:fill="D7D8D6"/>
          </w:tcPr>
          <w:p>
            <w:pPr>
              <w:jc w:val="right"/>
              <w:ind w:right="232"/>
              <w:spacing w:after="0"/>
              <w:rPr>
                <w:sz w:val="20"/>
                <w:szCs w:val="20"/>
                <w:color w:val="auto"/>
              </w:rPr>
            </w:pPr>
            <w:r>
              <w:rPr>
                <w:rFonts w:ascii="Arial" w:cs="Arial" w:eastAsia="Arial" w:hAnsi="Arial"/>
                <w:sz w:val="10"/>
                <w:szCs w:val="10"/>
                <w:color w:val="333740"/>
              </w:rPr>
              <w:t>$30.30</w:t>
            </w:r>
          </w:p>
        </w:tc>
        <w:tc>
          <w:tcPr>
            <w:tcW w:w="900" w:type="dxa"/>
            <w:vAlign w:val="bottom"/>
            <w:tcBorders>
              <w:top w:val="single" w:sz="8" w:color="A3A7A9"/>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2/26/2028</w:t>
            </w:r>
          </w:p>
        </w:tc>
        <w:tc>
          <w:tcPr>
            <w:tcW w:w="940" w:type="dxa"/>
            <w:vAlign w:val="bottom"/>
            <w:tcBorders>
              <w:top w:val="single" w:sz="8" w:color="A3A7A9"/>
              <w:bottom w:val="single" w:sz="8" w:color="D7D8D6"/>
            </w:tcBorders>
            <w:shd w:val="clear" w:color="auto" w:fill="D7D8D6"/>
          </w:tcPr>
          <w:p>
            <w:pPr>
              <w:jc w:val="right"/>
              <w:ind w:right="152"/>
              <w:spacing w:after="0"/>
              <w:rPr>
                <w:sz w:val="20"/>
                <w:szCs w:val="20"/>
                <w:color w:val="auto"/>
              </w:rPr>
            </w:pPr>
            <w:r>
              <w:rPr>
                <w:rFonts w:ascii="Arial" w:cs="Arial" w:eastAsia="Arial" w:hAnsi="Arial"/>
                <w:sz w:val="10"/>
                <w:szCs w:val="10"/>
                <w:color w:val="333740"/>
              </w:rPr>
              <w:t>20,462</w:t>
            </w:r>
            <w:r>
              <w:rPr>
                <w:rFonts w:ascii="Arial" w:cs="Arial" w:eastAsia="Arial" w:hAnsi="Arial"/>
                <w:sz w:val="13"/>
                <w:szCs w:val="13"/>
                <w:color w:val="333740"/>
                <w:vertAlign w:val="superscript"/>
              </w:rPr>
              <w:t>4</w:t>
            </w:r>
          </w:p>
        </w:tc>
        <w:tc>
          <w:tcPr>
            <w:tcW w:w="960" w:type="dxa"/>
            <w:vAlign w:val="bottom"/>
            <w:tcBorders>
              <w:top w:val="single" w:sz="8" w:color="A3A7A9"/>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438,705</w:t>
            </w:r>
          </w:p>
        </w:tc>
        <w:tc>
          <w:tcPr>
            <w:tcW w:w="980" w:type="dxa"/>
            <w:vAlign w:val="bottom"/>
            <w:tcBorders>
              <w:top w:val="single" w:sz="8" w:color="A3A7A9"/>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61,386</w:t>
            </w:r>
            <w:r>
              <w:rPr>
                <w:rFonts w:ascii="Arial" w:cs="Arial" w:eastAsia="Arial" w:hAnsi="Arial"/>
                <w:sz w:val="13"/>
                <w:szCs w:val="13"/>
                <w:color w:val="333740"/>
                <w:vertAlign w:val="superscript"/>
              </w:rPr>
              <w:t>5</w:t>
            </w:r>
          </w:p>
        </w:tc>
        <w:tc>
          <w:tcPr>
            <w:tcW w:w="820" w:type="dxa"/>
            <w:vAlign w:val="bottom"/>
            <w:tcBorders>
              <w:top w:val="single" w:sz="8" w:color="A3A7A9"/>
              <w:bottom w:val="single" w:sz="8" w:color="D7D8D6"/>
            </w:tcBorders>
            <w:shd w:val="clear" w:color="auto" w:fill="D7D8D6"/>
          </w:tcPr>
          <w:p>
            <w:pPr>
              <w:jc w:val="right"/>
              <w:spacing w:after="0"/>
              <w:rPr>
                <w:sz w:val="20"/>
                <w:szCs w:val="20"/>
                <w:color w:val="auto"/>
              </w:rPr>
            </w:pPr>
            <w:r>
              <w:rPr>
                <w:rFonts w:ascii="Arial" w:cs="Arial" w:eastAsia="Arial" w:hAnsi="Arial"/>
                <w:sz w:val="10"/>
                <w:szCs w:val="10"/>
                <w:color w:val="333740"/>
              </w:rPr>
              <w:t>1,316,116</w:t>
            </w:r>
          </w:p>
        </w:tc>
        <w:tc>
          <w:tcPr>
            <w:tcW w:w="0" w:type="dxa"/>
            <w:vAlign w:val="bottom"/>
          </w:tcPr>
          <w:p>
            <w:pPr>
              <w:spacing w:after="0"/>
              <w:rPr>
                <w:sz w:val="1"/>
                <w:szCs w:val="1"/>
                <w:color w:val="auto"/>
              </w:rPr>
            </w:pPr>
          </w:p>
        </w:tc>
      </w:tr>
      <w:tr>
        <w:trPr>
          <w:trHeight w:val="195"/>
        </w:trPr>
        <w:tc>
          <w:tcPr>
            <w:tcW w:w="1240" w:type="dxa"/>
            <w:vAlign w:val="bottom"/>
            <w:tcBorders>
              <w:top w:val="single" w:sz="8" w:color="D7D8D6"/>
              <w:bottom w:val="single" w:sz="8" w:color="D7D8D6"/>
            </w:tcBorders>
            <w:shd w:val="clear" w:color="auto" w:fill="D7D8D6"/>
          </w:tcPr>
          <w:p>
            <w:pPr>
              <w:spacing w:after="0"/>
              <w:rPr>
                <w:sz w:val="16"/>
                <w:szCs w:val="16"/>
                <w:color w:val="auto"/>
              </w:rPr>
            </w:pPr>
          </w:p>
        </w:tc>
        <w:tc>
          <w:tcPr>
            <w:tcW w:w="1040" w:type="dxa"/>
            <w:vAlign w:val="bottom"/>
            <w:tcBorders>
              <w:top w:val="single" w:sz="8" w:color="A3A7A9"/>
              <w:bottom w:val="single" w:sz="8" w:color="D7D8D6"/>
            </w:tcBorders>
            <w:shd w:val="clear" w:color="auto" w:fill="D7D8D6"/>
          </w:tcPr>
          <w:p>
            <w:pPr>
              <w:jc w:val="right"/>
              <w:spacing w:after="0"/>
              <w:rPr>
                <w:sz w:val="20"/>
                <w:szCs w:val="20"/>
                <w:color w:val="auto"/>
              </w:rPr>
            </w:pPr>
            <w:r>
              <w:rPr>
                <w:rFonts w:ascii="Arial" w:cs="Arial" w:eastAsia="Arial" w:hAnsi="Arial"/>
                <w:sz w:val="10"/>
                <w:szCs w:val="10"/>
                <w:color w:val="333740"/>
              </w:rPr>
              <w:t>3/8/2019</w:t>
            </w:r>
          </w:p>
        </w:tc>
        <w:tc>
          <w:tcPr>
            <w:tcW w:w="1140" w:type="dxa"/>
            <w:vAlign w:val="bottom"/>
            <w:tcBorders>
              <w:top w:val="single" w:sz="8" w:color="A3A7A9"/>
              <w:bottom w:val="single" w:sz="8" w:color="D7D8D6"/>
            </w:tcBorders>
            <w:shd w:val="clear" w:color="auto" w:fill="D7D8D6"/>
          </w:tcPr>
          <w:p>
            <w:pPr>
              <w:spacing w:after="0"/>
              <w:rPr>
                <w:sz w:val="16"/>
                <w:szCs w:val="16"/>
                <w:color w:val="auto"/>
              </w:rPr>
            </w:pPr>
          </w:p>
        </w:tc>
        <w:tc>
          <w:tcPr>
            <w:tcW w:w="1140" w:type="dxa"/>
            <w:vAlign w:val="bottom"/>
            <w:tcBorders>
              <w:top w:val="single" w:sz="8" w:color="A3A7A9"/>
              <w:bottom w:val="single" w:sz="8" w:color="D7D8D6"/>
            </w:tcBorders>
            <w:shd w:val="clear" w:color="auto" w:fill="D7D8D6"/>
          </w:tcPr>
          <w:p>
            <w:pPr>
              <w:jc w:val="right"/>
              <w:ind w:right="172"/>
              <w:spacing w:after="0"/>
              <w:rPr>
                <w:sz w:val="20"/>
                <w:szCs w:val="20"/>
                <w:color w:val="auto"/>
              </w:rPr>
            </w:pPr>
            <w:r>
              <w:rPr>
                <w:rFonts w:ascii="Arial" w:cs="Arial" w:eastAsia="Arial" w:hAnsi="Arial"/>
                <w:sz w:val="10"/>
                <w:szCs w:val="10"/>
                <w:color w:val="333740"/>
              </w:rPr>
              <w:t>109,851</w:t>
            </w:r>
            <w:r>
              <w:rPr>
                <w:rFonts w:ascii="Arial" w:cs="Arial" w:eastAsia="Arial" w:hAnsi="Arial"/>
                <w:sz w:val="13"/>
                <w:szCs w:val="13"/>
                <w:color w:val="333740"/>
                <w:vertAlign w:val="superscript"/>
              </w:rPr>
              <w:t>6</w:t>
            </w:r>
          </w:p>
        </w:tc>
        <w:tc>
          <w:tcPr>
            <w:tcW w:w="1040" w:type="dxa"/>
            <w:vAlign w:val="bottom"/>
            <w:tcBorders>
              <w:top w:val="single" w:sz="8" w:color="A3A7A9"/>
              <w:bottom w:val="single" w:sz="8" w:color="D7D8D6"/>
            </w:tcBorders>
            <w:shd w:val="clear" w:color="auto" w:fill="D7D8D6"/>
          </w:tcPr>
          <w:p>
            <w:pPr>
              <w:spacing w:after="0"/>
              <w:rPr>
                <w:sz w:val="16"/>
                <w:szCs w:val="16"/>
                <w:color w:val="auto"/>
              </w:rPr>
            </w:pPr>
          </w:p>
        </w:tc>
        <w:tc>
          <w:tcPr>
            <w:tcW w:w="1060" w:type="dxa"/>
            <w:vAlign w:val="bottom"/>
            <w:tcBorders>
              <w:top w:val="single" w:sz="8" w:color="A3A7A9"/>
              <w:bottom w:val="single" w:sz="8" w:color="D7D8D6"/>
            </w:tcBorders>
            <w:shd w:val="clear" w:color="auto" w:fill="D7D8D6"/>
          </w:tcPr>
          <w:p>
            <w:pPr>
              <w:jc w:val="right"/>
              <w:ind w:right="232"/>
              <w:spacing w:after="0"/>
              <w:rPr>
                <w:sz w:val="20"/>
                <w:szCs w:val="20"/>
                <w:color w:val="auto"/>
              </w:rPr>
            </w:pPr>
            <w:r>
              <w:rPr>
                <w:rFonts w:ascii="Arial" w:cs="Arial" w:eastAsia="Arial" w:hAnsi="Arial"/>
                <w:sz w:val="10"/>
                <w:szCs w:val="10"/>
                <w:color w:val="333740"/>
              </w:rPr>
              <w:t>$20.98</w:t>
            </w:r>
          </w:p>
        </w:tc>
        <w:tc>
          <w:tcPr>
            <w:tcW w:w="900" w:type="dxa"/>
            <w:vAlign w:val="bottom"/>
            <w:tcBorders>
              <w:top w:val="single" w:sz="8" w:color="A3A7A9"/>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3/8/2029</w:t>
            </w:r>
          </w:p>
        </w:tc>
        <w:tc>
          <w:tcPr>
            <w:tcW w:w="940" w:type="dxa"/>
            <w:vAlign w:val="bottom"/>
            <w:tcBorders>
              <w:top w:val="single" w:sz="8" w:color="A3A7A9"/>
              <w:bottom w:val="single" w:sz="8" w:color="D7D8D6"/>
            </w:tcBorders>
            <w:shd w:val="clear" w:color="auto" w:fill="D7D8D6"/>
          </w:tcPr>
          <w:p>
            <w:pPr>
              <w:jc w:val="right"/>
              <w:ind w:right="152"/>
              <w:spacing w:after="0"/>
              <w:rPr>
                <w:sz w:val="20"/>
                <w:szCs w:val="20"/>
                <w:color w:val="auto"/>
              </w:rPr>
            </w:pPr>
            <w:r>
              <w:rPr>
                <w:rFonts w:ascii="Arial" w:cs="Arial" w:eastAsia="Arial" w:hAnsi="Arial"/>
                <w:sz w:val="10"/>
                <w:szCs w:val="10"/>
                <w:color w:val="333740"/>
              </w:rPr>
              <w:t>29,551</w:t>
            </w:r>
            <w:r>
              <w:rPr>
                <w:rFonts w:ascii="Arial" w:cs="Arial" w:eastAsia="Arial" w:hAnsi="Arial"/>
                <w:sz w:val="13"/>
                <w:szCs w:val="13"/>
                <w:color w:val="333740"/>
                <w:vertAlign w:val="superscript"/>
              </w:rPr>
              <w:t>6</w:t>
            </w:r>
          </w:p>
        </w:tc>
        <w:tc>
          <w:tcPr>
            <w:tcW w:w="960" w:type="dxa"/>
            <w:vAlign w:val="bottom"/>
            <w:tcBorders>
              <w:top w:val="single" w:sz="8" w:color="A3A7A9"/>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633,573</w:t>
            </w:r>
          </w:p>
        </w:tc>
        <w:tc>
          <w:tcPr>
            <w:tcW w:w="980" w:type="dxa"/>
            <w:vAlign w:val="bottom"/>
            <w:tcBorders>
              <w:top w:val="single" w:sz="8" w:color="A3A7A9"/>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88,655</w:t>
            </w:r>
            <w:r>
              <w:rPr>
                <w:rFonts w:ascii="Arial" w:cs="Arial" w:eastAsia="Arial" w:hAnsi="Arial"/>
                <w:sz w:val="13"/>
                <w:szCs w:val="13"/>
                <w:color w:val="333740"/>
                <w:vertAlign w:val="superscript"/>
              </w:rPr>
              <w:t>7</w:t>
            </w:r>
          </w:p>
        </w:tc>
        <w:tc>
          <w:tcPr>
            <w:tcW w:w="820" w:type="dxa"/>
            <w:vAlign w:val="bottom"/>
            <w:tcBorders>
              <w:top w:val="single" w:sz="8" w:color="A3A7A9"/>
              <w:bottom w:val="single" w:sz="8" w:color="D7D8D6"/>
            </w:tcBorders>
            <w:shd w:val="clear" w:color="auto" w:fill="D7D8D6"/>
          </w:tcPr>
          <w:p>
            <w:pPr>
              <w:jc w:val="right"/>
              <w:spacing w:after="0"/>
              <w:rPr>
                <w:sz w:val="20"/>
                <w:szCs w:val="20"/>
                <w:color w:val="auto"/>
              </w:rPr>
            </w:pPr>
            <w:r>
              <w:rPr>
                <w:rFonts w:ascii="Arial" w:cs="Arial" w:eastAsia="Arial" w:hAnsi="Arial"/>
                <w:sz w:val="10"/>
                <w:szCs w:val="10"/>
                <w:color w:val="333740"/>
              </w:rPr>
              <w:t>1,900,763</w:t>
            </w: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rPr>
                <w:sz w:val="20"/>
                <w:szCs w:val="20"/>
                <w:color w:val="auto"/>
              </w:rPr>
            </w:pPr>
            <w:r>
              <w:rPr>
                <w:rFonts w:ascii="Arial" w:cs="Arial" w:eastAsia="Arial" w:hAnsi="Arial"/>
                <w:sz w:val="10"/>
                <w:szCs w:val="10"/>
                <w:b w:val="1"/>
                <w:bCs w:val="1"/>
                <w:color w:val="333740"/>
              </w:rPr>
              <w:t>Dianne B. Ralston</w:t>
            </w:r>
          </w:p>
        </w:tc>
        <w:tc>
          <w:tcPr>
            <w:tcW w:w="1040" w:type="dxa"/>
            <w:vAlign w:val="bottom"/>
          </w:tcPr>
          <w:p>
            <w:pPr>
              <w:jc w:val="right"/>
              <w:spacing w:after="0"/>
              <w:rPr>
                <w:sz w:val="20"/>
                <w:szCs w:val="20"/>
                <w:color w:val="auto"/>
              </w:rPr>
            </w:pPr>
            <w:r>
              <w:rPr>
                <w:rFonts w:ascii="Arial" w:cs="Arial" w:eastAsia="Arial" w:hAnsi="Arial"/>
                <w:sz w:val="10"/>
                <w:szCs w:val="10"/>
                <w:color w:val="333740"/>
              </w:rPr>
              <w:t>2/28/2017</w:t>
            </w:r>
          </w:p>
        </w:tc>
        <w:tc>
          <w:tcPr>
            <w:tcW w:w="1140" w:type="dxa"/>
            <w:vAlign w:val="bottom"/>
          </w:tcPr>
          <w:p>
            <w:pPr>
              <w:spacing w:after="0"/>
              <w:rPr>
                <w:sz w:val="16"/>
                <w:szCs w:val="16"/>
                <w:color w:val="auto"/>
              </w:rPr>
            </w:pPr>
          </w:p>
        </w:tc>
        <w:tc>
          <w:tcPr>
            <w:tcW w:w="1140" w:type="dxa"/>
            <w:vAlign w:val="bottom"/>
          </w:tcPr>
          <w:p>
            <w:pPr>
              <w:jc w:val="right"/>
              <w:ind w:right="172"/>
              <w:spacing w:after="0"/>
              <w:rPr>
                <w:sz w:val="20"/>
                <w:szCs w:val="20"/>
                <w:color w:val="auto"/>
              </w:rPr>
            </w:pPr>
            <w:r>
              <w:rPr>
                <w:rFonts w:ascii="Arial" w:cs="Arial" w:eastAsia="Arial" w:hAnsi="Arial"/>
                <w:sz w:val="10"/>
                <w:szCs w:val="10"/>
                <w:color w:val="333740"/>
              </w:rPr>
              <w:t>44,810</w:t>
            </w:r>
            <w:r>
              <w:rPr>
                <w:rFonts w:ascii="Arial" w:cs="Arial" w:eastAsia="Arial" w:hAnsi="Arial"/>
                <w:sz w:val="13"/>
                <w:szCs w:val="13"/>
                <w:color w:val="333740"/>
                <w:vertAlign w:val="superscript"/>
              </w:rPr>
              <w:t>2</w:t>
            </w:r>
          </w:p>
        </w:tc>
        <w:tc>
          <w:tcPr>
            <w:tcW w:w="1040" w:type="dxa"/>
            <w:vAlign w:val="bottom"/>
          </w:tcPr>
          <w:p>
            <w:pPr>
              <w:spacing w:after="0"/>
              <w:rPr>
                <w:sz w:val="16"/>
                <w:szCs w:val="16"/>
                <w:color w:val="auto"/>
              </w:rPr>
            </w:pPr>
          </w:p>
        </w:tc>
        <w:tc>
          <w:tcPr>
            <w:tcW w:w="1060" w:type="dxa"/>
            <w:vAlign w:val="bottom"/>
          </w:tcPr>
          <w:p>
            <w:pPr>
              <w:jc w:val="right"/>
              <w:ind w:right="232"/>
              <w:spacing w:after="0"/>
              <w:rPr>
                <w:sz w:val="20"/>
                <w:szCs w:val="20"/>
                <w:color w:val="auto"/>
              </w:rPr>
            </w:pPr>
            <w:r>
              <w:rPr>
                <w:rFonts w:ascii="Arial" w:cs="Arial" w:eastAsia="Arial" w:hAnsi="Arial"/>
                <w:sz w:val="10"/>
                <w:szCs w:val="10"/>
                <w:color w:val="333740"/>
              </w:rPr>
              <w:t>$32.32</w:t>
            </w:r>
          </w:p>
        </w:tc>
        <w:tc>
          <w:tcPr>
            <w:tcW w:w="900" w:type="dxa"/>
            <w:vAlign w:val="bottom"/>
          </w:tcPr>
          <w:p>
            <w:pPr>
              <w:jc w:val="right"/>
              <w:ind w:right="112"/>
              <w:spacing w:after="0"/>
              <w:rPr>
                <w:sz w:val="20"/>
                <w:szCs w:val="20"/>
                <w:color w:val="auto"/>
              </w:rPr>
            </w:pPr>
            <w:r>
              <w:rPr>
                <w:rFonts w:ascii="Arial" w:cs="Arial" w:eastAsia="Arial" w:hAnsi="Arial"/>
                <w:sz w:val="10"/>
                <w:szCs w:val="10"/>
                <w:color w:val="333740"/>
              </w:rPr>
              <w:t>2/28/2027</w:t>
            </w:r>
          </w:p>
        </w:tc>
        <w:tc>
          <w:tcPr>
            <w:tcW w:w="940" w:type="dxa"/>
            <w:vAlign w:val="bottom"/>
          </w:tcPr>
          <w:p>
            <w:pPr>
              <w:jc w:val="right"/>
              <w:ind w:right="152"/>
              <w:spacing w:after="0"/>
              <w:rPr>
                <w:sz w:val="20"/>
                <w:szCs w:val="20"/>
                <w:color w:val="auto"/>
              </w:rPr>
            </w:pPr>
            <w:r>
              <w:rPr>
                <w:rFonts w:ascii="Arial" w:cs="Arial" w:eastAsia="Arial" w:hAnsi="Arial"/>
                <w:sz w:val="10"/>
                <w:szCs w:val="10"/>
                <w:color w:val="333740"/>
              </w:rPr>
              <w:t>12,995</w:t>
            </w:r>
            <w:r>
              <w:rPr>
                <w:rFonts w:ascii="Arial" w:cs="Arial" w:eastAsia="Arial" w:hAnsi="Arial"/>
                <w:sz w:val="13"/>
                <w:szCs w:val="13"/>
                <w:color w:val="333740"/>
                <w:vertAlign w:val="superscript"/>
              </w:rPr>
              <w:t>2</w:t>
            </w:r>
          </w:p>
        </w:tc>
        <w:tc>
          <w:tcPr>
            <w:tcW w:w="960" w:type="dxa"/>
            <w:vAlign w:val="bottom"/>
          </w:tcPr>
          <w:p>
            <w:pPr>
              <w:jc w:val="right"/>
              <w:ind w:right="112"/>
              <w:spacing w:after="0"/>
              <w:rPr>
                <w:sz w:val="20"/>
                <w:szCs w:val="20"/>
                <w:color w:val="auto"/>
              </w:rPr>
            </w:pPr>
            <w:r>
              <w:rPr>
                <w:rFonts w:ascii="Arial" w:cs="Arial" w:eastAsia="Arial" w:hAnsi="Arial"/>
                <w:sz w:val="10"/>
                <w:szCs w:val="10"/>
                <w:color w:val="333740"/>
              </w:rPr>
              <w:t>278,613</w:t>
            </w:r>
          </w:p>
        </w:tc>
        <w:tc>
          <w:tcPr>
            <w:tcW w:w="980" w:type="dxa"/>
            <w:vAlign w:val="bottom"/>
          </w:tcPr>
          <w:p>
            <w:pPr>
              <w:jc w:val="right"/>
              <w:ind w:right="112"/>
              <w:spacing w:after="0"/>
              <w:rPr>
                <w:sz w:val="20"/>
                <w:szCs w:val="20"/>
                <w:color w:val="auto"/>
              </w:rPr>
            </w:pPr>
            <w:r>
              <w:rPr>
                <w:rFonts w:ascii="Arial" w:cs="Arial" w:eastAsia="Arial" w:hAnsi="Arial"/>
                <w:sz w:val="10"/>
                <w:szCs w:val="10"/>
                <w:color w:val="333740"/>
              </w:rPr>
              <w:t>38,985</w:t>
            </w:r>
            <w:r>
              <w:rPr>
                <w:rFonts w:ascii="Arial" w:cs="Arial" w:eastAsia="Arial" w:hAnsi="Arial"/>
                <w:sz w:val="13"/>
                <w:szCs w:val="13"/>
                <w:color w:val="333740"/>
                <w:vertAlign w:val="superscript"/>
              </w:rPr>
              <w:t>3</w:t>
            </w:r>
          </w:p>
        </w:tc>
        <w:tc>
          <w:tcPr>
            <w:tcW w:w="820" w:type="dxa"/>
            <w:vAlign w:val="bottom"/>
          </w:tcPr>
          <w:p>
            <w:pPr>
              <w:jc w:val="right"/>
              <w:spacing w:after="0"/>
              <w:rPr>
                <w:sz w:val="20"/>
                <w:szCs w:val="20"/>
                <w:color w:val="auto"/>
              </w:rPr>
            </w:pPr>
            <w:r>
              <w:rPr>
                <w:rFonts w:ascii="Arial" w:cs="Arial" w:eastAsia="Arial" w:hAnsi="Arial"/>
                <w:sz w:val="10"/>
                <w:szCs w:val="10"/>
                <w:color w:val="333740"/>
              </w:rPr>
              <w:t>835,838</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040" w:type="dxa"/>
            <w:vAlign w:val="bottom"/>
            <w:tcBorders>
              <w:bottom w:val="single" w:sz="8" w:color="D7D8D6"/>
            </w:tcBorders>
          </w:tcPr>
          <w:p>
            <w:pPr>
              <w:spacing w:after="0"/>
              <w:rPr>
                <w:sz w:val="2"/>
                <w:szCs w:val="2"/>
                <w:color w:val="auto"/>
              </w:rPr>
            </w:pPr>
          </w:p>
        </w:tc>
        <w:tc>
          <w:tcPr>
            <w:tcW w:w="1060" w:type="dxa"/>
            <w:vAlign w:val="bottom"/>
            <w:tcBorders>
              <w:bottom w:val="single" w:sz="8" w:color="D7D8D6"/>
            </w:tcBorders>
          </w:tcPr>
          <w:p>
            <w:pPr>
              <w:spacing w:after="0"/>
              <w:rPr>
                <w:sz w:val="2"/>
                <w:szCs w:val="2"/>
                <w:color w:val="auto"/>
              </w:rPr>
            </w:pPr>
          </w:p>
        </w:tc>
        <w:tc>
          <w:tcPr>
            <w:tcW w:w="900" w:type="dxa"/>
            <w:vAlign w:val="bottom"/>
            <w:tcBorders>
              <w:bottom w:val="single" w:sz="8" w:color="D7D8D6"/>
            </w:tcBorders>
          </w:tcPr>
          <w:p>
            <w:pPr>
              <w:spacing w:after="0"/>
              <w:rPr>
                <w:sz w:val="2"/>
                <w:szCs w:val="2"/>
                <w:color w:val="auto"/>
              </w:rPr>
            </w:pPr>
          </w:p>
        </w:tc>
        <w:tc>
          <w:tcPr>
            <w:tcW w:w="940" w:type="dxa"/>
            <w:vAlign w:val="bottom"/>
            <w:tcBorders>
              <w:bottom w:val="single" w:sz="8" w:color="D7D8D6"/>
            </w:tcBorders>
          </w:tcPr>
          <w:p>
            <w:pPr>
              <w:spacing w:after="0"/>
              <w:rPr>
                <w:sz w:val="2"/>
                <w:szCs w:val="2"/>
                <w:color w:val="auto"/>
              </w:rPr>
            </w:pPr>
          </w:p>
        </w:tc>
        <w:tc>
          <w:tcPr>
            <w:tcW w:w="960" w:type="dxa"/>
            <w:vAlign w:val="bottom"/>
            <w:tcBorders>
              <w:bottom w:val="single" w:sz="8" w:color="D7D8D6"/>
            </w:tcBorders>
          </w:tcPr>
          <w:p>
            <w:pPr>
              <w:spacing w:after="0"/>
              <w:rPr>
                <w:sz w:val="2"/>
                <w:szCs w:val="2"/>
                <w:color w:val="auto"/>
              </w:rPr>
            </w:pPr>
          </w:p>
        </w:tc>
        <w:tc>
          <w:tcPr>
            <w:tcW w:w="980" w:type="dxa"/>
            <w:vAlign w:val="bottom"/>
            <w:tcBorders>
              <w:bottom w:val="single" w:sz="8" w:color="D7D8D6"/>
            </w:tcBorders>
          </w:tcPr>
          <w:p>
            <w:pPr>
              <w:spacing w:after="0"/>
              <w:rPr>
                <w:sz w:val="2"/>
                <w:szCs w:val="2"/>
                <w:color w:val="auto"/>
              </w:rPr>
            </w:pPr>
          </w:p>
        </w:tc>
        <w:tc>
          <w:tcPr>
            <w:tcW w:w="820" w:type="dxa"/>
            <w:vAlign w:val="bottom"/>
            <w:tcBorders>
              <w:bottom w:val="single" w:sz="8" w:color="D7D8D6"/>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333740"/>
              </w:rPr>
              <w:t>2/26/2018</w:t>
            </w:r>
          </w:p>
        </w:tc>
        <w:tc>
          <w:tcPr>
            <w:tcW w:w="1140" w:type="dxa"/>
            <w:vAlign w:val="bottom"/>
          </w:tcPr>
          <w:p>
            <w:pPr>
              <w:spacing w:after="0"/>
              <w:rPr>
                <w:sz w:val="16"/>
                <w:szCs w:val="16"/>
                <w:color w:val="auto"/>
              </w:rPr>
            </w:pPr>
          </w:p>
        </w:tc>
        <w:tc>
          <w:tcPr>
            <w:tcW w:w="1140" w:type="dxa"/>
            <w:vAlign w:val="bottom"/>
          </w:tcPr>
          <w:p>
            <w:pPr>
              <w:jc w:val="right"/>
              <w:ind w:right="172"/>
              <w:spacing w:after="0"/>
              <w:rPr>
                <w:sz w:val="20"/>
                <w:szCs w:val="20"/>
                <w:color w:val="auto"/>
              </w:rPr>
            </w:pPr>
            <w:r>
              <w:rPr>
                <w:rFonts w:ascii="Arial" w:cs="Arial" w:eastAsia="Arial" w:hAnsi="Arial"/>
                <w:sz w:val="10"/>
                <w:szCs w:val="10"/>
                <w:color w:val="333740"/>
              </w:rPr>
              <w:t>46,589</w:t>
            </w:r>
            <w:r>
              <w:rPr>
                <w:rFonts w:ascii="Arial" w:cs="Arial" w:eastAsia="Arial" w:hAnsi="Arial"/>
                <w:sz w:val="13"/>
                <w:szCs w:val="13"/>
                <w:color w:val="333740"/>
                <w:vertAlign w:val="superscript"/>
              </w:rPr>
              <w:t>4</w:t>
            </w:r>
          </w:p>
        </w:tc>
        <w:tc>
          <w:tcPr>
            <w:tcW w:w="1040" w:type="dxa"/>
            <w:vAlign w:val="bottom"/>
          </w:tcPr>
          <w:p>
            <w:pPr>
              <w:spacing w:after="0"/>
              <w:rPr>
                <w:sz w:val="16"/>
                <w:szCs w:val="16"/>
                <w:color w:val="auto"/>
              </w:rPr>
            </w:pPr>
          </w:p>
        </w:tc>
        <w:tc>
          <w:tcPr>
            <w:tcW w:w="1060" w:type="dxa"/>
            <w:vAlign w:val="bottom"/>
          </w:tcPr>
          <w:p>
            <w:pPr>
              <w:jc w:val="right"/>
              <w:ind w:right="232"/>
              <w:spacing w:after="0"/>
              <w:rPr>
                <w:sz w:val="20"/>
                <w:szCs w:val="20"/>
                <w:color w:val="auto"/>
              </w:rPr>
            </w:pPr>
            <w:r>
              <w:rPr>
                <w:rFonts w:ascii="Arial" w:cs="Arial" w:eastAsia="Arial" w:hAnsi="Arial"/>
                <w:sz w:val="10"/>
                <w:szCs w:val="10"/>
                <w:color w:val="333740"/>
              </w:rPr>
              <w:t>$30.30</w:t>
            </w:r>
          </w:p>
        </w:tc>
        <w:tc>
          <w:tcPr>
            <w:tcW w:w="900" w:type="dxa"/>
            <w:vAlign w:val="bottom"/>
          </w:tcPr>
          <w:p>
            <w:pPr>
              <w:jc w:val="right"/>
              <w:ind w:right="112"/>
              <w:spacing w:after="0"/>
              <w:rPr>
                <w:sz w:val="20"/>
                <w:szCs w:val="20"/>
                <w:color w:val="auto"/>
              </w:rPr>
            </w:pPr>
            <w:r>
              <w:rPr>
                <w:rFonts w:ascii="Arial" w:cs="Arial" w:eastAsia="Arial" w:hAnsi="Arial"/>
                <w:sz w:val="10"/>
                <w:szCs w:val="10"/>
                <w:color w:val="333740"/>
              </w:rPr>
              <w:t>2/26/2028</w:t>
            </w:r>
          </w:p>
        </w:tc>
        <w:tc>
          <w:tcPr>
            <w:tcW w:w="940" w:type="dxa"/>
            <w:vAlign w:val="bottom"/>
          </w:tcPr>
          <w:p>
            <w:pPr>
              <w:jc w:val="right"/>
              <w:ind w:right="152"/>
              <w:spacing w:after="0"/>
              <w:rPr>
                <w:sz w:val="20"/>
                <w:szCs w:val="20"/>
                <w:color w:val="auto"/>
              </w:rPr>
            </w:pPr>
            <w:r>
              <w:rPr>
                <w:rFonts w:ascii="Arial" w:cs="Arial" w:eastAsia="Arial" w:hAnsi="Arial"/>
                <w:sz w:val="10"/>
                <w:szCs w:val="10"/>
                <w:color w:val="333740"/>
              </w:rPr>
              <w:t>13,861</w:t>
            </w:r>
            <w:r>
              <w:rPr>
                <w:rFonts w:ascii="Arial" w:cs="Arial" w:eastAsia="Arial" w:hAnsi="Arial"/>
                <w:sz w:val="13"/>
                <w:szCs w:val="13"/>
                <w:color w:val="333740"/>
                <w:vertAlign w:val="superscript"/>
              </w:rPr>
              <w:t>4</w:t>
            </w:r>
          </w:p>
        </w:tc>
        <w:tc>
          <w:tcPr>
            <w:tcW w:w="960" w:type="dxa"/>
            <w:vAlign w:val="bottom"/>
          </w:tcPr>
          <w:p>
            <w:pPr>
              <w:jc w:val="right"/>
              <w:ind w:right="112"/>
              <w:spacing w:after="0"/>
              <w:rPr>
                <w:sz w:val="20"/>
                <w:szCs w:val="20"/>
                <w:color w:val="auto"/>
              </w:rPr>
            </w:pPr>
            <w:r>
              <w:rPr>
                <w:rFonts w:ascii="Arial" w:cs="Arial" w:eastAsia="Arial" w:hAnsi="Arial"/>
                <w:sz w:val="10"/>
                <w:szCs w:val="10"/>
                <w:color w:val="333740"/>
              </w:rPr>
              <w:t>297,180</w:t>
            </w:r>
          </w:p>
        </w:tc>
        <w:tc>
          <w:tcPr>
            <w:tcW w:w="980" w:type="dxa"/>
            <w:vAlign w:val="bottom"/>
          </w:tcPr>
          <w:p>
            <w:pPr>
              <w:jc w:val="right"/>
              <w:ind w:right="112"/>
              <w:spacing w:after="0"/>
              <w:rPr>
                <w:sz w:val="20"/>
                <w:szCs w:val="20"/>
                <w:color w:val="auto"/>
              </w:rPr>
            </w:pPr>
            <w:r>
              <w:rPr>
                <w:rFonts w:ascii="Arial" w:cs="Arial" w:eastAsia="Arial" w:hAnsi="Arial"/>
                <w:sz w:val="10"/>
                <w:szCs w:val="10"/>
                <w:color w:val="333740"/>
              </w:rPr>
              <w:t>41,584</w:t>
            </w:r>
            <w:r>
              <w:rPr>
                <w:rFonts w:ascii="Arial" w:cs="Arial" w:eastAsia="Arial" w:hAnsi="Arial"/>
                <w:sz w:val="13"/>
                <w:szCs w:val="13"/>
                <w:color w:val="333740"/>
                <w:vertAlign w:val="superscript"/>
              </w:rPr>
              <w:t>5</w:t>
            </w:r>
          </w:p>
        </w:tc>
        <w:tc>
          <w:tcPr>
            <w:tcW w:w="820" w:type="dxa"/>
            <w:vAlign w:val="bottom"/>
          </w:tcPr>
          <w:p>
            <w:pPr>
              <w:jc w:val="right"/>
              <w:spacing w:after="0"/>
              <w:rPr>
                <w:sz w:val="20"/>
                <w:szCs w:val="20"/>
                <w:color w:val="auto"/>
              </w:rPr>
            </w:pPr>
            <w:r>
              <w:rPr>
                <w:rFonts w:ascii="Arial" w:cs="Arial" w:eastAsia="Arial" w:hAnsi="Arial"/>
                <w:sz w:val="10"/>
                <w:szCs w:val="10"/>
                <w:color w:val="333740"/>
              </w:rPr>
              <w:t>891,561</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040" w:type="dxa"/>
            <w:vAlign w:val="bottom"/>
            <w:tcBorders>
              <w:bottom w:val="single" w:sz="8" w:color="D7D8D6"/>
            </w:tcBorders>
          </w:tcPr>
          <w:p>
            <w:pPr>
              <w:spacing w:after="0"/>
              <w:rPr>
                <w:sz w:val="2"/>
                <w:szCs w:val="2"/>
                <w:color w:val="auto"/>
              </w:rPr>
            </w:pPr>
          </w:p>
        </w:tc>
        <w:tc>
          <w:tcPr>
            <w:tcW w:w="1060" w:type="dxa"/>
            <w:vAlign w:val="bottom"/>
            <w:tcBorders>
              <w:bottom w:val="single" w:sz="8" w:color="D7D8D6"/>
            </w:tcBorders>
          </w:tcPr>
          <w:p>
            <w:pPr>
              <w:spacing w:after="0"/>
              <w:rPr>
                <w:sz w:val="2"/>
                <w:szCs w:val="2"/>
                <w:color w:val="auto"/>
              </w:rPr>
            </w:pPr>
          </w:p>
        </w:tc>
        <w:tc>
          <w:tcPr>
            <w:tcW w:w="900" w:type="dxa"/>
            <w:vAlign w:val="bottom"/>
            <w:tcBorders>
              <w:bottom w:val="single" w:sz="8" w:color="D7D8D6"/>
            </w:tcBorders>
          </w:tcPr>
          <w:p>
            <w:pPr>
              <w:spacing w:after="0"/>
              <w:rPr>
                <w:sz w:val="2"/>
                <w:szCs w:val="2"/>
                <w:color w:val="auto"/>
              </w:rPr>
            </w:pPr>
          </w:p>
        </w:tc>
        <w:tc>
          <w:tcPr>
            <w:tcW w:w="940" w:type="dxa"/>
            <w:vAlign w:val="bottom"/>
            <w:tcBorders>
              <w:bottom w:val="single" w:sz="8" w:color="D7D8D6"/>
            </w:tcBorders>
          </w:tcPr>
          <w:p>
            <w:pPr>
              <w:spacing w:after="0"/>
              <w:rPr>
                <w:sz w:val="2"/>
                <w:szCs w:val="2"/>
                <w:color w:val="auto"/>
              </w:rPr>
            </w:pPr>
          </w:p>
        </w:tc>
        <w:tc>
          <w:tcPr>
            <w:tcW w:w="960" w:type="dxa"/>
            <w:vAlign w:val="bottom"/>
            <w:tcBorders>
              <w:bottom w:val="single" w:sz="8" w:color="D7D8D6"/>
            </w:tcBorders>
          </w:tcPr>
          <w:p>
            <w:pPr>
              <w:spacing w:after="0"/>
              <w:rPr>
                <w:sz w:val="2"/>
                <w:szCs w:val="2"/>
                <w:color w:val="auto"/>
              </w:rPr>
            </w:pPr>
          </w:p>
        </w:tc>
        <w:tc>
          <w:tcPr>
            <w:tcW w:w="980" w:type="dxa"/>
            <w:vAlign w:val="bottom"/>
            <w:tcBorders>
              <w:bottom w:val="single" w:sz="8" w:color="D7D8D6"/>
            </w:tcBorders>
          </w:tcPr>
          <w:p>
            <w:pPr>
              <w:spacing w:after="0"/>
              <w:rPr>
                <w:sz w:val="2"/>
                <w:szCs w:val="2"/>
                <w:color w:val="auto"/>
              </w:rPr>
            </w:pPr>
          </w:p>
        </w:tc>
        <w:tc>
          <w:tcPr>
            <w:tcW w:w="820" w:type="dxa"/>
            <w:vAlign w:val="bottom"/>
            <w:tcBorders>
              <w:bottom w:val="single" w:sz="8" w:color="D7D8D6"/>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333740"/>
              </w:rPr>
              <w:t>3/8/2019</w:t>
            </w:r>
          </w:p>
        </w:tc>
        <w:tc>
          <w:tcPr>
            <w:tcW w:w="1140" w:type="dxa"/>
            <w:vAlign w:val="bottom"/>
          </w:tcPr>
          <w:p>
            <w:pPr>
              <w:spacing w:after="0"/>
              <w:rPr>
                <w:sz w:val="16"/>
                <w:szCs w:val="16"/>
                <w:color w:val="auto"/>
              </w:rPr>
            </w:pPr>
          </w:p>
        </w:tc>
        <w:tc>
          <w:tcPr>
            <w:tcW w:w="1140" w:type="dxa"/>
            <w:vAlign w:val="bottom"/>
          </w:tcPr>
          <w:p>
            <w:pPr>
              <w:jc w:val="right"/>
              <w:ind w:right="172"/>
              <w:spacing w:after="0"/>
              <w:rPr>
                <w:sz w:val="20"/>
                <w:szCs w:val="20"/>
                <w:color w:val="auto"/>
              </w:rPr>
            </w:pPr>
            <w:r>
              <w:rPr>
                <w:rFonts w:ascii="Arial" w:cs="Arial" w:eastAsia="Arial" w:hAnsi="Arial"/>
                <w:sz w:val="10"/>
                <w:szCs w:val="10"/>
                <w:color w:val="333740"/>
              </w:rPr>
              <w:t>74,415</w:t>
            </w:r>
            <w:r>
              <w:rPr>
                <w:rFonts w:ascii="Arial" w:cs="Arial" w:eastAsia="Arial" w:hAnsi="Arial"/>
                <w:sz w:val="13"/>
                <w:szCs w:val="13"/>
                <w:color w:val="333740"/>
                <w:vertAlign w:val="superscript"/>
              </w:rPr>
              <w:t>6</w:t>
            </w:r>
          </w:p>
        </w:tc>
        <w:tc>
          <w:tcPr>
            <w:tcW w:w="1040" w:type="dxa"/>
            <w:vAlign w:val="bottom"/>
          </w:tcPr>
          <w:p>
            <w:pPr>
              <w:spacing w:after="0"/>
              <w:rPr>
                <w:sz w:val="16"/>
                <w:szCs w:val="16"/>
                <w:color w:val="auto"/>
              </w:rPr>
            </w:pPr>
          </w:p>
        </w:tc>
        <w:tc>
          <w:tcPr>
            <w:tcW w:w="1060" w:type="dxa"/>
            <w:vAlign w:val="bottom"/>
          </w:tcPr>
          <w:p>
            <w:pPr>
              <w:jc w:val="right"/>
              <w:ind w:right="232"/>
              <w:spacing w:after="0"/>
              <w:rPr>
                <w:sz w:val="20"/>
                <w:szCs w:val="20"/>
                <w:color w:val="auto"/>
              </w:rPr>
            </w:pPr>
            <w:r>
              <w:rPr>
                <w:rFonts w:ascii="Arial" w:cs="Arial" w:eastAsia="Arial" w:hAnsi="Arial"/>
                <w:sz w:val="10"/>
                <w:szCs w:val="10"/>
                <w:color w:val="333740"/>
              </w:rPr>
              <w:t>$20.98</w:t>
            </w:r>
          </w:p>
        </w:tc>
        <w:tc>
          <w:tcPr>
            <w:tcW w:w="900" w:type="dxa"/>
            <w:vAlign w:val="bottom"/>
          </w:tcPr>
          <w:p>
            <w:pPr>
              <w:jc w:val="right"/>
              <w:ind w:right="112"/>
              <w:spacing w:after="0"/>
              <w:rPr>
                <w:sz w:val="20"/>
                <w:szCs w:val="20"/>
                <w:color w:val="auto"/>
              </w:rPr>
            </w:pPr>
            <w:r>
              <w:rPr>
                <w:rFonts w:ascii="Arial" w:cs="Arial" w:eastAsia="Arial" w:hAnsi="Arial"/>
                <w:sz w:val="10"/>
                <w:szCs w:val="10"/>
                <w:color w:val="333740"/>
              </w:rPr>
              <w:t>3/8/2029</w:t>
            </w:r>
          </w:p>
        </w:tc>
        <w:tc>
          <w:tcPr>
            <w:tcW w:w="940" w:type="dxa"/>
            <w:vAlign w:val="bottom"/>
          </w:tcPr>
          <w:p>
            <w:pPr>
              <w:jc w:val="right"/>
              <w:ind w:right="152"/>
              <w:spacing w:after="0"/>
              <w:rPr>
                <w:sz w:val="20"/>
                <w:szCs w:val="20"/>
                <w:color w:val="auto"/>
              </w:rPr>
            </w:pPr>
            <w:r>
              <w:rPr>
                <w:rFonts w:ascii="Arial" w:cs="Arial" w:eastAsia="Arial" w:hAnsi="Arial"/>
                <w:sz w:val="10"/>
                <w:szCs w:val="10"/>
                <w:color w:val="333740"/>
              </w:rPr>
              <w:t>20,019</w:t>
            </w:r>
            <w:r>
              <w:rPr>
                <w:rFonts w:ascii="Arial" w:cs="Arial" w:eastAsia="Arial" w:hAnsi="Arial"/>
                <w:sz w:val="13"/>
                <w:szCs w:val="13"/>
                <w:color w:val="333740"/>
                <w:vertAlign w:val="superscript"/>
              </w:rPr>
              <w:t>6</w:t>
            </w:r>
          </w:p>
        </w:tc>
        <w:tc>
          <w:tcPr>
            <w:tcW w:w="960" w:type="dxa"/>
            <w:vAlign w:val="bottom"/>
          </w:tcPr>
          <w:p>
            <w:pPr>
              <w:jc w:val="right"/>
              <w:ind w:right="112"/>
              <w:spacing w:after="0"/>
              <w:rPr>
                <w:sz w:val="20"/>
                <w:szCs w:val="20"/>
                <w:color w:val="auto"/>
              </w:rPr>
            </w:pPr>
            <w:r>
              <w:rPr>
                <w:rFonts w:ascii="Arial" w:cs="Arial" w:eastAsia="Arial" w:hAnsi="Arial"/>
                <w:sz w:val="10"/>
                <w:szCs w:val="10"/>
                <w:color w:val="333740"/>
              </w:rPr>
              <w:t>429,207</w:t>
            </w:r>
          </w:p>
        </w:tc>
        <w:tc>
          <w:tcPr>
            <w:tcW w:w="980" w:type="dxa"/>
            <w:vAlign w:val="bottom"/>
          </w:tcPr>
          <w:p>
            <w:pPr>
              <w:jc w:val="right"/>
              <w:ind w:right="112"/>
              <w:spacing w:after="0"/>
              <w:rPr>
                <w:sz w:val="20"/>
                <w:szCs w:val="20"/>
                <w:color w:val="auto"/>
              </w:rPr>
            </w:pPr>
            <w:r>
              <w:rPr>
                <w:rFonts w:ascii="Arial" w:cs="Arial" w:eastAsia="Arial" w:hAnsi="Arial"/>
                <w:sz w:val="10"/>
                <w:szCs w:val="10"/>
                <w:color w:val="333740"/>
              </w:rPr>
              <w:t>60,057</w:t>
            </w:r>
            <w:r>
              <w:rPr>
                <w:rFonts w:ascii="Arial" w:cs="Arial" w:eastAsia="Arial" w:hAnsi="Arial"/>
                <w:sz w:val="13"/>
                <w:szCs w:val="13"/>
                <w:color w:val="333740"/>
                <w:vertAlign w:val="superscript"/>
              </w:rPr>
              <w:t>7</w:t>
            </w:r>
          </w:p>
        </w:tc>
        <w:tc>
          <w:tcPr>
            <w:tcW w:w="820" w:type="dxa"/>
            <w:vAlign w:val="bottom"/>
          </w:tcPr>
          <w:p>
            <w:pPr>
              <w:jc w:val="right"/>
              <w:spacing w:after="0"/>
              <w:rPr>
                <w:sz w:val="20"/>
                <w:szCs w:val="20"/>
                <w:color w:val="auto"/>
              </w:rPr>
            </w:pPr>
            <w:r>
              <w:rPr>
                <w:rFonts w:ascii="Arial" w:cs="Arial" w:eastAsia="Arial" w:hAnsi="Arial"/>
                <w:sz w:val="10"/>
                <w:szCs w:val="10"/>
                <w:color w:val="333740"/>
              </w:rPr>
              <w:t>1,287,622</w:t>
            </w:r>
          </w:p>
        </w:tc>
        <w:tc>
          <w:tcPr>
            <w:tcW w:w="0" w:type="dxa"/>
            <w:vAlign w:val="bottom"/>
          </w:tcPr>
          <w:p>
            <w:pPr>
              <w:spacing w:after="0"/>
              <w:rPr>
                <w:sz w:val="1"/>
                <w:szCs w:val="1"/>
                <w:color w:val="auto"/>
              </w:rPr>
            </w:pPr>
          </w:p>
        </w:tc>
      </w:tr>
      <w:tr>
        <w:trPr>
          <w:trHeight w:val="33"/>
        </w:trPr>
        <w:tc>
          <w:tcPr>
            <w:tcW w:w="1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1240" w:type="dxa"/>
            <w:vAlign w:val="bottom"/>
            <w:shd w:val="clear" w:color="auto" w:fill="D7D8D6"/>
          </w:tcPr>
          <w:p>
            <w:pPr>
              <w:ind w:left="20"/>
              <w:spacing w:after="0"/>
              <w:rPr>
                <w:sz w:val="20"/>
                <w:szCs w:val="20"/>
                <w:color w:val="auto"/>
              </w:rPr>
            </w:pPr>
            <w:r>
              <w:rPr>
                <w:rFonts w:ascii="Arial" w:cs="Arial" w:eastAsia="Arial" w:hAnsi="Arial"/>
                <w:sz w:val="10"/>
                <w:szCs w:val="10"/>
                <w:b w:val="1"/>
                <w:bCs w:val="1"/>
                <w:color w:val="333740"/>
              </w:rPr>
              <w:t>Justin Rounce</w:t>
            </w:r>
          </w:p>
        </w:tc>
        <w:tc>
          <w:tcPr>
            <w:tcW w:w="1040" w:type="dxa"/>
            <w:vAlign w:val="bottom"/>
            <w:shd w:val="clear" w:color="auto" w:fill="D7D8D6"/>
          </w:tcPr>
          <w:p>
            <w:pPr>
              <w:jc w:val="right"/>
              <w:spacing w:after="0"/>
              <w:rPr>
                <w:sz w:val="20"/>
                <w:szCs w:val="20"/>
                <w:color w:val="auto"/>
              </w:rPr>
            </w:pPr>
            <w:r>
              <w:rPr>
                <w:rFonts w:ascii="Arial" w:cs="Arial" w:eastAsia="Arial" w:hAnsi="Arial"/>
                <w:sz w:val="10"/>
                <w:szCs w:val="10"/>
                <w:color w:val="333740"/>
              </w:rPr>
              <w:t>11/1/2018</w:t>
            </w:r>
          </w:p>
        </w:tc>
        <w:tc>
          <w:tcPr>
            <w:tcW w:w="1140" w:type="dxa"/>
            <w:vAlign w:val="bottom"/>
            <w:shd w:val="clear" w:color="auto" w:fill="D7D8D6"/>
          </w:tcPr>
          <w:p>
            <w:pPr>
              <w:spacing w:after="0"/>
              <w:rPr>
                <w:sz w:val="11"/>
                <w:szCs w:val="11"/>
                <w:color w:val="auto"/>
              </w:rPr>
            </w:pPr>
          </w:p>
        </w:tc>
        <w:tc>
          <w:tcPr>
            <w:tcW w:w="1140" w:type="dxa"/>
            <w:vAlign w:val="bottom"/>
            <w:shd w:val="clear" w:color="auto" w:fill="D7D8D6"/>
          </w:tcPr>
          <w:p>
            <w:pPr>
              <w:spacing w:after="0"/>
              <w:rPr>
                <w:sz w:val="11"/>
                <w:szCs w:val="11"/>
                <w:color w:val="auto"/>
              </w:rPr>
            </w:pPr>
          </w:p>
        </w:tc>
        <w:tc>
          <w:tcPr>
            <w:tcW w:w="1040" w:type="dxa"/>
            <w:vAlign w:val="bottom"/>
            <w:shd w:val="clear" w:color="auto" w:fill="D7D8D6"/>
          </w:tcPr>
          <w:p>
            <w:pPr>
              <w:spacing w:after="0"/>
              <w:rPr>
                <w:sz w:val="11"/>
                <w:szCs w:val="11"/>
                <w:color w:val="auto"/>
              </w:rPr>
            </w:pPr>
          </w:p>
        </w:tc>
        <w:tc>
          <w:tcPr>
            <w:tcW w:w="1060" w:type="dxa"/>
            <w:vAlign w:val="bottom"/>
            <w:shd w:val="clear" w:color="auto" w:fill="D7D8D6"/>
          </w:tcPr>
          <w:p>
            <w:pPr>
              <w:spacing w:after="0"/>
              <w:rPr>
                <w:sz w:val="11"/>
                <w:szCs w:val="11"/>
                <w:color w:val="auto"/>
              </w:rPr>
            </w:pPr>
          </w:p>
        </w:tc>
        <w:tc>
          <w:tcPr>
            <w:tcW w:w="900" w:type="dxa"/>
            <w:vAlign w:val="bottom"/>
            <w:shd w:val="clear" w:color="auto" w:fill="D7D8D6"/>
          </w:tcPr>
          <w:p>
            <w:pPr>
              <w:spacing w:after="0"/>
              <w:rPr>
                <w:sz w:val="11"/>
                <w:szCs w:val="11"/>
                <w:color w:val="auto"/>
              </w:rPr>
            </w:pPr>
          </w:p>
        </w:tc>
        <w:tc>
          <w:tcPr>
            <w:tcW w:w="940" w:type="dxa"/>
            <w:vAlign w:val="bottom"/>
            <w:shd w:val="clear" w:color="auto" w:fill="D7D8D6"/>
          </w:tcPr>
          <w:p>
            <w:pPr>
              <w:jc w:val="right"/>
              <w:ind w:right="152"/>
              <w:spacing w:after="0"/>
              <w:rPr>
                <w:sz w:val="20"/>
                <w:szCs w:val="20"/>
                <w:color w:val="auto"/>
              </w:rPr>
            </w:pPr>
            <w:r>
              <w:rPr>
                <w:rFonts w:ascii="Arial" w:cs="Arial" w:eastAsia="Arial" w:hAnsi="Arial"/>
                <w:sz w:val="10"/>
                <w:szCs w:val="10"/>
                <w:color w:val="333740"/>
              </w:rPr>
              <w:t>26,3958</w:t>
            </w:r>
          </w:p>
        </w:tc>
        <w:tc>
          <w:tcPr>
            <w:tcW w:w="960" w:type="dxa"/>
            <w:vAlign w:val="bottom"/>
            <w:shd w:val="clear" w:color="auto" w:fill="D7D8D6"/>
          </w:tcPr>
          <w:p>
            <w:pPr>
              <w:jc w:val="right"/>
              <w:ind w:right="112"/>
              <w:spacing w:after="0"/>
              <w:rPr>
                <w:sz w:val="20"/>
                <w:szCs w:val="20"/>
                <w:color w:val="auto"/>
              </w:rPr>
            </w:pPr>
            <w:r>
              <w:rPr>
                <w:rFonts w:ascii="Arial" w:cs="Arial" w:eastAsia="Arial" w:hAnsi="Arial"/>
                <w:sz w:val="10"/>
                <w:szCs w:val="10"/>
                <w:color w:val="333740"/>
              </w:rPr>
              <w:t>565,909</w:t>
            </w:r>
          </w:p>
        </w:tc>
        <w:tc>
          <w:tcPr>
            <w:tcW w:w="980" w:type="dxa"/>
            <w:vAlign w:val="bottom"/>
            <w:shd w:val="clear" w:color="auto" w:fill="D7D8D6"/>
          </w:tcPr>
          <w:p>
            <w:pPr>
              <w:spacing w:after="0"/>
              <w:rPr>
                <w:sz w:val="11"/>
                <w:szCs w:val="11"/>
                <w:color w:val="auto"/>
              </w:rPr>
            </w:pPr>
          </w:p>
        </w:tc>
        <w:tc>
          <w:tcPr>
            <w:tcW w:w="820" w:type="dxa"/>
            <w:vAlign w:val="bottom"/>
            <w:shd w:val="clear" w:color="auto" w:fill="D7D8D6"/>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240" w:type="dxa"/>
            <w:vAlign w:val="bottom"/>
            <w:tcBorders>
              <w:bottom w:val="single" w:sz="8" w:color="D7D8D6"/>
            </w:tcBorders>
            <w:shd w:val="clear" w:color="auto" w:fill="D7D8D6"/>
          </w:tcPr>
          <w:p>
            <w:pPr>
              <w:spacing w:after="0"/>
              <w:rPr>
                <w:sz w:val="7"/>
                <w:szCs w:val="7"/>
                <w:color w:val="auto"/>
              </w:rPr>
            </w:pPr>
          </w:p>
        </w:tc>
        <w:tc>
          <w:tcPr>
            <w:tcW w:w="1040" w:type="dxa"/>
            <w:vAlign w:val="bottom"/>
            <w:tcBorders>
              <w:bottom w:val="single" w:sz="8" w:color="A3A7A9"/>
            </w:tcBorders>
            <w:shd w:val="clear" w:color="auto" w:fill="D7D8D6"/>
          </w:tcPr>
          <w:p>
            <w:pPr>
              <w:spacing w:after="0"/>
              <w:rPr>
                <w:sz w:val="7"/>
                <w:szCs w:val="7"/>
                <w:color w:val="auto"/>
              </w:rPr>
            </w:pPr>
          </w:p>
        </w:tc>
        <w:tc>
          <w:tcPr>
            <w:tcW w:w="1140" w:type="dxa"/>
            <w:vAlign w:val="bottom"/>
            <w:tcBorders>
              <w:bottom w:val="single" w:sz="8" w:color="A3A7A9"/>
            </w:tcBorders>
            <w:shd w:val="clear" w:color="auto" w:fill="D7D8D6"/>
          </w:tcPr>
          <w:p>
            <w:pPr>
              <w:spacing w:after="0"/>
              <w:rPr>
                <w:sz w:val="7"/>
                <w:szCs w:val="7"/>
                <w:color w:val="auto"/>
              </w:rPr>
            </w:pPr>
          </w:p>
        </w:tc>
        <w:tc>
          <w:tcPr>
            <w:tcW w:w="1140" w:type="dxa"/>
            <w:vAlign w:val="bottom"/>
            <w:tcBorders>
              <w:bottom w:val="single" w:sz="8" w:color="A3A7A9"/>
            </w:tcBorders>
            <w:shd w:val="clear" w:color="auto" w:fill="D7D8D6"/>
          </w:tcPr>
          <w:p>
            <w:pPr>
              <w:spacing w:after="0"/>
              <w:rPr>
                <w:sz w:val="7"/>
                <w:szCs w:val="7"/>
                <w:color w:val="auto"/>
              </w:rPr>
            </w:pPr>
          </w:p>
        </w:tc>
        <w:tc>
          <w:tcPr>
            <w:tcW w:w="1040" w:type="dxa"/>
            <w:vAlign w:val="bottom"/>
            <w:tcBorders>
              <w:bottom w:val="single" w:sz="8" w:color="A3A7A9"/>
            </w:tcBorders>
            <w:shd w:val="clear" w:color="auto" w:fill="D7D8D6"/>
          </w:tcPr>
          <w:p>
            <w:pPr>
              <w:spacing w:after="0"/>
              <w:rPr>
                <w:sz w:val="7"/>
                <w:szCs w:val="7"/>
                <w:color w:val="auto"/>
              </w:rPr>
            </w:pPr>
          </w:p>
        </w:tc>
        <w:tc>
          <w:tcPr>
            <w:tcW w:w="1060" w:type="dxa"/>
            <w:vAlign w:val="bottom"/>
            <w:tcBorders>
              <w:bottom w:val="single" w:sz="8" w:color="A3A7A9"/>
            </w:tcBorders>
            <w:shd w:val="clear" w:color="auto" w:fill="D7D8D6"/>
          </w:tcPr>
          <w:p>
            <w:pPr>
              <w:spacing w:after="0"/>
              <w:rPr>
                <w:sz w:val="7"/>
                <w:szCs w:val="7"/>
                <w:color w:val="auto"/>
              </w:rPr>
            </w:pPr>
          </w:p>
        </w:tc>
        <w:tc>
          <w:tcPr>
            <w:tcW w:w="900" w:type="dxa"/>
            <w:vAlign w:val="bottom"/>
            <w:tcBorders>
              <w:bottom w:val="single" w:sz="8" w:color="A3A7A9"/>
            </w:tcBorders>
            <w:shd w:val="clear" w:color="auto" w:fill="D7D8D6"/>
          </w:tcPr>
          <w:p>
            <w:pPr>
              <w:spacing w:after="0"/>
              <w:rPr>
                <w:sz w:val="7"/>
                <w:szCs w:val="7"/>
                <w:color w:val="auto"/>
              </w:rPr>
            </w:pPr>
          </w:p>
        </w:tc>
        <w:tc>
          <w:tcPr>
            <w:tcW w:w="940" w:type="dxa"/>
            <w:vAlign w:val="bottom"/>
            <w:tcBorders>
              <w:bottom w:val="single" w:sz="8" w:color="A3A7A9"/>
            </w:tcBorders>
            <w:shd w:val="clear" w:color="auto" w:fill="D7D8D6"/>
          </w:tcPr>
          <w:p>
            <w:pPr>
              <w:spacing w:after="0"/>
              <w:rPr>
                <w:sz w:val="7"/>
                <w:szCs w:val="7"/>
                <w:color w:val="auto"/>
              </w:rPr>
            </w:pPr>
          </w:p>
        </w:tc>
        <w:tc>
          <w:tcPr>
            <w:tcW w:w="960" w:type="dxa"/>
            <w:vAlign w:val="bottom"/>
            <w:tcBorders>
              <w:bottom w:val="single" w:sz="8" w:color="A3A7A9"/>
            </w:tcBorders>
            <w:shd w:val="clear" w:color="auto" w:fill="D7D8D6"/>
          </w:tcPr>
          <w:p>
            <w:pPr>
              <w:spacing w:after="0"/>
              <w:rPr>
                <w:sz w:val="7"/>
                <w:szCs w:val="7"/>
                <w:color w:val="auto"/>
              </w:rPr>
            </w:pPr>
          </w:p>
        </w:tc>
        <w:tc>
          <w:tcPr>
            <w:tcW w:w="980" w:type="dxa"/>
            <w:vAlign w:val="bottom"/>
            <w:tcBorders>
              <w:bottom w:val="single" w:sz="8" w:color="A3A7A9"/>
            </w:tcBorders>
            <w:shd w:val="clear" w:color="auto" w:fill="D7D8D6"/>
          </w:tcPr>
          <w:p>
            <w:pPr>
              <w:spacing w:after="0"/>
              <w:rPr>
                <w:sz w:val="7"/>
                <w:szCs w:val="7"/>
                <w:color w:val="auto"/>
              </w:rPr>
            </w:pPr>
          </w:p>
        </w:tc>
        <w:tc>
          <w:tcPr>
            <w:tcW w:w="820" w:type="dxa"/>
            <w:vAlign w:val="bottom"/>
            <w:tcBorders>
              <w:bottom w:val="single" w:sz="8" w:color="A3A7A9"/>
            </w:tcBorders>
            <w:shd w:val="clear" w:color="auto" w:fill="D7D8D6"/>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240" w:type="dxa"/>
            <w:vAlign w:val="bottom"/>
            <w:tcBorders>
              <w:bottom w:val="single" w:sz="8" w:color="D7D8D6"/>
            </w:tcBorders>
            <w:shd w:val="clear" w:color="auto" w:fill="D7D8D6"/>
          </w:tcPr>
          <w:p>
            <w:pPr>
              <w:spacing w:after="0"/>
              <w:rPr>
                <w:sz w:val="16"/>
                <w:szCs w:val="16"/>
                <w:color w:val="auto"/>
              </w:rPr>
            </w:pPr>
          </w:p>
        </w:tc>
        <w:tc>
          <w:tcPr>
            <w:tcW w:w="1040" w:type="dxa"/>
            <w:vAlign w:val="bottom"/>
            <w:tcBorders>
              <w:bottom w:val="single" w:sz="8" w:color="D7D8D6"/>
            </w:tcBorders>
            <w:shd w:val="clear" w:color="auto" w:fill="D7D8D6"/>
          </w:tcPr>
          <w:p>
            <w:pPr>
              <w:jc w:val="right"/>
              <w:spacing w:after="0"/>
              <w:rPr>
                <w:sz w:val="20"/>
                <w:szCs w:val="20"/>
                <w:color w:val="auto"/>
              </w:rPr>
            </w:pPr>
            <w:r>
              <w:rPr>
                <w:rFonts w:ascii="Arial" w:cs="Arial" w:eastAsia="Arial" w:hAnsi="Arial"/>
                <w:sz w:val="10"/>
                <w:szCs w:val="10"/>
                <w:color w:val="333740"/>
              </w:rPr>
              <w:t>3/8/2019</w:t>
            </w:r>
          </w:p>
        </w:tc>
        <w:tc>
          <w:tcPr>
            <w:tcW w:w="1140" w:type="dxa"/>
            <w:vAlign w:val="bottom"/>
            <w:tcBorders>
              <w:bottom w:val="single" w:sz="8" w:color="D7D8D6"/>
            </w:tcBorders>
            <w:shd w:val="clear" w:color="auto" w:fill="D7D8D6"/>
          </w:tcPr>
          <w:p>
            <w:pPr>
              <w:spacing w:after="0"/>
              <w:rPr>
                <w:sz w:val="16"/>
                <w:szCs w:val="16"/>
                <w:color w:val="auto"/>
              </w:rPr>
            </w:pPr>
          </w:p>
        </w:tc>
        <w:tc>
          <w:tcPr>
            <w:tcW w:w="1140" w:type="dxa"/>
            <w:vAlign w:val="bottom"/>
            <w:tcBorders>
              <w:bottom w:val="single" w:sz="8" w:color="D7D8D6"/>
            </w:tcBorders>
            <w:shd w:val="clear" w:color="auto" w:fill="D7D8D6"/>
          </w:tcPr>
          <w:p>
            <w:pPr>
              <w:jc w:val="right"/>
              <w:ind w:right="172"/>
              <w:spacing w:after="0"/>
              <w:rPr>
                <w:sz w:val="20"/>
                <w:szCs w:val="20"/>
                <w:color w:val="auto"/>
              </w:rPr>
            </w:pPr>
            <w:r>
              <w:rPr>
                <w:rFonts w:ascii="Arial" w:cs="Arial" w:eastAsia="Arial" w:hAnsi="Arial"/>
                <w:sz w:val="10"/>
                <w:szCs w:val="10"/>
                <w:color w:val="333740"/>
              </w:rPr>
              <w:t>63,784</w:t>
            </w:r>
            <w:r>
              <w:rPr>
                <w:rFonts w:ascii="Arial" w:cs="Arial" w:eastAsia="Arial" w:hAnsi="Arial"/>
                <w:sz w:val="13"/>
                <w:szCs w:val="13"/>
                <w:color w:val="333740"/>
                <w:vertAlign w:val="superscript"/>
              </w:rPr>
              <w:t>6</w:t>
            </w:r>
          </w:p>
        </w:tc>
        <w:tc>
          <w:tcPr>
            <w:tcW w:w="1040" w:type="dxa"/>
            <w:vAlign w:val="bottom"/>
            <w:tcBorders>
              <w:bottom w:val="single" w:sz="8" w:color="D7D8D6"/>
            </w:tcBorders>
            <w:shd w:val="clear" w:color="auto" w:fill="D7D8D6"/>
          </w:tcPr>
          <w:p>
            <w:pPr>
              <w:spacing w:after="0"/>
              <w:rPr>
                <w:sz w:val="16"/>
                <w:szCs w:val="16"/>
                <w:color w:val="auto"/>
              </w:rPr>
            </w:pPr>
          </w:p>
        </w:tc>
        <w:tc>
          <w:tcPr>
            <w:tcW w:w="1060" w:type="dxa"/>
            <w:vAlign w:val="bottom"/>
            <w:tcBorders>
              <w:bottom w:val="single" w:sz="8" w:color="D7D8D6"/>
            </w:tcBorders>
            <w:shd w:val="clear" w:color="auto" w:fill="D7D8D6"/>
          </w:tcPr>
          <w:p>
            <w:pPr>
              <w:jc w:val="right"/>
              <w:ind w:right="232"/>
              <w:spacing w:after="0"/>
              <w:rPr>
                <w:sz w:val="20"/>
                <w:szCs w:val="20"/>
                <w:color w:val="auto"/>
              </w:rPr>
            </w:pPr>
            <w:r>
              <w:rPr>
                <w:rFonts w:ascii="Arial" w:cs="Arial" w:eastAsia="Arial" w:hAnsi="Arial"/>
                <w:sz w:val="10"/>
                <w:szCs w:val="10"/>
                <w:color w:val="333740"/>
              </w:rPr>
              <w:t>$20.98</w:t>
            </w:r>
          </w:p>
        </w:tc>
        <w:tc>
          <w:tcPr>
            <w:tcW w:w="900" w:type="dxa"/>
            <w:vAlign w:val="bottom"/>
            <w:tcBorders>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3/8/2029</w:t>
            </w:r>
          </w:p>
        </w:tc>
        <w:tc>
          <w:tcPr>
            <w:tcW w:w="940" w:type="dxa"/>
            <w:vAlign w:val="bottom"/>
            <w:tcBorders>
              <w:bottom w:val="single" w:sz="8" w:color="D7D8D6"/>
            </w:tcBorders>
            <w:shd w:val="clear" w:color="auto" w:fill="D7D8D6"/>
          </w:tcPr>
          <w:p>
            <w:pPr>
              <w:jc w:val="right"/>
              <w:ind w:right="152"/>
              <w:spacing w:after="0"/>
              <w:rPr>
                <w:sz w:val="20"/>
                <w:szCs w:val="20"/>
                <w:color w:val="auto"/>
              </w:rPr>
            </w:pPr>
            <w:r>
              <w:rPr>
                <w:rFonts w:ascii="Arial" w:cs="Arial" w:eastAsia="Arial" w:hAnsi="Arial"/>
                <w:sz w:val="10"/>
                <w:szCs w:val="10"/>
                <w:color w:val="333740"/>
              </w:rPr>
              <w:t>17,1596</w:t>
            </w:r>
          </w:p>
        </w:tc>
        <w:tc>
          <w:tcPr>
            <w:tcW w:w="960" w:type="dxa"/>
            <w:vAlign w:val="bottom"/>
            <w:tcBorders>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367,889</w:t>
            </w:r>
          </w:p>
        </w:tc>
        <w:tc>
          <w:tcPr>
            <w:tcW w:w="980" w:type="dxa"/>
            <w:vAlign w:val="bottom"/>
            <w:tcBorders>
              <w:bottom w:val="single" w:sz="8" w:color="D7D8D6"/>
            </w:tcBorders>
            <w:shd w:val="clear" w:color="auto" w:fill="D7D8D6"/>
          </w:tcPr>
          <w:p>
            <w:pPr>
              <w:jc w:val="right"/>
              <w:ind w:right="112"/>
              <w:spacing w:after="0"/>
              <w:rPr>
                <w:sz w:val="20"/>
                <w:szCs w:val="20"/>
                <w:color w:val="auto"/>
              </w:rPr>
            </w:pPr>
            <w:r>
              <w:rPr>
                <w:rFonts w:ascii="Arial" w:cs="Arial" w:eastAsia="Arial" w:hAnsi="Arial"/>
                <w:sz w:val="10"/>
                <w:szCs w:val="10"/>
                <w:color w:val="333740"/>
              </w:rPr>
              <w:t>51,477</w:t>
            </w:r>
            <w:r>
              <w:rPr>
                <w:rFonts w:ascii="Arial" w:cs="Arial" w:eastAsia="Arial" w:hAnsi="Arial"/>
                <w:sz w:val="13"/>
                <w:szCs w:val="13"/>
                <w:color w:val="333740"/>
                <w:vertAlign w:val="superscript"/>
              </w:rPr>
              <w:t>7</w:t>
            </w:r>
          </w:p>
        </w:tc>
        <w:tc>
          <w:tcPr>
            <w:tcW w:w="820" w:type="dxa"/>
            <w:vAlign w:val="bottom"/>
            <w:tcBorders>
              <w:bottom w:val="single" w:sz="8" w:color="D7D8D6"/>
            </w:tcBorders>
            <w:shd w:val="clear" w:color="auto" w:fill="D7D8D6"/>
          </w:tcPr>
          <w:p>
            <w:pPr>
              <w:jc w:val="right"/>
              <w:spacing w:after="0"/>
              <w:rPr>
                <w:sz w:val="20"/>
                <w:szCs w:val="20"/>
                <w:color w:val="auto"/>
              </w:rPr>
            </w:pPr>
            <w:r>
              <w:rPr>
                <w:rFonts w:ascii="Arial" w:cs="Arial" w:eastAsia="Arial" w:hAnsi="Arial"/>
                <w:sz w:val="10"/>
                <w:szCs w:val="10"/>
                <w:color w:val="333740"/>
              </w:rPr>
              <w:t>1,103,667</w:t>
            </w:r>
          </w:p>
        </w:tc>
        <w:tc>
          <w:tcPr>
            <w:tcW w:w="0" w:type="dxa"/>
            <w:vAlign w:val="bottom"/>
          </w:tcPr>
          <w:p>
            <w:pPr>
              <w:spacing w:after="0"/>
              <w:rPr>
                <w:sz w:val="1"/>
                <w:szCs w:val="1"/>
                <w:color w:val="auto"/>
              </w:rPr>
            </w:pPr>
          </w:p>
        </w:tc>
      </w:tr>
      <w:tr>
        <w:trPr>
          <w:trHeight w:val="136"/>
        </w:trPr>
        <w:tc>
          <w:tcPr>
            <w:tcW w:w="1240" w:type="dxa"/>
            <w:vAlign w:val="bottom"/>
          </w:tcPr>
          <w:p>
            <w:pPr>
              <w:ind w:left="20"/>
              <w:spacing w:after="0"/>
              <w:rPr>
                <w:sz w:val="20"/>
                <w:szCs w:val="20"/>
                <w:color w:val="auto"/>
              </w:rPr>
            </w:pPr>
            <w:r>
              <w:rPr>
                <w:rFonts w:ascii="Arial" w:cs="Arial" w:eastAsia="Arial" w:hAnsi="Arial"/>
                <w:sz w:val="10"/>
                <w:szCs w:val="10"/>
                <w:b w:val="1"/>
                <w:bCs w:val="1"/>
                <w:color w:val="333740"/>
              </w:rPr>
              <w:t>Nello Uccelletti</w:t>
            </w:r>
          </w:p>
        </w:tc>
        <w:tc>
          <w:tcPr>
            <w:tcW w:w="1040" w:type="dxa"/>
            <w:vAlign w:val="bottom"/>
          </w:tcPr>
          <w:p>
            <w:pPr>
              <w:jc w:val="right"/>
              <w:spacing w:after="0"/>
              <w:rPr>
                <w:sz w:val="20"/>
                <w:szCs w:val="20"/>
                <w:color w:val="auto"/>
              </w:rPr>
            </w:pPr>
            <w:r>
              <w:rPr>
                <w:rFonts w:ascii="Arial" w:cs="Arial" w:eastAsia="Arial" w:hAnsi="Arial"/>
                <w:sz w:val="10"/>
                <w:szCs w:val="10"/>
                <w:color w:val="333740"/>
              </w:rPr>
              <w:t>6/14/2013</w:t>
            </w:r>
          </w:p>
        </w:tc>
        <w:tc>
          <w:tcPr>
            <w:tcW w:w="1140" w:type="dxa"/>
            <w:vAlign w:val="bottom"/>
          </w:tcPr>
          <w:p>
            <w:pPr>
              <w:jc w:val="right"/>
              <w:ind w:right="92"/>
              <w:spacing w:after="0"/>
              <w:rPr>
                <w:sz w:val="20"/>
                <w:szCs w:val="20"/>
                <w:color w:val="auto"/>
              </w:rPr>
            </w:pPr>
            <w:r>
              <w:rPr>
                <w:rFonts w:ascii="Arial" w:cs="Arial" w:eastAsia="Arial" w:hAnsi="Arial"/>
                <w:sz w:val="10"/>
                <w:szCs w:val="10"/>
                <w:color w:val="333740"/>
              </w:rPr>
              <w:t>18,552</w:t>
            </w: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jc w:val="right"/>
              <w:ind w:right="232"/>
              <w:spacing w:after="0"/>
              <w:rPr>
                <w:sz w:val="20"/>
                <w:szCs w:val="20"/>
                <w:color w:val="auto"/>
              </w:rPr>
            </w:pPr>
            <w:r>
              <w:rPr>
                <w:rFonts w:ascii="Arial" w:cs="Arial" w:eastAsia="Arial" w:hAnsi="Arial"/>
                <w:sz w:val="10"/>
                <w:szCs w:val="10"/>
                <w:color w:val="333740"/>
              </w:rPr>
              <w:t>€42.87</w:t>
            </w:r>
          </w:p>
        </w:tc>
        <w:tc>
          <w:tcPr>
            <w:tcW w:w="900" w:type="dxa"/>
            <w:vAlign w:val="bottom"/>
          </w:tcPr>
          <w:p>
            <w:pPr>
              <w:jc w:val="right"/>
              <w:ind w:right="112"/>
              <w:spacing w:after="0"/>
              <w:rPr>
                <w:sz w:val="20"/>
                <w:szCs w:val="20"/>
                <w:color w:val="auto"/>
              </w:rPr>
            </w:pPr>
            <w:r>
              <w:rPr>
                <w:rFonts w:ascii="Arial" w:cs="Arial" w:eastAsia="Arial" w:hAnsi="Arial"/>
                <w:sz w:val="10"/>
                <w:szCs w:val="10"/>
                <w:color w:val="333740"/>
              </w:rPr>
              <w:t>6/14/2021</w:t>
            </w: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240" w:type="dxa"/>
            <w:vAlign w:val="bottom"/>
          </w:tcPr>
          <w:p>
            <w:pPr>
              <w:spacing w:after="0"/>
              <w:rPr>
                <w:sz w:val="7"/>
                <w:szCs w:val="7"/>
                <w:color w:val="auto"/>
              </w:rPr>
            </w:pPr>
          </w:p>
        </w:tc>
        <w:tc>
          <w:tcPr>
            <w:tcW w:w="1040" w:type="dxa"/>
            <w:vAlign w:val="bottom"/>
            <w:tcBorders>
              <w:bottom w:val="single" w:sz="8" w:color="D7D8D6"/>
            </w:tcBorders>
          </w:tcPr>
          <w:p>
            <w:pPr>
              <w:spacing w:after="0"/>
              <w:rPr>
                <w:sz w:val="7"/>
                <w:szCs w:val="7"/>
                <w:color w:val="auto"/>
              </w:rPr>
            </w:pPr>
          </w:p>
        </w:tc>
        <w:tc>
          <w:tcPr>
            <w:tcW w:w="1140" w:type="dxa"/>
            <w:vAlign w:val="bottom"/>
            <w:tcBorders>
              <w:bottom w:val="single" w:sz="8" w:color="D7D8D6"/>
            </w:tcBorders>
          </w:tcPr>
          <w:p>
            <w:pPr>
              <w:spacing w:after="0"/>
              <w:rPr>
                <w:sz w:val="7"/>
                <w:szCs w:val="7"/>
                <w:color w:val="auto"/>
              </w:rPr>
            </w:pPr>
          </w:p>
        </w:tc>
        <w:tc>
          <w:tcPr>
            <w:tcW w:w="1140" w:type="dxa"/>
            <w:vAlign w:val="bottom"/>
            <w:tcBorders>
              <w:bottom w:val="single" w:sz="8" w:color="D7D8D6"/>
            </w:tcBorders>
          </w:tcPr>
          <w:p>
            <w:pPr>
              <w:spacing w:after="0"/>
              <w:rPr>
                <w:sz w:val="7"/>
                <w:szCs w:val="7"/>
                <w:color w:val="auto"/>
              </w:rPr>
            </w:pPr>
          </w:p>
        </w:tc>
        <w:tc>
          <w:tcPr>
            <w:tcW w:w="1040" w:type="dxa"/>
            <w:vAlign w:val="bottom"/>
            <w:tcBorders>
              <w:bottom w:val="single" w:sz="8" w:color="D7D8D6"/>
            </w:tcBorders>
          </w:tcPr>
          <w:p>
            <w:pPr>
              <w:spacing w:after="0"/>
              <w:rPr>
                <w:sz w:val="7"/>
                <w:szCs w:val="7"/>
                <w:color w:val="auto"/>
              </w:rPr>
            </w:pPr>
          </w:p>
        </w:tc>
        <w:tc>
          <w:tcPr>
            <w:tcW w:w="1060" w:type="dxa"/>
            <w:vAlign w:val="bottom"/>
            <w:tcBorders>
              <w:bottom w:val="single" w:sz="8" w:color="D7D8D6"/>
            </w:tcBorders>
          </w:tcPr>
          <w:p>
            <w:pPr>
              <w:spacing w:after="0"/>
              <w:rPr>
                <w:sz w:val="7"/>
                <w:szCs w:val="7"/>
                <w:color w:val="auto"/>
              </w:rPr>
            </w:pPr>
          </w:p>
        </w:tc>
        <w:tc>
          <w:tcPr>
            <w:tcW w:w="900" w:type="dxa"/>
            <w:vAlign w:val="bottom"/>
            <w:tcBorders>
              <w:bottom w:val="single" w:sz="8" w:color="D7D8D6"/>
            </w:tcBorders>
          </w:tcPr>
          <w:p>
            <w:pPr>
              <w:spacing w:after="0"/>
              <w:rPr>
                <w:sz w:val="7"/>
                <w:szCs w:val="7"/>
                <w:color w:val="auto"/>
              </w:rPr>
            </w:pPr>
          </w:p>
        </w:tc>
        <w:tc>
          <w:tcPr>
            <w:tcW w:w="940" w:type="dxa"/>
            <w:vAlign w:val="bottom"/>
            <w:tcBorders>
              <w:bottom w:val="single" w:sz="8" w:color="D7D8D6"/>
            </w:tcBorders>
          </w:tcPr>
          <w:p>
            <w:pPr>
              <w:spacing w:after="0"/>
              <w:rPr>
                <w:sz w:val="7"/>
                <w:szCs w:val="7"/>
                <w:color w:val="auto"/>
              </w:rPr>
            </w:pPr>
          </w:p>
        </w:tc>
        <w:tc>
          <w:tcPr>
            <w:tcW w:w="960" w:type="dxa"/>
            <w:vAlign w:val="bottom"/>
            <w:tcBorders>
              <w:bottom w:val="single" w:sz="8" w:color="D7D8D6"/>
            </w:tcBorders>
          </w:tcPr>
          <w:p>
            <w:pPr>
              <w:spacing w:after="0"/>
              <w:rPr>
                <w:sz w:val="7"/>
                <w:szCs w:val="7"/>
                <w:color w:val="auto"/>
              </w:rPr>
            </w:pPr>
          </w:p>
        </w:tc>
        <w:tc>
          <w:tcPr>
            <w:tcW w:w="980" w:type="dxa"/>
            <w:vAlign w:val="bottom"/>
            <w:tcBorders>
              <w:bottom w:val="single" w:sz="8" w:color="D7D8D6"/>
            </w:tcBorders>
          </w:tcPr>
          <w:p>
            <w:pPr>
              <w:spacing w:after="0"/>
              <w:rPr>
                <w:sz w:val="7"/>
                <w:szCs w:val="7"/>
                <w:color w:val="auto"/>
              </w:rPr>
            </w:pPr>
          </w:p>
        </w:tc>
        <w:tc>
          <w:tcPr>
            <w:tcW w:w="820" w:type="dxa"/>
            <w:vAlign w:val="bottom"/>
            <w:tcBorders>
              <w:bottom w:val="single" w:sz="8" w:color="D7D8D6"/>
            </w:tcBorders>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2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333740"/>
              </w:rPr>
              <w:t>9/7/2015</w:t>
            </w:r>
          </w:p>
        </w:tc>
        <w:tc>
          <w:tcPr>
            <w:tcW w:w="1140" w:type="dxa"/>
            <w:vAlign w:val="bottom"/>
          </w:tcPr>
          <w:p>
            <w:pPr>
              <w:jc w:val="right"/>
              <w:ind w:right="92"/>
              <w:spacing w:after="0"/>
              <w:rPr>
                <w:sz w:val="20"/>
                <w:szCs w:val="20"/>
                <w:color w:val="auto"/>
              </w:rPr>
            </w:pPr>
            <w:r>
              <w:rPr>
                <w:rFonts w:ascii="Arial" w:cs="Arial" w:eastAsia="Arial" w:hAnsi="Arial"/>
                <w:sz w:val="10"/>
                <w:szCs w:val="10"/>
                <w:color w:val="333740"/>
              </w:rPr>
              <w:t>50,000</w:t>
            </w: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jc w:val="right"/>
              <w:ind w:right="232"/>
              <w:spacing w:after="0"/>
              <w:rPr>
                <w:sz w:val="20"/>
                <w:szCs w:val="20"/>
                <w:color w:val="auto"/>
              </w:rPr>
            </w:pPr>
            <w:r>
              <w:rPr>
                <w:rFonts w:ascii="Arial" w:cs="Arial" w:eastAsia="Arial" w:hAnsi="Arial"/>
                <w:sz w:val="10"/>
                <w:szCs w:val="10"/>
                <w:color w:val="333740"/>
              </w:rPr>
              <w:t>€23.92</w:t>
            </w:r>
          </w:p>
        </w:tc>
        <w:tc>
          <w:tcPr>
            <w:tcW w:w="900" w:type="dxa"/>
            <w:vAlign w:val="bottom"/>
          </w:tcPr>
          <w:p>
            <w:pPr>
              <w:jc w:val="right"/>
              <w:ind w:right="112"/>
              <w:spacing w:after="0"/>
              <w:rPr>
                <w:sz w:val="20"/>
                <w:szCs w:val="20"/>
                <w:color w:val="auto"/>
              </w:rPr>
            </w:pPr>
            <w:r>
              <w:rPr>
                <w:rFonts w:ascii="Arial" w:cs="Arial" w:eastAsia="Arial" w:hAnsi="Arial"/>
                <w:sz w:val="10"/>
                <w:szCs w:val="10"/>
                <w:color w:val="333740"/>
              </w:rPr>
              <w:t>9/7/2023</w:t>
            </w: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240" w:type="dxa"/>
            <w:vAlign w:val="bottom"/>
          </w:tcPr>
          <w:p>
            <w:pPr>
              <w:spacing w:after="0"/>
              <w:rPr>
                <w:sz w:val="7"/>
                <w:szCs w:val="7"/>
                <w:color w:val="auto"/>
              </w:rPr>
            </w:pPr>
          </w:p>
        </w:tc>
        <w:tc>
          <w:tcPr>
            <w:tcW w:w="1040" w:type="dxa"/>
            <w:vAlign w:val="bottom"/>
            <w:tcBorders>
              <w:bottom w:val="single" w:sz="8" w:color="D7D8D6"/>
            </w:tcBorders>
          </w:tcPr>
          <w:p>
            <w:pPr>
              <w:spacing w:after="0"/>
              <w:rPr>
                <w:sz w:val="7"/>
                <w:szCs w:val="7"/>
                <w:color w:val="auto"/>
              </w:rPr>
            </w:pPr>
          </w:p>
        </w:tc>
        <w:tc>
          <w:tcPr>
            <w:tcW w:w="1140" w:type="dxa"/>
            <w:vAlign w:val="bottom"/>
            <w:tcBorders>
              <w:bottom w:val="single" w:sz="8" w:color="D7D8D6"/>
            </w:tcBorders>
          </w:tcPr>
          <w:p>
            <w:pPr>
              <w:spacing w:after="0"/>
              <w:rPr>
                <w:sz w:val="7"/>
                <w:szCs w:val="7"/>
                <w:color w:val="auto"/>
              </w:rPr>
            </w:pPr>
          </w:p>
        </w:tc>
        <w:tc>
          <w:tcPr>
            <w:tcW w:w="1140" w:type="dxa"/>
            <w:vAlign w:val="bottom"/>
            <w:tcBorders>
              <w:bottom w:val="single" w:sz="8" w:color="D7D8D6"/>
            </w:tcBorders>
          </w:tcPr>
          <w:p>
            <w:pPr>
              <w:spacing w:after="0"/>
              <w:rPr>
                <w:sz w:val="7"/>
                <w:szCs w:val="7"/>
                <w:color w:val="auto"/>
              </w:rPr>
            </w:pPr>
          </w:p>
        </w:tc>
        <w:tc>
          <w:tcPr>
            <w:tcW w:w="1040" w:type="dxa"/>
            <w:vAlign w:val="bottom"/>
            <w:tcBorders>
              <w:bottom w:val="single" w:sz="8" w:color="D7D8D6"/>
            </w:tcBorders>
          </w:tcPr>
          <w:p>
            <w:pPr>
              <w:spacing w:after="0"/>
              <w:rPr>
                <w:sz w:val="7"/>
                <w:szCs w:val="7"/>
                <w:color w:val="auto"/>
              </w:rPr>
            </w:pPr>
          </w:p>
        </w:tc>
        <w:tc>
          <w:tcPr>
            <w:tcW w:w="1060" w:type="dxa"/>
            <w:vAlign w:val="bottom"/>
            <w:tcBorders>
              <w:bottom w:val="single" w:sz="8" w:color="D7D8D6"/>
            </w:tcBorders>
          </w:tcPr>
          <w:p>
            <w:pPr>
              <w:spacing w:after="0"/>
              <w:rPr>
                <w:sz w:val="7"/>
                <w:szCs w:val="7"/>
                <w:color w:val="auto"/>
              </w:rPr>
            </w:pPr>
          </w:p>
        </w:tc>
        <w:tc>
          <w:tcPr>
            <w:tcW w:w="900" w:type="dxa"/>
            <w:vAlign w:val="bottom"/>
            <w:tcBorders>
              <w:bottom w:val="single" w:sz="8" w:color="D7D8D6"/>
            </w:tcBorders>
          </w:tcPr>
          <w:p>
            <w:pPr>
              <w:spacing w:after="0"/>
              <w:rPr>
                <w:sz w:val="7"/>
                <w:szCs w:val="7"/>
                <w:color w:val="auto"/>
              </w:rPr>
            </w:pPr>
          </w:p>
        </w:tc>
        <w:tc>
          <w:tcPr>
            <w:tcW w:w="940" w:type="dxa"/>
            <w:vAlign w:val="bottom"/>
            <w:tcBorders>
              <w:bottom w:val="single" w:sz="8" w:color="D7D8D6"/>
            </w:tcBorders>
          </w:tcPr>
          <w:p>
            <w:pPr>
              <w:spacing w:after="0"/>
              <w:rPr>
                <w:sz w:val="7"/>
                <w:szCs w:val="7"/>
                <w:color w:val="auto"/>
              </w:rPr>
            </w:pPr>
          </w:p>
        </w:tc>
        <w:tc>
          <w:tcPr>
            <w:tcW w:w="960" w:type="dxa"/>
            <w:vAlign w:val="bottom"/>
            <w:tcBorders>
              <w:bottom w:val="single" w:sz="8" w:color="D7D8D6"/>
            </w:tcBorders>
          </w:tcPr>
          <w:p>
            <w:pPr>
              <w:spacing w:after="0"/>
              <w:rPr>
                <w:sz w:val="7"/>
                <w:szCs w:val="7"/>
                <w:color w:val="auto"/>
              </w:rPr>
            </w:pPr>
          </w:p>
        </w:tc>
        <w:tc>
          <w:tcPr>
            <w:tcW w:w="980" w:type="dxa"/>
            <w:vAlign w:val="bottom"/>
            <w:tcBorders>
              <w:bottom w:val="single" w:sz="8" w:color="D7D8D6"/>
            </w:tcBorders>
          </w:tcPr>
          <w:p>
            <w:pPr>
              <w:spacing w:after="0"/>
              <w:rPr>
                <w:sz w:val="7"/>
                <w:szCs w:val="7"/>
                <w:color w:val="auto"/>
              </w:rPr>
            </w:pPr>
          </w:p>
        </w:tc>
        <w:tc>
          <w:tcPr>
            <w:tcW w:w="820" w:type="dxa"/>
            <w:vAlign w:val="bottom"/>
            <w:tcBorders>
              <w:bottom w:val="single" w:sz="8" w:color="D7D8D6"/>
            </w:tcBorders>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333740"/>
              </w:rPr>
              <w:t>7/1/2016</w:t>
            </w:r>
          </w:p>
        </w:tc>
        <w:tc>
          <w:tcPr>
            <w:tcW w:w="1140" w:type="dxa"/>
            <w:vAlign w:val="bottom"/>
          </w:tcPr>
          <w:p>
            <w:pPr>
              <w:spacing w:after="0"/>
              <w:rPr>
                <w:sz w:val="16"/>
                <w:szCs w:val="16"/>
                <w:color w:val="auto"/>
              </w:rPr>
            </w:pPr>
          </w:p>
        </w:tc>
        <w:tc>
          <w:tcPr>
            <w:tcW w:w="1140" w:type="dxa"/>
            <w:vAlign w:val="bottom"/>
          </w:tcPr>
          <w:p>
            <w:pPr>
              <w:jc w:val="right"/>
              <w:ind w:right="172"/>
              <w:spacing w:after="0"/>
              <w:rPr>
                <w:sz w:val="20"/>
                <w:szCs w:val="20"/>
                <w:color w:val="auto"/>
              </w:rPr>
            </w:pPr>
            <w:r>
              <w:rPr>
                <w:rFonts w:ascii="Arial" w:cs="Arial" w:eastAsia="Arial" w:hAnsi="Arial"/>
                <w:sz w:val="10"/>
                <w:szCs w:val="10"/>
                <w:color w:val="333740"/>
              </w:rPr>
              <w:t>50,000</w:t>
            </w:r>
            <w:r>
              <w:rPr>
                <w:rFonts w:ascii="Arial" w:cs="Arial" w:eastAsia="Arial" w:hAnsi="Arial"/>
                <w:sz w:val="13"/>
                <w:szCs w:val="13"/>
                <w:color w:val="333740"/>
                <w:vertAlign w:val="superscript"/>
              </w:rPr>
              <w:t>9</w:t>
            </w:r>
          </w:p>
        </w:tc>
        <w:tc>
          <w:tcPr>
            <w:tcW w:w="1040" w:type="dxa"/>
            <w:vAlign w:val="bottom"/>
          </w:tcPr>
          <w:p>
            <w:pPr>
              <w:spacing w:after="0"/>
              <w:rPr>
                <w:sz w:val="16"/>
                <w:szCs w:val="16"/>
                <w:color w:val="auto"/>
              </w:rPr>
            </w:pPr>
          </w:p>
        </w:tc>
        <w:tc>
          <w:tcPr>
            <w:tcW w:w="1060" w:type="dxa"/>
            <w:vAlign w:val="bottom"/>
          </w:tcPr>
          <w:p>
            <w:pPr>
              <w:jc w:val="right"/>
              <w:ind w:right="232"/>
              <w:spacing w:after="0"/>
              <w:rPr>
                <w:sz w:val="20"/>
                <w:szCs w:val="20"/>
                <w:color w:val="auto"/>
              </w:rPr>
            </w:pPr>
            <w:r>
              <w:rPr>
                <w:rFonts w:ascii="Arial" w:cs="Arial" w:eastAsia="Arial" w:hAnsi="Arial"/>
                <w:sz w:val="10"/>
                <w:szCs w:val="10"/>
                <w:color w:val="333740"/>
              </w:rPr>
              <w:t>€24.17</w:t>
            </w:r>
          </w:p>
        </w:tc>
        <w:tc>
          <w:tcPr>
            <w:tcW w:w="900" w:type="dxa"/>
            <w:vAlign w:val="bottom"/>
          </w:tcPr>
          <w:p>
            <w:pPr>
              <w:jc w:val="right"/>
              <w:ind w:right="112"/>
              <w:spacing w:after="0"/>
              <w:rPr>
                <w:sz w:val="20"/>
                <w:szCs w:val="20"/>
                <w:color w:val="auto"/>
              </w:rPr>
            </w:pPr>
            <w:r>
              <w:rPr>
                <w:rFonts w:ascii="Arial" w:cs="Arial" w:eastAsia="Arial" w:hAnsi="Arial"/>
                <w:sz w:val="10"/>
                <w:szCs w:val="10"/>
                <w:color w:val="333740"/>
              </w:rPr>
              <w:t>7/1/2024</w:t>
            </w:r>
          </w:p>
        </w:tc>
        <w:tc>
          <w:tcPr>
            <w:tcW w:w="940" w:type="dxa"/>
            <w:vAlign w:val="bottom"/>
          </w:tcPr>
          <w:p>
            <w:pPr>
              <w:jc w:val="right"/>
              <w:ind w:right="152"/>
              <w:spacing w:after="0"/>
              <w:rPr>
                <w:sz w:val="20"/>
                <w:szCs w:val="20"/>
                <w:color w:val="auto"/>
              </w:rPr>
            </w:pPr>
            <w:r>
              <w:rPr>
                <w:rFonts w:ascii="Arial" w:cs="Arial" w:eastAsia="Arial" w:hAnsi="Arial"/>
                <w:sz w:val="10"/>
                <w:szCs w:val="10"/>
                <w:color w:val="333740"/>
              </w:rPr>
              <w:t>30,000</w:t>
            </w:r>
            <w:r>
              <w:rPr>
                <w:rFonts w:ascii="Arial" w:cs="Arial" w:eastAsia="Arial" w:hAnsi="Arial"/>
                <w:sz w:val="13"/>
                <w:szCs w:val="13"/>
                <w:color w:val="333740"/>
                <w:vertAlign w:val="superscript"/>
              </w:rPr>
              <w:t>9</w:t>
            </w:r>
          </w:p>
        </w:tc>
        <w:tc>
          <w:tcPr>
            <w:tcW w:w="960" w:type="dxa"/>
            <w:vAlign w:val="bottom"/>
          </w:tcPr>
          <w:p>
            <w:pPr>
              <w:jc w:val="right"/>
              <w:ind w:right="112"/>
              <w:spacing w:after="0"/>
              <w:rPr>
                <w:sz w:val="20"/>
                <w:szCs w:val="20"/>
                <w:color w:val="auto"/>
              </w:rPr>
            </w:pPr>
            <w:r>
              <w:rPr>
                <w:rFonts w:ascii="Arial" w:cs="Arial" w:eastAsia="Arial" w:hAnsi="Arial"/>
                <w:sz w:val="10"/>
                <w:szCs w:val="10"/>
                <w:color w:val="333740"/>
              </w:rPr>
              <w:t>643,200</w:t>
            </w: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040" w:type="dxa"/>
            <w:vAlign w:val="bottom"/>
            <w:tcBorders>
              <w:bottom w:val="single" w:sz="8" w:color="D7D8D6"/>
            </w:tcBorders>
          </w:tcPr>
          <w:p>
            <w:pPr>
              <w:spacing w:after="0"/>
              <w:rPr>
                <w:sz w:val="2"/>
                <w:szCs w:val="2"/>
                <w:color w:val="auto"/>
              </w:rPr>
            </w:pPr>
          </w:p>
        </w:tc>
        <w:tc>
          <w:tcPr>
            <w:tcW w:w="1060" w:type="dxa"/>
            <w:vAlign w:val="bottom"/>
            <w:tcBorders>
              <w:bottom w:val="single" w:sz="8" w:color="D7D8D6"/>
            </w:tcBorders>
          </w:tcPr>
          <w:p>
            <w:pPr>
              <w:spacing w:after="0"/>
              <w:rPr>
                <w:sz w:val="2"/>
                <w:szCs w:val="2"/>
                <w:color w:val="auto"/>
              </w:rPr>
            </w:pPr>
          </w:p>
        </w:tc>
        <w:tc>
          <w:tcPr>
            <w:tcW w:w="900" w:type="dxa"/>
            <w:vAlign w:val="bottom"/>
            <w:tcBorders>
              <w:bottom w:val="single" w:sz="8" w:color="D7D8D6"/>
            </w:tcBorders>
          </w:tcPr>
          <w:p>
            <w:pPr>
              <w:spacing w:after="0"/>
              <w:rPr>
                <w:sz w:val="2"/>
                <w:szCs w:val="2"/>
                <w:color w:val="auto"/>
              </w:rPr>
            </w:pPr>
          </w:p>
        </w:tc>
        <w:tc>
          <w:tcPr>
            <w:tcW w:w="940" w:type="dxa"/>
            <w:vAlign w:val="bottom"/>
            <w:tcBorders>
              <w:bottom w:val="single" w:sz="8" w:color="D7D8D6"/>
            </w:tcBorders>
          </w:tcPr>
          <w:p>
            <w:pPr>
              <w:spacing w:after="0"/>
              <w:rPr>
                <w:sz w:val="2"/>
                <w:szCs w:val="2"/>
                <w:color w:val="auto"/>
              </w:rPr>
            </w:pPr>
          </w:p>
        </w:tc>
        <w:tc>
          <w:tcPr>
            <w:tcW w:w="960" w:type="dxa"/>
            <w:vAlign w:val="bottom"/>
            <w:tcBorders>
              <w:bottom w:val="single" w:sz="8" w:color="D7D8D6"/>
            </w:tcBorders>
          </w:tcPr>
          <w:p>
            <w:pPr>
              <w:spacing w:after="0"/>
              <w:rPr>
                <w:sz w:val="2"/>
                <w:szCs w:val="2"/>
                <w:color w:val="auto"/>
              </w:rPr>
            </w:pPr>
          </w:p>
        </w:tc>
        <w:tc>
          <w:tcPr>
            <w:tcW w:w="980" w:type="dxa"/>
            <w:vAlign w:val="bottom"/>
            <w:tcBorders>
              <w:bottom w:val="single" w:sz="8" w:color="D7D8D6"/>
            </w:tcBorders>
          </w:tcPr>
          <w:p>
            <w:pPr>
              <w:spacing w:after="0"/>
              <w:rPr>
                <w:sz w:val="2"/>
                <w:szCs w:val="2"/>
                <w:color w:val="auto"/>
              </w:rPr>
            </w:pPr>
          </w:p>
        </w:tc>
        <w:tc>
          <w:tcPr>
            <w:tcW w:w="820" w:type="dxa"/>
            <w:vAlign w:val="bottom"/>
            <w:tcBorders>
              <w:bottom w:val="single" w:sz="8" w:color="D7D8D6"/>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333740"/>
              </w:rPr>
              <w:t>2/28/2017</w:t>
            </w:r>
          </w:p>
        </w:tc>
        <w:tc>
          <w:tcPr>
            <w:tcW w:w="1140" w:type="dxa"/>
            <w:vAlign w:val="bottom"/>
          </w:tcPr>
          <w:p>
            <w:pPr>
              <w:spacing w:after="0"/>
              <w:rPr>
                <w:sz w:val="16"/>
                <w:szCs w:val="16"/>
                <w:color w:val="auto"/>
              </w:rPr>
            </w:pPr>
          </w:p>
        </w:tc>
        <w:tc>
          <w:tcPr>
            <w:tcW w:w="1140" w:type="dxa"/>
            <w:vAlign w:val="bottom"/>
          </w:tcPr>
          <w:p>
            <w:pPr>
              <w:jc w:val="right"/>
              <w:ind w:right="172"/>
              <w:spacing w:after="0"/>
              <w:rPr>
                <w:sz w:val="20"/>
                <w:szCs w:val="20"/>
                <w:color w:val="auto"/>
              </w:rPr>
            </w:pPr>
            <w:r>
              <w:rPr>
                <w:rFonts w:ascii="Arial" w:cs="Arial" w:eastAsia="Arial" w:hAnsi="Arial"/>
                <w:sz w:val="10"/>
                <w:szCs w:val="10"/>
                <w:color w:val="333740"/>
              </w:rPr>
              <w:t>26,672</w:t>
            </w:r>
            <w:r>
              <w:rPr>
                <w:rFonts w:ascii="Arial" w:cs="Arial" w:eastAsia="Arial" w:hAnsi="Arial"/>
                <w:sz w:val="13"/>
                <w:szCs w:val="13"/>
                <w:color w:val="333740"/>
                <w:vertAlign w:val="superscript"/>
              </w:rPr>
              <w:t>2</w:t>
            </w:r>
          </w:p>
        </w:tc>
        <w:tc>
          <w:tcPr>
            <w:tcW w:w="1040" w:type="dxa"/>
            <w:vAlign w:val="bottom"/>
          </w:tcPr>
          <w:p>
            <w:pPr>
              <w:spacing w:after="0"/>
              <w:rPr>
                <w:sz w:val="16"/>
                <w:szCs w:val="16"/>
                <w:color w:val="auto"/>
              </w:rPr>
            </w:pPr>
          </w:p>
        </w:tc>
        <w:tc>
          <w:tcPr>
            <w:tcW w:w="1060" w:type="dxa"/>
            <w:vAlign w:val="bottom"/>
          </w:tcPr>
          <w:p>
            <w:pPr>
              <w:jc w:val="right"/>
              <w:ind w:right="232"/>
              <w:spacing w:after="0"/>
              <w:rPr>
                <w:sz w:val="20"/>
                <w:szCs w:val="20"/>
                <w:color w:val="auto"/>
              </w:rPr>
            </w:pPr>
            <w:r>
              <w:rPr>
                <w:rFonts w:ascii="Arial" w:cs="Arial" w:eastAsia="Arial" w:hAnsi="Arial"/>
                <w:sz w:val="10"/>
                <w:szCs w:val="10"/>
                <w:color w:val="333740"/>
              </w:rPr>
              <w:t>$32.32</w:t>
            </w:r>
          </w:p>
        </w:tc>
        <w:tc>
          <w:tcPr>
            <w:tcW w:w="900" w:type="dxa"/>
            <w:vAlign w:val="bottom"/>
          </w:tcPr>
          <w:p>
            <w:pPr>
              <w:jc w:val="right"/>
              <w:ind w:right="112"/>
              <w:spacing w:after="0"/>
              <w:rPr>
                <w:sz w:val="20"/>
                <w:szCs w:val="20"/>
                <w:color w:val="auto"/>
              </w:rPr>
            </w:pPr>
            <w:r>
              <w:rPr>
                <w:rFonts w:ascii="Arial" w:cs="Arial" w:eastAsia="Arial" w:hAnsi="Arial"/>
                <w:sz w:val="10"/>
                <w:szCs w:val="10"/>
                <w:color w:val="333740"/>
              </w:rPr>
              <w:t>2/28/2027</w:t>
            </w:r>
          </w:p>
        </w:tc>
        <w:tc>
          <w:tcPr>
            <w:tcW w:w="940" w:type="dxa"/>
            <w:vAlign w:val="bottom"/>
          </w:tcPr>
          <w:p>
            <w:pPr>
              <w:jc w:val="right"/>
              <w:ind w:right="152"/>
              <w:spacing w:after="0"/>
              <w:rPr>
                <w:sz w:val="20"/>
                <w:szCs w:val="20"/>
                <w:color w:val="auto"/>
              </w:rPr>
            </w:pPr>
            <w:r>
              <w:rPr>
                <w:rFonts w:ascii="Arial" w:cs="Arial" w:eastAsia="Arial" w:hAnsi="Arial"/>
                <w:sz w:val="10"/>
                <w:szCs w:val="10"/>
                <w:color w:val="333740"/>
              </w:rPr>
              <w:t>7,735</w:t>
            </w:r>
            <w:r>
              <w:rPr>
                <w:rFonts w:ascii="Arial" w:cs="Arial" w:eastAsia="Arial" w:hAnsi="Arial"/>
                <w:sz w:val="13"/>
                <w:szCs w:val="13"/>
                <w:color w:val="333740"/>
                <w:vertAlign w:val="superscript"/>
              </w:rPr>
              <w:t>2</w:t>
            </w:r>
          </w:p>
        </w:tc>
        <w:tc>
          <w:tcPr>
            <w:tcW w:w="960" w:type="dxa"/>
            <w:vAlign w:val="bottom"/>
          </w:tcPr>
          <w:p>
            <w:pPr>
              <w:jc w:val="right"/>
              <w:ind w:right="112"/>
              <w:spacing w:after="0"/>
              <w:rPr>
                <w:sz w:val="20"/>
                <w:szCs w:val="20"/>
                <w:color w:val="auto"/>
              </w:rPr>
            </w:pPr>
            <w:r>
              <w:rPr>
                <w:rFonts w:ascii="Arial" w:cs="Arial" w:eastAsia="Arial" w:hAnsi="Arial"/>
                <w:sz w:val="10"/>
                <w:szCs w:val="10"/>
                <w:color w:val="333740"/>
              </w:rPr>
              <w:t>165,838</w:t>
            </w:r>
          </w:p>
        </w:tc>
        <w:tc>
          <w:tcPr>
            <w:tcW w:w="980" w:type="dxa"/>
            <w:vAlign w:val="bottom"/>
          </w:tcPr>
          <w:p>
            <w:pPr>
              <w:jc w:val="right"/>
              <w:ind w:right="112"/>
              <w:spacing w:after="0"/>
              <w:rPr>
                <w:sz w:val="20"/>
                <w:szCs w:val="20"/>
                <w:color w:val="auto"/>
              </w:rPr>
            </w:pPr>
            <w:r>
              <w:rPr>
                <w:rFonts w:ascii="Arial" w:cs="Arial" w:eastAsia="Arial" w:hAnsi="Arial"/>
                <w:sz w:val="10"/>
                <w:szCs w:val="10"/>
                <w:color w:val="333740"/>
              </w:rPr>
              <w:t>23,205</w:t>
            </w:r>
            <w:r>
              <w:rPr>
                <w:rFonts w:ascii="Arial" w:cs="Arial" w:eastAsia="Arial" w:hAnsi="Arial"/>
                <w:sz w:val="13"/>
                <w:szCs w:val="13"/>
                <w:color w:val="333740"/>
                <w:vertAlign w:val="superscript"/>
              </w:rPr>
              <w:t>3</w:t>
            </w:r>
          </w:p>
        </w:tc>
        <w:tc>
          <w:tcPr>
            <w:tcW w:w="820" w:type="dxa"/>
            <w:vAlign w:val="bottom"/>
          </w:tcPr>
          <w:p>
            <w:pPr>
              <w:jc w:val="right"/>
              <w:spacing w:after="0"/>
              <w:rPr>
                <w:sz w:val="20"/>
                <w:szCs w:val="20"/>
                <w:color w:val="auto"/>
              </w:rPr>
            </w:pPr>
            <w:r>
              <w:rPr>
                <w:rFonts w:ascii="Arial" w:cs="Arial" w:eastAsia="Arial" w:hAnsi="Arial"/>
                <w:sz w:val="10"/>
                <w:szCs w:val="10"/>
                <w:color w:val="333740"/>
              </w:rPr>
              <w:t>497,515</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040" w:type="dxa"/>
            <w:vAlign w:val="bottom"/>
            <w:tcBorders>
              <w:bottom w:val="single" w:sz="8" w:color="D7D8D6"/>
            </w:tcBorders>
          </w:tcPr>
          <w:p>
            <w:pPr>
              <w:spacing w:after="0"/>
              <w:rPr>
                <w:sz w:val="2"/>
                <w:szCs w:val="2"/>
                <w:color w:val="auto"/>
              </w:rPr>
            </w:pPr>
          </w:p>
        </w:tc>
        <w:tc>
          <w:tcPr>
            <w:tcW w:w="1060" w:type="dxa"/>
            <w:vAlign w:val="bottom"/>
            <w:tcBorders>
              <w:bottom w:val="single" w:sz="8" w:color="D7D8D6"/>
            </w:tcBorders>
          </w:tcPr>
          <w:p>
            <w:pPr>
              <w:spacing w:after="0"/>
              <w:rPr>
                <w:sz w:val="2"/>
                <w:szCs w:val="2"/>
                <w:color w:val="auto"/>
              </w:rPr>
            </w:pPr>
          </w:p>
        </w:tc>
        <w:tc>
          <w:tcPr>
            <w:tcW w:w="900" w:type="dxa"/>
            <w:vAlign w:val="bottom"/>
            <w:tcBorders>
              <w:bottom w:val="single" w:sz="8" w:color="D7D8D6"/>
            </w:tcBorders>
          </w:tcPr>
          <w:p>
            <w:pPr>
              <w:spacing w:after="0"/>
              <w:rPr>
                <w:sz w:val="2"/>
                <w:szCs w:val="2"/>
                <w:color w:val="auto"/>
              </w:rPr>
            </w:pPr>
          </w:p>
        </w:tc>
        <w:tc>
          <w:tcPr>
            <w:tcW w:w="940" w:type="dxa"/>
            <w:vAlign w:val="bottom"/>
            <w:tcBorders>
              <w:bottom w:val="single" w:sz="8" w:color="D7D8D6"/>
            </w:tcBorders>
          </w:tcPr>
          <w:p>
            <w:pPr>
              <w:spacing w:after="0"/>
              <w:rPr>
                <w:sz w:val="2"/>
                <w:szCs w:val="2"/>
                <w:color w:val="auto"/>
              </w:rPr>
            </w:pPr>
          </w:p>
        </w:tc>
        <w:tc>
          <w:tcPr>
            <w:tcW w:w="960" w:type="dxa"/>
            <w:vAlign w:val="bottom"/>
            <w:tcBorders>
              <w:bottom w:val="single" w:sz="8" w:color="D7D8D6"/>
            </w:tcBorders>
          </w:tcPr>
          <w:p>
            <w:pPr>
              <w:spacing w:after="0"/>
              <w:rPr>
                <w:sz w:val="2"/>
                <w:szCs w:val="2"/>
                <w:color w:val="auto"/>
              </w:rPr>
            </w:pPr>
          </w:p>
        </w:tc>
        <w:tc>
          <w:tcPr>
            <w:tcW w:w="980" w:type="dxa"/>
            <w:vAlign w:val="bottom"/>
            <w:tcBorders>
              <w:bottom w:val="single" w:sz="8" w:color="D7D8D6"/>
            </w:tcBorders>
          </w:tcPr>
          <w:p>
            <w:pPr>
              <w:spacing w:after="0"/>
              <w:rPr>
                <w:sz w:val="2"/>
                <w:szCs w:val="2"/>
                <w:color w:val="auto"/>
              </w:rPr>
            </w:pPr>
          </w:p>
        </w:tc>
        <w:tc>
          <w:tcPr>
            <w:tcW w:w="820" w:type="dxa"/>
            <w:vAlign w:val="bottom"/>
            <w:tcBorders>
              <w:bottom w:val="single" w:sz="8" w:color="D7D8D6"/>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333740"/>
              </w:rPr>
              <w:t>2/26/2018</w:t>
            </w:r>
          </w:p>
        </w:tc>
        <w:tc>
          <w:tcPr>
            <w:tcW w:w="1140" w:type="dxa"/>
            <w:vAlign w:val="bottom"/>
          </w:tcPr>
          <w:p>
            <w:pPr>
              <w:spacing w:after="0"/>
              <w:rPr>
                <w:sz w:val="16"/>
                <w:szCs w:val="16"/>
                <w:color w:val="auto"/>
              </w:rPr>
            </w:pPr>
          </w:p>
        </w:tc>
        <w:tc>
          <w:tcPr>
            <w:tcW w:w="1140" w:type="dxa"/>
            <w:vAlign w:val="bottom"/>
          </w:tcPr>
          <w:p>
            <w:pPr>
              <w:jc w:val="right"/>
              <w:ind w:right="172"/>
              <w:spacing w:after="0"/>
              <w:rPr>
                <w:sz w:val="20"/>
                <w:szCs w:val="20"/>
                <w:color w:val="auto"/>
              </w:rPr>
            </w:pPr>
            <w:r>
              <w:rPr>
                <w:rFonts w:ascii="Arial" w:cs="Arial" w:eastAsia="Arial" w:hAnsi="Arial"/>
                <w:sz w:val="10"/>
                <w:szCs w:val="10"/>
                <w:color w:val="333740"/>
              </w:rPr>
              <w:t>27,731</w:t>
            </w:r>
            <w:r>
              <w:rPr>
                <w:rFonts w:ascii="Arial" w:cs="Arial" w:eastAsia="Arial" w:hAnsi="Arial"/>
                <w:sz w:val="13"/>
                <w:szCs w:val="13"/>
                <w:color w:val="333740"/>
                <w:vertAlign w:val="superscript"/>
              </w:rPr>
              <w:t>4</w:t>
            </w:r>
          </w:p>
        </w:tc>
        <w:tc>
          <w:tcPr>
            <w:tcW w:w="1040" w:type="dxa"/>
            <w:vAlign w:val="bottom"/>
          </w:tcPr>
          <w:p>
            <w:pPr>
              <w:spacing w:after="0"/>
              <w:rPr>
                <w:sz w:val="16"/>
                <w:szCs w:val="16"/>
                <w:color w:val="auto"/>
              </w:rPr>
            </w:pPr>
          </w:p>
        </w:tc>
        <w:tc>
          <w:tcPr>
            <w:tcW w:w="1060" w:type="dxa"/>
            <w:vAlign w:val="bottom"/>
          </w:tcPr>
          <w:p>
            <w:pPr>
              <w:jc w:val="right"/>
              <w:ind w:right="232"/>
              <w:spacing w:after="0"/>
              <w:rPr>
                <w:sz w:val="20"/>
                <w:szCs w:val="20"/>
                <w:color w:val="auto"/>
              </w:rPr>
            </w:pPr>
            <w:r>
              <w:rPr>
                <w:rFonts w:ascii="Arial" w:cs="Arial" w:eastAsia="Arial" w:hAnsi="Arial"/>
                <w:sz w:val="10"/>
                <w:szCs w:val="10"/>
                <w:color w:val="333740"/>
              </w:rPr>
              <w:t>$30.30</w:t>
            </w:r>
          </w:p>
        </w:tc>
        <w:tc>
          <w:tcPr>
            <w:tcW w:w="900" w:type="dxa"/>
            <w:vAlign w:val="bottom"/>
          </w:tcPr>
          <w:p>
            <w:pPr>
              <w:jc w:val="right"/>
              <w:ind w:right="112"/>
              <w:spacing w:after="0"/>
              <w:rPr>
                <w:sz w:val="20"/>
                <w:szCs w:val="20"/>
                <w:color w:val="auto"/>
              </w:rPr>
            </w:pPr>
            <w:r>
              <w:rPr>
                <w:rFonts w:ascii="Arial" w:cs="Arial" w:eastAsia="Arial" w:hAnsi="Arial"/>
                <w:sz w:val="10"/>
                <w:szCs w:val="10"/>
                <w:color w:val="333740"/>
              </w:rPr>
              <w:t>2/26/2028</w:t>
            </w:r>
          </w:p>
        </w:tc>
        <w:tc>
          <w:tcPr>
            <w:tcW w:w="940" w:type="dxa"/>
            <w:vAlign w:val="bottom"/>
          </w:tcPr>
          <w:p>
            <w:pPr>
              <w:jc w:val="right"/>
              <w:ind w:right="152"/>
              <w:spacing w:after="0"/>
              <w:rPr>
                <w:sz w:val="20"/>
                <w:szCs w:val="20"/>
                <w:color w:val="auto"/>
              </w:rPr>
            </w:pPr>
            <w:r>
              <w:rPr>
                <w:rFonts w:ascii="Arial" w:cs="Arial" w:eastAsia="Arial" w:hAnsi="Arial"/>
                <w:sz w:val="10"/>
                <w:szCs w:val="10"/>
                <w:color w:val="333740"/>
              </w:rPr>
              <w:t>8,250</w:t>
            </w:r>
            <w:r>
              <w:rPr>
                <w:rFonts w:ascii="Arial" w:cs="Arial" w:eastAsia="Arial" w:hAnsi="Arial"/>
                <w:sz w:val="13"/>
                <w:szCs w:val="13"/>
                <w:color w:val="333740"/>
                <w:vertAlign w:val="superscript"/>
              </w:rPr>
              <w:t>4</w:t>
            </w:r>
          </w:p>
        </w:tc>
        <w:tc>
          <w:tcPr>
            <w:tcW w:w="960" w:type="dxa"/>
            <w:vAlign w:val="bottom"/>
          </w:tcPr>
          <w:p>
            <w:pPr>
              <w:jc w:val="right"/>
              <w:ind w:right="112"/>
              <w:spacing w:after="0"/>
              <w:rPr>
                <w:sz w:val="20"/>
                <w:szCs w:val="20"/>
                <w:color w:val="auto"/>
              </w:rPr>
            </w:pPr>
            <w:r>
              <w:rPr>
                <w:rFonts w:ascii="Arial" w:cs="Arial" w:eastAsia="Arial" w:hAnsi="Arial"/>
                <w:sz w:val="10"/>
                <w:szCs w:val="10"/>
                <w:color w:val="333740"/>
              </w:rPr>
              <w:t>176,880</w:t>
            </w:r>
          </w:p>
        </w:tc>
        <w:tc>
          <w:tcPr>
            <w:tcW w:w="980" w:type="dxa"/>
            <w:vAlign w:val="bottom"/>
          </w:tcPr>
          <w:p>
            <w:pPr>
              <w:jc w:val="right"/>
              <w:ind w:right="112"/>
              <w:spacing w:after="0"/>
              <w:rPr>
                <w:sz w:val="20"/>
                <w:szCs w:val="20"/>
                <w:color w:val="auto"/>
              </w:rPr>
            </w:pPr>
            <w:r>
              <w:rPr>
                <w:rFonts w:ascii="Arial" w:cs="Arial" w:eastAsia="Arial" w:hAnsi="Arial"/>
                <w:sz w:val="10"/>
                <w:szCs w:val="10"/>
                <w:color w:val="333740"/>
              </w:rPr>
              <w:t>24,752</w:t>
            </w:r>
            <w:r>
              <w:rPr>
                <w:rFonts w:ascii="Arial" w:cs="Arial" w:eastAsia="Arial" w:hAnsi="Arial"/>
                <w:sz w:val="13"/>
                <w:szCs w:val="13"/>
                <w:color w:val="333740"/>
                <w:vertAlign w:val="superscript"/>
              </w:rPr>
              <w:t>5</w:t>
            </w:r>
          </w:p>
        </w:tc>
        <w:tc>
          <w:tcPr>
            <w:tcW w:w="820" w:type="dxa"/>
            <w:vAlign w:val="bottom"/>
          </w:tcPr>
          <w:p>
            <w:pPr>
              <w:jc w:val="right"/>
              <w:spacing w:after="0"/>
              <w:rPr>
                <w:sz w:val="20"/>
                <w:szCs w:val="20"/>
                <w:color w:val="auto"/>
              </w:rPr>
            </w:pPr>
            <w:r>
              <w:rPr>
                <w:rFonts w:ascii="Arial" w:cs="Arial" w:eastAsia="Arial" w:hAnsi="Arial"/>
                <w:sz w:val="10"/>
                <w:szCs w:val="10"/>
                <w:color w:val="333740"/>
              </w:rPr>
              <w:t>530,683</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040" w:type="dxa"/>
            <w:vAlign w:val="bottom"/>
            <w:tcBorders>
              <w:bottom w:val="single" w:sz="8" w:color="D7D8D6"/>
            </w:tcBorders>
          </w:tcPr>
          <w:p>
            <w:pPr>
              <w:spacing w:after="0"/>
              <w:rPr>
                <w:sz w:val="2"/>
                <w:szCs w:val="2"/>
                <w:color w:val="auto"/>
              </w:rPr>
            </w:pPr>
          </w:p>
        </w:tc>
        <w:tc>
          <w:tcPr>
            <w:tcW w:w="1060" w:type="dxa"/>
            <w:vAlign w:val="bottom"/>
            <w:tcBorders>
              <w:bottom w:val="single" w:sz="8" w:color="D7D8D6"/>
            </w:tcBorders>
          </w:tcPr>
          <w:p>
            <w:pPr>
              <w:spacing w:after="0"/>
              <w:rPr>
                <w:sz w:val="2"/>
                <w:szCs w:val="2"/>
                <w:color w:val="auto"/>
              </w:rPr>
            </w:pPr>
          </w:p>
        </w:tc>
        <w:tc>
          <w:tcPr>
            <w:tcW w:w="900" w:type="dxa"/>
            <w:vAlign w:val="bottom"/>
            <w:tcBorders>
              <w:bottom w:val="single" w:sz="8" w:color="D7D8D6"/>
            </w:tcBorders>
          </w:tcPr>
          <w:p>
            <w:pPr>
              <w:spacing w:after="0"/>
              <w:rPr>
                <w:sz w:val="2"/>
                <w:szCs w:val="2"/>
                <w:color w:val="auto"/>
              </w:rPr>
            </w:pPr>
          </w:p>
        </w:tc>
        <w:tc>
          <w:tcPr>
            <w:tcW w:w="940" w:type="dxa"/>
            <w:vAlign w:val="bottom"/>
            <w:tcBorders>
              <w:bottom w:val="single" w:sz="8" w:color="D7D8D6"/>
            </w:tcBorders>
          </w:tcPr>
          <w:p>
            <w:pPr>
              <w:spacing w:after="0"/>
              <w:rPr>
                <w:sz w:val="2"/>
                <w:szCs w:val="2"/>
                <w:color w:val="auto"/>
              </w:rPr>
            </w:pPr>
          </w:p>
        </w:tc>
        <w:tc>
          <w:tcPr>
            <w:tcW w:w="960" w:type="dxa"/>
            <w:vAlign w:val="bottom"/>
            <w:tcBorders>
              <w:bottom w:val="single" w:sz="8" w:color="D7D8D6"/>
            </w:tcBorders>
          </w:tcPr>
          <w:p>
            <w:pPr>
              <w:spacing w:after="0"/>
              <w:rPr>
                <w:sz w:val="2"/>
                <w:szCs w:val="2"/>
                <w:color w:val="auto"/>
              </w:rPr>
            </w:pPr>
          </w:p>
        </w:tc>
        <w:tc>
          <w:tcPr>
            <w:tcW w:w="980" w:type="dxa"/>
            <w:vAlign w:val="bottom"/>
            <w:tcBorders>
              <w:bottom w:val="single" w:sz="8" w:color="D7D8D6"/>
            </w:tcBorders>
          </w:tcPr>
          <w:p>
            <w:pPr>
              <w:spacing w:after="0"/>
              <w:rPr>
                <w:sz w:val="2"/>
                <w:szCs w:val="2"/>
                <w:color w:val="auto"/>
              </w:rPr>
            </w:pPr>
          </w:p>
        </w:tc>
        <w:tc>
          <w:tcPr>
            <w:tcW w:w="820" w:type="dxa"/>
            <w:vAlign w:val="bottom"/>
            <w:tcBorders>
              <w:bottom w:val="single" w:sz="8" w:color="D7D8D6"/>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333740"/>
              </w:rPr>
              <w:t>3/8/2019</w:t>
            </w:r>
          </w:p>
        </w:tc>
        <w:tc>
          <w:tcPr>
            <w:tcW w:w="1140" w:type="dxa"/>
            <w:vAlign w:val="bottom"/>
          </w:tcPr>
          <w:p>
            <w:pPr>
              <w:spacing w:after="0"/>
              <w:rPr>
                <w:sz w:val="16"/>
                <w:szCs w:val="16"/>
                <w:color w:val="auto"/>
              </w:rPr>
            </w:pPr>
          </w:p>
        </w:tc>
        <w:tc>
          <w:tcPr>
            <w:tcW w:w="1140" w:type="dxa"/>
            <w:vAlign w:val="bottom"/>
          </w:tcPr>
          <w:p>
            <w:pPr>
              <w:jc w:val="right"/>
              <w:ind w:right="172"/>
              <w:spacing w:after="0"/>
              <w:rPr>
                <w:sz w:val="20"/>
                <w:szCs w:val="20"/>
                <w:color w:val="auto"/>
              </w:rPr>
            </w:pPr>
            <w:r>
              <w:rPr>
                <w:rFonts w:ascii="Arial" w:cs="Arial" w:eastAsia="Arial" w:hAnsi="Arial"/>
                <w:sz w:val="10"/>
                <w:szCs w:val="10"/>
                <w:color w:val="333740"/>
              </w:rPr>
              <w:t>46,066</w:t>
            </w:r>
            <w:r>
              <w:rPr>
                <w:rFonts w:ascii="Arial" w:cs="Arial" w:eastAsia="Arial" w:hAnsi="Arial"/>
                <w:sz w:val="13"/>
                <w:szCs w:val="13"/>
                <w:color w:val="333740"/>
                <w:vertAlign w:val="superscript"/>
              </w:rPr>
              <w:t>6</w:t>
            </w:r>
          </w:p>
        </w:tc>
        <w:tc>
          <w:tcPr>
            <w:tcW w:w="1040" w:type="dxa"/>
            <w:vAlign w:val="bottom"/>
          </w:tcPr>
          <w:p>
            <w:pPr>
              <w:spacing w:after="0"/>
              <w:rPr>
                <w:sz w:val="16"/>
                <w:szCs w:val="16"/>
                <w:color w:val="auto"/>
              </w:rPr>
            </w:pPr>
          </w:p>
        </w:tc>
        <w:tc>
          <w:tcPr>
            <w:tcW w:w="1060" w:type="dxa"/>
            <w:vAlign w:val="bottom"/>
          </w:tcPr>
          <w:p>
            <w:pPr>
              <w:jc w:val="right"/>
              <w:ind w:right="232"/>
              <w:spacing w:after="0"/>
              <w:rPr>
                <w:sz w:val="20"/>
                <w:szCs w:val="20"/>
                <w:color w:val="auto"/>
              </w:rPr>
            </w:pPr>
            <w:r>
              <w:rPr>
                <w:rFonts w:ascii="Arial" w:cs="Arial" w:eastAsia="Arial" w:hAnsi="Arial"/>
                <w:sz w:val="10"/>
                <w:szCs w:val="10"/>
                <w:color w:val="333740"/>
              </w:rPr>
              <w:t>$20.98</w:t>
            </w:r>
          </w:p>
        </w:tc>
        <w:tc>
          <w:tcPr>
            <w:tcW w:w="900" w:type="dxa"/>
            <w:vAlign w:val="bottom"/>
          </w:tcPr>
          <w:p>
            <w:pPr>
              <w:jc w:val="right"/>
              <w:ind w:right="112"/>
              <w:spacing w:after="0"/>
              <w:rPr>
                <w:sz w:val="20"/>
                <w:szCs w:val="20"/>
                <w:color w:val="auto"/>
              </w:rPr>
            </w:pPr>
            <w:r>
              <w:rPr>
                <w:rFonts w:ascii="Arial" w:cs="Arial" w:eastAsia="Arial" w:hAnsi="Arial"/>
                <w:sz w:val="10"/>
                <w:szCs w:val="10"/>
                <w:color w:val="333740"/>
              </w:rPr>
              <w:t>3/8/2029</w:t>
            </w:r>
          </w:p>
        </w:tc>
        <w:tc>
          <w:tcPr>
            <w:tcW w:w="940" w:type="dxa"/>
            <w:vAlign w:val="bottom"/>
          </w:tcPr>
          <w:p>
            <w:pPr>
              <w:jc w:val="right"/>
              <w:ind w:right="152"/>
              <w:spacing w:after="0"/>
              <w:rPr>
                <w:sz w:val="20"/>
                <w:szCs w:val="20"/>
                <w:color w:val="auto"/>
              </w:rPr>
            </w:pPr>
            <w:r>
              <w:rPr>
                <w:rFonts w:ascii="Arial" w:cs="Arial" w:eastAsia="Arial" w:hAnsi="Arial"/>
                <w:sz w:val="10"/>
                <w:szCs w:val="10"/>
                <w:color w:val="333740"/>
              </w:rPr>
              <w:t>12,392</w:t>
            </w:r>
            <w:r>
              <w:rPr>
                <w:rFonts w:ascii="Arial" w:cs="Arial" w:eastAsia="Arial" w:hAnsi="Arial"/>
                <w:sz w:val="13"/>
                <w:szCs w:val="13"/>
                <w:color w:val="333740"/>
                <w:vertAlign w:val="superscript"/>
              </w:rPr>
              <w:t>6</w:t>
            </w:r>
          </w:p>
        </w:tc>
        <w:tc>
          <w:tcPr>
            <w:tcW w:w="960" w:type="dxa"/>
            <w:vAlign w:val="bottom"/>
          </w:tcPr>
          <w:p>
            <w:pPr>
              <w:jc w:val="right"/>
              <w:ind w:right="112"/>
              <w:spacing w:after="0"/>
              <w:rPr>
                <w:sz w:val="20"/>
                <w:szCs w:val="20"/>
                <w:color w:val="auto"/>
              </w:rPr>
            </w:pPr>
            <w:r>
              <w:rPr>
                <w:rFonts w:ascii="Arial" w:cs="Arial" w:eastAsia="Arial" w:hAnsi="Arial"/>
                <w:sz w:val="10"/>
                <w:szCs w:val="10"/>
                <w:color w:val="333740"/>
              </w:rPr>
              <w:t>265,684</w:t>
            </w:r>
          </w:p>
        </w:tc>
        <w:tc>
          <w:tcPr>
            <w:tcW w:w="980" w:type="dxa"/>
            <w:vAlign w:val="bottom"/>
          </w:tcPr>
          <w:p>
            <w:pPr>
              <w:jc w:val="right"/>
              <w:ind w:right="112"/>
              <w:spacing w:after="0"/>
              <w:rPr>
                <w:sz w:val="20"/>
                <w:szCs w:val="20"/>
                <w:color w:val="auto"/>
              </w:rPr>
            </w:pPr>
            <w:r>
              <w:rPr>
                <w:rFonts w:ascii="Arial" w:cs="Arial" w:eastAsia="Arial" w:hAnsi="Arial"/>
                <w:sz w:val="10"/>
                <w:szCs w:val="10"/>
                <w:color w:val="333740"/>
              </w:rPr>
              <w:t>37,178</w:t>
            </w:r>
            <w:r>
              <w:rPr>
                <w:rFonts w:ascii="Arial" w:cs="Arial" w:eastAsia="Arial" w:hAnsi="Arial"/>
                <w:sz w:val="13"/>
                <w:szCs w:val="13"/>
                <w:color w:val="333740"/>
                <w:vertAlign w:val="superscript"/>
              </w:rPr>
              <w:t>7</w:t>
            </w:r>
          </w:p>
        </w:tc>
        <w:tc>
          <w:tcPr>
            <w:tcW w:w="820" w:type="dxa"/>
            <w:vAlign w:val="bottom"/>
          </w:tcPr>
          <w:p>
            <w:pPr>
              <w:jc w:val="right"/>
              <w:spacing w:after="0"/>
              <w:rPr>
                <w:sz w:val="20"/>
                <w:szCs w:val="20"/>
                <w:color w:val="auto"/>
              </w:rPr>
            </w:pPr>
            <w:r>
              <w:rPr>
                <w:rFonts w:ascii="Arial" w:cs="Arial" w:eastAsia="Arial" w:hAnsi="Arial"/>
                <w:sz w:val="10"/>
                <w:szCs w:val="10"/>
                <w:color w:val="333740"/>
              </w:rPr>
              <w:t>797,096</w:t>
            </w:r>
          </w:p>
        </w:tc>
        <w:tc>
          <w:tcPr>
            <w:tcW w:w="0" w:type="dxa"/>
            <w:vAlign w:val="bottom"/>
          </w:tcPr>
          <w:p>
            <w:pPr>
              <w:spacing w:after="0"/>
              <w:rPr>
                <w:sz w:val="1"/>
                <w:szCs w:val="1"/>
                <w:color w:val="auto"/>
              </w:rPr>
            </w:pPr>
          </w:p>
        </w:tc>
      </w:tr>
      <w:tr>
        <w:trPr>
          <w:trHeight w:val="25"/>
        </w:trPr>
        <w:tc>
          <w:tcPr>
            <w:tcW w:w="1240" w:type="dxa"/>
            <w:vAlign w:val="bottom"/>
            <w:tcBorders>
              <w:bottom w:val="single" w:sz="8" w:color="D7D8D6"/>
            </w:tcBorders>
          </w:tcPr>
          <w:p>
            <w:pPr>
              <w:spacing w:after="0"/>
              <w:rPr>
                <w:sz w:val="2"/>
                <w:szCs w:val="2"/>
                <w:color w:val="auto"/>
              </w:rPr>
            </w:pPr>
          </w:p>
        </w:tc>
        <w:tc>
          <w:tcPr>
            <w:tcW w:w="10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140" w:type="dxa"/>
            <w:vAlign w:val="bottom"/>
            <w:tcBorders>
              <w:bottom w:val="single" w:sz="8" w:color="D7D8D6"/>
            </w:tcBorders>
          </w:tcPr>
          <w:p>
            <w:pPr>
              <w:spacing w:after="0"/>
              <w:rPr>
                <w:sz w:val="2"/>
                <w:szCs w:val="2"/>
                <w:color w:val="auto"/>
              </w:rPr>
            </w:pPr>
          </w:p>
        </w:tc>
        <w:tc>
          <w:tcPr>
            <w:tcW w:w="1040" w:type="dxa"/>
            <w:vAlign w:val="bottom"/>
            <w:tcBorders>
              <w:bottom w:val="single" w:sz="8" w:color="D7D8D6"/>
            </w:tcBorders>
          </w:tcPr>
          <w:p>
            <w:pPr>
              <w:spacing w:after="0"/>
              <w:rPr>
                <w:sz w:val="2"/>
                <w:szCs w:val="2"/>
                <w:color w:val="auto"/>
              </w:rPr>
            </w:pPr>
          </w:p>
        </w:tc>
        <w:tc>
          <w:tcPr>
            <w:tcW w:w="1060" w:type="dxa"/>
            <w:vAlign w:val="bottom"/>
            <w:tcBorders>
              <w:bottom w:val="single" w:sz="8" w:color="D7D8D6"/>
            </w:tcBorders>
          </w:tcPr>
          <w:p>
            <w:pPr>
              <w:spacing w:after="0"/>
              <w:rPr>
                <w:sz w:val="2"/>
                <w:szCs w:val="2"/>
                <w:color w:val="auto"/>
              </w:rPr>
            </w:pPr>
          </w:p>
        </w:tc>
        <w:tc>
          <w:tcPr>
            <w:tcW w:w="900" w:type="dxa"/>
            <w:vAlign w:val="bottom"/>
            <w:tcBorders>
              <w:bottom w:val="single" w:sz="8" w:color="D7D8D6"/>
            </w:tcBorders>
          </w:tcPr>
          <w:p>
            <w:pPr>
              <w:spacing w:after="0"/>
              <w:rPr>
                <w:sz w:val="2"/>
                <w:szCs w:val="2"/>
                <w:color w:val="auto"/>
              </w:rPr>
            </w:pPr>
          </w:p>
        </w:tc>
        <w:tc>
          <w:tcPr>
            <w:tcW w:w="940" w:type="dxa"/>
            <w:vAlign w:val="bottom"/>
            <w:tcBorders>
              <w:bottom w:val="single" w:sz="8" w:color="D7D8D6"/>
            </w:tcBorders>
          </w:tcPr>
          <w:p>
            <w:pPr>
              <w:spacing w:after="0"/>
              <w:rPr>
                <w:sz w:val="2"/>
                <w:szCs w:val="2"/>
                <w:color w:val="auto"/>
              </w:rPr>
            </w:pPr>
          </w:p>
        </w:tc>
        <w:tc>
          <w:tcPr>
            <w:tcW w:w="960" w:type="dxa"/>
            <w:vAlign w:val="bottom"/>
            <w:tcBorders>
              <w:bottom w:val="single" w:sz="8" w:color="D7D8D6"/>
            </w:tcBorders>
          </w:tcPr>
          <w:p>
            <w:pPr>
              <w:spacing w:after="0"/>
              <w:rPr>
                <w:sz w:val="2"/>
                <w:szCs w:val="2"/>
                <w:color w:val="auto"/>
              </w:rPr>
            </w:pPr>
          </w:p>
        </w:tc>
        <w:tc>
          <w:tcPr>
            <w:tcW w:w="980" w:type="dxa"/>
            <w:vAlign w:val="bottom"/>
            <w:tcBorders>
              <w:bottom w:val="single" w:sz="8" w:color="D7D8D6"/>
            </w:tcBorders>
          </w:tcPr>
          <w:p>
            <w:pPr>
              <w:spacing w:after="0"/>
              <w:rPr>
                <w:sz w:val="2"/>
                <w:szCs w:val="2"/>
                <w:color w:val="auto"/>
              </w:rPr>
            </w:pPr>
          </w:p>
        </w:tc>
        <w:tc>
          <w:tcPr>
            <w:tcW w:w="820" w:type="dxa"/>
            <w:vAlign w:val="bottom"/>
            <w:tcBorders>
              <w:bottom w:val="single" w:sz="8" w:color="D7D8D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304" w:hanging="304"/>
        <w:spacing w:after="0"/>
        <w:tabs>
          <w:tab w:leader="none" w:pos="304" w:val="left"/>
        </w:tabs>
        <w:numPr>
          <w:ilvl w:val="0"/>
          <w:numId w:val="112"/>
        </w:numPr>
        <w:rPr>
          <w:rFonts w:ascii="Arial" w:cs="Arial" w:eastAsia="Arial" w:hAnsi="Arial"/>
          <w:sz w:val="11"/>
          <w:szCs w:val="11"/>
          <w:color w:val="333740"/>
        </w:rPr>
      </w:pPr>
      <w:r>
        <w:rPr>
          <w:rFonts w:ascii="Arial" w:cs="Arial" w:eastAsia="Arial" w:hAnsi="Arial"/>
          <w:sz w:val="11"/>
          <w:szCs w:val="11"/>
          <w:color w:val="333740"/>
        </w:rPr>
        <w:t>The market value of RSUs that have not vested is calculated using the closing price of the Company’s Ordinary Shares on the NYSE of $21.44 on December 31, 2019.</w:t>
      </w:r>
    </w:p>
    <w:p>
      <w:pPr>
        <w:ind w:left="304" w:hanging="304"/>
        <w:spacing w:after="0" w:line="226" w:lineRule="auto"/>
        <w:tabs>
          <w:tab w:leader="none" w:pos="304" w:val="left"/>
        </w:tabs>
        <w:numPr>
          <w:ilvl w:val="0"/>
          <w:numId w:val="112"/>
        </w:numPr>
        <w:rPr>
          <w:rFonts w:ascii="Arial" w:cs="Arial" w:eastAsia="Arial" w:hAnsi="Arial"/>
          <w:sz w:val="11"/>
          <w:szCs w:val="11"/>
          <w:color w:val="333740"/>
        </w:rPr>
      </w:pPr>
      <w:r>
        <w:rPr>
          <w:rFonts w:ascii="Arial" w:cs="Arial" w:eastAsia="Arial" w:hAnsi="Arial"/>
          <w:sz w:val="11"/>
          <w:szCs w:val="11"/>
          <w:color w:val="333740"/>
        </w:rPr>
        <w:t>Reflects grant of stock options and RSUs, as applicable, that vest on February 28, 2020.</w:t>
      </w:r>
    </w:p>
    <w:p>
      <w:pPr>
        <w:ind w:left="304" w:hanging="304"/>
        <w:spacing w:after="0" w:line="226" w:lineRule="auto"/>
        <w:tabs>
          <w:tab w:leader="none" w:pos="304" w:val="left"/>
        </w:tabs>
        <w:numPr>
          <w:ilvl w:val="0"/>
          <w:numId w:val="112"/>
        </w:numPr>
        <w:rPr>
          <w:rFonts w:ascii="Arial" w:cs="Arial" w:eastAsia="Arial" w:hAnsi="Arial"/>
          <w:sz w:val="11"/>
          <w:szCs w:val="11"/>
          <w:color w:val="333740"/>
        </w:rPr>
      </w:pPr>
      <w:r>
        <w:rPr>
          <w:rFonts w:ascii="Arial" w:cs="Arial" w:eastAsia="Arial" w:hAnsi="Arial"/>
          <w:sz w:val="11"/>
          <w:szCs w:val="11"/>
          <w:color w:val="333740"/>
        </w:rPr>
        <w:t>Reflects the target number of PSUs that vest on February 28, 2020.</w:t>
      </w:r>
    </w:p>
    <w:p>
      <w:pPr>
        <w:ind w:left="304" w:hanging="304"/>
        <w:spacing w:after="0" w:line="226" w:lineRule="auto"/>
        <w:tabs>
          <w:tab w:leader="none" w:pos="304" w:val="left"/>
        </w:tabs>
        <w:numPr>
          <w:ilvl w:val="0"/>
          <w:numId w:val="112"/>
        </w:numPr>
        <w:rPr>
          <w:rFonts w:ascii="Arial" w:cs="Arial" w:eastAsia="Arial" w:hAnsi="Arial"/>
          <w:sz w:val="11"/>
          <w:szCs w:val="11"/>
          <w:color w:val="333740"/>
        </w:rPr>
      </w:pPr>
      <w:r>
        <w:rPr>
          <w:rFonts w:ascii="Arial" w:cs="Arial" w:eastAsia="Arial" w:hAnsi="Arial"/>
          <w:sz w:val="11"/>
          <w:szCs w:val="11"/>
          <w:color w:val="333740"/>
        </w:rPr>
        <w:t>Reflects grant of stock options and RSUs, as applicable, that vest on February 26, 2021.</w:t>
      </w:r>
    </w:p>
    <w:p>
      <w:pPr>
        <w:ind w:left="304" w:hanging="304"/>
        <w:spacing w:after="0" w:line="226" w:lineRule="auto"/>
        <w:tabs>
          <w:tab w:leader="none" w:pos="304" w:val="left"/>
        </w:tabs>
        <w:numPr>
          <w:ilvl w:val="0"/>
          <w:numId w:val="112"/>
        </w:numPr>
        <w:rPr>
          <w:rFonts w:ascii="Arial" w:cs="Arial" w:eastAsia="Arial" w:hAnsi="Arial"/>
          <w:sz w:val="11"/>
          <w:szCs w:val="11"/>
          <w:color w:val="333740"/>
        </w:rPr>
      </w:pPr>
      <w:r>
        <w:rPr>
          <w:rFonts w:ascii="Arial" w:cs="Arial" w:eastAsia="Arial" w:hAnsi="Arial"/>
          <w:sz w:val="11"/>
          <w:szCs w:val="11"/>
          <w:color w:val="333740"/>
        </w:rPr>
        <w:t>Reflects the target number of PSUs that vest on February 26, 2021.</w:t>
      </w:r>
    </w:p>
    <w:p>
      <w:pPr>
        <w:ind w:left="304" w:hanging="304"/>
        <w:spacing w:after="0" w:line="226" w:lineRule="auto"/>
        <w:tabs>
          <w:tab w:leader="none" w:pos="304" w:val="left"/>
        </w:tabs>
        <w:numPr>
          <w:ilvl w:val="0"/>
          <w:numId w:val="112"/>
        </w:numPr>
        <w:rPr>
          <w:rFonts w:ascii="Arial" w:cs="Arial" w:eastAsia="Arial" w:hAnsi="Arial"/>
          <w:sz w:val="11"/>
          <w:szCs w:val="11"/>
          <w:color w:val="333740"/>
        </w:rPr>
      </w:pPr>
      <w:r>
        <w:rPr>
          <w:rFonts w:ascii="Arial" w:cs="Arial" w:eastAsia="Arial" w:hAnsi="Arial"/>
          <w:sz w:val="11"/>
          <w:szCs w:val="11"/>
          <w:color w:val="333740"/>
        </w:rPr>
        <w:t>Reflects grant of stock options and RSUs, as applicable, that vest on March 8, 2022.</w:t>
      </w:r>
    </w:p>
    <w:p>
      <w:pPr>
        <w:ind w:left="304" w:hanging="304"/>
        <w:spacing w:after="0" w:line="226" w:lineRule="auto"/>
        <w:tabs>
          <w:tab w:leader="none" w:pos="304" w:val="left"/>
        </w:tabs>
        <w:numPr>
          <w:ilvl w:val="0"/>
          <w:numId w:val="112"/>
        </w:numPr>
        <w:rPr>
          <w:rFonts w:ascii="Arial" w:cs="Arial" w:eastAsia="Arial" w:hAnsi="Arial"/>
          <w:sz w:val="11"/>
          <w:szCs w:val="11"/>
          <w:color w:val="333740"/>
        </w:rPr>
      </w:pPr>
      <w:r>
        <w:rPr>
          <w:rFonts w:ascii="Arial" w:cs="Arial" w:eastAsia="Arial" w:hAnsi="Arial"/>
          <w:sz w:val="11"/>
          <w:szCs w:val="11"/>
          <w:color w:val="333740"/>
        </w:rPr>
        <w:t>Reflects the target number of PSUs that vest on March 8, 2022.</w:t>
      </w:r>
    </w:p>
    <w:p>
      <w:pPr>
        <w:ind w:left="304" w:hanging="304"/>
        <w:spacing w:after="0"/>
        <w:tabs>
          <w:tab w:leader="none" w:pos="304" w:val="left"/>
        </w:tabs>
        <w:numPr>
          <w:ilvl w:val="0"/>
          <w:numId w:val="112"/>
        </w:numPr>
        <w:rPr>
          <w:rFonts w:ascii="Arial" w:cs="Arial" w:eastAsia="Arial" w:hAnsi="Arial"/>
          <w:sz w:val="11"/>
          <w:szCs w:val="11"/>
          <w:color w:val="333740"/>
        </w:rPr>
      </w:pPr>
      <w:r>
        <w:rPr>
          <w:rFonts w:ascii="Arial" w:cs="Arial" w:eastAsia="Arial" w:hAnsi="Arial"/>
          <w:sz w:val="11"/>
          <w:szCs w:val="11"/>
          <w:color w:val="333740"/>
        </w:rPr>
        <w:t>Reflects grant of RSUs that vest on September 14, 2020.</w:t>
      </w:r>
    </w:p>
    <w:p>
      <w:pPr>
        <w:spacing w:after="0" w:line="4" w:lineRule="exact"/>
        <w:rPr>
          <w:rFonts w:ascii="Arial" w:cs="Arial" w:eastAsia="Arial" w:hAnsi="Arial"/>
          <w:sz w:val="11"/>
          <w:szCs w:val="11"/>
          <w:color w:val="333740"/>
        </w:rPr>
      </w:pPr>
    </w:p>
    <w:p>
      <w:pPr>
        <w:ind w:left="304" w:hanging="304"/>
        <w:spacing w:after="0"/>
        <w:tabs>
          <w:tab w:leader="none" w:pos="304" w:val="left"/>
        </w:tabs>
        <w:numPr>
          <w:ilvl w:val="0"/>
          <w:numId w:val="112"/>
        </w:numPr>
        <w:rPr>
          <w:rFonts w:ascii="Arial" w:cs="Arial" w:eastAsia="Arial" w:hAnsi="Arial"/>
          <w:sz w:val="11"/>
          <w:szCs w:val="11"/>
          <w:color w:val="333740"/>
        </w:rPr>
      </w:pPr>
      <w:r>
        <w:rPr>
          <w:rFonts w:ascii="Arial" w:cs="Arial" w:eastAsia="Arial" w:hAnsi="Arial"/>
          <w:sz w:val="11"/>
          <w:szCs w:val="11"/>
          <w:color w:val="333740"/>
        </w:rPr>
        <w:t>Reflects grant of legacy Technip stock options and PSUs, as applicable, that were earned based on the satisfaction of performance criteria at target, and that vest on July 1, 2020.</w:t>
      </w:r>
    </w:p>
    <w:p>
      <w:pPr>
        <w:spacing w:after="0" w:line="337" w:lineRule="exact"/>
        <w:rPr>
          <w:sz w:val="20"/>
          <w:szCs w:val="20"/>
          <w:color w:val="auto"/>
        </w:rPr>
      </w:pPr>
    </w:p>
    <w:p>
      <w:pPr>
        <w:ind w:left="564" w:hanging="564"/>
        <w:spacing w:after="0"/>
        <w:tabs>
          <w:tab w:leader="none" w:pos="564" w:val="left"/>
        </w:tabs>
        <w:numPr>
          <w:ilvl w:val="0"/>
          <w:numId w:val="113"/>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95" w:name="page96"/>
    <w:bookmarkEnd w:id="95"/>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3"/>
          <w:szCs w:val="33"/>
          <w:color w:val="481F6E"/>
        </w:rPr>
        <w:t>Option Exercises and Stock Vested Table</w:t>
      </w:r>
    </w:p>
    <w:p>
      <w:pPr>
        <w:spacing w:after="0" w:line="30" w:lineRule="exact"/>
        <w:rPr>
          <w:sz w:val="20"/>
          <w:szCs w:val="20"/>
          <w:color w:val="auto"/>
        </w:rPr>
      </w:pPr>
    </w:p>
    <w:p>
      <w:pPr>
        <w:ind w:left="4" w:right="40"/>
        <w:spacing w:after="0" w:line="244" w:lineRule="auto"/>
        <w:rPr>
          <w:sz w:val="20"/>
          <w:szCs w:val="20"/>
          <w:color w:val="auto"/>
        </w:rPr>
      </w:pPr>
      <w:r>
        <w:rPr>
          <w:rFonts w:ascii="Arial" w:cs="Arial" w:eastAsia="Arial" w:hAnsi="Arial"/>
          <w:sz w:val="16"/>
          <w:szCs w:val="16"/>
          <w:color w:val="333740"/>
        </w:rPr>
        <w:t>Shown below is information for each of the NEOs with respect to options to purchase Ordinary Shares exercised in 2019 and RSU and PSU awards that vested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1844040</wp:posOffset>
            </wp:positionH>
            <wp:positionV relativeFrom="paragraph">
              <wp:posOffset>111760</wp:posOffset>
            </wp:positionV>
            <wp:extent cx="5304155" cy="5994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304155" cy="599440"/>
                    </a:xfrm>
                    <a:prstGeom prst="rect">
                      <a:avLst/>
                    </a:prstGeom>
                    <a:noFill/>
                  </pic:spPr>
                </pic:pic>
              </a:graphicData>
            </a:graphic>
          </wp:anchor>
        </w:drawing>
      </w:r>
    </w:p>
    <w:p>
      <w:pPr>
        <w:spacing w:after="0" w:line="156"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2900" w:type="dxa"/>
            <w:vAlign w:val="bottom"/>
            <w:shd w:val="clear" w:color="auto" w:fill="481F6E"/>
          </w:tcPr>
          <w:p>
            <w:pPr>
              <w:spacing w:after="0"/>
              <w:rPr>
                <w:sz w:val="18"/>
                <w:szCs w:val="18"/>
                <w:color w:val="auto"/>
              </w:rPr>
            </w:pPr>
          </w:p>
        </w:tc>
        <w:tc>
          <w:tcPr>
            <w:tcW w:w="2800" w:type="dxa"/>
            <w:vAlign w:val="bottom"/>
            <w:shd w:val="clear" w:color="auto" w:fill="481F6E"/>
          </w:tcPr>
          <w:p>
            <w:pPr>
              <w:ind w:left="1600"/>
              <w:spacing w:after="0"/>
              <w:rPr>
                <w:sz w:val="20"/>
                <w:szCs w:val="20"/>
                <w:color w:val="auto"/>
              </w:rPr>
            </w:pPr>
            <w:r>
              <w:rPr>
                <w:rFonts w:ascii="Arial" w:cs="Arial" w:eastAsia="Arial" w:hAnsi="Arial"/>
                <w:sz w:val="14"/>
                <w:szCs w:val="14"/>
                <w:b w:val="1"/>
                <w:bCs w:val="1"/>
                <w:color w:val="FFFFFF"/>
              </w:rPr>
              <w:t>Option Awards</w:t>
            </w:r>
          </w:p>
        </w:tc>
        <w:tc>
          <w:tcPr>
            <w:tcW w:w="1840" w:type="dxa"/>
            <w:vAlign w:val="bottom"/>
            <w:shd w:val="clear" w:color="auto" w:fill="481F6E"/>
          </w:tcPr>
          <w:p>
            <w:pPr>
              <w:spacing w:after="0"/>
              <w:rPr>
                <w:sz w:val="18"/>
                <w:szCs w:val="18"/>
                <w:color w:val="auto"/>
              </w:rPr>
            </w:pPr>
          </w:p>
        </w:tc>
        <w:tc>
          <w:tcPr>
            <w:tcW w:w="2320" w:type="dxa"/>
            <w:vAlign w:val="bottom"/>
            <w:shd w:val="clear" w:color="auto" w:fill="481F6E"/>
          </w:tcPr>
          <w:p>
            <w:pPr>
              <w:jc w:val="right"/>
              <w:ind w:right="88"/>
              <w:spacing w:after="0"/>
              <w:rPr>
                <w:sz w:val="20"/>
                <w:szCs w:val="20"/>
                <w:color w:val="auto"/>
              </w:rPr>
            </w:pPr>
            <w:r>
              <w:rPr>
                <w:rFonts w:ascii="Arial" w:cs="Arial" w:eastAsia="Arial" w:hAnsi="Arial"/>
                <w:sz w:val="14"/>
                <w:szCs w:val="14"/>
                <w:b w:val="1"/>
                <w:bCs w:val="1"/>
                <w:color w:val="FFFFFF"/>
              </w:rPr>
              <w:t>Stock Awards</w:t>
            </w:r>
          </w:p>
        </w:tc>
        <w:tc>
          <w:tcPr>
            <w:tcW w:w="1400" w:type="dxa"/>
            <w:vAlign w:val="bottom"/>
            <w:shd w:val="clear" w:color="auto" w:fill="481F6E"/>
          </w:tcPr>
          <w:p>
            <w:pPr>
              <w:spacing w:after="0"/>
              <w:rPr>
                <w:sz w:val="18"/>
                <w:szCs w:val="18"/>
                <w:color w:val="auto"/>
              </w:rPr>
            </w:pPr>
          </w:p>
        </w:tc>
      </w:tr>
      <w:tr>
        <w:trPr>
          <w:trHeight w:val="192"/>
        </w:trPr>
        <w:tc>
          <w:tcPr>
            <w:tcW w:w="2900" w:type="dxa"/>
            <w:vAlign w:val="bottom"/>
            <w:shd w:val="clear" w:color="auto" w:fill="481F6E"/>
          </w:tcPr>
          <w:p>
            <w:pPr>
              <w:ind w:left="600"/>
              <w:spacing w:after="0"/>
              <w:rPr>
                <w:sz w:val="20"/>
                <w:szCs w:val="20"/>
                <w:color w:val="auto"/>
              </w:rPr>
            </w:pPr>
            <w:r>
              <w:rPr>
                <w:rFonts w:ascii="Arial" w:cs="Arial" w:eastAsia="Arial" w:hAnsi="Arial"/>
                <w:sz w:val="14"/>
                <w:szCs w:val="14"/>
                <w:b w:val="1"/>
                <w:bCs w:val="1"/>
                <w:color w:val="FFFFFF"/>
              </w:rPr>
              <w:t>Named Executive Officer</w:t>
            </w:r>
          </w:p>
        </w:tc>
        <w:tc>
          <w:tcPr>
            <w:tcW w:w="2800" w:type="dxa"/>
            <w:vAlign w:val="bottom"/>
            <w:shd w:val="clear" w:color="auto" w:fill="481F6E"/>
          </w:tcPr>
          <w:p>
            <w:pPr>
              <w:jc w:val="right"/>
              <w:ind w:right="608"/>
              <w:spacing w:after="0"/>
              <w:rPr>
                <w:sz w:val="20"/>
                <w:szCs w:val="20"/>
                <w:color w:val="auto"/>
              </w:rPr>
            </w:pPr>
            <w:r>
              <w:rPr>
                <w:rFonts w:ascii="Arial" w:cs="Arial" w:eastAsia="Arial" w:hAnsi="Arial"/>
                <w:sz w:val="14"/>
                <w:szCs w:val="14"/>
                <w:b w:val="1"/>
                <w:bCs w:val="1"/>
                <w:color w:val="FFFFFF"/>
              </w:rPr>
              <w:t>Number of</w:t>
            </w:r>
          </w:p>
        </w:tc>
        <w:tc>
          <w:tcPr>
            <w:tcW w:w="1840" w:type="dxa"/>
            <w:vAlign w:val="bottom"/>
            <w:shd w:val="clear" w:color="auto" w:fill="481F6E"/>
          </w:tcPr>
          <w:p>
            <w:pPr>
              <w:jc w:val="right"/>
              <w:ind w:right="368"/>
              <w:spacing w:after="0"/>
              <w:rPr>
                <w:sz w:val="20"/>
                <w:szCs w:val="20"/>
                <w:color w:val="auto"/>
              </w:rPr>
            </w:pPr>
            <w:r>
              <w:rPr>
                <w:rFonts w:ascii="Arial" w:cs="Arial" w:eastAsia="Arial" w:hAnsi="Arial"/>
                <w:sz w:val="14"/>
                <w:szCs w:val="14"/>
                <w:b w:val="1"/>
                <w:bCs w:val="1"/>
                <w:color w:val="FFFFFF"/>
              </w:rPr>
              <w:t>Value Realized on</w:t>
            </w:r>
          </w:p>
        </w:tc>
        <w:tc>
          <w:tcPr>
            <w:tcW w:w="2320" w:type="dxa"/>
            <w:vAlign w:val="bottom"/>
            <w:shd w:val="clear" w:color="auto" w:fill="481F6E"/>
          </w:tcPr>
          <w:p>
            <w:pPr>
              <w:jc w:val="right"/>
              <w:ind w:right="548"/>
              <w:spacing w:after="0"/>
              <w:rPr>
                <w:sz w:val="20"/>
                <w:szCs w:val="20"/>
                <w:color w:val="auto"/>
              </w:rPr>
            </w:pPr>
            <w:r>
              <w:rPr>
                <w:rFonts w:ascii="Arial" w:cs="Arial" w:eastAsia="Arial" w:hAnsi="Arial"/>
                <w:sz w:val="14"/>
                <w:szCs w:val="14"/>
                <w:b w:val="1"/>
                <w:bCs w:val="1"/>
                <w:color w:val="FFFFFF"/>
              </w:rPr>
              <w:t>Number of Shares</w:t>
            </w:r>
          </w:p>
        </w:tc>
        <w:tc>
          <w:tcPr>
            <w:tcW w:w="1400" w:type="dxa"/>
            <w:vAlign w:val="bottom"/>
            <w:shd w:val="clear" w:color="auto" w:fill="481F6E"/>
          </w:tcPr>
          <w:p>
            <w:pPr>
              <w:jc w:val="right"/>
              <w:spacing w:after="0"/>
              <w:rPr>
                <w:sz w:val="20"/>
                <w:szCs w:val="20"/>
                <w:color w:val="auto"/>
              </w:rPr>
            </w:pPr>
            <w:r>
              <w:rPr>
                <w:rFonts w:ascii="Arial" w:cs="Arial" w:eastAsia="Arial" w:hAnsi="Arial"/>
                <w:sz w:val="14"/>
                <w:szCs w:val="14"/>
                <w:b w:val="1"/>
                <w:bCs w:val="1"/>
                <w:color w:val="FFFFFF"/>
              </w:rPr>
              <w:t>Value Realized on</w:t>
            </w:r>
          </w:p>
        </w:tc>
      </w:tr>
      <w:tr>
        <w:trPr>
          <w:trHeight w:val="167"/>
        </w:trPr>
        <w:tc>
          <w:tcPr>
            <w:tcW w:w="2900" w:type="dxa"/>
            <w:vAlign w:val="bottom"/>
            <w:shd w:val="clear" w:color="auto" w:fill="481F6E"/>
          </w:tcPr>
          <w:p>
            <w:pPr>
              <w:spacing w:after="0"/>
              <w:rPr>
                <w:sz w:val="14"/>
                <w:szCs w:val="14"/>
                <w:color w:val="auto"/>
              </w:rPr>
            </w:pPr>
          </w:p>
        </w:tc>
        <w:tc>
          <w:tcPr>
            <w:tcW w:w="2800" w:type="dxa"/>
            <w:vAlign w:val="bottom"/>
            <w:shd w:val="clear" w:color="auto" w:fill="481F6E"/>
          </w:tcPr>
          <w:p>
            <w:pPr>
              <w:jc w:val="right"/>
              <w:ind w:right="608"/>
              <w:spacing w:after="0"/>
              <w:rPr>
                <w:sz w:val="20"/>
                <w:szCs w:val="20"/>
                <w:color w:val="auto"/>
              </w:rPr>
            </w:pPr>
            <w:r>
              <w:rPr>
                <w:rFonts w:ascii="Arial" w:cs="Arial" w:eastAsia="Arial" w:hAnsi="Arial"/>
                <w:sz w:val="14"/>
                <w:szCs w:val="14"/>
                <w:b w:val="1"/>
                <w:bCs w:val="1"/>
                <w:color w:val="FFFFFF"/>
              </w:rPr>
              <w:t>Shares Acquired</w:t>
            </w:r>
          </w:p>
        </w:tc>
        <w:tc>
          <w:tcPr>
            <w:tcW w:w="1840" w:type="dxa"/>
            <w:vAlign w:val="bottom"/>
            <w:shd w:val="clear" w:color="auto" w:fill="481F6E"/>
          </w:tcPr>
          <w:p>
            <w:pPr>
              <w:jc w:val="right"/>
              <w:ind w:right="368"/>
              <w:spacing w:after="0"/>
              <w:rPr>
                <w:sz w:val="20"/>
                <w:szCs w:val="20"/>
                <w:color w:val="auto"/>
              </w:rPr>
            </w:pPr>
            <w:r>
              <w:rPr>
                <w:rFonts w:ascii="Arial" w:cs="Arial" w:eastAsia="Arial" w:hAnsi="Arial"/>
                <w:sz w:val="14"/>
                <w:szCs w:val="14"/>
                <w:b w:val="1"/>
                <w:bCs w:val="1"/>
                <w:color w:val="FFFFFF"/>
              </w:rPr>
              <w:t>Exercise ($)</w:t>
            </w:r>
          </w:p>
        </w:tc>
        <w:tc>
          <w:tcPr>
            <w:tcW w:w="2320" w:type="dxa"/>
            <w:vAlign w:val="bottom"/>
            <w:shd w:val="clear" w:color="auto" w:fill="481F6E"/>
          </w:tcPr>
          <w:p>
            <w:pPr>
              <w:jc w:val="right"/>
              <w:ind w:right="548"/>
              <w:spacing w:after="0"/>
              <w:rPr>
                <w:sz w:val="20"/>
                <w:szCs w:val="20"/>
                <w:color w:val="auto"/>
              </w:rPr>
            </w:pPr>
            <w:r>
              <w:rPr>
                <w:rFonts w:ascii="Arial" w:cs="Arial" w:eastAsia="Arial" w:hAnsi="Arial"/>
                <w:sz w:val="14"/>
                <w:szCs w:val="14"/>
                <w:b w:val="1"/>
                <w:bCs w:val="1"/>
                <w:color w:val="FFFFFF"/>
              </w:rPr>
              <w:t>Acquired on</w:t>
            </w:r>
          </w:p>
        </w:tc>
        <w:tc>
          <w:tcPr>
            <w:tcW w:w="1400" w:type="dxa"/>
            <w:vAlign w:val="bottom"/>
            <w:shd w:val="clear" w:color="auto" w:fill="481F6E"/>
          </w:tcPr>
          <w:p>
            <w:pPr>
              <w:jc w:val="right"/>
              <w:spacing w:after="0"/>
              <w:rPr>
                <w:sz w:val="20"/>
                <w:szCs w:val="20"/>
                <w:color w:val="auto"/>
              </w:rPr>
            </w:pPr>
            <w:r>
              <w:rPr>
                <w:rFonts w:ascii="Arial" w:cs="Arial" w:eastAsia="Arial" w:hAnsi="Arial"/>
                <w:sz w:val="14"/>
                <w:szCs w:val="14"/>
                <w:b w:val="1"/>
                <w:bCs w:val="1"/>
                <w:color w:val="FFFFFF"/>
              </w:rPr>
              <w:t>Vesting</w:t>
            </w:r>
            <w:r>
              <w:rPr>
                <w:rFonts w:ascii="Arial" w:cs="Arial" w:eastAsia="Arial" w:hAnsi="Arial"/>
                <w:sz w:val="7"/>
                <w:szCs w:val="7"/>
                <w:b w:val="1"/>
                <w:bCs w:val="1"/>
                <w:color w:val="FFFFFF"/>
              </w:rPr>
              <w:t>1</w:t>
            </w:r>
          </w:p>
        </w:tc>
      </w:tr>
      <w:tr>
        <w:trPr>
          <w:trHeight w:val="167"/>
        </w:trPr>
        <w:tc>
          <w:tcPr>
            <w:tcW w:w="2900" w:type="dxa"/>
            <w:vAlign w:val="bottom"/>
            <w:shd w:val="clear" w:color="auto" w:fill="481F6E"/>
          </w:tcPr>
          <w:p>
            <w:pPr>
              <w:spacing w:after="0"/>
              <w:rPr>
                <w:sz w:val="14"/>
                <w:szCs w:val="14"/>
                <w:color w:val="auto"/>
              </w:rPr>
            </w:pPr>
          </w:p>
        </w:tc>
        <w:tc>
          <w:tcPr>
            <w:tcW w:w="2800" w:type="dxa"/>
            <w:vAlign w:val="bottom"/>
            <w:shd w:val="clear" w:color="auto" w:fill="481F6E"/>
          </w:tcPr>
          <w:p>
            <w:pPr>
              <w:jc w:val="right"/>
              <w:ind w:right="608"/>
              <w:spacing w:after="0"/>
              <w:rPr>
                <w:sz w:val="20"/>
                <w:szCs w:val="20"/>
                <w:color w:val="auto"/>
              </w:rPr>
            </w:pPr>
            <w:r>
              <w:rPr>
                <w:rFonts w:ascii="Arial" w:cs="Arial" w:eastAsia="Arial" w:hAnsi="Arial"/>
                <w:sz w:val="14"/>
                <w:szCs w:val="14"/>
                <w:b w:val="1"/>
                <w:bCs w:val="1"/>
                <w:color w:val="FFFFFF"/>
              </w:rPr>
              <w:t>on Exercise</w:t>
            </w:r>
          </w:p>
        </w:tc>
        <w:tc>
          <w:tcPr>
            <w:tcW w:w="1840" w:type="dxa"/>
            <w:vAlign w:val="bottom"/>
            <w:shd w:val="clear" w:color="auto" w:fill="481F6E"/>
          </w:tcPr>
          <w:p>
            <w:pPr>
              <w:spacing w:after="0"/>
              <w:rPr>
                <w:sz w:val="14"/>
                <w:szCs w:val="14"/>
                <w:color w:val="auto"/>
              </w:rPr>
            </w:pPr>
          </w:p>
        </w:tc>
        <w:tc>
          <w:tcPr>
            <w:tcW w:w="2320" w:type="dxa"/>
            <w:vAlign w:val="bottom"/>
            <w:shd w:val="clear" w:color="auto" w:fill="481F6E"/>
          </w:tcPr>
          <w:p>
            <w:pPr>
              <w:jc w:val="right"/>
              <w:ind w:right="548"/>
              <w:spacing w:after="0"/>
              <w:rPr>
                <w:sz w:val="20"/>
                <w:szCs w:val="20"/>
                <w:color w:val="auto"/>
              </w:rPr>
            </w:pPr>
            <w:r>
              <w:rPr>
                <w:rFonts w:ascii="Arial" w:cs="Arial" w:eastAsia="Arial" w:hAnsi="Arial"/>
                <w:sz w:val="14"/>
                <w:szCs w:val="14"/>
                <w:b w:val="1"/>
                <w:bCs w:val="1"/>
                <w:color w:val="FFFFFF"/>
              </w:rPr>
              <w:t>Vesting</w:t>
            </w:r>
          </w:p>
        </w:tc>
        <w:tc>
          <w:tcPr>
            <w:tcW w:w="1400" w:type="dxa"/>
            <w:vAlign w:val="bottom"/>
            <w:shd w:val="clear" w:color="auto" w:fill="481F6E"/>
          </w:tcPr>
          <w:p>
            <w:pPr>
              <w:jc w:val="right"/>
              <w:spacing w:after="0"/>
              <w:rPr>
                <w:sz w:val="20"/>
                <w:szCs w:val="20"/>
                <w:color w:val="auto"/>
              </w:rPr>
            </w:pPr>
            <w:r>
              <w:rPr>
                <w:rFonts w:ascii="Arial" w:cs="Arial" w:eastAsia="Arial" w:hAnsi="Arial"/>
                <w:sz w:val="14"/>
                <w:szCs w:val="14"/>
                <w:b w:val="1"/>
                <w:bCs w:val="1"/>
                <w:color w:val="FFFFFF"/>
              </w:rPr>
              <w:t>($)</w:t>
            </w:r>
          </w:p>
        </w:tc>
      </w:tr>
      <w:tr>
        <w:trPr>
          <w:trHeight w:val="208"/>
        </w:trPr>
        <w:tc>
          <w:tcPr>
            <w:tcW w:w="2900" w:type="dxa"/>
            <w:vAlign w:val="bottom"/>
            <w:shd w:val="clear" w:color="auto" w:fill="481F6E"/>
          </w:tcPr>
          <w:p>
            <w:pPr>
              <w:spacing w:after="0"/>
              <w:rPr>
                <w:sz w:val="18"/>
                <w:szCs w:val="18"/>
                <w:color w:val="auto"/>
              </w:rPr>
            </w:pPr>
          </w:p>
        </w:tc>
        <w:tc>
          <w:tcPr>
            <w:tcW w:w="2800" w:type="dxa"/>
            <w:vAlign w:val="bottom"/>
            <w:shd w:val="clear" w:color="auto" w:fill="481F6E"/>
          </w:tcPr>
          <w:p>
            <w:pPr>
              <w:jc w:val="right"/>
              <w:ind w:right="608"/>
              <w:spacing w:after="0"/>
              <w:rPr>
                <w:sz w:val="20"/>
                <w:szCs w:val="20"/>
                <w:color w:val="auto"/>
              </w:rPr>
            </w:pPr>
            <w:r>
              <w:rPr>
                <w:rFonts w:ascii="Arial" w:cs="Arial" w:eastAsia="Arial" w:hAnsi="Arial"/>
                <w:sz w:val="14"/>
                <w:szCs w:val="14"/>
                <w:b w:val="1"/>
                <w:bCs w:val="1"/>
                <w:color w:val="FFFFFF"/>
              </w:rPr>
              <w:t>(#)</w:t>
            </w:r>
          </w:p>
        </w:tc>
        <w:tc>
          <w:tcPr>
            <w:tcW w:w="1840" w:type="dxa"/>
            <w:vAlign w:val="bottom"/>
            <w:shd w:val="clear" w:color="auto" w:fill="481F6E"/>
          </w:tcPr>
          <w:p>
            <w:pPr>
              <w:spacing w:after="0"/>
              <w:rPr>
                <w:sz w:val="18"/>
                <w:szCs w:val="18"/>
                <w:color w:val="auto"/>
              </w:rPr>
            </w:pPr>
          </w:p>
        </w:tc>
        <w:tc>
          <w:tcPr>
            <w:tcW w:w="2320" w:type="dxa"/>
            <w:vAlign w:val="bottom"/>
            <w:shd w:val="clear" w:color="auto" w:fill="481F6E"/>
          </w:tcPr>
          <w:p>
            <w:pPr>
              <w:jc w:val="right"/>
              <w:ind w:right="548"/>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481F6E"/>
          </w:tcPr>
          <w:p>
            <w:pPr>
              <w:spacing w:after="0"/>
              <w:rPr>
                <w:sz w:val="18"/>
                <w:szCs w:val="18"/>
                <w:color w:val="auto"/>
              </w:rPr>
            </w:pPr>
          </w:p>
        </w:tc>
      </w:tr>
      <w:tr>
        <w:trPr>
          <w:trHeight w:val="219"/>
        </w:trPr>
        <w:tc>
          <w:tcPr>
            <w:tcW w:w="2900" w:type="dxa"/>
            <w:vAlign w:val="bottom"/>
            <w:tcBorders>
              <w:bottom w:val="single" w:sz="8" w:color="D7D8D6"/>
            </w:tcBorders>
          </w:tcPr>
          <w:p>
            <w:pPr>
              <w:ind w:left="60"/>
              <w:spacing w:after="0"/>
              <w:rPr>
                <w:sz w:val="20"/>
                <w:szCs w:val="20"/>
                <w:color w:val="auto"/>
              </w:rPr>
            </w:pPr>
            <w:r>
              <w:rPr>
                <w:rFonts w:ascii="Arial" w:cs="Arial" w:eastAsia="Arial" w:hAnsi="Arial"/>
                <w:sz w:val="14"/>
                <w:szCs w:val="14"/>
                <w:b w:val="1"/>
                <w:bCs w:val="1"/>
                <w:color w:val="333740"/>
              </w:rPr>
              <w:t>Douglas J. Pferdehirt</w:t>
            </w:r>
          </w:p>
        </w:tc>
        <w:tc>
          <w:tcPr>
            <w:tcW w:w="2800" w:type="dxa"/>
            <w:vAlign w:val="bottom"/>
            <w:tcBorders>
              <w:bottom w:val="single" w:sz="8" w:color="D7D8D6"/>
            </w:tcBorders>
          </w:tcPr>
          <w:p>
            <w:pPr>
              <w:ind w:left="1840"/>
              <w:spacing w:after="0"/>
              <w:rPr>
                <w:sz w:val="20"/>
                <w:szCs w:val="20"/>
                <w:color w:val="auto"/>
              </w:rPr>
            </w:pPr>
            <w:r>
              <w:rPr>
                <w:rFonts w:ascii="Arial" w:cs="Arial" w:eastAsia="Arial" w:hAnsi="Arial"/>
                <w:sz w:val="14"/>
                <w:szCs w:val="14"/>
                <w:color w:val="333740"/>
              </w:rPr>
              <w:t>—</w:t>
            </w:r>
          </w:p>
        </w:tc>
        <w:tc>
          <w:tcPr>
            <w:tcW w:w="1840" w:type="dxa"/>
            <w:vAlign w:val="bottom"/>
            <w:tcBorders>
              <w:bottom w:val="single" w:sz="8" w:color="D7D8D6"/>
            </w:tcBorders>
          </w:tcPr>
          <w:p>
            <w:pPr>
              <w:ind w:left="1140"/>
              <w:spacing w:after="0"/>
              <w:rPr>
                <w:sz w:val="20"/>
                <w:szCs w:val="20"/>
                <w:color w:val="auto"/>
              </w:rPr>
            </w:pPr>
            <w:r>
              <w:rPr>
                <w:rFonts w:ascii="Arial" w:cs="Arial" w:eastAsia="Arial" w:hAnsi="Arial"/>
                <w:sz w:val="14"/>
                <w:szCs w:val="14"/>
                <w:color w:val="333740"/>
              </w:rPr>
              <w:t>—</w:t>
            </w:r>
          </w:p>
        </w:tc>
        <w:tc>
          <w:tcPr>
            <w:tcW w:w="2320" w:type="dxa"/>
            <w:vAlign w:val="bottom"/>
            <w:tcBorders>
              <w:bottom w:val="single" w:sz="8" w:color="D7D8D6"/>
            </w:tcBorders>
          </w:tcPr>
          <w:p>
            <w:pPr>
              <w:jc w:val="right"/>
              <w:ind w:right="688"/>
              <w:spacing w:after="0"/>
              <w:rPr>
                <w:sz w:val="20"/>
                <w:szCs w:val="20"/>
                <w:color w:val="auto"/>
              </w:rPr>
            </w:pPr>
            <w:r>
              <w:rPr>
                <w:rFonts w:ascii="Arial" w:cs="Arial" w:eastAsia="Arial" w:hAnsi="Arial"/>
                <w:sz w:val="14"/>
                <w:szCs w:val="14"/>
                <w:color w:val="333740"/>
              </w:rPr>
              <w:t>54,132</w:t>
            </w:r>
          </w:p>
        </w:tc>
        <w:tc>
          <w:tcPr>
            <w:tcW w:w="1400" w:type="dxa"/>
            <w:vAlign w:val="bottom"/>
            <w:tcBorders>
              <w:bottom w:val="single" w:sz="8" w:color="D7D8D6"/>
            </w:tcBorders>
          </w:tcPr>
          <w:p>
            <w:pPr>
              <w:jc w:val="right"/>
              <w:ind w:right="8"/>
              <w:spacing w:after="0"/>
              <w:rPr>
                <w:sz w:val="20"/>
                <w:szCs w:val="20"/>
                <w:color w:val="auto"/>
              </w:rPr>
            </w:pPr>
            <w:r>
              <w:rPr>
                <w:rFonts w:ascii="Arial" w:cs="Arial" w:eastAsia="Arial" w:hAnsi="Arial"/>
                <w:sz w:val="14"/>
                <w:szCs w:val="14"/>
                <w:color w:val="333740"/>
              </w:rPr>
              <w:t>1,324,069</w:t>
            </w:r>
          </w:p>
        </w:tc>
      </w:tr>
      <w:tr>
        <w:trPr>
          <w:trHeight w:val="219"/>
        </w:trPr>
        <w:tc>
          <w:tcPr>
            <w:tcW w:w="2900" w:type="dxa"/>
            <w:vAlign w:val="bottom"/>
            <w:tcBorders>
              <w:bottom w:val="single" w:sz="8" w:color="D7D8D6"/>
            </w:tcBorders>
          </w:tcPr>
          <w:p>
            <w:pPr>
              <w:ind w:left="60"/>
              <w:spacing w:after="0"/>
              <w:rPr>
                <w:sz w:val="20"/>
                <w:szCs w:val="20"/>
                <w:color w:val="auto"/>
              </w:rPr>
            </w:pPr>
            <w:r>
              <w:rPr>
                <w:rFonts w:ascii="Arial" w:cs="Arial" w:eastAsia="Arial" w:hAnsi="Arial"/>
                <w:sz w:val="14"/>
                <w:szCs w:val="14"/>
                <w:b w:val="1"/>
                <w:bCs w:val="1"/>
                <w:color w:val="333740"/>
              </w:rPr>
              <w:t>Maryann T. Mannen</w:t>
            </w:r>
          </w:p>
        </w:tc>
        <w:tc>
          <w:tcPr>
            <w:tcW w:w="2800" w:type="dxa"/>
            <w:vAlign w:val="bottom"/>
            <w:tcBorders>
              <w:bottom w:val="single" w:sz="8" w:color="D7D8D6"/>
            </w:tcBorders>
          </w:tcPr>
          <w:p>
            <w:pPr>
              <w:ind w:left="1840"/>
              <w:spacing w:after="0"/>
              <w:rPr>
                <w:sz w:val="20"/>
                <w:szCs w:val="20"/>
                <w:color w:val="auto"/>
              </w:rPr>
            </w:pPr>
            <w:r>
              <w:rPr>
                <w:rFonts w:ascii="Arial" w:cs="Arial" w:eastAsia="Arial" w:hAnsi="Arial"/>
                <w:sz w:val="14"/>
                <w:szCs w:val="14"/>
                <w:color w:val="333740"/>
              </w:rPr>
              <w:t>—</w:t>
            </w:r>
          </w:p>
        </w:tc>
        <w:tc>
          <w:tcPr>
            <w:tcW w:w="1840" w:type="dxa"/>
            <w:vAlign w:val="bottom"/>
            <w:tcBorders>
              <w:bottom w:val="single" w:sz="8" w:color="D7D8D6"/>
            </w:tcBorders>
          </w:tcPr>
          <w:p>
            <w:pPr>
              <w:ind w:left="1140"/>
              <w:spacing w:after="0"/>
              <w:rPr>
                <w:sz w:val="20"/>
                <w:szCs w:val="20"/>
                <w:color w:val="auto"/>
              </w:rPr>
            </w:pPr>
            <w:r>
              <w:rPr>
                <w:rFonts w:ascii="Arial" w:cs="Arial" w:eastAsia="Arial" w:hAnsi="Arial"/>
                <w:sz w:val="14"/>
                <w:szCs w:val="14"/>
                <w:color w:val="333740"/>
              </w:rPr>
              <w:t>—</w:t>
            </w:r>
          </w:p>
        </w:tc>
        <w:tc>
          <w:tcPr>
            <w:tcW w:w="2320" w:type="dxa"/>
            <w:vAlign w:val="bottom"/>
            <w:tcBorders>
              <w:bottom w:val="single" w:sz="8" w:color="D7D8D6"/>
            </w:tcBorders>
          </w:tcPr>
          <w:p>
            <w:pPr>
              <w:jc w:val="right"/>
              <w:ind w:right="688"/>
              <w:spacing w:after="0"/>
              <w:rPr>
                <w:sz w:val="20"/>
                <w:szCs w:val="20"/>
                <w:color w:val="auto"/>
              </w:rPr>
            </w:pPr>
            <w:r>
              <w:rPr>
                <w:rFonts w:ascii="Arial" w:cs="Arial" w:eastAsia="Arial" w:hAnsi="Arial"/>
                <w:sz w:val="14"/>
                <w:szCs w:val="14"/>
                <w:color w:val="333740"/>
              </w:rPr>
              <w:t>—</w:t>
            </w:r>
          </w:p>
        </w:tc>
        <w:tc>
          <w:tcPr>
            <w:tcW w:w="1400" w:type="dxa"/>
            <w:vAlign w:val="bottom"/>
            <w:tcBorders>
              <w:bottom w:val="single" w:sz="8" w:color="D7D8D6"/>
            </w:tcBorders>
          </w:tcPr>
          <w:p>
            <w:pPr>
              <w:jc w:val="right"/>
              <w:ind w:right="8"/>
              <w:spacing w:after="0"/>
              <w:rPr>
                <w:sz w:val="20"/>
                <w:szCs w:val="20"/>
                <w:color w:val="auto"/>
              </w:rPr>
            </w:pPr>
            <w:r>
              <w:rPr>
                <w:rFonts w:ascii="Arial" w:cs="Arial" w:eastAsia="Arial" w:hAnsi="Arial"/>
                <w:sz w:val="14"/>
                <w:szCs w:val="14"/>
                <w:color w:val="333740"/>
              </w:rPr>
              <w:t>—</w:t>
            </w:r>
          </w:p>
        </w:tc>
      </w:tr>
      <w:tr>
        <w:trPr>
          <w:trHeight w:val="219"/>
        </w:trPr>
        <w:tc>
          <w:tcPr>
            <w:tcW w:w="2900" w:type="dxa"/>
            <w:vAlign w:val="bottom"/>
            <w:tcBorders>
              <w:bottom w:val="single" w:sz="8" w:color="D7D8D6"/>
            </w:tcBorders>
          </w:tcPr>
          <w:p>
            <w:pPr>
              <w:ind w:left="60"/>
              <w:spacing w:after="0"/>
              <w:rPr>
                <w:sz w:val="20"/>
                <w:szCs w:val="20"/>
                <w:color w:val="auto"/>
              </w:rPr>
            </w:pPr>
            <w:r>
              <w:rPr>
                <w:rFonts w:ascii="Arial" w:cs="Arial" w:eastAsia="Arial" w:hAnsi="Arial"/>
                <w:sz w:val="14"/>
                <w:szCs w:val="14"/>
                <w:b w:val="1"/>
                <w:bCs w:val="1"/>
                <w:color w:val="333740"/>
              </w:rPr>
              <w:t>Dianne B. Ralston</w:t>
            </w:r>
          </w:p>
        </w:tc>
        <w:tc>
          <w:tcPr>
            <w:tcW w:w="2800" w:type="dxa"/>
            <w:vAlign w:val="bottom"/>
            <w:tcBorders>
              <w:bottom w:val="single" w:sz="8" w:color="D7D8D6"/>
            </w:tcBorders>
          </w:tcPr>
          <w:p>
            <w:pPr>
              <w:ind w:left="1840"/>
              <w:spacing w:after="0"/>
              <w:rPr>
                <w:sz w:val="20"/>
                <w:szCs w:val="20"/>
                <w:color w:val="auto"/>
              </w:rPr>
            </w:pPr>
            <w:r>
              <w:rPr>
                <w:rFonts w:ascii="Arial" w:cs="Arial" w:eastAsia="Arial" w:hAnsi="Arial"/>
                <w:sz w:val="14"/>
                <w:szCs w:val="14"/>
                <w:color w:val="333740"/>
              </w:rPr>
              <w:t>—</w:t>
            </w:r>
          </w:p>
        </w:tc>
        <w:tc>
          <w:tcPr>
            <w:tcW w:w="1840" w:type="dxa"/>
            <w:vAlign w:val="bottom"/>
            <w:tcBorders>
              <w:bottom w:val="single" w:sz="8" w:color="D7D8D6"/>
            </w:tcBorders>
          </w:tcPr>
          <w:p>
            <w:pPr>
              <w:ind w:left="1140"/>
              <w:spacing w:after="0"/>
              <w:rPr>
                <w:sz w:val="20"/>
                <w:szCs w:val="20"/>
                <w:color w:val="auto"/>
              </w:rPr>
            </w:pPr>
            <w:r>
              <w:rPr>
                <w:rFonts w:ascii="Arial" w:cs="Arial" w:eastAsia="Arial" w:hAnsi="Arial"/>
                <w:sz w:val="14"/>
                <w:szCs w:val="14"/>
                <w:color w:val="333740"/>
              </w:rPr>
              <w:t>—</w:t>
            </w:r>
          </w:p>
        </w:tc>
        <w:tc>
          <w:tcPr>
            <w:tcW w:w="2320" w:type="dxa"/>
            <w:vAlign w:val="bottom"/>
            <w:tcBorders>
              <w:bottom w:val="single" w:sz="8" w:color="D7D8D6"/>
            </w:tcBorders>
          </w:tcPr>
          <w:p>
            <w:pPr>
              <w:jc w:val="right"/>
              <w:ind w:right="688"/>
              <w:spacing w:after="0"/>
              <w:rPr>
                <w:sz w:val="20"/>
                <w:szCs w:val="20"/>
                <w:color w:val="auto"/>
              </w:rPr>
            </w:pPr>
            <w:r>
              <w:rPr>
                <w:rFonts w:ascii="Arial" w:cs="Arial" w:eastAsia="Arial" w:hAnsi="Arial"/>
                <w:sz w:val="14"/>
                <w:szCs w:val="14"/>
                <w:color w:val="333740"/>
              </w:rPr>
              <w:t>—</w:t>
            </w:r>
          </w:p>
        </w:tc>
        <w:tc>
          <w:tcPr>
            <w:tcW w:w="1400" w:type="dxa"/>
            <w:vAlign w:val="bottom"/>
            <w:tcBorders>
              <w:bottom w:val="single" w:sz="8" w:color="D7D8D6"/>
            </w:tcBorders>
          </w:tcPr>
          <w:p>
            <w:pPr>
              <w:jc w:val="right"/>
              <w:ind w:right="8"/>
              <w:spacing w:after="0"/>
              <w:rPr>
                <w:sz w:val="20"/>
                <w:szCs w:val="20"/>
                <w:color w:val="auto"/>
              </w:rPr>
            </w:pPr>
            <w:r>
              <w:rPr>
                <w:rFonts w:ascii="Arial" w:cs="Arial" w:eastAsia="Arial" w:hAnsi="Arial"/>
                <w:sz w:val="14"/>
                <w:szCs w:val="14"/>
                <w:color w:val="333740"/>
              </w:rPr>
              <w:t>—</w:t>
            </w:r>
          </w:p>
        </w:tc>
      </w:tr>
      <w:tr>
        <w:trPr>
          <w:trHeight w:val="219"/>
        </w:trPr>
        <w:tc>
          <w:tcPr>
            <w:tcW w:w="2900" w:type="dxa"/>
            <w:vAlign w:val="bottom"/>
            <w:tcBorders>
              <w:bottom w:val="single" w:sz="8" w:color="D7D8D6"/>
            </w:tcBorders>
          </w:tcPr>
          <w:p>
            <w:pPr>
              <w:ind w:left="60"/>
              <w:spacing w:after="0"/>
              <w:rPr>
                <w:sz w:val="20"/>
                <w:szCs w:val="20"/>
                <w:color w:val="auto"/>
              </w:rPr>
            </w:pPr>
            <w:r>
              <w:rPr>
                <w:rFonts w:ascii="Arial" w:cs="Arial" w:eastAsia="Arial" w:hAnsi="Arial"/>
                <w:sz w:val="14"/>
                <w:szCs w:val="14"/>
                <w:b w:val="1"/>
                <w:bCs w:val="1"/>
                <w:color w:val="333740"/>
              </w:rPr>
              <w:t>Justin Rounce</w:t>
            </w:r>
          </w:p>
        </w:tc>
        <w:tc>
          <w:tcPr>
            <w:tcW w:w="2800" w:type="dxa"/>
            <w:vAlign w:val="bottom"/>
            <w:tcBorders>
              <w:bottom w:val="single" w:sz="8" w:color="D7D8D6"/>
            </w:tcBorders>
          </w:tcPr>
          <w:p>
            <w:pPr>
              <w:ind w:left="1840"/>
              <w:spacing w:after="0"/>
              <w:rPr>
                <w:sz w:val="20"/>
                <w:szCs w:val="20"/>
                <w:color w:val="auto"/>
              </w:rPr>
            </w:pPr>
            <w:r>
              <w:rPr>
                <w:rFonts w:ascii="Arial" w:cs="Arial" w:eastAsia="Arial" w:hAnsi="Arial"/>
                <w:sz w:val="14"/>
                <w:szCs w:val="14"/>
                <w:color w:val="333740"/>
              </w:rPr>
              <w:t>—</w:t>
            </w:r>
          </w:p>
        </w:tc>
        <w:tc>
          <w:tcPr>
            <w:tcW w:w="1840" w:type="dxa"/>
            <w:vAlign w:val="bottom"/>
            <w:tcBorders>
              <w:bottom w:val="single" w:sz="8" w:color="D7D8D6"/>
            </w:tcBorders>
          </w:tcPr>
          <w:p>
            <w:pPr>
              <w:ind w:left="1140"/>
              <w:spacing w:after="0"/>
              <w:rPr>
                <w:sz w:val="20"/>
                <w:szCs w:val="20"/>
                <w:color w:val="auto"/>
              </w:rPr>
            </w:pPr>
            <w:r>
              <w:rPr>
                <w:rFonts w:ascii="Arial" w:cs="Arial" w:eastAsia="Arial" w:hAnsi="Arial"/>
                <w:sz w:val="14"/>
                <w:szCs w:val="14"/>
                <w:color w:val="333740"/>
              </w:rPr>
              <w:t>—</w:t>
            </w:r>
          </w:p>
        </w:tc>
        <w:tc>
          <w:tcPr>
            <w:tcW w:w="2320" w:type="dxa"/>
            <w:vAlign w:val="bottom"/>
            <w:tcBorders>
              <w:bottom w:val="single" w:sz="8" w:color="D7D8D6"/>
            </w:tcBorders>
          </w:tcPr>
          <w:p>
            <w:pPr>
              <w:jc w:val="right"/>
              <w:ind w:right="688"/>
              <w:spacing w:after="0"/>
              <w:rPr>
                <w:sz w:val="20"/>
                <w:szCs w:val="20"/>
                <w:color w:val="auto"/>
              </w:rPr>
            </w:pPr>
            <w:r>
              <w:rPr>
                <w:rFonts w:ascii="Arial" w:cs="Arial" w:eastAsia="Arial" w:hAnsi="Arial"/>
                <w:sz w:val="14"/>
                <w:szCs w:val="14"/>
                <w:color w:val="333740"/>
              </w:rPr>
              <w:t>26,395</w:t>
            </w:r>
          </w:p>
        </w:tc>
        <w:tc>
          <w:tcPr>
            <w:tcW w:w="1400" w:type="dxa"/>
            <w:vAlign w:val="bottom"/>
            <w:tcBorders>
              <w:bottom w:val="single" w:sz="8" w:color="D7D8D6"/>
            </w:tcBorders>
          </w:tcPr>
          <w:p>
            <w:pPr>
              <w:jc w:val="right"/>
              <w:ind w:right="8"/>
              <w:spacing w:after="0"/>
              <w:rPr>
                <w:sz w:val="20"/>
                <w:szCs w:val="20"/>
                <w:color w:val="auto"/>
              </w:rPr>
            </w:pPr>
            <w:r>
              <w:rPr>
                <w:rFonts w:ascii="Arial" w:cs="Arial" w:eastAsia="Arial" w:hAnsi="Arial"/>
                <w:sz w:val="14"/>
                <w:szCs w:val="14"/>
                <w:color w:val="333740"/>
              </w:rPr>
              <w:t>679,935</w:t>
            </w:r>
          </w:p>
        </w:tc>
      </w:tr>
      <w:tr>
        <w:trPr>
          <w:trHeight w:val="219"/>
        </w:trPr>
        <w:tc>
          <w:tcPr>
            <w:tcW w:w="2900" w:type="dxa"/>
            <w:vAlign w:val="bottom"/>
            <w:tcBorders>
              <w:bottom w:val="single" w:sz="8" w:color="D7D8D6"/>
            </w:tcBorders>
          </w:tcPr>
          <w:p>
            <w:pPr>
              <w:ind w:left="60"/>
              <w:spacing w:after="0"/>
              <w:rPr>
                <w:sz w:val="20"/>
                <w:szCs w:val="20"/>
                <w:color w:val="auto"/>
              </w:rPr>
            </w:pPr>
            <w:r>
              <w:rPr>
                <w:rFonts w:ascii="Arial" w:cs="Arial" w:eastAsia="Arial" w:hAnsi="Arial"/>
                <w:sz w:val="14"/>
                <w:szCs w:val="14"/>
                <w:b w:val="1"/>
                <w:bCs w:val="1"/>
                <w:color w:val="333740"/>
              </w:rPr>
              <w:t>Nello Uccelletti</w:t>
            </w:r>
          </w:p>
        </w:tc>
        <w:tc>
          <w:tcPr>
            <w:tcW w:w="2800" w:type="dxa"/>
            <w:vAlign w:val="bottom"/>
            <w:tcBorders>
              <w:bottom w:val="single" w:sz="8" w:color="D7D8D6"/>
            </w:tcBorders>
          </w:tcPr>
          <w:p>
            <w:pPr>
              <w:ind w:left="1840"/>
              <w:spacing w:after="0"/>
              <w:rPr>
                <w:sz w:val="20"/>
                <w:szCs w:val="20"/>
                <w:color w:val="auto"/>
              </w:rPr>
            </w:pPr>
            <w:r>
              <w:rPr>
                <w:rFonts w:ascii="Arial" w:cs="Arial" w:eastAsia="Arial" w:hAnsi="Arial"/>
                <w:sz w:val="14"/>
                <w:szCs w:val="14"/>
                <w:color w:val="333740"/>
              </w:rPr>
              <w:t>—</w:t>
            </w:r>
          </w:p>
        </w:tc>
        <w:tc>
          <w:tcPr>
            <w:tcW w:w="1840" w:type="dxa"/>
            <w:vAlign w:val="bottom"/>
            <w:tcBorders>
              <w:bottom w:val="single" w:sz="8" w:color="D7D8D6"/>
            </w:tcBorders>
          </w:tcPr>
          <w:p>
            <w:pPr>
              <w:ind w:left="1140"/>
              <w:spacing w:after="0"/>
              <w:rPr>
                <w:sz w:val="20"/>
                <w:szCs w:val="20"/>
                <w:color w:val="auto"/>
              </w:rPr>
            </w:pPr>
            <w:r>
              <w:rPr>
                <w:rFonts w:ascii="Arial" w:cs="Arial" w:eastAsia="Arial" w:hAnsi="Arial"/>
                <w:sz w:val="14"/>
                <w:szCs w:val="14"/>
                <w:color w:val="333740"/>
              </w:rPr>
              <w:t>—</w:t>
            </w:r>
          </w:p>
        </w:tc>
        <w:tc>
          <w:tcPr>
            <w:tcW w:w="2320" w:type="dxa"/>
            <w:vAlign w:val="bottom"/>
            <w:tcBorders>
              <w:bottom w:val="single" w:sz="8" w:color="D7D8D6"/>
            </w:tcBorders>
          </w:tcPr>
          <w:p>
            <w:pPr>
              <w:jc w:val="right"/>
              <w:ind w:right="688"/>
              <w:spacing w:after="0"/>
              <w:rPr>
                <w:sz w:val="20"/>
                <w:szCs w:val="20"/>
                <w:color w:val="auto"/>
              </w:rPr>
            </w:pPr>
            <w:r>
              <w:rPr>
                <w:rFonts w:ascii="Arial" w:cs="Arial" w:eastAsia="Arial" w:hAnsi="Arial"/>
                <w:sz w:val="14"/>
                <w:szCs w:val="14"/>
                <w:color w:val="333740"/>
              </w:rPr>
              <w:t>11,200</w:t>
            </w:r>
          </w:p>
        </w:tc>
        <w:tc>
          <w:tcPr>
            <w:tcW w:w="1400" w:type="dxa"/>
            <w:vAlign w:val="bottom"/>
            <w:tcBorders>
              <w:bottom w:val="single" w:sz="8" w:color="D7D8D6"/>
            </w:tcBorders>
          </w:tcPr>
          <w:p>
            <w:pPr>
              <w:jc w:val="right"/>
              <w:ind w:right="8"/>
              <w:spacing w:after="0"/>
              <w:rPr>
                <w:sz w:val="20"/>
                <w:szCs w:val="20"/>
                <w:color w:val="auto"/>
              </w:rPr>
            </w:pPr>
            <w:r>
              <w:rPr>
                <w:rFonts w:ascii="Arial" w:cs="Arial" w:eastAsia="Arial" w:hAnsi="Arial"/>
                <w:sz w:val="14"/>
                <w:szCs w:val="14"/>
                <w:color w:val="333740"/>
              </w:rPr>
              <w:t>287,989</w:t>
            </w:r>
          </w:p>
        </w:tc>
      </w:tr>
    </w:tbl>
    <w:p>
      <w:pPr>
        <w:spacing w:after="0" w:line="234" w:lineRule="exact"/>
        <w:rPr>
          <w:sz w:val="20"/>
          <w:szCs w:val="20"/>
          <w:color w:val="auto"/>
        </w:rPr>
      </w:pPr>
    </w:p>
    <w:p>
      <w:pPr>
        <w:ind w:left="4"/>
        <w:spacing w:after="0"/>
        <w:rPr>
          <w:sz w:val="20"/>
          <w:szCs w:val="20"/>
          <w:color w:val="auto"/>
        </w:rPr>
      </w:pPr>
      <w:r>
        <w:rPr>
          <w:rFonts w:ascii="Arial" w:cs="Arial" w:eastAsia="Arial" w:hAnsi="Arial"/>
          <w:sz w:val="11"/>
          <w:szCs w:val="11"/>
          <w:color w:val="333740"/>
        </w:rPr>
        <w:t>(1) The value of the vested shares does not include dividends earned.</w:t>
      </w:r>
    </w:p>
    <w:p>
      <w:pPr>
        <w:spacing w:after="0" w:line="337" w:lineRule="exact"/>
        <w:rPr>
          <w:sz w:val="20"/>
          <w:szCs w:val="20"/>
          <w:color w:val="auto"/>
        </w:rPr>
      </w:pPr>
    </w:p>
    <w:p>
      <w:pPr>
        <w:ind w:left="564" w:hanging="564"/>
        <w:spacing w:after="0"/>
        <w:tabs>
          <w:tab w:leader="none" w:pos="564" w:val="left"/>
        </w:tabs>
        <w:numPr>
          <w:ilvl w:val="0"/>
          <w:numId w:val="11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96" w:name="page97"/>
    <w:bookmarkEnd w:id="96"/>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3"/>
          <w:szCs w:val="33"/>
          <w:color w:val="481F6E"/>
        </w:rPr>
        <w:t>Pension Benefits Table</w:t>
      </w:r>
    </w:p>
    <w:p>
      <w:pPr>
        <w:spacing w:after="0" w:line="30" w:lineRule="exact"/>
        <w:rPr>
          <w:sz w:val="20"/>
          <w:szCs w:val="20"/>
          <w:color w:val="auto"/>
        </w:rPr>
      </w:pPr>
    </w:p>
    <w:p>
      <w:pPr>
        <w:jc w:val="both"/>
        <w:ind w:left="4" w:right="200"/>
        <w:spacing w:after="0" w:line="249" w:lineRule="auto"/>
        <w:rPr>
          <w:sz w:val="20"/>
          <w:szCs w:val="20"/>
          <w:color w:val="auto"/>
        </w:rPr>
      </w:pPr>
      <w:r>
        <w:rPr>
          <w:rFonts w:ascii="Arial" w:cs="Arial" w:eastAsia="Arial" w:hAnsi="Arial"/>
          <w:sz w:val="15"/>
          <w:szCs w:val="15"/>
          <w:color w:val="333740"/>
        </w:rPr>
        <w:t>The table below shows the present value of accumulated benefits payable to Ms. Mannen, who is the only NEO who participates in a Company pension plan. The table includes the number of years of service credited to Ms. Mannen using interest rate and mortality rate assumptions consistent with those used in our financial statements. Credited years of service for Ms. Mannen includes years of service with FMC Technologies and its former parent company. The U.S.</w:t>
      </w:r>
    </w:p>
    <w:p>
      <w:pPr>
        <w:spacing w:after="0" w:line="1" w:lineRule="exact"/>
        <w:rPr>
          <w:sz w:val="20"/>
          <w:szCs w:val="20"/>
          <w:color w:val="auto"/>
        </w:rPr>
      </w:pPr>
    </w:p>
    <w:p>
      <w:pPr>
        <w:ind w:left="4" w:right="60"/>
        <w:spacing w:after="0" w:line="244" w:lineRule="auto"/>
        <w:rPr>
          <w:sz w:val="20"/>
          <w:szCs w:val="20"/>
          <w:color w:val="auto"/>
        </w:rPr>
      </w:pPr>
      <w:r>
        <w:rPr>
          <w:rFonts w:ascii="Arial" w:cs="Arial" w:eastAsia="Arial" w:hAnsi="Arial"/>
          <w:sz w:val="16"/>
          <w:szCs w:val="16"/>
          <w:color w:val="333740"/>
        </w:rPr>
        <w:t>Pension Plan values are the present value of accrued benefits at the first retirement date for unreduced benefits. The U.S. Non- Qualified Pension Plan value is the present value at December 31, 2019 of the lump sum payable at the first retirement date for unreduced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119380</wp:posOffset>
            </wp:positionV>
            <wp:extent cx="7620" cy="4857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20" cy="485775"/>
                    </a:xfrm>
                    <a:prstGeom prst="rect">
                      <a:avLst/>
                    </a:prstGeom>
                    <a:noFill/>
                  </pic:spPr>
                </pic:pic>
              </a:graphicData>
            </a:graphic>
          </wp:anchor>
        </w:drawing>
        <w:drawing>
          <wp:anchor simplePos="0" relativeHeight="251657728" behindDoc="1" locked="0" layoutInCell="0" allowOverlap="1">
            <wp:simplePos x="0" y="0"/>
            <wp:positionH relativeFrom="column">
              <wp:posOffset>4620895</wp:posOffset>
            </wp:positionH>
            <wp:positionV relativeFrom="paragraph">
              <wp:posOffset>119380</wp:posOffset>
            </wp:positionV>
            <wp:extent cx="7620" cy="4857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20" cy="485775"/>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119380</wp:posOffset>
            </wp:positionV>
            <wp:extent cx="7620" cy="4857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20" cy="485775"/>
                    </a:xfrm>
                    <a:prstGeom prst="rect">
                      <a:avLst/>
                    </a:prstGeom>
                    <a:noFill/>
                  </pic:spPr>
                </pic:pic>
              </a:graphicData>
            </a:graphic>
          </wp:anchor>
        </w:drawing>
        <w:drawing>
          <wp:anchor simplePos="0" relativeHeight="251657728" behindDoc="1" locked="0" layoutInCell="0" allowOverlap="1">
            <wp:simplePos x="0" y="0"/>
            <wp:positionH relativeFrom="column">
              <wp:posOffset>1555750</wp:posOffset>
            </wp:positionH>
            <wp:positionV relativeFrom="paragraph">
              <wp:posOffset>119380</wp:posOffset>
            </wp:positionV>
            <wp:extent cx="7620" cy="4857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20" cy="485775"/>
                    </a:xfrm>
                    <a:prstGeom prst="rect">
                      <a:avLst/>
                    </a:prstGeom>
                    <a:noFill/>
                  </pic:spPr>
                </pic:pic>
              </a:graphicData>
            </a:graphic>
          </wp:anchor>
        </w:drawing>
      </w:r>
    </w:p>
    <w:p>
      <w:pPr>
        <w:spacing w:after="0" w:line="168" w:lineRule="exact"/>
        <w:rPr>
          <w:sz w:val="20"/>
          <w:szCs w:val="20"/>
          <w:color w:val="auto"/>
        </w:rPr>
      </w:pPr>
    </w:p>
    <w:tbl>
      <w:tblPr>
        <w:tblLayout w:type="fixed"/>
        <w:tblInd w:w="4" w:type="dxa"/>
        <w:tblCellMar>
          <w:top w:w="0" w:type="dxa"/>
          <w:left w:w="0" w:type="dxa"/>
          <w:bottom w:w="0" w:type="dxa"/>
          <w:right w:w="0" w:type="dxa"/>
        </w:tblCellMar>
      </w:tblPr>
      <w:tr>
        <w:trPr>
          <w:trHeight w:val="199"/>
        </w:trPr>
        <w:tc>
          <w:tcPr>
            <w:tcW w:w="1920" w:type="dxa"/>
            <w:vAlign w:val="bottom"/>
            <w:shd w:val="clear" w:color="auto" w:fill="481F6E"/>
          </w:tcPr>
          <w:p>
            <w:pPr>
              <w:ind w:left="40"/>
              <w:spacing w:after="0"/>
              <w:rPr>
                <w:sz w:val="20"/>
                <w:szCs w:val="20"/>
                <w:color w:val="auto"/>
              </w:rPr>
            </w:pPr>
            <w:r>
              <w:rPr>
                <w:rFonts w:ascii="Arial" w:cs="Arial" w:eastAsia="Arial" w:hAnsi="Arial"/>
                <w:sz w:val="14"/>
                <w:szCs w:val="14"/>
                <w:b w:val="1"/>
                <w:bCs w:val="1"/>
                <w:color w:val="FFFFFF"/>
              </w:rPr>
              <w:t>Name</w:t>
            </w:r>
          </w:p>
        </w:tc>
        <w:tc>
          <w:tcPr>
            <w:tcW w:w="3320" w:type="dxa"/>
            <w:vAlign w:val="bottom"/>
            <w:shd w:val="clear" w:color="auto" w:fill="481F6E"/>
          </w:tcPr>
          <w:p>
            <w:pPr>
              <w:ind w:left="580"/>
              <w:spacing w:after="0"/>
              <w:rPr>
                <w:sz w:val="20"/>
                <w:szCs w:val="20"/>
                <w:color w:val="auto"/>
              </w:rPr>
            </w:pPr>
            <w:r>
              <w:rPr>
                <w:rFonts w:ascii="Arial" w:cs="Arial" w:eastAsia="Arial" w:hAnsi="Arial"/>
                <w:sz w:val="14"/>
                <w:szCs w:val="14"/>
                <w:b w:val="1"/>
                <w:bCs w:val="1"/>
                <w:color w:val="FFFFFF"/>
              </w:rPr>
              <w:t>Plan Name</w:t>
            </w:r>
            <w:r>
              <w:rPr>
                <w:rFonts w:ascii="Arial" w:cs="Arial" w:eastAsia="Arial" w:hAnsi="Arial"/>
                <w:sz w:val="7"/>
                <w:szCs w:val="7"/>
                <w:b w:val="1"/>
                <w:bCs w:val="1"/>
                <w:color w:val="FFFFFF"/>
              </w:rPr>
              <w:t>1</w:t>
            </w:r>
          </w:p>
        </w:tc>
        <w:tc>
          <w:tcPr>
            <w:tcW w:w="2440" w:type="dxa"/>
            <w:vAlign w:val="bottom"/>
            <w:shd w:val="clear" w:color="auto" w:fill="481F6E"/>
          </w:tcPr>
          <w:p>
            <w:pPr>
              <w:jc w:val="right"/>
              <w:ind w:right="388"/>
              <w:spacing w:after="0"/>
              <w:rPr>
                <w:sz w:val="20"/>
                <w:szCs w:val="20"/>
                <w:color w:val="auto"/>
              </w:rPr>
            </w:pPr>
            <w:r>
              <w:rPr>
                <w:rFonts w:ascii="Arial" w:cs="Arial" w:eastAsia="Arial" w:hAnsi="Arial"/>
                <w:sz w:val="14"/>
                <w:szCs w:val="14"/>
                <w:b w:val="1"/>
                <w:bCs w:val="1"/>
                <w:color w:val="FFFFFF"/>
              </w:rPr>
              <w:t>Number of Years of</w:t>
            </w:r>
          </w:p>
        </w:tc>
        <w:tc>
          <w:tcPr>
            <w:tcW w:w="1960" w:type="dxa"/>
            <w:vAlign w:val="bottom"/>
            <w:shd w:val="clear" w:color="auto" w:fill="481F6E"/>
          </w:tcPr>
          <w:p>
            <w:pPr>
              <w:jc w:val="right"/>
              <w:ind w:right="308"/>
              <w:spacing w:after="0"/>
              <w:rPr>
                <w:sz w:val="20"/>
                <w:szCs w:val="20"/>
                <w:color w:val="auto"/>
              </w:rPr>
            </w:pPr>
            <w:r>
              <w:rPr>
                <w:rFonts w:ascii="Arial" w:cs="Arial" w:eastAsia="Arial" w:hAnsi="Arial"/>
                <w:sz w:val="14"/>
                <w:szCs w:val="14"/>
                <w:b w:val="1"/>
                <w:bCs w:val="1"/>
                <w:color w:val="FFFFFF"/>
              </w:rPr>
              <w:t>Present Value of</w:t>
            </w:r>
          </w:p>
        </w:tc>
        <w:tc>
          <w:tcPr>
            <w:tcW w:w="1620" w:type="dxa"/>
            <w:vAlign w:val="bottom"/>
            <w:shd w:val="clear" w:color="auto" w:fill="481F6E"/>
          </w:tcPr>
          <w:p>
            <w:pPr>
              <w:jc w:val="right"/>
              <w:spacing w:after="0"/>
              <w:rPr>
                <w:sz w:val="20"/>
                <w:szCs w:val="20"/>
                <w:color w:val="auto"/>
              </w:rPr>
            </w:pPr>
            <w:r>
              <w:rPr>
                <w:rFonts w:ascii="Arial" w:cs="Arial" w:eastAsia="Arial" w:hAnsi="Arial"/>
                <w:sz w:val="14"/>
                <w:szCs w:val="14"/>
                <w:b w:val="1"/>
                <w:bCs w:val="1"/>
                <w:color w:val="FFFFFF"/>
              </w:rPr>
              <w:t>Payments During</w:t>
            </w:r>
          </w:p>
        </w:tc>
      </w:tr>
      <w:tr>
        <w:trPr>
          <w:trHeight w:val="167"/>
        </w:trPr>
        <w:tc>
          <w:tcPr>
            <w:tcW w:w="1920" w:type="dxa"/>
            <w:vAlign w:val="bottom"/>
            <w:shd w:val="clear" w:color="auto" w:fill="481F6E"/>
          </w:tcPr>
          <w:p>
            <w:pPr>
              <w:spacing w:after="0"/>
              <w:rPr>
                <w:sz w:val="14"/>
                <w:szCs w:val="14"/>
                <w:color w:val="auto"/>
              </w:rPr>
            </w:pPr>
          </w:p>
        </w:tc>
        <w:tc>
          <w:tcPr>
            <w:tcW w:w="3320" w:type="dxa"/>
            <w:vAlign w:val="bottom"/>
            <w:shd w:val="clear" w:color="auto" w:fill="481F6E"/>
          </w:tcPr>
          <w:p>
            <w:pPr>
              <w:spacing w:after="0"/>
              <w:rPr>
                <w:sz w:val="14"/>
                <w:szCs w:val="14"/>
                <w:color w:val="auto"/>
              </w:rPr>
            </w:pPr>
          </w:p>
        </w:tc>
        <w:tc>
          <w:tcPr>
            <w:tcW w:w="2440" w:type="dxa"/>
            <w:vAlign w:val="bottom"/>
            <w:shd w:val="clear" w:color="auto" w:fill="481F6E"/>
          </w:tcPr>
          <w:p>
            <w:pPr>
              <w:jc w:val="right"/>
              <w:ind w:right="388"/>
              <w:spacing w:after="0"/>
              <w:rPr>
                <w:sz w:val="20"/>
                <w:szCs w:val="20"/>
                <w:color w:val="auto"/>
              </w:rPr>
            </w:pPr>
            <w:r>
              <w:rPr>
                <w:rFonts w:ascii="Arial" w:cs="Arial" w:eastAsia="Arial" w:hAnsi="Arial"/>
                <w:sz w:val="14"/>
                <w:szCs w:val="14"/>
                <w:b w:val="1"/>
                <w:bCs w:val="1"/>
                <w:color w:val="FFFFFF"/>
              </w:rPr>
              <w:t>Credited Service as</w:t>
            </w:r>
          </w:p>
        </w:tc>
        <w:tc>
          <w:tcPr>
            <w:tcW w:w="1960" w:type="dxa"/>
            <w:vAlign w:val="bottom"/>
            <w:shd w:val="clear" w:color="auto" w:fill="481F6E"/>
          </w:tcPr>
          <w:p>
            <w:pPr>
              <w:jc w:val="right"/>
              <w:ind w:right="308"/>
              <w:spacing w:after="0"/>
              <w:rPr>
                <w:sz w:val="20"/>
                <w:szCs w:val="20"/>
                <w:color w:val="auto"/>
              </w:rPr>
            </w:pPr>
            <w:r>
              <w:rPr>
                <w:rFonts w:ascii="Arial" w:cs="Arial" w:eastAsia="Arial" w:hAnsi="Arial"/>
                <w:sz w:val="14"/>
                <w:szCs w:val="14"/>
                <w:b w:val="1"/>
                <w:bCs w:val="1"/>
                <w:color w:val="FFFFFF"/>
              </w:rPr>
              <w:t>Accumulated</w:t>
            </w:r>
          </w:p>
        </w:tc>
        <w:tc>
          <w:tcPr>
            <w:tcW w:w="1620" w:type="dxa"/>
            <w:vAlign w:val="bottom"/>
            <w:shd w:val="clear" w:color="auto" w:fill="481F6E"/>
          </w:tcPr>
          <w:p>
            <w:pPr>
              <w:jc w:val="right"/>
              <w:spacing w:after="0"/>
              <w:rPr>
                <w:sz w:val="20"/>
                <w:szCs w:val="20"/>
                <w:color w:val="auto"/>
              </w:rPr>
            </w:pPr>
            <w:r>
              <w:rPr>
                <w:rFonts w:ascii="Arial" w:cs="Arial" w:eastAsia="Arial" w:hAnsi="Arial"/>
                <w:sz w:val="14"/>
                <w:szCs w:val="14"/>
                <w:b w:val="1"/>
                <w:bCs w:val="1"/>
                <w:color w:val="FFFFFF"/>
              </w:rPr>
              <w:t>Last Fiscal Year</w:t>
            </w:r>
          </w:p>
        </w:tc>
      </w:tr>
      <w:tr>
        <w:trPr>
          <w:trHeight w:val="167"/>
        </w:trPr>
        <w:tc>
          <w:tcPr>
            <w:tcW w:w="1920" w:type="dxa"/>
            <w:vAlign w:val="bottom"/>
            <w:shd w:val="clear" w:color="auto" w:fill="481F6E"/>
          </w:tcPr>
          <w:p>
            <w:pPr>
              <w:spacing w:after="0"/>
              <w:rPr>
                <w:sz w:val="14"/>
                <w:szCs w:val="14"/>
                <w:color w:val="auto"/>
              </w:rPr>
            </w:pPr>
          </w:p>
        </w:tc>
        <w:tc>
          <w:tcPr>
            <w:tcW w:w="3320" w:type="dxa"/>
            <w:vAlign w:val="bottom"/>
            <w:shd w:val="clear" w:color="auto" w:fill="481F6E"/>
          </w:tcPr>
          <w:p>
            <w:pPr>
              <w:spacing w:after="0"/>
              <w:rPr>
                <w:sz w:val="14"/>
                <w:szCs w:val="14"/>
                <w:color w:val="auto"/>
              </w:rPr>
            </w:pPr>
          </w:p>
        </w:tc>
        <w:tc>
          <w:tcPr>
            <w:tcW w:w="2440" w:type="dxa"/>
            <w:vAlign w:val="bottom"/>
            <w:shd w:val="clear" w:color="auto" w:fill="481F6E"/>
          </w:tcPr>
          <w:p>
            <w:pPr>
              <w:jc w:val="right"/>
              <w:ind w:right="388"/>
              <w:spacing w:after="0"/>
              <w:rPr>
                <w:sz w:val="20"/>
                <w:szCs w:val="20"/>
                <w:color w:val="auto"/>
              </w:rPr>
            </w:pPr>
            <w:r>
              <w:rPr>
                <w:rFonts w:ascii="Arial" w:cs="Arial" w:eastAsia="Arial" w:hAnsi="Arial"/>
                <w:sz w:val="14"/>
                <w:szCs w:val="14"/>
                <w:b w:val="1"/>
                <w:bCs w:val="1"/>
                <w:color w:val="FFFFFF"/>
              </w:rPr>
              <w:t>of 12/31/2019</w:t>
            </w:r>
          </w:p>
        </w:tc>
        <w:tc>
          <w:tcPr>
            <w:tcW w:w="1960" w:type="dxa"/>
            <w:vAlign w:val="bottom"/>
            <w:shd w:val="clear" w:color="auto" w:fill="481F6E"/>
          </w:tcPr>
          <w:p>
            <w:pPr>
              <w:jc w:val="right"/>
              <w:ind w:right="308"/>
              <w:spacing w:after="0"/>
              <w:rPr>
                <w:sz w:val="20"/>
                <w:szCs w:val="20"/>
                <w:color w:val="auto"/>
              </w:rPr>
            </w:pPr>
            <w:r>
              <w:rPr>
                <w:rFonts w:ascii="Arial" w:cs="Arial" w:eastAsia="Arial" w:hAnsi="Arial"/>
                <w:sz w:val="14"/>
                <w:szCs w:val="14"/>
                <w:b w:val="1"/>
                <w:bCs w:val="1"/>
                <w:color w:val="FFFFFF"/>
              </w:rPr>
              <w:t>Benefit as of</w:t>
            </w:r>
          </w:p>
        </w:tc>
        <w:tc>
          <w:tcPr>
            <w:tcW w:w="1620" w:type="dxa"/>
            <w:vAlign w:val="bottom"/>
            <w:shd w:val="clear" w:color="auto" w:fill="481F6E"/>
          </w:tcPr>
          <w:p>
            <w:pPr>
              <w:spacing w:after="0"/>
              <w:rPr>
                <w:sz w:val="14"/>
                <w:szCs w:val="14"/>
                <w:color w:val="auto"/>
              </w:rPr>
            </w:pPr>
          </w:p>
        </w:tc>
      </w:tr>
      <w:tr>
        <w:trPr>
          <w:trHeight w:val="211"/>
        </w:trPr>
        <w:tc>
          <w:tcPr>
            <w:tcW w:w="1920" w:type="dxa"/>
            <w:vAlign w:val="bottom"/>
            <w:tcBorders>
              <w:bottom w:val="single" w:sz="8" w:color="481F6E"/>
            </w:tcBorders>
            <w:shd w:val="clear" w:color="auto" w:fill="481F6E"/>
          </w:tcPr>
          <w:p>
            <w:pPr>
              <w:spacing w:after="0"/>
              <w:rPr>
                <w:sz w:val="18"/>
                <w:szCs w:val="18"/>
                <w:color w:val="auto"/>
              </w:rPr>
            </w:pPr>
          </w:p>
        </w:tc>
        <w:tc>
          <w:tcPr>
            <w:tcW w:w="3320" w:type="dxa"/>
            <w:vAlign w:val="bottom"/>
            <w:tcBorders>
              <w:bottom w:val="single" w:sz="8" w:color="481F6E"/>
            </w:tcBorders>
            <w:shd w:val="clear" w:color="auto" w:fill="481F6E"/>
          </w:tcPr>
          <w:p>
            <w:pPr>
              <w:spacing w:after="0"/>
              <w:rPr>
                <w:sz w:val="18"/>
                <w:szCs w:val="18"/>
                <w:color w:val="auto"/>
              </w:rPr>
            </w:pPr>
          </w:p>
        </w:tc>
        <w:tc>
          <w:tcPr>
            <w:tcW w:w="2440" w:type="dxa"/>
            <w:vAlign w:val="bottom"/>
            <w:tcBorders>
              <w:bottom w:val="single" w:sz="8" w:color="481F6E"/>
            </w:tcBorders>
            <w:shd w:val="clear" w:color="auto" w:fill="481F6E"/>
          </w:tcPr>
          <w:p>
            <w:pPr>
              <w:spacing w:after="0"/>
              <w:rPr>
                <w:sz w:val="18"/>
                <w:szCs w:val="18"/>
                <w:color w:val="auto"/>
              </w:rPr>
            </w:pPr>
          </w:p>
        </w:tc>
        <w:tc>
          <w:tcPr>
            <w:tcW w:w="1960" w:type="dxa"/>
            <w:vAlign w:val="bottom"/>
            <w:tcBorders>
              <w:bottom w:val="single" w:sz="8" w:color="481F6E"/>
            </w:tcBorders>
            <w:shd w:val="clear" w:color="auto" w:fill="481F6E"/>
          </w:tcPr>
          <w:p>
            <w:pPr>
              <w:jc w:val="right"/>
              <w:ind w:right="308"/>
              <w:spacing w:after="0"/>
              <w:rPr>
                <w:sz w:val="20"/>
                <w:szCs w:val="20"/>
                <w:color w:val="auto"/>
              </w:rPr>
            </w:pPr>
            <w:r>
              <w:rPr>
                <w:rFonts w:ascii="Arial" w:cs="Arial" w:eastAsia="Arial" w:hAnsi="Arial"/>
                <w:sz w:val="14"/>
                <w:szCs w:val="14"/>
                <w:b w:val="1"/>
                <w:bCs w:val="1"/>
                <w:color w:val="FFFFFF"/>
              </w:rPr>
              <w:t>12/31/2019 ($)</w:t>
            </w:r>
            <w:r>
              <w:rPr>
                <w:rFonts w:ascii="Arial" w:cs="Arial" w:eastAsia="Arial" w:hAnsi="Arial"/>
                <w:sz w:val="7"/>
                <w:szCs w:val="7"/>
                <w:b w:val="1"/>
                <w:bCs w:val="1"/>
                <w:color w:val="FFFFFF"/>
              </w:rPr>
              <w:t>2</w:t>
            </w:r>
          </w:p>
        </w:tc>
        <w:tc>
          <w:tcPr>
            <w:tcW w:w="1620" w:type="dxa"/>
            <w:vAlign w:val="bottom"/>
            <w:tcBorders>
              <w:bottom w:val="single" w:sz="8" w:color="481F6E"/>
            </w:tcBorders>
            <w:shd w:val="clear" w:color="auto" w:fill="481F6E"/>
          </w:tcPr>
          <w:p>
            <w:pPr>
              <w:spacing w:after="0"/>
              <w:rPr>
                <w:sz w:val="18"/>
                <w:szCs w:val="18"/>
                <w:color w:val="auto"/>
              </w:rPr>
            </w:pPr>
          </w:p>
        </w:tc>
      </w:tr>
      <w:tr>
        <w:trPr>
          <w:trHeight w:val="221"/>
        </w:trPr>
        <w:tc>
          <w:tcPr>
            <w:tcW w:w="1920" w:type="dxa"/>
            <w:vAlign w:val="bottom"/>
          </w:tcPr>
          <w:p>
            <w:pPr>
              <w:ind w:left="40"/>
              <w:spacing w:after="0"/>
              <w:rPr>
                <w:sz w:val="20"/>
                <w:szCs w:val="20"/>
                <w:color w:val="auto"/>
              </w:rPr>
            </w:pPr>
            <w:r>
              <w:rPr>
                <w:rFonts w:ascii="Arial" w:cs="Arial" w:eastAsia="Arial" w:hAnsi="Arial"/>
                <w:sz w:val="14"/>
                <w:szCs w:val="14"/>
                <w:b w:val="1"/>
                <w:bCs w:val="1"/>
                <w:color w:val="333740"/>
              </w:rPr>
              <w:t>Maryann T. Mannen</w:t>
            </w:r>
          </w:p>
        </w:tc>
        <w:tc>
          <w:tcPr>
            <w:tcW w:w="3320" w:type="dxa"/>
            <w:vAlign w:val="bottom"/>
          </w:tcPr>
          <w:p>
            <w:pPr>
              <w:ind w:left="580"/>
              <w:spacing w:after="0"/>
              <w:rPr>
                <w:sz w:val="20"/>
                <w:szCs w:val="20"/>
                <w:color w:val="auto"/>
              </w:rPr>
            </w:pPr>
            <w:r>
              <w:rPr>
                <w:rFonts w:ascii="Arial" w:cs="Arial" w:eastAsia="Arial" w:hAnsi="Arial"/>
                <w:sz w:val="14"/>
                <w:szCs w:val="14"/>
                <w:color w:val="333740"/>
              </w:rPr>
              <w:t>U.S. Pension Plan</w:t>
            </w:r>
          </w:p>
        </w:tc>
        <w:tc>
          <w:tcPr>
            <w:tcW w:w="2440" w:type="dxa"/>
            <w:vAlign w:val="bottom"/>
          </w:tcPr>
          <w:p>
            <w:pPr>
              <w:jc w:val="right"/>
              <w:ind w:right="388"/>
              <w:spacing w:after="0"/>
              <w:rPr>
                <w:sz w:val="20"/>
                <w:szCs w:val="20"/>
                <w:color w:val="auto"/>
              </w:rPr>
            </w:pPr>
            <w:r>
              <w:rPr>
                <w:rFonts w:ascii="Arial" w:cs="Arial" w:eastAsia="Arial" w:hAnsi="Arial"/>
                <w:sz w:val="14"/>
                <w:szCs w:val="14"/>
                <w:color w:val="333740"/>
              </w:rPr>
              <w:t>31.7</w:t>
            </w:r>
          </w:p>
        </w:tc>
        <w:tc>
          <w:tcPr>
            <w:tcW w:w="1960" w:type="dxa"/>
            <w:vAlign w:val="bottom"/>
          </w:tcPr>
          <w:p>
            <w:pPr>
              <w:jc w:val="right"/>
              <w:ind w:right="308"/>
              <w:spacing w:after="0"/>
              <w:rPr>
                <w:sz w:val="20"/>
                <w:szCs w:val="20"/>
                <w:color w:val="auto"/>
              </w:rPr>
            </w:pPr>
            <w:r>
              <w:rPr>
                <w:rFonts w:ascii="Arial" w:cs="Arial" w:eastAsia="Arial" w:hAnsi="Arial"/>
                <w:sz w:val="14"/>
                <w:szCs w:val="14"/>
                <w:color w:val="333740"/>
              </w:rPr>
              <w:t>1,512,141</w:t>
            </w:r>
          </w:p>
        </w:tc>
        <w:tc>
          <w:tcPr>
            <w:tcW w:w="1620" w:type="dxa"/>
            <w:vAlign w:val="bottom"/>
          </w:tcPr>
          <w:p>
            <w:pPr>
              <w:jc w:val="right"/>
              <w:spacing w:after="0"/>
              <w:rPr>
                <w:sz w:val="20"/>
                <w:szCs w:val="20"/>
                <w:color w:val="auto"/>
              </w:rPr>
            </w:pPr>
            <w:r>
              <w:rPr>
                <w:rFonts w:ascii="Arial" w:cs="Arial" w:eastAsia="Arial" w:hAnsi="Arial"/>
                <w:sz w:val="14"/>
                <w:szCs w:val="14"/>
                <w:color w:val="333740"/>
              </w:rPr>
              <w:t>0</w:t>
            </w:r>
          </w:p>
        </w:tc>
      </w:tr>
      <w:tr>
        <w:trPr>
          <w:trHeight w:val="57"/>
        </w:trPr>
        <w:tc>
          <w:tcPr>
            <w:tcW w:w="1920" w:type="dxa"/>
            <w:vAlign w:val="bottom"/>
            <w:tcBorders>
              <w:bottom w:val="single" w:sz="8" w:color="D7D8D6"/>
            </w:tcBorders>
          </w:tcPr>
          <w:p>
            <w:pPr>
              <w:spacing w:after="0"/>
              <w:rPr>
                <w:sz w:val="5"/>
                <w:szCs w:val="5"/>
                <w:color w:val="auto"/>
              </w:rPr>
            </w:pPr>
          </w:p>
        </w:tc>
        <w:tc>
          <w:tcPr>
            <w:tcW w:w="3320" w:type="dxa"/>
            <w:vAlign w:val="bottom"/>
            <w:tcBorders>
              <w:bottom w:val="single" w:sz="8" w:color="D7D8D6"/>
            </w:tcBorders>
          </w:tcPr>
          <w:p>
            <w:pPr>
              <w:spacing w:after="0"/>
              <w:rPr>
                <w:sz w:val="5"/>
                <w:szCs w:val="5"/>
                <w:color w:val="auto"/>
              </w:rPr>
            </w:pPr>
          </w:p>
        </w:tc>
        <w:tc>
          <w:tcPr>
            <w:tcW w:w="2440" w:type="dxa"/>
            <w:vAlign w:val="bottom"/>
            <w:tcBorders>
              <w:bottom w:val="single" w:sz="8" w:color="D7D8D6"/>
            </w:tcBorders>
          </w:tcPr>
          <w:p>
            <w:pPr>
              <w:spacing w:after="0"/>
              <w:rPr>
                <w:sz w:val="5"/>
                <w:szCs w:val="5"/>
                <w:color w:val="auto"/>
              </w:rPr>
            </w:pPr>
          </w:p>
        </w:tc>
        <w:tc>
          <w:tcPr>
            <w:tcW w:w="1960" w:type="dxa"/>
            <w:vAlign w:val="bottom"/>
            <w:tcBorders>
              <w:bottom w:val="single" w:sz="8" w:color="D7D8D6"/>
            </w:tcBorders>
          </w:tcPr>
          <w:p>
            <w:pPr>
              <w:spacing w:after="0"/>
              <w:rPr>
                <w:sz w:val="5"/>
                <w:szCs w:val="5"/>
                <w:color w:val="auto"/>
              </w:rPr>
            </w:pPr>
          </w:p>
        </w:tc>
        <w:tc>
          <w:tcPr>
            <w:tcW w:w="1620" w:type="dxa"/>
            <w:vAlign w:val="bottom"/>
            <w:tcBorders>
              <w:bottom w:val="single" w:sz="8" w:color="D7D8D6"/>
            </w:tcBorders>
          </w:tcPr>
          <w:p>
            <w:pPr>
              <w:spacing w:after="0"/>
              <w:rPr>
                <w:sz w:val="5"/>
                <w:szCs w:val="5"/>
                <w:color w:val="auto"/>
              </w:rPr>
            </w:pPr>
          </w:p>
        </w:tc>
      </w:tr>
      <w:tr>
        <w:trPr>
          <w:trHeight w:val="221"/>
        </w:trPr>
        <w:tc>
          <w:tcPr>
            <w:tcW w:w="1920" w:type="dxa"/>
            <w:vAlign w:val="bottom"/>
          </w:tcPr>
          <w:p>
            <w:pPr>
              <w:spacing w:after="0"/>
              <w:rPr>
                <w:sz w:val="19"/>
                <w:szCs w:val="19"/>
                <w:color w:val="auto"/>
              </w:rPr>
            </w:pPr>
          </w:p>
        </w:tc>
        <w:tc>
          <w:tcPr>
            <w:tcW w:w="3320" w:type="dxa"/>
            <w:vAlign w:val="bottom"/>
          </w:tcPr>
          <w:p>
            <w:pPr>
              <w:ind w:left="580"/>
              <w:spacing w:after="0"/>
              <w:rPr>
                <w:sz w:val="20"/>
                <w:szCs w:val="20"/>
                <w:color w:val="auto"/>
              </w:rPr>
            </w:pPr>
            <w:r>
              <w:rPr>
                <w:rFonts w:ascii="Arial" w:cs="Arial" w:eastAsia="Arial" w:hAnsi="Arial"/>
                <w:sz w:val="14"/>
                <w:szCs w:val="14"/>
                <w:color w:val="333740"/>
              </w:rPr>
              <w:t>U.S. Non-Qualified Pension Plan</w:t>
            </w:r>
          </w:p>
        </w:tc>
        <w:tc>
          <w:tcPr>
            <w:tcW w:w="2440" w:type="dxa"/>
            <w:vAlign w:val="bottom"/>
          </w:tcPr>
          <w:p>
            <w:pPr>
              <w:jc w:val="right"/>
              <w:ind w:right="388"/>
              <w:spacing w:after="0"/>
              <w:rPr>
                <w:sz w:val="20"/>
                <w:szCs w:val="20"/>
                <w:color w:val="auto"/>
              </w:rPr>
            </w:pPr>
            <w:r>
              <w:rPr>
                <w:rFonts w:ascii="Arial" w:cs="Arial" w:eastAsia="Arial" w:hAnsi="Arial"/>
                <w:sz w:val="14"/>
                <w:szCs w:val="14"/>
                <w:color w:val="333740"/>
              </w:rPr>
              <w:t>31.7</w:t>
            </w:r>
          </w:p>
        </w:tc>
        <w:tc>
          <w:tcPr>
            <w:tcW w:w="1960" w:type="dxa"/>
            <w:vAlign w:val="bottom"/>
          </w:tcPr>
          <w:p>
            <w:pPr>
              <w:jc w:val="right"/>
              <w:ind w:right="308"/>
              <w:spacing w:after="0"/>
              <w:rPr>
                <w:sz w:val="20"/>
                <w:szCs w:val="20"/>
                <w:color w:val="auto"/>
              </w:rPr>
            </w:pPr>
            <w:r>
              <w:rPr>
                <w:rFonts w:ascii="Arial" w:cs="Arial" w:eastAsia="Arial" w:hAnsi="Arial"/>
                <w:sz w:val="14"/>
                <w:szCs w:val="14"/>
                <w:color w:val="333740"/>
              </w:rPr>
              <w:t>6,483,931</w:t>
            </w:r>
          </w:p>
        </w:tc>
        <w:tc>
          <w:tcPr>
            <w:tcW w:w="1620" w:type="dxa"/>
            <w:vAlign w:val="bottom"/>
          </w:tcPr>
          <w:p>
            <w:pPr>
              <w:jc w:val="right"/>
              <w:spacing w:after="0"/>
              <w:rPr>
                <w:sz w:val="20"/>
                <w:szCs w:val="20"/>
                <w:color w:val="auto"/>
              </w:rPr>
            </w:pPr>
            <w:r>
              <w:rPr>
                <w:rFonts w:ascii="Arial" w:cs="Arial" w:eastAsia="Arial" w:hAnsi="Arial"/>
                <w:sz w:val="14"/>
                <w:szCs w:val="14"/>
                <w:color w:val="333740"/>
              </w:rPr>
              <w:t>0</w:t>
            </w:r>
          </w:p>
        </w:tc>
      </w:tr>
      <w:tr>
        <w:trPr>
          <w:trHeight w:val="57"/>
        </w:trPr>
        <w:tc>
          <w:tcPr>
            <w:tcW w:w="1920" w:type="dxa"/>
            <w:vAlign w:val="bottom"/>
            <w:tcBorders>
              <w:bottom w:val="single" w:sz="8" w:color="D7D8D6"/>
            </w:tcBorders>
          </w:tcPr>
          <w:p>
            <w:pPr>
              <w:spacing w:after="0"/>
              <w:rPr>
                <w:sz w:val="5"/>
                <w:szCs w:val="5"/>
                <w:color w:val="auto"/>
              </w:rPr>
            </w:pPr>
          </w:p>
        </w:tc>
        <w:tc>
          <w:tcPr>
            <w:tcW w:w="3320" w:type="dxa"/>
            <w:vAlign w:val="bottom"/>
            <w:tcBorders>
              <w:bottom w:val="single" w:sz="8" w:color="D7D8D6"/>
            </w:tcBorders>
          </w:tcPr>
          <w:p>
            <w:pPr>
              <w:spacing w:after="0"/>
              <w:rPr>
                <w:sz w:val="5"/>
                <w:szCs w:val="5"/>
                <w:color w:val="auto"/>
              </w:rPr>
            </w:pPr>
          </w:p>
        </w:tc>
        <w:tc>
          <w:tcPr>
            <w:tcW w:w="2440" w:type="dxa"/>
            <w:vAlign w:val="bottom"/>
            <w:tcBorders>
              <w:bottom w:val="single" w:sz="8" w:color="D7D8D6"/>
            </w:tcBorders>
          </w:tcPr>
          <w:p>
            <w:pPr>
              <w:spacing w:after="0"/>
              <w:rPr>
                <w:sz w:val="5"/>
                <w:szCs w:val="5"/>
                <w:color w:val="auto"/>
              </w:rPr>
            </w:pPr>
          </w:p>
        </w:tc>
        <w:tc>
          <w:tcPr>
            <w:tcW w:w="1960" w:type="dxa"/>
            <w:vAlign w:val="bottom"/>
            <w:tcBorders>
              <w:bottom w:val="single" w:sz="8" w:color="D7D8D6"/>
            </w:tcBorders>
          </w:tcPr>
          <w:p>
            <w:pPr>
              <w:spacing w:after="0"/>
              <w:rPr>
                <w:sz w:val="5"/>
                <w:szCs w:val="5"/>
                <w:color w:val="auto"/>
              </w:rPr>
            </w:pPr>
          </w:p>
        </w:tc>
        <w:tc>
          <w:tcPr>
            <w:tcW w:w="1620" w:type="dxa"/>
            <w:vAlign w:val="bottom"/>
            <w:tcBorders>
              <w:bottom w:val="single" w:sz="8" w:color="D7D8D6"/>
            </w:tcBorders>
          </w:tcPr>
          <w:p>
            <w:pPr>
              <w:spacing w:after="0"/>
              <w:rPr>
                <w:sz w:val="5"/>
                <w:szCs w:val="5"/>
                <w:color w:val="auto"/>
              </w:rPr>
            </w:pPr>
          </w:p>
        </w:tc>
      </w:tr>
    </w:tbl>
    <w:p>
      <w:pPr>
        <w:spacing w:after="0" w:line="126" w:lineRule="exact"/>
        <w:rPr>
          <w:sz w:val="20"/>
          <w:szCs w:val="20"/>
          <w:color w:val="auto"/>
        </w:rPr>
      </w:pPr>
    </w:p>
    <w:p>
      <w:pPr>
        <w:ind w:left="564" w:right="400" w:hanging="313"/>
        <w:spacing w:after="0" w:line="226" w:lineRule="auto"/>
        <w:tabs>
          <w:tab w:leader="none" w:pos="564" w:val="left"/>
        </w:tabs>
        <w:numPr>
          <w:ilvl w:val="0"/>
          <w:numId w:val="115"/>
        </w:numPr>
        <w:rPr>
          <w:rFonts w:ascii="Arial" w:cs="Arial" w:eastAsia="Arial" w:hAnsi="Arial"/>
          <w:sz w:val="11"/>
          <w:szCs w:val="11"/>
          <w:color w:val="333740"/>
        </w:rPr>
      </w:pPr>
      <w:r>
        <w:rPr>
          <w:rFonts w:ascii="Arial" w:cs="Arial" w:eastAsia="Arial" w:hAnsi="Arial"/>
          <w:sz w:val="11"/>
          <w:szCs w:val="11"/>
          <w:color w:val="333740"/>
        </w:rPr>
        <w:t>Effective January 1, 2010, the U.S. Pension Plan and the U.S. Non-Qualified Pension Plan were closed to new entrants and frozen for employees, including executive officers, with less than five years of vesting service as of December 31, 2009. Accordingly, only Ms. Mannen participates in the</w:t>
      </w:r>
    </w:p>
    <w:p>
      <w:pPr>
        <w:ind w:left="584"/>
        <w:spacing w:after="0" w:line="226" w:lineRule="auto"/>
        <w:rPr>
          <w:rFonts w:ascii="Arial" w:cs="Arial" w:eastAsia="Arial" w:hAnsi="Arial"/>
          <w:sz w:val="11"/>
          <w:szCs w:val="11"/>
          <w:color w:val="333740"/>
        </w:rPr>
      </w:pPr>
      <w:r>
        <w:rPr>
          <w:rFonts w:ascii="Arial" w:cs="Arial" w:eastAsia="Arial" w:hAnsi="Arial"/>
          <w:sz w:val="11"/>
          <w:szCs w:val="11"/>
          <w:color w:val="333740"/>
        </w:rPr>
        <w:t>U.S. Pension Plan and the U.S. Non-Qualified Pension Plan. Effective December 31, 2017, future benefit accruals were frozen under the U.S. Pension Plan and the U.S. Non-Qualified Pension Plan.</w:t>
      </w:r>
    </w:p>
    <w:p>
      <w:pPr>
        <w:ind w:left="564" w:hanging="313"/>
        <w:spacing w:after="0"/>
        <w:tabs>
          <w:tab w:leader="none" w:pos="564" w:val="left"/>
        </w:tabs>
        <w:numPr>
          <w:ilvl w:val="0"/>
          <w:numId w:val="115"/>
        </w:numPr>
        <w:rPr>
          <w:rFonts w:ascii="Arial" w:cs="Arial" w:eastAsia="Arial" w:hAnsi="Arial"/>
          <w:sz w:val="11"/>
          <w:szCs w:val="11"/>
          <w:color w:val="333740"/>
        </w:rPr>
      </w:pPr>
      <w:r>
        <w:rPr>
          <w:rFonts w:ascii="Arial" w:cs="Arial" w:eastAsia="Arial" w:hAnsi="Arial"/>
          <w:sz w:val="11"/>
          <w:szCs w:val="11"/>
          <w:color w:val="333740"/>
        </w:rPr>
        <w:t>The following assumptions were used to calculate the present value of Ms. Mannen’s accumulated benefits as of December 31, 2019:</w:t>
      </w:r>
    </w:p>
    <w:p>
      <w:pPr>
        <w:spacing w:after="0" w:line="40" w:lineRule="exact"/>
        <w:rPr>
          <w:rFonts w:ascii="Arial" w:cs="Arial" w:eastAsia="Arial" w:hAnsi="Arial"/>
          <w:sz w:val="11"/>
          <w:szCs w:val="11"/>
          <w:color w:val="333740"/>
        </w:rPr>
      </w:pPr>
    </w:p>
    <w:p>
      <w:pPr>
        <w:ind w:left="784" w:right="160" w:hanging="179"/>
        <w:spacing w:after="0" w:line="226" w:lineRule="auto"/>
        <w:rPr>
          <w:rFonts w:ascii="Arial" w:cs="Arial" w:eastAsia="Arial" w:hAnsi="Arial"/>
          <w:sz w:val="11"/>
          <w:szCs w:val="11"/>
          <w:color w:val="333740"/>
        </w:rPr>
      </w:pPr>
      <w:r>
        <w:rPr>
          <w:rFonts w:ascii="Arial" w:cs="Arial" w:eastAsia="Arial" w:hAnsi="Arial"/>
          <w:sz w:val="11"/>
          <w:szCs w:val="11"/>
          <w:color w:val="333740"/>
        </w:rPr>
        <w:t>– Present value of U.S. Pension Plan benefit calculated as amount payable at first unreduced age using December 31, 2019 FASB ASC Topic 715 disclosure assumptions (3.40%, RP-2014 adjusted with modified MP-2014 projection scale with long-term rate plan improvement of 0% in 2027) and reflecting discounting of present value back to December 31, 2018 using FASB ASC Topic 715 interest only (3.40%);</w:t>
      </w:r>
    </w:p>
    <w:p>
      <w:pPr>
        <w:ind w:left="784" w:right="60" w:hanging="179"/>
        <w:spacing w:after="0" w:line="226" w:lineRule="auto"/>
        <w:rPr>
          <w:rFonts w:ascii="Arial" w:cs="Arial" w:eastAsia="Arial" w:hAnsi="Arial"/>
          <w:sz w:val="11"/>
          <w:szCs w:val="11"/>
          <w:color w:val="333740"/>
        </w:rPr>
      </w:pPr>
      <w:r>
        <w:rPr>
          <w:rFonts w:ascii="Arial" w:cs="Arial" w:eastAsia="Arial" w:hAnsi="Arial"/>
          <w:sz w:val="11"/>
          <w:szCs w:val="11"/>
          <w:color w:val="333740"/>
        </w:rPr>
        <w:t>– Present value of U.S. Non-Qualified Pension Plan benefit calculated as amount payable at first unreduced age using December 31, 2019 FASB ASC Topic 715 assumptions (2.30%, 417(e) mortality table for lump sum distributions payable in 2019 and 3.40% for five-year certain annuity) and reflecting discounting of present value back to December 31, 2019 using FASB ASC Topic 715 interest only (3.40%); and</w:t>
      </w:r>
    </w:p>
    <w:p>
      <w:pPr>
        <w:ind w:left="604"/>
        <w:spacing w:after="0"/>
        <w:rPr>
          <w:rFonts w:ascii="Arial" w:cs="Arial" w:eastAsia="Arial" w:hAnsi="Arial"/>
          <w:sz w:val="11"/>
          <w:szCs w:val="11"/>
          <w:color w:val="333740"/>
        </w:rPr>
      </w:pPr>
      <w:r>
        <w:rPr>
          <w:rFonts w:ascii="Arial" w:cs="Arial" w:eastAsia="Arial" w:hAnsi="Arial"/>
          <w:sz w:val="11"/>
          <w:szCs w:val="11"/>
          <w:color w:val="333740"/>
        </w:rPr>
        <w:t>–  Unreduced benefits are first available at age 62 (or current age, if later) under the U.S. Pension Plan and the U.S. Non-Qualified Pension Plan.</w:t>
      </w:r>
    </w:p>
    <w:p>
      <w:pPr>
        <w:spacing w:after="0" w:line="385" w:lineRule="exact"/>
        <w:rPr>
          <w:sz w:val="20"/>
          <w:szCs w:val="20"/>
          <w:color w:val="auto"/>
        </w:rPr>
      </w:pPr>
    </w:p>
    <w:p>
      <w:pPr>
        <w:ind w:left="564" w:hanging="564"/>
        <w:spacing w:after="0"/>
        <w:tabs>
          <w:tab w:leader="none" w:pos="564" w:val="left"/>
        </w:tabs>
        <w:numPr>
          <w:ilvl w:val="0"/>
          <w:numId w:val="11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97" w:name="page98"/>
    <w:bookmarkEnd w:id="97"/>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U.S. Pension Plan</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6"/>
          <w:szCs w:val="16"/>
          <w:color w:val="00B2EC"/>
        </w:rPr>
        <w:t>Benefit Formula</w:t>
      </w:r>
    </w:p>
    <w:p>
      <w:pPr>
        <w:spacing w:after="0" w:line="31" w:lineRule="exact"/>
        <w:rPr>
          <w:sz w:val="20"/>
          <w:szCs w:val="20"/>
          <w:color w:val="auto"/>
        </w:rPr>
      </w:pPr>
    </w:p>
    <w:p>
      <w:pPr>
        <w:ind w:left="4"/>
        <w:spacing w:after="0" w:line="238" w:lineRule="auto"/>
        <w:rPr>
          <w:sz w:val="20"/>
          <w:szCs w:val="20"/>
          <w:color w:val="auto"/>
        </w:rPr>
      </w:pPr>
      <w:r>
        <w:rPr>
          <w:rFonts w:ascii="Arial" w:cs="Arial" w:eastAsia="Arial" w:hAnsi="Arial"/>
          <w:sz w:val="16"/>
          <w:szCs w:val="16"/>
          <w:color w:val="333740"/>
        </w:rPr>
        <w:t>Our U.S. Pension Plan is a defined benefit plan that provides eligible employees having five or more years of service a pension benefit for retirement. Years of credited service and final average yearly earnings are used to calculate the pension benefit. The final average yearly earnings are based on the highest 60 consecutive months out of the final 120 months of compensation through the date on which benefit accruals were frozen, December 31, 2017. The normal annual retirement benefit is the product of (a) and (b) below:</w:t>
      </w:r>
    </w:p>
    <w:p>
      <w:pPr>
        <w:spacing w:after="0" w:line="85" w:lineRule="exact"/>
        <w:rPr>
          <w:sz w:val="20"/>
          <w:szCs w:val="20"/>
          <w:color w:val="auto"/>
        </w:rPr>
      </w:pPr>
    </w:p>
    <w:p>
      <w:pPr>
        <w:ind w:left="704" w:hanging="322"/>
        <w:spacing w:after="0"/>
        <w:tabs>
          <w:tab w:leader="none" w:pos="704" w:val="left"/>
        </w:tabs>
        <w:numPr>
          <w:ilvl w:val="0"/>
          <w:numId w:val="117"/>
        </w:numPr>
        <w:rPr>
          <w:rFonts w:ascii="Arial" w:cs="Arial" w:eastAsia="Arial" w:hAnsi="Arial"/>
          <w:sz w:val="14"/>
          <w:szCs w:val="14"/>
          <w:color w:val="333740"/>
        </w:rPr>
      </w:pPr>
      <w:r>
        <w:rPr>
          <w:rFonts w:ascii="Arial" w:cs="Arial" w:eastAsia="Arial" w:hAnsi="Arial"/>
          <w:sz w:val="14"/>
          <w:szCs w:val="14"/>
          <w:color w:val="333740"/>
        </w:rPr>
        <w:t>the sum of:</w:t>
      </w:r>
    </w:p>
    <w:p>
      <w:pPr>
        <w:spacing w:after="0" w:line="30" w:lineRule="exact"/>
        <w:rPr>
          <w:rFonts w:ascii="Arial" w:cs="Arial" w:eastAsia="Arial" w:hAnsi="Arial"/>
          <w:sz w:val="14"/>
          <w:szCs w:val="14"/>
          <w:color w:val="333740"/>
        </w:rPr>
      </w:pPr>
    </w:p>
    <w:p>
      <w:pPr>
        <w:ind w:left="704" w:right="160" w:hanging="179"/>
        <w:spacing w:after="0" w:line="254" w:lineRule="auto"/>
        <w:tabs>
          <w:tab w:leader="none" w:pos="704" w:val="left"/>
        </w:tabs>
        <w:numPr>
          <w:ilvl w:val="1"/>
          <w:numId w:val="117"/>
        </w:numPr>
        <w:rPr>
          <w:rFonts w:ascii="Arial" w:cs="Arial" w:eastAsia="Arial" w:hAnsi="Arial"/>
          <w:sz w:val="14"/>
          <w:szCs w:val="14"/>
          <w:color w:val="333740"/>
        </w:rPr>
      </w:pPr>
      <w:r>
        <w:rPr>
          <w:rFonts w:ascii="Arial" w:cs="Arial" w:eastAsia="Arial" w:hAnsi="Arial"/>
          <w:sz w:val="14"/>
          <w:szCs w:val="14"/>
          <w:color w:val="333740"/>
        </w:rPr>
        <w:t>1% of the participant’s final average yearly earnings up to the Social Security Covered Compensation Base (defined as the average of the maximum Social Security taxable wages bases for the 35-year period ending in the year in which Social Security retirement age is reached), plus 1.5% of the participant’s final average yearly earnings in excess of the Social Security covered compensation base, multiplied by the participant’s expected years of credited service at age 65 up to 35 years of credited service; and</w:t>
      </w:r>
    </w:p>
    <w:p>
      <w:pPr>
        <w:spacing w:after="0" w:line="83" w:lineRule="exact"/>
        <w:rPr>
          <w:rFonts w:ascii="Arial" w:cs="Arial" w:eastAsia="Arial" w:hAnsi="Arial"/>
          <w:sz w:val="14"/>
          <w:szCs w:val="14"/>
          <w:color w:val="333740"/>
        </w:rPr>
      </w:pPr>
    </w:p>
    <w:p>
      <w:pPr>
        <w:ind w:left="704" w:right="300" w:hanging="179"/>
        <w:spacing w:after="0" w:line="265" w:lineRule="auto"/>
        <w:tabs>
          <w:tab w:leader="none" w:pos="704" w:val="left"/>
        </w:tabs>
        <w:numPr>
          <w:ilvl w:val="1"/>
          <w:numId w:val="117"/>
        </w:numPr>
        <w:rPr>
          <w:rFonts w:ascii="Arial" w:cs="Arial" w:eastAsia="Arial" w:hAnsi="Arial"/>
          <w:sz w:val="14"/>
          <w:szCs w:val="14"/>
          <w:color w:val="333740"/>
        </w:rPr>
      </w:pPr>
      <w:r>
        <w:rPr>
          <w:rFonts w:ascii="Arial" w:cs="Arial" w:eastAsia="Arial" w:hAnsi="Arial"/>
          <w:sz w:val="14"/>
          <w:szCs w:val="14"/>
          <w:color w:val="333740"/>
        </w:rPr>
        <w:t>1.5% of the participant’s final average yearly earnings multiplied by the participant’s expected years of credited service at age 65 in excess of 35 years of credited service; and</w:t>
      </w:r>
    </w:p>
    <w:p>
      <w:pPr>
        <w:spacing w:after="0" w:line="74" w:lineRule="exact"/>
        <w:rPr>
          <w:rFonts w:ascii="Arial" w:cs="Arial" w:eastAsia="Arial" w:hAnsi="Arial"/>
          <w:sz w:val="14"/>
          <w:szCs w:val="14"/>
          <w:color w:val="333740"/>
        </w:rPr>
      </w:pPr>
    </w:p>
    <w:p>
      <w:pPr>
        <w:ind w:left="704" w:hanging="322"/>
        <w:spacing w:after="0"/>
        <w:tabs>
          <w:tab w:leader="none" w:pos="704" w:val="left"/>
        </w:tabs>
        <w:numPr>
          <w:ilvl w:val="0"/>
          <w:numId w:val="117"/>
        </w:numPr>
        <w:rPr>
          <w:rFonts w:ascii="Arial" w:cs="Arial" w:eastAsia="Arial" w:hAnsi="Arial"/>
          <w:sz w:val="14"/>
          <w:szCs w:val="14"/>
          <w:color w:val="333740"/>
        </w:rPr>
      </w:pPr>
      <w:r>
        <w:rPr>
          <w:rFonts w:ascii="Arial" w:cs="Arial" w:eastAsia="Arial" w:hAnsi="Arial"/>
          <w:sz w:val="14"/>
          <w:szCs w:val="14"/>
          <w:color w:val="333740"/>
        </w:rPr>
        <w:t>the ratio of actual years of credited service to expected years of credited service at age 65.</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6"/>
          <w:szCs w:val="16"/>
          <w:color w:val="00B2EC"/>
        </w:rPr>
        <w:t>Eligible Earnings</w:t>
      </w:r>
    </w:p>
    <w:p>
      <w:pPr>
        <w:spacing w:after="0" w:line="31" w:lineRule="exact"/>
        <w:rPr>
          <w:sz w:val="20"/>
          <w:szCs w:val="20"/>
          <w:color w:val="auto"/>
        </w:rPr>
      </w:pPr>
    </w:p>
    <w:p>
      <w:pPr>
        <w:ind w:left="4"/>
        <w:spacing w:after="0" w:line="239" w:lineRule="auto"/>
        <w:rPr>
          <w:sz w:val="20"/>
          <w:szCs w:val="20"/>
          <w:color w:val="auto"/>
        </w:rPr>
      </w:pPr>
      <w:r>
        <w:rPr>
          <w:rFonts w:ascii="Arial" w:cs="Arial" w:eastAsia="Arial" w:hAnsi="Arial"/>
          <w:sz w:val="16"/>
          <w:szCs w:val="16"/>
          <w:color w:val="333740"/>
        </w:rPr>
        <w:t>Eligible earnings under the U.S. Pension Plan include the base salary and annual cash incentive bonus paid by the Company to the executives for each plan year, subject to certain IRS limits. Equity compensation, such as RSU, PSU, and stock option awards, and deferrals to the U.S. Non-Qualified Savings Plan, are not included. Eligible earnings were frozen as of December 31, 2017.</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6"/>
          <w:szCs w:val="16"/>
          <w:color w:val="00B2EC"/>
        </w:rPr>
        <w:t>Early Retirement</w:t>
      </w:r>
    </w:p>
    <w:p>
      <w:pPr>
        <w:spacing w:after="0" w:line="19" w:lineRule="exact"/>
        <w:rPr>
          <w:sz w:val="20"/>
          <w:szCs w:val="20"/>
          <w:color w:val="auto"/>
        </w:rPr>
      </w:pPr>
    </w:p>
    <w:p>
      <w:pPr>
        <w:ind w:left="4"/>
        <w:spacing w:after="0" w:line="236" w:lineRule="auto"/>
        <w:rPr>
          <w:sz w:val="20"/>
          <w:szCs w:val="20"/>
          <w:color w:val="auto"/>
        </w:rPr>
      </w:pPr>
      <w:r>
        <w:rPr>
          <w:rFonts w:ascii="Arial" w:cs="Arial" w:eastAsia="Arial" w:hAnsi="Arial"/>
          <w:sz w:val="16"/>
          <w:szCs w:val="16"/>
          <w:color w:val="333740"/>
        </w:rPr>
        <w:t>The U.S. Pension Plan’s “early retirement” eligibility is on or after the participant’s 55th birthday with 10 years of service. A participant in the U.S. Pension Plan who retires on or after their “early retirement date” is entitled to receive the early retirement benefit, which is equal to the normal retirement benefit reduced by one-third of 1% for each month by which the commencement of the participant’s early retirement benefit precedes the participant’s 62nd birthday. A participant in the U.S. Pension Plan whose employment terminates prior to their early retirement date is entitled to receive an early retirement benefit payable after the attainment of age 55, which is equal to the normal retirement benefit reduced by one-half of 1% for each month by which the commencement of the participant’s early retirement benefit precedes the participant’s 65th birthday.</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6"/>
          <w:szCs w:val="16"/>
          <w:color w:val="00B2EC"/>
        </w:rPr>
        <w:t>Payment of Pension Benefit</w:t>
      </w:r>
    </w:p>
    <w:p>
      <w:pPr>
        <w:spacing w:after="0" w:line="31" w:lineRule="exact"/>
        <w:rPr>
          <w:sz w:val="20"/>
          <w:szCs w:val="20"/>
          <w:color w:val="auto"/>
        </w:rPr>
      </w:pPr>
    </w:p>
    <w:p>
      <w:pPr>
        <w:ind w:left="4" w:right="80"/>
        <w:spacing w:after="0" w:line="235" w:lineRule="auto"/>
        <w:rPr>
          <w:sz w:val="20"/>
          <w:szCs w:val="20"/>
          <w:color w:val="auto"/>
        </w:rPr>
      </w:pPr>
      <w:r>
        <w:rPr>
          <w:rFonts w:ascii="Arial" w:cs="Arial" w:eastAsia="Arial" w:hAnsi="Arial"/>
          <w:sz w:val="16"/>
          <w:szCs w:val="16"/>
          <w:color w:val="333740"/>
        </w:rPr>
        <w:t>The normal retirement benefit is an individual life annuity for single retirees and 50% joint and survivor annuity for married retirees. The U.S. Pension Plan also provides for a variety of other methods for receiving pension benefits, such as 75% and 100% joint and survivor annuities, level income, and lump sum for benefits with lump sum values of $1,000 or less. The levels of annuities are actuarially determined based on the age of the participant and the age of the participant’s spouse for joint and survivor annuities. The actuarial reduction for a participant and spouse who are both age 62 is 7.9% from the normal retirement benefit for the 50% joint and survivor annuity, 11.4% from the normal retirement benefit for the 75% joint and survivor annuity, and 14.7% from the normal retirement benefit for the 100% joint and survivor annuity. The level income annuity pays increased benefits to the retiree until Social Security benefits begin at age 62 and reduces the benefit after age 62 so that the total of the retirement benefit and Social Security benefits is approximately equal before and after age 62.</w:t>
      </w:r>
    </w:p>
    <w:p>
      <w:pPr>
        <w:spacing w:after="0" w:line="320" w:lineRule="exact"/>
        <w:rPr>
          <w:sz w:val="20"/>
          <w:szCs w:val="20"/>
          <w:color w:val="auto"/>
        </w:rPr>
      </w:pPr>
    </w:p>
    <w:p>
      <w:pPr>
        <w:ind w:left="564" w:hanging="564"/>
        <w:spacing w:after="0"/>
        <w:tabs>
          <w:tab w:leader="none" w:pos="564" w:val="left"/>
        </w:tabs>
        <w:numPr>
          <w:ilvl w:val="0"/>
          <w:numId w:val="118"/>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128" w:right="339" w:bottom="1440" w:gutter="0" w:footer="0" w:header="0"/>
        </w:sectPr>
      </w:pPr>
    </w:p>
    <w:bookmarkStart w:id="98" w:name="page99"/>
    <w:bookmarkEnd w:id="98"/>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U.S. Non-Qualified Pension Plan</w:t>
      </w:r>
    </w:p>
    <w:p>
      <w:pPr>
        <w:spacing w:after="0" w:line="51" w:lineRule="exact"/>
        <w:rPr>
          <w:sz w:val="20"/>
          <w:szCs w:val="20"/>
          <w:color w:val="auto"/>
        </w:rPr>
      </w:pPr>
    </w:p>
    <w:p>
      <w:pPr>
        <w:ind w:left="4" w:right="40"/>
        <w:spacing w:after="0" w:line="238" w:lineRule="auto"/>
        <w:rPr>
          <w:sz w:val="20"/>
          <w:szCs w:val="20"/>
          <w:color w:val="auto"/>
        </w:rPr>
      </w:pPr>
      <w:r>
        <w:rPr>
          <w:rFonts w:ascii="Arial" w:cs="Arial" w:eastAsia="Arial" w:hAnsi="Arial"/>
          <w:sz w:val="16"/>
          <w:szCs w:val="16"/>
          <w:color w:val="333740"/>
        </w:rPr>
        <w:t>The normal form of payment for the U.S. Non-Qualified Pension Plan is a lump sum distribution. In addition, a participant may elect to receive his benefit in monthly installments payable over five years. The actuarial equivalence assumption for interest rates is based on the lesser of the 30-year Treasury Rate in effect for October of the year prior to termination and 6%. Distributions will be made to Ms. Mannen six months after her separation from service because she is a “key employee” as defined by the Code.</w:t>
      </w:r>
    </w:p>
    <w:p>
      <w:pPr>
        <w:spacing w:after="0" w:line="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Italian Statutory Pension Plan</w:t>
      </w:r>
    </w:p>
    <w:p>
      <w:pPr>
        <w:spacing w:after="0" w:line="51" w:lineRule="exact"/>
        <w:rPr>
          <w:sz w:val="20"/>
          <w:szCs w:val="20"/>
          <w:color w:val="auto"/>
        </w:rPr>
      </w:pPr>
    </w:p>
    <w:p>
      <w:pPr>
        <w:ind w:left="4"/>
        <w:spacing w:after="0" w:line="238" w:lineRule="auto"/>
        <w:rPr>
          <w:sz w:val="20"/>
          <w:szCs w:val="20"/>
          <w:color w:val="auto"/>
        </w:rPr>
      </w:pPr>
      <w:r>
        <w:rPr>
          <w:rFonts w:ascii="Arial" w:cs="Arial" w:eastAsia="Arial" w:hAnsi="Arial"/>
          <w:sz w:val="16"/>
          <w:szCs w:val="16"/>
          <w:color w:val="333740"/>
        </w:rPr>
        <w:t>The TFR (Trattamento di fine rapporto) is an end-of-employment contract indemnity constituted by a certain amount of salary set aside each month to be paid to each employee upon termination of the employment contract. It is calculated according to the formula of a year’s overall salary divided by 13.5. The TFR may be transferred (if the employee requests) to either a state pension fund or private complementary pension funds. Mr. Uccelletti has decided to transfer 100% of his TFR to a supplementary pension fund.</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33"/>
          <w:szCs w:val="33"/>
          <w:color w:val="481F6E"/>
        </w:rPr>
        <w:t>Non-Qualified Deferred Compensation Table</w:t>
      </w:r>
    </w:p>
    <w:p>
      <w:pPr>
        <w:spacing w:after="0" w:line="30" w:lineRule="exact"/>
        <w:rPr>
          <w:sz w:val="20"/>
          <w:szCs w:val="20"/>
          <w:color w:val="auto"/>
        </w:rPr>
      </w:pPr>
    </w:p>
    <w:p>
      <w:pPr>
        <w:ind w:left="4" w:right="160"/>
        <w:spacing w:after="0" w:line="233" w:lineRule="auto"/>
        <w:rPr>
          <w:sz w:val="20"/>
          <w:szCs w:val="20"/>
          <w:color w:val="auto"/>
        </w:rPr>
      </w:pPr>
      <w:r>
        <w:rPr>
          <w:rFonts w:ascii="Arial" w:cs="Arial" w:eastAsia="Arial" w:hAnsi="Arial"/>
          <w:sz w:val="16"/>
          <w:szCs w:val="16"/>
          <w:color w:val="333740"/>
        </w:rPr>
        <w:t>Pursuant to the Company’s U.S. Non-Qualified Savings Plan, certain of our U.S.-based employees, including our NEOs, may defer up to 75% of base salary and annual cash incentive bonuses. For the U.S. Non-Qualified Savings Plan, deferral elections are made by eligible employees in November or December of each year for amounts earned (or granted with regard to incentive compensation awards) in the following year. The investment options are publicly available mutual funds. The Company’s matching contribution will be made in the same investment allocations that the participant selects for his or her contributions to the plan. In addition, the NEOs who participate in the U.S. Non-Qualified Savings Plan may</w:t>
      </w:r>
    </w:p>
    <w:p>
      <w:pPr>
        <w:spacing w:after="0" w:line="3" w:lineRule="exact"/>
        <w:rPr>
          <w:sz w:val="20"/>
          <w:szCs w:val="20"/>
          <w:color w:val="auto"/>
        </w:rPr>
      </w:pPr>
    </w:p>
    <w:p>
      <w:pPr>
        <w:ind w:left="4" w:right="140"/>
        <w:spacing w:after="0" w:line="244" w:lineRule="auto"/>
        <w:rPr>
          <w:sz w:val="20"/>
          <w:szCs w:val="20"/>
          <w:color w:val="auto"/>
        </w:rPr>
      </w:pPr>
      <w:r>
        <w:rPr>
          <w:rFonts w:ascii="Arial" w:cs="Arial" w:eastAsia="Arial" w:hAnsi="Arial"/>
          <w:sz w:val="16"/>
          <w:szCs w:val="16"/>
          <w:color w:val="333740"/>
        </w:rPr>
        <w:t>elect to defer all or any portion of their base salary and annual cash incentive bonus payments for the current year under the U.S. Non-Qualified Savings Plan, and the deferred amounts will be deemed as being invested in any funds available under the U.S. Non-Qualified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111760</wp:posOffset>
            </wp:positionV>
            <wp:extent cx="7620" cy="6223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20" cy="622300"/>
                    </a:xfrm>
                    <a:prstGeom prst="rect">
                      <a:avLst/>
                    </a:prstGeom>
                    <a:noFill/>
                  </pic:spPr>
                </pic:pic>
              </a:graphicData>
            </a:graphic>
          </wp:anchor>
        </w:drawing>
        <w:drawing>
          <wp:anchor simplePos="0" relativeHeight="251657728" behindDoc="1" locked="0" layoutInCell="0" allowOverlap="1">
            <wp:simplePos x="0" y="0"/>
            <wp:positionH relativeFrom="column">
              <wp:posOffset>5372735</wp:posOffset>
            </wp:positionH>
            <wp:positionV relativeFrom="paragraph">
              <wp:posOffset>111760</wp:posOffset>
            </wp:positionV>
            <wp:extent cx="7620" cy="6223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20" cy="622300"/>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111760</wp:posOffset>
            </wp:positionV>
            <wp:extent cx="7620" cy="6223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20" cy="62230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111760</wp:posOffset>
            </wp:positionV>
            <wp:extent cx="7620" cy="6223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620" cy="62230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111760</wp:posOffset>
            </wp:positionV>
            <wp:extent cx="7620" cy="6223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620" cy="622300"/>
                    </a:xfrm>
                    <a:prstGeom prst="rect">
                      <a:avLst/>
                    </a:prstGeom>
                    <a:noFill/>
                  </pic:spPr>
                </pic:pic>
              </a:graphicData>
            </a:graphic>
          </wp:anchor>
        </w:drawing>
      </w:r>
    </w:p>
    <w:p>
      <w:pPr>
        <w:spacing w:after="0" w:line="156" w:lineRule="exact"/>
        <w:rPr>
          <w:sz w:val="20"/>
          <w:szCs w:val="20"/>
          <w:color w:val="auto"/>
        </w:rPr>
      </w:pPr>
    </w:p>
    <w:tbl>
      <w:tblPr>
        <w:tblLayout w:type="fixed"/>
        <w:tblInd w:w="4" w:type="dxa"/>
        <w:tblCellMar>
          <w:top w:w="0" w:type="dxa"/>
          <w:left w:w="0" w:type="dxa"/>
          <w:bottom w:w="0" w:type="dxa"/>
          <w:right w:w="0" w:type="dxa"/>
        </w:tblCellMar>
      </w:tblPr>
      <w:tr>
        <w:trPr>
          <w:trHeight w:val="259"/>
        </w:trPr>
        <w:tc>
          <w:tcPr>
            <w:tcW w:w="2440" w:type="dxa"/>
            <w:vAlign w:val="bottom"/>
            <w:shd w:val="clear" w:color="auto" w:fill="481F6E"/>
          </w:tcPr>
          <w:p>
            <w:pPr>
              <w:ind w:left="20"/>
              <w:spacing w:after="0"/>
              <w:rPr>
                <w:sz w:val="20"/>
                <w:szCs w:val="20"/>
                <w:color w:val="auto"/>
              </w:rPr>
            </w:pPr>
            <w:r>
              <w:rPr>
                <w:rFonts w:ascii="Arial" w:cs="Arial" w:eastAsia="Arial" w:hAnsi="Arial"/>
                <w:sz w:val="14"/>
                <w:szCs w:val="14"/>
                <w:b w:val="1"/>
                <w:bCs w:val="1"/>
                <w:color w:val="FFFFFF"/>
              </w:rPr>
              <w:t>Name</w:t>
            </w:r>
          </w:p>
        </w:tc>
        <w:tc>
          <w:tcPr>
            <w:tcW w:w="2420" w:type="dxa"/>
            <w:vAlign w:val="bottom"/>
            <w:shd w:val="clear" w:color="auto" w:fill="481F6E"/>
          </w:tcPr>
          <w:p>
            <w:pPr>
              <w:jc w:val="right"/>
              <w:ind w:right="268"/>
              <w:spacing w:after="0"/>
              <w:rPr>
                <w:sz w:val="20"/>
                <w:szCs w:val="20"/>
                <w:color w:val="auto"/>
              </w:rPr>
            </w:pPr>
            <w:r>
              <w:rPr>
                <w:rFonts w:ascii="Arial" w:cs="Arial" w:eastAsia="Arial" w:hAnsi="Arial"/>
                <w:sz w:val="14"/>
                <w:szCs w:val="14"/>
                <w:b w:val="1"/>
                <w:bCs w:val="1"/>
                <w:color w:val="FFFFFF"/>
              </w:rPr>
              <w:t>Executive</w:t>
            </w:r>
          </w:p>
        </w:tc>
        <w:tc>
          <w:tcPr>
            <w:tcW w:w="1940" w:type="dxa"/>
            <w:vAlign w:val="bottom"/>
            <w:shd w:val="clear" w:color="auto" w:fill="481F6E"/>
          </w:tcPr>
          <w:p>
            <w:pPr>
              <w:jc w:val="right"/>
              <w:ind w:right="428"/>
              <w:spacing w:after="0"/>
              <w:rPr>
                <w:sz w:val="20"/>
                <w:szCs w:val="20"/>
                <w:color w:val="auto"/>
              </w:rPr>
            </w:pPr>
            <w:r>
              <w:rPr>
                <w:rFonts w:ascii="Arial" w:cs="Arial" w:eastAsia="Arial" w:hAnsi="Arial"/>
                <w:sz w:val="14"/>
                <w:szCs w:val="14"/>
                <w:b w:val="1"/>
                <w:bCs w:val="1"/>
                <w:color w:val="FFFFFF"/>
              </w:rPr>
              <w:t>Registrant</w:t>
            </w:r>
          </w:p>
        </w:tc>
        <w:tc>
          <w:tcPr>
            <w:tcW w:w="1840" w:type="dxa"/>
            <w:vAlign w:val="bottom"/>
            <w:shd w:val="clear" w:color="auto" w:fill="481F6E"/>
          </w:tcPr>
          <w:p>
            <w:pPr>
              <w:jc w:val="right"/>
              <w:ind w:right="148"/>
              <w:spacing w:after="0"/>
              <w:rPr>
                <w:sz w:val="20"/>
                <w:szCs w:val="20"/>
                <w:color w:val="auto"/>
              </w:rPr>
            </w:pPr>
            <w:r>
              <w:rPr>
                <w:rFonts w:ascii="Arial" w:cs="Arial" w:eastAsia="Arial" w:hAnsi="Arial"/>
                <w:sz w:val="14"/>
                <w:szCs w:val="14"/>
                <w:b w:val="1"/>
                <w:bCs w:val="1"/>
                <w:color w:val="FFFFFF"/>
              </w:rPr>
              <w:t>Aggregate</w:t>
            </w:r>
          </w:p>
        </w:tc>
        <w:tc>
          <w:tcPr>
            <w:tcW w:w="1320" w:type="dxa"/>
            <w:vAlign w:val="bottom"/>
            <w:shd w:val="clear" w:color="auto" w:fill="481F6E"/>
          </w:tcPr>
          <w:p>
            <w:pPr>
              <w:jc w:val="right"/>
              <w:ind w:right="108"/>
              <w:spacing w:after="0"/>
              <w:rPr>
                <w:sz w:val="20"/>
                <w:szCs w:val="20"/>
                <w:color w:val="auto"/>
              </w:rPr>
            </w:pPr>
            <w:r>
              <w:rPr>
                <w:rFonts w:ascii="Arial" w:cs="Arial" w:eastAsia="Arial" w:hAnsi="Arial"/>
                <w:sz w:val="14"/>
                <w:szCs w:val="14"/>
                <w:b w:val="1"/>
                <w:bCs w:val="1"/>
                <w:color w:val="FFFFFF"/>
              </w:rPr>
              <w:t>Aggregate</w:t>
            </w:r>
          </w:p>
        </w:tc>
        <w:tc>
          <w:tcPr>
            <w:tcW w:w="1300" w:type="dxa"/>
            <w:vAlign w:val="bottom"/>
            <w:shd w:val="clear" w:color="auto" w:fill="481F6E"/>
          </w:tcPr>
          <w:p>
            <w:pPr>
              <w:jc w:val="right"/>
              <w:spacing w:after="0"/>
              <w:rPr>
                <w:sz w:val="20"/>
                <w:szCs w:val="20"/>
                <w:color w:val="auto"/>
              </w:rPr>
            </w:pPr>
            <w:r>
              <w:rPr>
                <w:rFonts w:ascii="Arial" w:cs="Arial" w:eastAsia="Arial" w:hAnsi="Arial"/>
                <w:sz w:val="14"/>
                <w:szCs w:val="14"/>
                <w:b w:val="1"/>
                <w:bCs w:val="1"/>
                <w:color w:val="FFFFFF"/>
              </w:rPr>
              <w:t>Aggregate</w:t>
            </w:r>
          </w:p>
        </w:tc>
      </w:tr>
      <w:tr>
        <w:trPr>
          <w:trHeight w:val="167"/>
        </w:trPr>
        <w:tc>
          <w:tcPr>
            <w:tcW w:w="2440" w:type="dxa"/>
            <w:vAlign w:val="bottom"/>
            <w:shd w:val="clear" w:color="auto" w:fill="481F6E"/>
          </w:tcPr>
          <w:p>
            <w:pPr>
              <w:spacing w:after="0"/>
              <w:rPr>
                <w:sz w:val="14"/>
                <w:szCs w:val="14"/>
                <w:color w:val="auto"/>
              </w:rPr>
            </w:pPr>
          </w:p>
        </w:tc>
        <w:tc>
          <w:tcPr>
            <w:tcW w:w="2420" w:type="dxa"/>
            <w:vAlign w:val="bottom"/>
            <w:shd w:val="clear" w:color="auto" w:fill="481F6E"/>
          </w:tcPr>
          <w:p>
            <w:pPr>
              <w:jc w:val="right"/>
              <w:ind w:right="268"/>
              <w:spacing w:after="0"/>
              <w:rPr>
                <w:sz w:val="20"/>
                <w:szCs w:val="20"/>
                <w:color w:val="auto"/>
              </w:rPr>
            </w:pPr>
            <w:r>
              <w:rPr>
                <w:rFonts w:ascii="Arial" w:cs="Arial" w:eastAsia="Arial" w:hAnsi="Arial"/>
                <w:sz w:val="14"/>
                <w:szCs w:val="14"/>
                <w:b w:val="1"/>
                <w:bCs w:val="1"/>
                <w:color w:val="FFFFFF"/>
              </w:rPr>
              <w:t>Contributions in</w:t>
            </w:r>
          </w:p>
        </w:tc>
        <w:tc>
          <w:tcPr>
            <w:tcW w:w="1940" w:type="dxa"/>
            <w:vAlign w:val="bottom"/>
            <w:shd w:val="clear" w:color="auto" w:fill="481F6E"/>
          </w:tcPr>
          <w:p>
            <w:pPr>
              <w:jc w:val="right"/>
              <w:ind w:right="428"/>
              <w:spacing w:after="0"/>
              <w:rPr>
                <w:sz w:val="20"/>
                <w:szCs w:val="20"/>
                <w:color w:val="auto"/>
              </w:rPr>
            </w:pPr>
            <w:r>
              <w:rPr>
                <w:rFonts w:ascii="Arial" w:cs="Arial" w:eastAsia="Arial" w:hAnsi="Arial"/>
                <w:sz w:val="14"/>
                <w:szCs w:val="14"/>
                <w:b w:val="1"/>
                <w:bCs w:val="1"/>
                <w:color w:val="FFFFFF"/>
              </w:rPr>
              <w:t>Contributions in</w:t>
            </w:r>
          </w:p>
        </w:tc>
        <w:tc>
          <w:tcPr>
            <w:tcW w:w="1840" w:type="dxa"/>
            <w:vAlign w:val="bottom"/>
            <w:shd w:val="clear" w:color="auto" w:fill="481F6E"/>
          </w:tcPr>
          <w:p>
            <w:pPr>
              <w:jc w:val="right"/>
              <w:ind w:right="148"/>
              <w:spacing w:after="0"/>
              <w:rPr>
                <w:sz w:val="20"/>
                <w:szCs w:val="20"/>
                <w:color w:val="auto"/>
              </w:rPr>
            </w:pPr>
            <w:r>
              <w:rPr>
                <w:rFonts w:ascii="Arial" w:cs="Arial" w:eastAsia="Arial" w:hAnsi="Arial"/>
                <w:sz w:val="14"/>
                <w:szCs w:val="14"/>
                <w:b w:val="1"/>
                <w:bCs w:val="1"/>
                <w:color w:val="FFFFFF"/>
              </w:rPr>
              <w:t>Earnings in Last</w:t>
            </w:r>
          </w:p>
        </w:tc>
        <w:tc>
          <w:tcPr>
            <w:tcW w:w="1320" w:type="dxa"/>
            <w:vAlign w:val="bottom"/>
            <w:shd w:val="clear" w:color="auto" w:fill="481F6E"/>
          </w:tcPr>
          <w:p>
            <w:pPr>
              <w:jc w:val="right"/>
              <w:ind w:right="148"/>
              <w:spacing w:after="0"/>
              <w:rPr>
                <w:sz w:val="20"/>
                <w:szCs w:val="20"/>
                <w:color w:val="auto"/>
              </w:rPr>
            </w:pPr>
            <w:r>
              <w:rPr>
                <w:rFonts w:ascii="Arial" w:cs="Arial" w:eastAsia="Arial" w:hAnsi="Arial"/>
                <w:sz w:val="14"/>
                <w:szCs w:val="14"/>
                <w:b w:val="1"/>
                <w:bCs w:val="1"/>
                <w:color w:val="FFFFFF"/>
              </w:rPr>
              <w:t>Withdrawals/</w:t>
            </w:r>
          </w:p>
        </w:tc>
        <w:tc>
          <w:tcPr>
            <w:tcW w:w="1300" w:type="dxa"/>
            <w:vAlign w:val="bottom"/>
            <w:shd w:val="clear" w:color="auto" w:fill="481F6E"/>
          </w:tcPr>
          <w:p>
            <w:pPr>
              <w:jc w:val="right"/>
              <w:ind w:right="8"/>
              <w:spacing w:after="0"/>
              <w:rPr>
                <w:sz w:val="20"/>
                <w:szCs w:val="20"/>
                <w:color w:val="auto"/>
              </w:rPr>
            </w:pPr>
            <w:r>
              <w:rPr>
                <w:rFonts w:ascii="Arial" w:cs="Arial" w:eastAsia="Arial" w:hAnsi="Arial"/>
                <w:sz w:val="14"/>
                <w:szCs w:val="14"/>
                <w:b w:val="1"/>
                <w:bCs w:val="1"/>
                <w:color w:val="FFFFFF"/>
              </w:rPr>
              <w:t>Balance at Last</w:t>
            </w:r>
          </w:p>
        </w:tc>
      </w:tr>
      <w:tr>
        <w:trPr>
          <w:trHeight w:val="148"/>
        </w:trPr>
        <w:tc>
          <w:tcPr>
            <w:tcW w:w="2440" w:type="dxa"/>
            <w:vAlign w:val="bottom"/>
            <w:shd w:val="clear" w:color="auto" w:fill="481F6E"/>
          </w:tcPr>
          <w:p>
            <w:pPr>
              <w:spacing w:after="0"/>
              <w:rPr>
                <w:sz w:val="12"/>
                <w:szCs w:val="12"/>
                <w:color w:val="auto"/>
              </w:rPr>
            </w:pPr>
          </w:p>
        </w:tc>
        <w:tc>
          <w:tcPr>
            <w:tcW w:w="2420" w:type="dxa"/>
            <w:vAlign w:val="bottom"/>
            <w:shd w:val="clear" w:color="auto" w:fill="481F6E"/>
          </w:tcPr>
          <w:p>
            <w:pPr>
              <w:jc w:val="right"/>
              <w:ind w:right="268"/>
              <w:spacing w:after="0" w:line="148" w:lineRule="exact"/>
              <w:rPr>
                <w:sz w:val="20"/>
                <w:szCs w:val="20"/>
                <w:color w:val="auto"/>
              </w:rPr>
            </w:pPr>
            <w:r>
              <w:rPr>
                <w:rFonts w:ascii="Arial" w:cs="Arial" w:eastAsia="Arial" w:hAnsi="Arial"/>
                <w:sz w:val="14"/>
                <w:szCs w:val="14"/>
                <w:b w:val="1"/>
                <w:bCs w:val="1"/>
                <w:color w:val="FFFFFF"/>
              </w:rPr>
              <w:t>Last Fiscal Year</w:t>
            </w:r>
          </w:p>
        </w:tc>
        <w:tc>
          <w:tcPr>
            <w:tcW w:w="1940" w:type="dxa"/>
            <w:vAlign w:val="bottom"/>
            <w:shd w:val="clear" w:color="auto" w:fill="481F6E"/>
          </w:tcPr>
          <w:p>
            <w:pPr>
              <w:jc w:val="right"/>
              <w:ind w:right="428"/>
              <w:spacing w:after="0" w:line="148" w:lineRule="exact"/>
              <w:rPr>
                <w:sz w:val="20"/>
                <w:szCs w:val="20"/>
                <w:color w:val="auto"/>
              </w:rPr>
            </w:pPr>
            <w:r>
              <w:rPr>
                <w:rFonts w:ascii="Arial" w:cs="Arial" w:eastAsia="Arial" w:hAnsi="Arial"/>
                <w:sz w:val="14"/>
                <w:szCs w:val="14"/>
                <w:b w:val="1"/>
                <w:bCs w:val="1"/>
                <w:color w:val="FFFFFF"/>
              </w:rPr>
              <w:t>Last</w:t>
            </w:r>
          </w:p>
        </w:tc>
        <w:tc>
          <w:tcPr>
            <w:tcW w:w="1840" w:type="dxa"/>
            <w:vAlign w:val="bottom"/>
            <w:shd w:val="clear" w:color="auto" w:fill="481F6E"/>
          </w:tcPr>
          <w:p>
            <w:pPr>
              <w:jc w:val="right"/>
              <w:ind w:right="148"/>
              <w:spacing w:after="0" w:line="148" w:lineRule="exact"/>
              <w:rPr>
                <w:sz w:val="20"/>
                <w:szCs w:val="20"/>
                <w:color w:val="auto"/>
              </w:rPr>
            </w:pPr>
            <w:r>
              <w:rPr>
                <w:rFonts w:ascii="Arial" w:cs="Arial" w:eastAsia="Arial" w:hAnsi="Arial"/>
                <w:sz w:val="14"/>
                <w:szCs w:val="14"/>
                <w:b w:val="1"/>
                <w:bCs w:val="1"/>
                <w:color w:val="FFFFFF"/>
              </w:rPr>
              <w:t>Fiscal Year</w:t>
            </w:r>
          </w:p>
        </w:tc>
        <w:tc>
          <w:tcPr>
            <w:tcW w:w="1320" w:type="dxa"/>
            <w:vAlign w:val="bottom"/>
            <w:shd w:val="clear" w:color="auto" w:fill="481F6E"/>
          </w:tcPr>
          <w:p>
            <w:pPr>
              <w:jc w:val="right"/>
              <w:ind w:right="148"/>
              <w:spacing w:after="0" w:line="148" w:lineRule="exact"/>
              <w:rPr>
                <w:sz w:val="20"/>
                <w:szCs w:val="20"/>
                <w:color w:val="auto"/>
              </w:rPr>
            </w:pPr>
            <w:r>
              <w:rPr>
                <w:rFonts w:ascii="Arial" w:cs="Arial" w:eastAsia="Arial" w:hAnsi="Arial"/>
                <w:sz w:val="14"/>
                <w:szCs w:val="14"/>
                <w:b w:val="1"/>
                <w:bCs w:val="1"/>
                <w:color w:val="FFFFFF"/>
              </w:rPr>
              <w:t>Distributions</w:t>
            </w:r>
          </w:p>
        </w:tc>
        <w:tc>
          <w:tcPr>
            <w:tcW w:w="1300" w:type="dxa"/>
            <w:vAlign w:val="bottom"/>
            <w:shd w:val="clear" w:color="auto" w:fill="481F6E"/>
          </w:tcPr>
          <w:p>
            <w:pPr>
              <w:jc w:val="right"/>
              <w:spacing w:after="0" w:line="148" w:lineRule="exact"/>
              <w:rPr>
                <w:sz w:val="20"/>
                <w:szCs w:val="20"/>
                <w:color w:val="auto"/>
              </w:rPr>
            </w:pPr>
            <w:r>
              <w:rPr>
                <w:rFonts w:ascii="Arial" w:cs="Arial" w:eastAsia="Arial" w:hAnsi="Arial"/>
                <w:sz w:val="14"/>
                <w:szCs w:val="14"/>
                <w:b w:val="1"/>
                <w:bCs w:val="1"/>
                <w:color w:val="FFFFFF"/>
              </w:rPr>
              <w:t>Fiscal Year End</w:t>
            </w:r>
          </w:p>
        </w:tc>
      </w:tr>
      <w:tr>
        <w:trPr>
          <w:trHeight w:val="187"/>
        </w:trPr>
        <w:tc>
          <w:tcPr>
            <w:tcW w:w="2440" w:type="dxa"/>
            <w:vAlign w:val="bottom"/>
            <w:shd w:val="clear" w:color="auto" w:fill="481F6E"/>
          </w:tcPr>
          <w:p>
            <w:pPr>
              <w:spacing w:after="0"/>
              <w:rPr>
                <w:sz w:val="16"/>
                <w:szCs w:val="16"/>
                <w:color w:val="auto"/>
              </w:rPr>
            </w:pPr>
          </w:p>
        </w:tc>
        <w:tc>
          <w:tcPr>
            <w:tcW w:w="2420" w:type="dxa"/>
            <w:vAlign w:val="bottom"/>
            <w:shd w:val="clear" w:color="auto" w:fill="481F6E"/>
          </w:tcPr>
          <w:p>
            <w:pPr>
              <w:jc w:val="right"/>
              <w:ind w:right="2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6"/>
                <w:szCs w:val="6"/>
                <w:b w:val="1"/>
                <w:bCs w:val="1"/>
                <w:color w:val="FFFFFF"/>
              </w:rPr>
              <w:t>1</w:t>
            </w:r>
          </w:p>
        </w:tc>
        <w:tc>
          <w:tcPr>
            <w:tcW w:w="1940" w:type="dxa"/>
            <w:vAlign w:val="bottom"/>
            <w:shd w:val="clear" w:color="auto" w:fill="481F6E"/>
          </w:tcPr>
          <w:p>
            <w:pPr>
              <w:jc w:val="right"/>
              <w:ind w:right="428"/>
              <w:spacing w:after="0"/>
              <w:rPr>
                <w:sz w:val="20"/>
                <w:szCs w:val="20"/>
                <w:color w:val="auto"/>
              </w:rPr>
            </w:pPr>
            <w:r>
              <w:rPr>
                <w:rFonts w:ascii="Arial" w:cs="Arial" w:eastAsia="Arial" w:hAnsi="Arial"/>
                <w:sz w:val="14"/>
                <w:szCs w:val="14"/>
                <w:b w:val="1"/>
                <w:bCs w:val="1"/>
                <w:color w:val="FFFFFF"/>
              </w:rPr>
              <w:t>Fiscal Year</w:t>
            </w:r>
          </w:p>
        </w:tc>
        <w:tc>
          <w:tcPr>
            <w:tcW w:w="1840" w:type="dxa"/>
            <w:vAlign w:val="bottom"/>
            <w:shd w:val="clear" w:color="auto" w:fill="481F6E"/>
          </w:tcPr>
          <w:p>
            <w:pPr>
              <w:jc w:val="right"/>
              <w:ind w:right="148"/>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481F6E"/>
          </w:tcPr>
          <w:p>
            <w:pPr>
              <w:jc w:val="right"/>
              <w:ind w:right="88"/>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481F6E"/>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7"/>
                <w:szCs w:val="7"/>
                <w:b w:val="1"/>
                <w:bCs w:val="1"/>
                <w:color w:val="FFFFFF"/>
              </w:rPr>
              <w:t>4</w:t>
            </w:r>
          </w:p>
        </w:tc>
      </w:tr>
      <w:tr>
        <w:trPr>
          <w:trHeight w:val="228"/>
        </w:trPr>
        <w:tc>
          <w:tcPr>
            <w:tcW w:w="2440" w:type="dxa"/>
            <w:vAlign w:val="bottom"/>
            <w:tcBorders>
              <w:bottom w:val="single" w:sz="8" w:color="481F6E"/>
            </w:tcBorders>
            <w:shd w:val="clear" w:color="auto" w:fill="481F6E"/>
          </w:tcPr>
          <w:p>
            <w:pPr>
              <w:spacing w:after="0"/>
              <w:rPr>
                <w:sz w:val="19"/>
                <w:szCs w:val="19"/>
                <w:color w:val="auto"/>
              </w:rPr>
            </w:pPr>
          </w:p>
        </w:tc>
        <w:tc>
          <w:tcPr>
            <w:tcW w:w="2420" w:type="dxa"/>
            <w:vAlign w:val="bottom"/>
            <w:tcBorders>
              <w:bottom w:val="single" w:sz="8" w:color="481F6E"/>
            </w:tcBorders>
            <w:shd w:val="clear" w:color="auto" w:fill="481F6E"/>
          </w:tcPr>
          <w:p>
            <w:pPr>
              <w:spacing w:after="0"/>
              <w:rPr>
                <w:sz w:val="19"/>
                <w:szCs w:val="19"/>
                <w:color w:val="auto"/>
              </w:rPr>
            </w:pPr>
          </w:p>
        </w:tc>
        <w:tc>
          <w:tcPr>
            <w:tcW w:w="1940" w:type="dxa"/>
            <w:vAlign w:val="bottom"/>
            <w:tcBorders>
              <w:bottom w:val="single" w:sz="8" w:color="481F6E"/>
            </w:tcBorders>
            <w:shd w:val="clear" w:color="auto" w:fill="481F6E"/>
          </w:tcPr>
          <w:p>
            <w:pPr>
              <w:jc w:val="right"/>
              <w:ind w:right="42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6"/>
                <w:szCs w:val="6"/>
                <w:b w:val="1"/>
                <w:bCs w:val="1"/>
                <w:color w:val="FFFFFF"/>
              </w:rPr>
              <w:t>2, 3</w:t>
            </w:r>
          </w:p>
        </w:tc>
        <w:tc>
          <w:tcPr>
            <w:tcW w:w="1840" w:type="dxa"/>
            <w:vAlign w:val="bottom"/>
            <w:tcBorders>
              <w:bottom w:val="single" w:sz="8" w:color="481F6E"/>
            </w:tcBorders>
            <w:shd w:val="clear" w:color="auto" w:fill="481F6E"/>
          </w:tcPr>
          <w:p>
            <w:pPr>
              <w:spacing w:after="0"/>
              <w:rPr>
                <w:sz w:val="19"/>
                <w:szCs w:val="19"/>
                <w:color w:val="auto"/>
              </w:rPr>
            </w:pPr>
          </w:p>
        </w:tc>
        <w:tc>
          <w:tcPr>
            <w:tcW w:w="1320" w:type="dxa"/>
            <w:vAlign w:val="bottom"/>
            <w:tcBorders>
              <w:bottom w:val="single" w:sz="8" w:color="481F6E"/>
            </w:tcBorders>
            <w:shd w:val="clear" w:color="auto" w:fill="481F6E"/>
          </w:tcPr>
          <w:p>
            <w:pPr>
              <w:spacing w:after="0"/>
              <w:rPr>
                <w:sz w:val="19"/>
                <w:szCs w:val="19"/>
                <w:color w:val="auto"/>
              </w:rPr>
            </w:pPr>
          </w:p>
        </w:tc>
        <w:tc>
          <w:tcPr>
            <w:tcW w:w="1300" w:type="dxa"/>
            <w:vAlign w:val="bottom"/>
            <w:tcBorders>
              <w:bottom w:val="single" w:sz="8" w:color="481F6E"/>
            </w:tcBorders>
            <w:shd w:val="clear" w:color="auto" w:fill="481F6E"/>
          </w:tcPr>
          <w:p>
            <w:pPr>
              <w:spacing w:after="0"/>
              <w:rPr>
                <w:sz w:val="19"/>
                <w:szCs w:val="19"/>
                <w:color w:val="auto"/>
              </w:rPr>
            </w:pPr>
          </w:p>
        </w:tc>
      </w:tr>
      <w:tr>
        <w:trPr>
          <w:trHeight w:val="197"/>
        </w:trPr>
        <w:tc>
          <w:tcPr>
            <w:tcW w:w="2440" w:type="dxa"/>
            <w:vAlign w:val="bottom"/>
            <w:tcBorders>
              <w:top w:val="single" w:sz="8" w:color="D7D8D6"/>
            </w:tcBorders>
          </w:tcPr>
          <w:p>
            <w:pPr>
              <w:ind w:left="20"/>
              <w:spacing w:after="0"/>
              <w:rPr>
                <w:sz w:val="20"/>
                <w:szCs w:val="20"/>
                <w:color w:val="auto"/>
              </w:rPr>
            </w:pPr>
            <w:r>
              <w:rPr>
                <w:rFonts w:ascii="Arial" w:cs="Arial" w:eastAsia="Arial" w:hAnsi="Arial"/>
                <w:sz w:val="14"/>
                <w:szCs w:val="14"/>
                <w:b w:val="1"/>
                <w:bCs w:val="1"/>
                <w:color w:val="333740"/>
              </w:rPr>
              <w:t>Douglas J. Pferdehirt</w:t>
            </w:r>
          </w:p>
        </w:tc>
        <w:tc>
          <w:tcPr>
            <w:tcW w:w="2420" w:type="dxa"/>
            <w:vAlign w:val="bottom"/>
            <w:tcBorders>
              <w:top w:val="single" w:sz="8" w:color="D7D8D6"/>
            </w:tcBorders>
          </w:tcPr>
          <w:p>
            <w:pPr>
              <w:jc w:val="right"/>
              <w:ind w:right="268"/>
              <w:spacing w:after="0"/>
              <w:rPr>
                <w:sz w:val="20"/>
                <w:szCs w:val="20"/>
                <w:color w:val="auto"/>
              </w:rPr>
            </w:pPr>
            <w:r>
              <w:rPr>
                <w:rFonts w:ascii="Arial" w:cs="Arial" w:eastAsia="Arial" w:hAnsi="Arial"/>
                <w:sz w:val="14"/>
                <w:szCs w:val="14"/>
                <w:color w:val="333740"/>
              </w:rPr>
              <w:t>339,050</w:t>
            </w:r>
          </w:p>
        </w:tc>
        <w:tc>
          <w:tcPr>
            <w:tcW w:w="1940" w:type="dxa"/>
            <w:vAlign w:val="bottom"/>
            <w:tcBorders>
              <w:top w:val="single" w:sz="8" w:color="D7D8D6"/>
            </w:tcBorders>
          </w:tcPr>
          <w:p>
            <w:pPr>
              <w:jc w:val="right"/>
              <w:ind w:right="428"/>
              <w:spacing w:after="0"/>
              <w:rPr>
                <w:sz w:val="20"/>
                <w:szCs w:val="20"/>
                <w:color w:val="auto"/>
              </w:rPr>
            </w:pPr>
            <w:r>
              <w:rPr>
                <w:rFonts w:ascii="Arial" w:cs="Arial" w:eastAsia="Arial" w:hAnsi="Arial"/>
                <w:sz w:val="14"/>
                <w:szCs w:val="14"/>
                <w:color w:val="333740"/>
              </w:rPr>
              <w:t>225,104</w:t>
            </w:r>
          </w:p>
        </w:tc>
        <w:tc>
          <w:tcPr>
            <w:tcW w:w="1840" w:type="dxa"/>
            <w:vAlign w:val="bottom"/>
            <w:tcBorders>
              <w:top w:val="single" w:sz="8" w:color="D7D8D6"/>
            </w:tcBorders>
          </w:tcPr>
          <w:p>
            <w:pPr>
              <w:jc w:val="right"/>
              <w:ind w:right="128"/>
              <w:spacing w:after="0"/>
              <w:rPr>
                <w:sz w:val="20"/>
                <w:szCs w:val="20"/>
                <w:color w:val="auto"/>
              </w:rPr>
            </w:pPr>
            <w:r>
              <w:rPr>
                <w:rFonts w:ascii="Arial" w:cs="Arial" w:eastAsia="Arial" w:hAnsi="Arial"/>
                <w:sz w:val="14"/>
                <w:szCs w:val="14"/>
                <w:color w:val="333740"/>
              </w:rPr>
              <w:t>453,901</w:t>
            </w:r>
          </w:p>
        </w:tc>
        <w:tc>
          <w:tcPr>
            <w:tcW w:w="1320" w:type="dxa"/>
            <w:vAlign w:val="bottom"/>
            <w:tcBorders>
              <w:top w:val="single" w:sz="8" w:color="D7D8D6"/>
            </w:tcBorders>
          </w:tcPr>
          <w:p>
            <w:pPr>
              <w:jc w:val="right"/>
              <w:ind w:right="88"/>
              <w:spacing w:after="0"/>
              <w:rPr>
                <w:sz w:val="20"/>
                <w:szCs w:val="20"/>
                <w:color w:val="auto"/>
              </w:rPr>
            </w:pPr>
            <w:r>
              <w:rPr>
                <w:rFonts w:ascii="Arial" w:cs="Arial" w:eastAsia="Arial" w:hAnsi="Arial"/>
                <w:sz w:val="14"/>
                <w:szCs w:val="14"/>
                <w:color w:val="333740"/>
              </w:rPr>
              <w:t>0</w:t>
            </w:r>
          </w:p>
        </w:tc>
        <w:tc>
          <w:tcPr>
            <w:tcW w:w="1300" w:type="dxa"/>
            <w:vAlign w:val="bottom"/>
            <w:tcBorders>
              <w:top w:val="single" w:sz="8" w:color="D7D8D6"/>
            </w:tcBorders>
          </w:tcPr>
          <w:p>
            <w:pPr>
              <w:jc w:val="right"/>
              <w:spacing w:after="0"/>
              <w:rPr>
                <w:sz w:val="20"/>
                <w:szCs w:val="20"/>
                <w:color w:val="auto"/>
              </w:rPr>
            </w:pPr>
            <w:r>
              <w:rPr>
                <w:rFonts w:ascii="Arial" w:cs="Arial" w:eastAsia="Arial" w:hAnsi="Arial"/>
                <w:sz w:val="14"/>
                <w:szCs w:val="14"/>
                <w:color w:val="333740"/>
              </w:rPr>
              <w:t>2,825,852</w:t>
            </w:r>
          </w:p>
        </w:tc>
      </w:tr>
      <w:tr>
        <w:trPr>
          <w:trHeight w:val="34"/>
        </w:trPr>
        <w:tc>
          <w:tcPr>
            <w:tcW w:w="2440" w:type="dxa"/>
            <w:vAlign w:val="bottom"/>
            <w:tcBorders>
              <w:bottom w:val="single" w:sz="8" w:color="D7D8D6"/>
            </w:tcBorders>
          </w:tcPr>
          <w:p>
            <w:pPr>
              <w:spacing w:after="0"/>
              <w:rPr>
                <w:sz w:val="2"/>
                <w:szCs w:val="2"/>
                <w:color w:val="auto"/>
              </w:rPr>
            </w:pPr>
          </w:p>
        </w:tc>
        <w:tc>
          <w:tcPr>
            <w:tcW w:w="2420" w:type="dxa"/>
            <w:vAlign w:val="bottom"/>
            <w:tcBorders>
              <w:bottom w:val="single" w:sz="8" w:color="D7D8D6"/>
            </w:tcBorders>
          </w:tcPr>
          <w:p>
            <w:pPr>
              <w:spacing w:after="0"/>
              <w:rPr>
                <w:sz w:val="2"/>
                <w:szCs w:val="2"/>
                <w:color w:val="auto"/>
              </w:rPr>
            </w:pPr>
          </w:p>
        </w:tc>
        <w:tc>
          <w:tcPr>
            <w:tcW w:w="1940" w:type="dxa"/>
            <w:vAlign w:val="bottom"/>
            <w:tcBorders>
              <w:bottom w:val="single" w:sz="8" w:color="D7D8D6"/>
            </w:tcBorders>
          </w:tcPr>
          <w:p>
            <w:pPr>
              <w:spacing w:after="0"/>
              <w:rPr>
                <w:sz w:val="2"/>
                <w:szCs w:val="2"/>
                <w:color w:val="auto"/>
              </w:rPr>
            </w:pPr>
          </w:p>
        </w:tc>
        <w:tc>
          <w:tcPr>
            <w:tcW w:w="1840" w:type="dxa"/>
            <w:vAlign w:val="bottom"/>
            <w:tcBorders>
              <w:bottom w:val="single" w:sz="8" w:color="D7D8D6"/>
            </w:tcBorders>
          </w:tcPr>
          <w:p>
            <w:pPr>
              <w:spacing w:after="0"/>
              <w:rPr>
                <w:sz w:val="2"/>
                <w:szCs w:val="2"/>
                <w:color w:val="auto"/>
              </w:rPr>
            </w:pPr>
          </w:p>
        </w:tc>
        <w:tc>
          <w:tcPr>
            <w:tcW w:w="1320" w:type="dxa"/>
            <w:vAlign w:val="bottom"/>
            <w:tcBorders>
              <w:bottom w:val="single" w:sz="8" w:color="D7D8D6"/>
            </w:tcBorders>
          </w:tcPr>
          <w:p>
            <w:pPr>
              <w:spacing w:after="0"/>
              <w:rPr>
                <w:sz w:val="2"/>
                <w:szCs w:val="2"/>
                <w:color w:val="auto"/>
              </w:rPr>
            </w:pPr>
          </w:p>
        </w:tc>
        <w:tc>
          <w:tcPr>
            <w:tcW w:w="1300" w:type="dxa"/>
            <w:vAlign w:val="bottom"/>
            <w:tcBorders>
              <w:bottom w:val="single" w:sz="8" w:color="D7D8D6"/>
            </w:tcBorders>
          </w:tcPr>
          <w:p>
            <w:pPr>
              <w:spacing w:after="0"/>
              <w:rPr>
                <w:sz w:val="2"/>
                <w:szCs w:val="2"/>
                <w:color w:val="auto"/>
              </w:rPr>
            </w:pPr>
          </w:p>
        </w:tc>
      </w:tr>
      <w:tr>
        <w:trPr>
          <w:trHeight w:val="197"/>
        </w:trPr>
        <w:tc>
          <w:tcPr>
            <w:tcW w:w="2440" w:type="dxa"/>
            <w:vAlign w:val="bottom"/>
          </w:tcPr>
          <w:p>
            <w:pPr>
              <w:ind w:left="20"/>
              <w:spacing w:after="0"/>
              <w:rPr>
                <w:sz w:val="20"/>
                <w:szCs w:val="20"/>
                <w:color w:val="auto"/>
              </w:rPr>
            </w:pPr>
            <w:r>
              <w:rPr>
                <w:rFonts w:ascii="Arial" w:cs="Arial" w:eastAsia="Arial" w:hAnsi="Arial"/>
                <w:sz w:val="14"/>
                <w:szCs w:val="14"/>
                <w:b w:val="1"/>
                <w:bCs w:val="1"/>
                <w:color w:val="333740"/>
              </w:rPr>
              <w:t>Maryann T. Mannen</w:t>
            </w:r>
          </w:p>
        </w:tc>
        <w:tc>
          <w:tcPr>
            <w:tcW w:w="2420" w:type="dxa"/>
            <w:vAlign w:val="bottom"/>
          </w:tcPr>
          <w:p>
            <w:pPr>
              <w:jc w:val="right"/>
              <w:ind w:right="268"/>
              <w:spacing w:after="0"/>
              <w:rPr>
                <w:sz w:val="20"/>
                <w:szCs w:val="20"/>
                <w:color w:val="auto"/>
              </w:rPr>
            </w:pPr>
            <w:r>
              <w:rPr>
                <w:rFonts w:ascii="Arial" w:cs="Arial" w:eastAsia="Arial" w:hAnsi="Arial"/>
                <w:sz w:val="14"/>
                <w:szCs w:val="14"/>
                <w:color w:val="333740"/>
              </w:rPr>
              <w:t>7,973</w:t>
            </w:r>
          </w:p>
        </w:tc>
        <w:tc>
          <w:tcPr>
            <w:tcW w:w="1940" w:type="dxa"/>
            <w:vAlign w:val="bottom"/>
          </w:tcPr>
          <w:p>
            <w:pPr>
              <w:jc w:val="right"/>
              <w:ind w:right="428"/>
              <w:spacing w:after="0"/>
              <w:rPr>
                <w:sz w:val="20"/>
                <w:szCs w:val="20"/>
                <w:color w:val="auto"/>
              </w:rPr>
            </w:pPr>
            <w:r>
              <w:rPr>
                <w:rFonts w:ascii="Arial" w:cs="Arial" w:eastAsia="Arial" w:hAnsi="Arial"/>
                <w:sz w:val="14"/>
                <w:szCs w:val="14"/>
                <w:color w:val="333740"/>
              </w:rPr>
              <w:t>106,580</w:t>
            </w:r>
          </w:p>
        </w:tc>
        <w:tc>
          <w:tcPr>
            <w:tcW w:w="1840" w:type="dxa"/>
            <w:vAlign w:val="bottom"/>
          </w:tcPr>
          <w:p>
            <w:pPr>
              <w:jc w:val="right"/>
              <w:ind w:right="128"/>
              <w:spacing w:after="0"/>
              <w:rPr>
                <w:sz w:val="20"/>
                <w:szCs w:val="20"/>
                <w:color w:val="auto"/>
              </w:rPr>
            </w:pPr>
            <w:r>
              <w:rPr>
                <w:rFonts w:ascii="Arial" w:cs="Arial" w:eastAsia="Arial" w:hAnsi="Arial"/>
                <w:sz w:val="14"/>
                <w:szCs w:val="14"/>
                <w:color w:val="333740"/>
              </w:rPr>
              <w:t>106,967</w:t>
            </w:r>
          </w:p>
        </w:tc>
        <w:tc>
          <w:tcPr>
            <w:tcW w:w="1320" w:type="dxa"/>
            <w:vAlign w:val="bottom"/>
          </w:tcPr>
          <w:p>
            <w:pPr>
              <w:jc w:val="right"/>
              <w:ind w:right="88"/>
              <w:spacing w:after="0"/>
              <w:rPr>
                <w:sz w:val="20"/>
                <w:szCs w:val="20"/>
                <w:color w:val="auto"/>
              </w:rPr>
            </w:pPr>
            <w:r>
              <w:rPr>
                <w:rFonts w:ascii="Arial" w:cs="Arial" w:eastAsia="Arial" w:hAnsi="Arial"/>
                <w:sz w:val="14"/>
                <w:szCs w:val="14"/>
                <w:color w:val="333740"/>
              </w:rPr>
              <w:t>0</w:t>
            </w:r>
          </w:p>
        </w:tc>
        <w:tc>
          <w:tcPr>
            <w:tcW w:w="1300" w:type="dxa"/>
            <w:vAlign w:val="bottom"/>
          </w:tcPr>
          <w:p>
            <w:pPr>
              <w:jc w:val="right"/>
              <w:spacing w:after="0"/>
              <w:rPr>
                <w:sz w:val="20"/>
                <w:szCs w:val="20"/>
                <w:color w:val="auto"/>
              </w:rPr>
            </w:pPr>
            <w:r>
              <w:rPr>
                <w:rFonts w:ascii="Arial" w:cs="Arial" w:eastAsia="Arial" w:hAnsi="Arial"/>
                <w:sz w:val="14"/>
                <w:szCs w:val="14"/>
                <w:color w:val="333740"/>
              </w:rPr>
              <w:t>566,483</w:t>
            </w:r>
          </w:p>
        </w:tc>
      </w:tr>
      <w:tr>
        <w:trPr>
          <w:trHeight w:val="34"/>
        </w:trPr>
        <w:tc>
          <w:tcPr>
            <w:tcW w:w="2440" w:type="dxa"/>
            <w:vAlign w:val="bottom"/>
            <w:tcBorders>
              <w:bottom w:val="single" w:sz="8" w:color="D7D8D6"/>
            </w:tcBorders>
          </w:tcPr>
          <w:p>
            <w:pPr>
              <w:spacing w:after="0"/>
              <w:rPr>
                <w:sz w:val="2"/>
                <w:szCs w:val="2"/>
                <w:color w:val="auto"/>
              </w:rPr>
            </w:pPr>
          </w:p>
        </w:tc>
        <w:tc>
          <w:tcPr>
            <w:tcW w:w="2420" w:type="dxa"/>
            <w:vAlign w:val="bottom"/>
            <w:tcBorders>
              <w:bottom w:val="single" w:sz="8" w:color="D7D8D6"/>
            </w:tcBorders>
          </w:tcPr>
          <w:p>
            <w:pPr>
              <w:spacing w:after="0"/>
              <w:rPr>
                <w:sz w:val="2"/>
                <w:szCs w:val="2"/>
                <w:color w:val="auto"/>
              </w:rPr>
            </w:pPr>
          </w:p>
        </w:tc>
        <w:tc>
          <w:tcPr>
            <w:tcW w:w="1940" w:type="dxa"/>
            <w:vAlign w:val="bottom"/>
            <w:tcBorders>
              <w:bottom w:val="single" w:sz="8" w:color="D7D8D6"/>
            </w:tcBorders>
          </w:tcPr>
          <w:p>
            <w:pPr>
              <w:spacing w:after="0"/>
              <w:rPr>
                <w:sz w:val="2"/>
                <w:szCs w:val="2"/>
                <w:color w:val="auto"/>
              </w:rPr>
            </w:pPr>
          </w:p>
        </w:tc>
        <w:tc>
          <w:tcPr>
            <w:tcW w:w="1840" w:type="dxa"/>
            <w:vAlign w:val="bottom"/>
            <w:tcBorders>
              <w:bottom w:val="single" w:sz="8" w:color="D7D8D6"/>
            </w:tcBorders>
          </w:tcPr>
          <w:p>
            <w:pPr>
              <w:spacing w:after="0"/>
              <w:rPr>
                <w:sz w:val="2"/>
                <w:szCs w:val="2"/>
                <w:color w:val="auto"/>
              </w:rPr>
            </w:pPr>
          </w:p>
        </w:tc>
        <w:tc>
          <w:tcPr>
            <w:tcW w:w="1320" w:type="dxa"/>
            <w:vAlign w:val="bottom"/>
            <w:tcBorders>
              <w:bottom w:val="single" w:sz="8" w:color="D7D8D6"/>
            </w:tcBorders>
          </w:tcPr>
          <w:p>
            <w:pPr>
              <w:spacing w:after="0"/>
              <w:rPr>
                <w:sz w:val="2"/>
                <w:szCs w:val="2"/>
                <w:color w:val="auto"/>
              </w:rPr>
            </w:pPr>
          </w:p>
        </w:tc>
        <w:tc>
          <w:tcPr>
            <w:tcW w:w="1300" w:type="dxa"/>
            <w:vAlign w:val="bottom"/>
            <w:tcBorders>
              <w:bottom w:val="single" w:sz="8" w:color="D7D8D6"/>
            </w:tcBorders>
          </w:tcPr>
          <w:p>
            <w:pPr>
              <w:spacing w:after="0"/>
              <w:rPr>
                <w:sz w:val="2"/>
                <w:szCs w:val="2"/>
                <w:color w:val="auto"/>
              </w:rPr>
            </w:pPr>
          </w:p>
        </w:tc>
      </w:tr>
      <w:tr>
        <w:trPr>
          <w:trHeight w:val="197"/>
        </w:trPr>
        <w:tc>
          <w:tcPr>
            <w:tcW w:w="2440" w:type="dxa"/>
            <w:vAlign w:val="bottom"/>
          </w:tcPr>
          <w:p>
            <w:pPr>
              <w:ind w:left="20"/>
              <w:spacing w:after="0"/>
              <w:rPr>
                <w:sz w:val="20"/>
                <w:szCs w:val="20"/>
                <w:color w:val="auto"/>
              </w:rPr>
            </w:pPr>
            <w:r>
              <w:rPr>
                <w:rFonts w:ascii="Arial" w:cs="Arial" w:eastAsia="Arial" w:hAnsi="Arial"/>
                <w:sz w:val="14"/>
                <w:szCs w:val="14"/>
                <w:b w:val="1"/>
                <w:bCs w:val="1"/>
                <w:color w:val="333740"/>
              </w:rPr>
              <w:t>Dianne B. Ralston</w:t>
            </w:r>
          </w:p>
        </w:tc>
        <w:tc>
          <w:tcPr>
            <w:tcW w:w="2420" w:type="dxa"/>
            <w:vAlign w:val="bottom"/>
          </w:tcPr>
          <w:p>
            <w:pPr>
              <w:jc w:val="right"/>
              <w:ind w:right="268"/>
              <w:spacing w:after="0"/>
              <w:rPr>
                <w:sz w:val="20"/>
                <w:szCs w:val="20"/>
                <w:color w:val="auto"/>
              </w:rPr>
            </w:pPr>
            <w:r>
              <w:rPr>
                <w:rFonts w:ascii="Arial" w:cs="Arial" w:eastAsia="Arial" w:hAnsi="Arial"/>
                <w:sz w:val="14"/>
                <w:szCs w:val="14"/>
                <w:color w:val="333740"/>
              </w:rPr>
              <w:t>63,829</w:t>
            </w:r>
          </w:p>
        </w:tc>
        <w:tc>
          <w:tcPr>
            <w:tcW w:w="1940" w:type="dxa"/>
            <w:vAlign w:val="bottom"/>
          </w:tcPr>
          <w:p>
            <w:pPr>
              <w:jc w:val="right"/>
              <w:ind w:right="428"/>
              <w:spacing w:after="0"/>
              <w:rPr>
                <w:sz w:val="20"/>
                <w:szCs w:val="20"/>
                <w:color w:val="auto"/>
              </w:rPr>
            </w:pPr>
            <w:r>
              <w:rPr>
                <w:rFonts w:ascii="Arial" w:cs="Arial" w:eastAsia="Arial" w:hAnsi="Arial"/>
                <w:sz w:val="14"/>
                <w:szCs w:val="14"/>
                <w:color w:val="333740"/>
              </w:rPr>
              <w:t>80,135</w:t>
            </w:r>
          </w:p>
        </w:tc>
        <w:tc>
          <w:tcPr>
            <w:tcW w:w="1840" w:type="dxa"/>
            <w:vAlign w:val="bottom"/>
          </w:tcPr>
          <w:p>
            <w:pPr>
              <w:jc w:val="right"/>
              <w:ind w:right="128"/>
              <w:spacing w:after="0"/>
              <w:rPr>
                <w:sz w:val="20"/>
                <w:szCs w:val="20"/>
                <w:color w:val="auto"/>
              </w:rPr>
            </w:pPr>
            <w:r>
              <w:rPr>
                <w:rFonts w:ascii="Arial" w:cs="Arial" w:eastAsia="Arial" w:hAnsi="Arial"/>
                <w:sz w:val="14"/>
                <w:szCs w:val="14"/>
                <w:color w:val="333740"/>
              </w:rPr>
              <w:t>122,616</w:t>
            </w:r>
          </w:p>
        </w:tc>
        <w:tc>
          <w:tcPr>
            <w:tcW w:w="1320" w:type="dxa"/>
            <w:vAlign w:val="bottom"/>
          </w:tcPr>
          <w:p>
            <w:pPr>
              <w:jc w:val="right"/>
              <w:ind w:right="88"/>
              <w:spacing w:after="0"/>
              <w:rPr>
                <w:sz w:val="20"/>
                <w:szCs w:val="20"/>
                <w:color w:val="auto"/>
              </w:rPr>
            </w:pPr>
            <w:r>
              <w:rPr>
                <w:rFonts w:ascii="Arial" w:cs="Arial" w:eastAsia="Arial" w:hAnsi="Arial"/>
                <w:sz w:val="14"/>
                <w:szCs w:val="14"/>
                <w:color w:val="333740"/>
              </w:rPr>
              <w:t>0</w:t>
            </w:r>
          </w:p>
        </w:tc>
        <w:tc>
          <w:tcPr>
            <w:tcW w:w="1300" w:type="dxa"/>
            <w:vAlign w:val="bottom"/>
          </w:tcPr>
          <w:p>
            <w:pPr>
              <w:jc w:val="right"/>
              <w:spacing w:after="0"/>
              <w:rPr>
                <w:sz w:val="20"/>
                <w:szCs w:val="20"/>
                <w:color w:val="auto"/>
              </w:rPr>
            </w:pPr>
            <w:r>
              <w:rPr>
                <w:rFonts w:ascii="Arial" w:cs="Arial" w:eastAsia="Arial" w:hAnsi="Arial"/>
                <w:sz w:val="14"/>
                <w:szCs w:val="14"/>
                <w:color w:val="333740"/>
              </w:rPr>
              <w:t>692,598</w:t>
            </w:r>
          </w:p>
        </w:tc>
      </w:tr>
      <w:tr>
        <w:trPr>
          <w:trHeight w:val="34"/>
        </w:trPr>
        <w:tc>
          <w:tcPr>
            <w:tcW w:w="2440" w:type="dxa"/>
            <w:vAlign w:val="bottom"/>
            <w:tcBorders>
              <w:bottom w:val="single" w:sz="8" w:color="D7D8D6"/>
            </w:tcBorders>
          </w:tcPr>
          <w:p>
            <w:pPr>
              <w:spacing w:after="0"/>
              <w:rPr>
                <w:sz w:val="2"/>
                <w:szCs w:val="2"/>
                <w:color w:val="auto"/>
              </w:rPr>
            </w:pPr>
          </w:p>
        </w:tc>
        <w:tc>
          <w:tcPr>
            <w:tcW w:w="2420" w:type="dxa"/>
            <w:vAlign w:val="bottom"/>
            <w:tcBorders>
              <w:bottom w:val="single" w:sz="8" w:color="D7D8D6"/>
            </w:tcBorders>
          </w:tcPr>
          <w:p>
            <w:pPr>
              <w:spacing w:after="0"/>
              <w:rPr>
                <w:sz w:val="2"/>
                <w:szCs w:val="2"/>
                <w:color w:val="auto"/>
              </w:rPr>
            </w:pPr>
          </w:p>
        </w:tc>
        <w:tc>
          <w:tcPr>
            <w:tcW w:w="1940" w:type="dxa"/>
            <w:vAlign w:val="bottom"/>
            <w:tcBorders>
              <w:bottom w:val="single" w:sz="8" w:color="D7D8D6"/>
            </w:tcBorders>
          </w:tcPr>
          <w:p>
            <w:pPr>
              <w:spacing w:after="0"/>
              <w:rPr>
                <w:sz w:val="2"/>
                <w:szCs w:val="2"/>
                <w:color w:val="auto"/>
              </w:rPr>
            </w:pPr>
          </w:p>
        </w:tc>
        <w:tc>
          <w:tcPr>
            <w:tcW w:w="1840" w:type="dxa"/>
            <w:vAlign w:val="bottom"/>
            <w:tcBorders>
              <w:bottom w:val="single" w:sz="8" w:color="D7D8D6"/>
            </w:tcBorders>
          </w:tcPr>
          <w:p>
            <w:pPr>
              <w:spacing w:after="0"/>
              <w:rPr>
                <w:sz w:val="2"/>
                <w:szCs w:val="2"/>
                <w:color w:val="auto"/>
              </w:rPr>
            </w:pPr>
          </w:p>
        </w:tc>
        <w:tc>
          <w:tcPr>
            <w:tcW w:w="1320" w:type="dxa"/>
            <w:vAlign w:val="bottom"/>
            <w:tcBorders>
              <w:bottom w:val="single" w:sz="8" w:color="D7D8D6"/>
            </w:tcBorders>
          </w:tcPr>
          <w:p>
            <w:pPr>
              <w:spacing w:after="0"/>
              <w:rPr>
                <w:sz w:val="2"/>
                <w:szCs w:val="2"/>
                <w:color w:val="auto"/>
              </w:rPr>
            </w:pPr>
          </w:p>
        </w:tc>
        <w:tc>
          <w:tcPr>
            <w:tcW w:w="1300" w:type="dxa"/>
            <w:vAlign w:val="bottom"/>
            <w:tcBorders>
              <w:bottom w:val="single" w:sz="8" w:color="D7D8D6"/>
            </w:tcBorders>
          </w:tcPr>
          <w:p>
            <w:pPr>
              <w:spacing w:after="0"/>
              <w:rPr>
                <w:sz w:val="2"/>
                <w:szCs w:val="2"/>
                <w:color w:val="auto"/>
              </w:rPr>
            </w:pPr>
          </w:p>
        </w:tc>
      </w:tr>
      <w:tr>
        <w:trPr>
          <w:trHeight w:val="197"/>
        </w:trPr>
        <w:tc>
          <w:tcPr>
            <w:tcW w:w="2440" w:type="dxa"/>
            <w:vAlign w:val="bottom"/>
          </w:tcPr>
          <w:p>
            <w:pPr>
              <w:ind w:left="20"/>
              <w:spacing w:after="0"/>
              <w:rPr>
                <w:sz w:val="20"/>
                <w:szCs w:val="20"/>
                <w:color w:val="auto"/>
              </w:rPr>
            </w:pPr>
            <w:r>
              <w:rPr>
                <w:rFonts w:ascii="Arial" w:cs="Arial" w:eastAsia="Arial" w:hAnsi="Arial"/>
                <w:sz w:val="14"/>
                <w:szCs w:val="14"/>
                <w:b w:val="1"/>
                <w:bCs w:val="1"/>
                <w:color w:val="333740"/>
              </w:rPr>
              <w:t>Justin Rounce</w:t>
            </w:r>
          </w:p>
        </w:tc>
        <w:tc>
          <w:tcPr>
            <w:tcW w:w="2420" w:type="dxa"/>
            <w:vAlign w:val="bottom"/>
          </w:tcPr>
          <w:p>
            <w:pPr>
              <w:jc w:val="right"/>
              <w:ind w:right="268"/>
              <w:spacing w:after="0"/>
              <w:rPr>
                <w:sz w:val="20"/>
                <w:szCs w:val="20"/>
                <w:color w:val="auto"/>
              </w:rPr>
            </w:pPr>
            <w:r>
              <w:rPr>
                <w:rFonts w:ascii="Arial" w:cs="Arial" w:eastAsia="Arial" w:hAnsi="Arial"/>
                <w:sz w:val="14"/>
                <w:szCs w:val="14"/>
                <w:color w:val="333740"/>
              </w:rPr>
              <w:t>29,365</w:t>
            </w:r>
          </w:p>
        </w:tc>
        <w:tc>
          <w:tcPr>
            <w:tcW w:w="1940" w:type="dxa"/>
            <w:vAlign w:val="bottom"/>
          </w:tcPr>
          <w:p>
            <w:pPr>
              <w:jc w:val="right"/>
              <w:ind w:right="428"/>
              <w:spacing w:after="0"/>
              <w:rPr>
                <w:sz w:val="20"/>
                <w:szCs w:val="20"/>
                <w:color w:val="auto"/>
              </w:rPr>
            </w:pPr>
            <w:r>
              <w:rPr>
                <w:rFonts w:ascii="Arial" w:cs="Arial" w:eastAsia="Arial" w:hAnsi="Arial"/>
                <w:sz w:val="14"/>
                <w:szCs w:val="14"/>
                <w:color w:val="333740"/>
              </w:rPr>
              <w:t>2,056</w:t>
            </w:r>
          </w:p>
        </w:tc>
        <w:tc>
          <w:tcPr>
            <w:tcW w:w="1840" w:type="dxa"/>
            <w:vAlign w:val="bottom"/>
          </w:tcPr>
          <w:p>
            <w:pPr>
              <w:jc w:val="right"/>
              <w:ind w:right="128"/>
              <w:spacing w:after="0"/>
              <w:rPr>
                <w:sz w:val="20"/>
                <w:szCs w:val="20"/>
                <w:color w:val="auto"/>
              </w:rPr>
            </w:pPr>
            <w:r>
              <w:rPr>
                <w:rFonts w:ascii="Arial" w:cs="Arial" w:eastAsia="Arial" w:hAnsi="Arial"/>
                <w:sz w:val="14"/>
                <w:szCs w:val="14"/>
                <w:color w:val="333740"/>
              </w:rPr>
              <w:t>2,670</w:t>
            </w:r>
          </w:p>
        </w:tc>
        <w:tc>
          <w:tcPr>
            <w:tcW w:w="1320" w:type="dxa"/>
            <w:vAlign w:val="bottom"/>
          </w:tcPr>
          <w:p>
            <w:pPr>
              <w:jc w:val="right"/>
              <w:ind w:right="88"/>
              <w:spacing w:after="0"/>
              <w:rPr>
                <w:sz w:val="20"/>
                <w:szCs w:val="20"/>
                <w:color w:val="auto"/>
              </w:rPr>
            </w:pPr>
            <w:r>
              <w:rPr>
                <w:rFonts w:ascii="Arial" w:cs="Arial" w:eastAsia="Arial" w:hAnsi="Arial"/>
                <w:sz w:val="14"/>
                <w:szCs w:val="14"/>
                <w:color w:val="333740"/>
              </w:rPr>
              <w:t>0</w:t>
            </w:r>
          </w:p>
        </w:tc>
        <w:tc>
          <w:tcPr>
            <w:tcW w:w="1300" w:type="dxa"/>
            <w:vAlign w:val="bottom"/>
          </w:tcPr>
          <w:p>
            <w:pPr>
              <w:jc w:val="right"/>
              <w:spacing w:after="0"/>
              <w:rPr>
                <w:sz w:val="20"/>
                <w:szCs w:val="20"/>
                <w:color w:val="auto"/>
              </w:rPr>
            </w:pPr>
            <w:r>
              <w:rPr>
                <w:rFonts w:ascii="Arial" w:cs="Arial" w:eastAsia="Arial" w:hAnsi="Arial"/>
                <w:sz w:val="14"/>
                <w:szCs w:val="14"/>
                <w:color w:val="333740"/>
              </w:rPr>
              <w:t>34,091</w:t>
            </w:r>
          </w:p>
        </w:tc>
      </w:tr>
      <w:tr>
        <w:trPr>
          <w:trHeight w:val="34"/>
        </w:trPr>
        <w:tc>
          <w:tcPr>
            <w:tcW w:w="2440" w:type="dxa"/>
            <w:vAlign w:val="bottom"/>
            <w:tcBorders>
              <w:bottom w:val="single" w:sz="8" w:color="D7D8D6"/>
            </w:tcBorders>
          </w:tcPr>
          <w:p>
            <w:pPr>
              <w:spacing w:after="0"/>
              <w:rPr>
                <w:sz w:val="2"/>
                <w:szCs w:val="2"/>
                <w:color w:val="auto"/>
              </w:rPr>
            </w:pPr>
          </w:p>
        </w:tc>
        <w:tc>
          <w:tcPr>
            <w:tcW w:w="2420" w:type="dxa"/>
            <w:vAlign w:val="bottom"/>
            <w:tcBorders>
              <w:bottom w:val="single" w:sz="8" w:color="D7D8D6"/>
            </w:tcBorders>
          </w:tcPr>
          <w:p>
            <w:pPr>
              <w:spacing w:after="0"/>
              <w:rPr>
                <w:sz w:val="2"/>
                <w:szCs w:val="2"/>
                <w:color w:val="auto"/>
              </w:rPr>
            </w:pPr>
          </w:p>
        </w:tc>
        <w:tc>
          <w:tcPr>
            <w:tcW w:w="1940" w:type="dxa"/>
            <w:vAlign w:val="bottom"/>
            <w:tcBorders>
              <w:bottom w:val="single" w:sz="8" w:color="D7D8D6"/>
            </w:tcBorders>
          </w:tcPr>
          <w:p>
            <w:pPr>
              <w:spacing w:after="0"/>
              <w:rPr>
                <w:sz w:val="2"/>
                <w:szCs w:val="2"/>
                <w:color w:val="auto"/>
              </w:rPr>
            </w:pPr>
          </w:p>
        </w:tc>
        <w:tc>
          <w:tcPr>
            <w:tcW w:w="1840" w:type="dxa"/>
            <w:vAlign w:val="bottom"/>
            <w:tcBorders>
              <w:bottom w:val="single" w:sz="8" w:color="D7D8D6"/>
            </w:tcBorders>
          </w:tcPr>
          <w:p>
            <w:pPr>
              <w:spacing w:after="0"/>
              <w:rPr>
                <w:sz w:val="2"/>
                <w:szCs w:val="2"/>
                <w:color w:val="auto"/>
              </w:rPr>
            </w:pPr>
          </w:p>
        </w:tc>
        <w:tc>
          <w:tcPr>
            <w:tcW w:w="1320" w:type="dxa"/>
            <w:vAlign w:val="bottom"/>
            <w:tcBorders>
              <w:bottom w:val="single" w:sz="8" w:color="D7D8D6"/>
            </w:tcBorders>
          </w:tcPr>
          <w:p>
            <w:pPr>
              <w:spacing w:after="0"/>
              <w:rPr>
                <w:sz w:val="2"/>
                <w:szCs w:val="2"/>
                <w:color w:val="auto"/>
              </w:rPr>
            </w:pPr>
          </w:p>
        </w:tc>
        <w:tc>
          <w:tcPr>
            <w:tcW w:w="1300" w:type="dxa"/>
            <w:vAlign w:val="bottom"/>
            <w:tcBorders>
              <w:bottom w:val="single" w:sz="8" w:color="D7D8D6"/>
            </w:tcBorders>
          </w:tcPr>
          <w:p>
            <w:pPr>
              <w:spacing w:after="0"/>
              <w:rPr>
                <w:sz w:val="2"/>
                <w:szCs w:val="2"/>
                <w:color w:val="auto"/>
              </w:rPr>
            </w:pPr>
          </w:p>
        </w:tc>
      </w:tr>
      <w:tr>
        <w:trPr>
          <w:trHeight w:val="197"/>
        </w:trPr>
        <w:tc>
          <w:tcPr>
            <w:tcW w:w="2440" w:type="dxa"/>
            <w:vAlign w:val="bottom"/>
          </w:tcPr>
          <w:p>
            <w:pPr>
              <w:ind w:left="20"/>
              <w:spacing w:after="0"/>
              <w:rPr>
                <w:sz w:val="20"/>
                <w:szCs w:val="20"/>
                <w:color w:val="auto"/>
              </w:rPr>
            </w:pPr>
            <w:r>
              <w:rPr>
                <w:rFonts w:ascii="Arial" w:cs="Arial" w:eastAsia="Arial" w:hAnsi="Arial"/>
                <w:sz w:val="14"/>
                <w:szCs w:val="14"/>
                <w:b w:val="1"/>
                <w:bCs w:val="1"/>
                <w:color w:val="333740"/>
              </w:rPr>
              <w:t>Nello Uccelletti</w:t>
            </w:r>
          </w:p>
        </w:tc>
        <w:tc>
          <w:tcPr>
            <w:tcW w:w="2420" w:type="dxa"/>
            <w:vAlign w:val="bottom"/>
          </w:tcPr>
          <w:p>
            <w:pPr>
              <w:jc w:val="right"/>
              <w:ind w:right="268"/>
              <w:spacing w:after="0"/>
              <w:rPr>
                <w:sz w:val="20"/>
                <w:szCs w:val="20"/>
                <w:color w:val="auto"/>
              </w:rPr>
            </w:pPr>
            <w:r>
              <w:rPr>
                <w:rFonts w:ascii="Arial" w:cs="Arial" w:eastAsia="Arial" w:hAnsi="Arial"/>
                <w:sz w:val="14"/>
                <w:szCs w:val="14"/>
                <w:color w:val="333740"/>
              </w:rPr>
              <w:t>0</w:t>
            </w:r>
          </w:p>
        </w:tc>
        <w:tc>
          <w:tcPr>
            <w:tcW w:w="1940" w:type="dxa"/>
            <w:vAlign w:val="bottom"/>
          </w:tcPr>
          <w:p>
            <w:pPr>
              <w:jc w:val="right"/>
              <w:ind w:right="428"/>
              <w:spacing w:after="0"/>
              <w:rPr>
                <w:sz w:val="20"/>
                <w:szCs w:val="20"/>
                <w:color w:val="auto"/>
              </w:rPr>
            </w:pPr>
            <w:r>
              <w:rPr>
                <w:rFonts w:ascii="Arial" w:cs="Arial" w:eastAsia="Arial" w:hAnsi="Arial"/>
                <w:sz w:val="14"/>
                <w:szCs w:val="14"/>
                <w:color w:val="333740"/>
              </w:rPr>
              <w:t>0</w:t>
            </w:r>
          </w:p>
        </w:tc>
        <w:tc>
          <w:tcPr>
            <w:tcW w:w="1840" w:type="dxa"/>
            <w:vAlign w:val="bottom"/>
          </w:tcPr>
          <w:p>
            <w:pPr>
              <w:jc w:val="right"/>
              <w:ind w:right="128"/>
              <w:spacing w:after="0"/>
              <w:rPr>
                <w:sz w:val="20"/>
                <w:szCs w:val="20"/>
                <w:color w:val="auto"/>
              </w:rPr>
            </w:pPr>
            <w:r>
              <w:rPr>
                <w:rFonts w:ascii="Arial" w:cs="Arial" w:eastAsia="Arial" w:hAnsi="Arial"/>
                <w:sz w:val="14"/>
                <w:szCs w:val="14"/>
                <w:color w:val="333740"/>
              </w:rPr>
              <w:t>0</w:t>
            </w:r>
          </w:p>
        </w:tc>
        <w:tc>
          <w:tcPr>
            <w:tcW w:w="1320" w:type="dxa"/>
            <w:vAlign w:val="bottom"/>
          </w:tcPr>
          <w:p>
            <w:pPr>
              <w:jc w:val="right"/>
              <w:ind w:right="88"/>
              <w:spacing w:after="0"/>
              <w:rPr>
                <w:sz w:val="20"/>
                <w:szCs w:val="20"/>
                <w:color w:val="auto"/>
              </w:rPr>
            </w:pPr>
            <w:r>
              <w:rPr>
                <w:rFonts w:ascii="Arial" w:cs="Arial" w:eastAsia="Arial" w:hAnsi="Arial"/>
                <w:sz w:val="14"/>
                <w:szCs w:val="14"/>
                <w:color w:val="333740"/>
              </w:rPr>
              <w:t>0</w:t>
            </w:r>
          </w:p>
        </w:tc>
        <w:tc>
          <w:tcPr>
            <w:tcW w:w="1300" w:type="dxa"/>
            <w:vAlign w:val="bottom"/>
          </w:tcPr>
          <w:p>
            <w:pPr>
              <w:jc w:val="right"/>
              <w:spacing w:after="0"/>
              <w:rPr>
                <w:sz w:val="20"/>
                <w:szCs w:val="20"/>
                <w:color w:val="auto"/>
              </w:rPr>
            </w:pPr>
            <w:r>
              <w:rPr>
                <w:rFonts w:ascii="Arial" w:cs="Arial" w:eastAsia="Arial" w:hAnsi="Arial"/>
                <w:sz w:val="14"/>
                <w:szCs w:val="14"/>
                <w:color w:val="333740"/>
              </w:rPr>
              <w:t>0</w:t>
            </w:r>
          </w:p>
        </w:tc>
      </w:tr>
      <w:tr>
        <w:trPr>
          <w:trHeight w:val="34"/>
        </w:trPr>
        <w:tc>
          <w:tcPr>
            <w:tcW w:w="2440" w:type="dxa"/>
            <w:vAlign w:val="bottom"/>
            <w:tcBorders>
              <w:bottom w:val="single" w:sz="8" w:color="D7D8D6"/>
            </w:tcBorders>
          </w:tcPr>
          <w:p>
            <w:pPr>
              <w:spacing w:after="0"/>
              <w:rPr>
                <w:sz w:val="2"/>
                <w:szCs w:val="2"/>
                <w:color w:val="auto"/>
              </w:rPr>
            </w:pPr>
          </w:p>
        </w:tc>
        <w:tc>
          <w:tcPr>
            <w:tcW w:w="2420" w:type="dxa"/>
            <w:vAlign w:val="bottom"/>
            <w:tcBorders>
              <w:bottom w:val="single" w:sz="8" w:color="D7D8D6"/>
            </w:tcBorders>
          </w:tcPr>
          <w:p>
            <w:pPr>
              <w:spacing w:after="0"/>
              <w:rPr>
                <w:sz w:val="2"/>
                <w:szCs w:val="2"/>
                <w:color w:val="auto"/>
              </w:rPr>
            </w:pPr>
          </w:p>
        </w:tc>
        <w:tc>
          <w:tcPr>
            <w:tcW w:w="1940" w:type="dxa"/>
            <w:vAlign w:val="bottom"/>
            <w:tcBorders>
              <w:bottom w:val="single" w:sz="8" w:color="D7D8D6"/>
            </w:tcBorders>
          </w:tcPr>
          <w:p>
            <w:pPr>
              <w:spacing w:after="0"/>
              <w:rPr>
                <w:sz w:val="2"/>
                <w:szCs w:val="2"/>
                <w:color w:val="auto"/>
              </w:rPr>
            </w:pPr>
          </w:p>
        </w:tc>
        <w:tc>
          <w:tcPr>
            <w:tcW w:w="1840" w:type="dxa"/>
            <w:vAlign w:val="bottom"/>
            <w:tcBorders>
              <w:bottom w:val="single" w:sz="8" w:color="D7D8D6"/>
            </w:tcBorders>
          </w:tcPr>
          <w:p>
            <w:pPr>
              <w:spacing w:after="0"/>
              <w:rPr>
                <w:sz w:val="2"/>
                <w:szCs w:val="2"/>
                <w:color w:val="auto"/>
              </w:rPr>
            </w:pPr>
          </w:p>
        </w:tc>
        <w:tc>
          <w:tcPr>
            <w:tcW w:w="1320" w:type="dxa"/>
            <w:vAlign w:val="bottom"/>
            <w:tcBorders>
              <w:bottom w:val="single" w:sz="8" w:color="D7D8D6"/>
            </w:tcBorders>
          </w:tcPr>
          <w:p>
            <w:pPr>
              <w:spacing w:after="0"/>
              <w:rPr>
                <w:sz w:val="2"/>
                <w:szCs w:val="2"/>
                <w:color w:val="auto"/>
              </w:rPr>
            </w:pPr>
          </w:p>
        </w:tc>
        <w:tc>
          <w:tcPr>
            <w:tcW w:w="1300" w:type="dxa"/>
            <w:vAlign w:val="bottom"/>
            <w:tcBorders>
              <w:bottom w:val="single" w:sz="8" w:color="D7D8D6"/>
            </w:tcBorders>
          </w:tcPr>
          <w:p>
            <w:pPr>
              <w:spacing w:after="0"/>
              <w:rPr>
                <w:sz w:val="2"/>
                <w:szCs w:val="2"/>
                <w:color w:val="auto"/>
              </w:rPr>
            </w:pPr>
          </w:p>
        </w:tc>
      </w:tr>
    </w:tbl>
    <w:p>
      <w:pPr>
        <w:spacing w:after="0" w:line="179" w:lineRule="exact"/>
        <w:rPr>
          <w:sz w:val="20"/>
          <w:szCs w:val="20"/>
          <w:color w:val="auto"/>
        </w:rPr>
      </w:pPr>
    </w:p>
    <w:p>
      <w:pPr>
        <w:ind w:left="284" w:hanging="284"/>
        <w:spacing w:after="0"/>
        <w:tabs>
          <w:tab w:leader="none" w:pos="284" w:val="left"/>
        </w:tabs>
        <w:numPr>
          <w:ilvl w:val="0"/>
          <w:numId w:val="119"/>
        </w:numPr>
        <w:rPr>
          <w:rFonts w:ascii="Arial" w:cs="Arial" w:eastAsia="Arial" w:hAnsi="Arial"/>
          <w:sz w:val="11"/>
          <w:szCs w:val="11"/>
          <w:color w:val="333740"/>
        </w:rPr>
      </w:pPr>
      <w:r>
        <w:rPr>
          <w:rFonts w:ascii="Arial" w:cs="Arial" w:eastAsia="Arial" w:hAnsi="Arial"/>
          <w:sz w:val="11"/>
          <w:szCs w:val="11"/>
          <w:color w:val="333740"/>
        </w:rPr>
        <w:t>All amounts are included in Salary and Non-Equity Incentive Plan Compensation reported for the NEOs in the Summary Compensation Table.</w:t>
      </w:r>
    </w:p>
    <w:p>
      <w:pPr>
        <w:ind w:left="284" w:hanging="284"/>
        <w:spacing w:after="0" w:line="226" w:lineRule="auto"/>
        <w:tabs>
          <w:tab w:leader="none" w:pos="284" w:val="left"/>
        </w:tabs>
        <w:numPr>
          <w:ilvl w:val="0"/>
          <w:numId w:val="119"/>
        </w:numPr>
        <w:rPr>
          <w:rFonts w:ascii="Arial" w:cs="Arial" w:eastAsia="Arial" w:hAnsi="Arial"/>
          <w:sz w:val="11"/>
          <w:szCs w:val="11"/>
          <w:color w:val="333740"/>
        </w:rPr>
      </w:pPr>
      <w:r>
        <w:rPr>
          <w:rFonts w:ascii="Arial" w:cs="Arial" w:eastAsia="Arial" w:hAnsi="Arial"/>
          <w:sz w:val="11"/>
          <w:szCs w:val="11"/>
          <w:color w:val="333740"/>
        </w:rPr>
        <w:t>All contributions made by the Company for the NEOs are included in All Other Compensation for the NEOs in the Summary Compensation Table.</w:t>
      </w:r>
    </w:p>
    <w:p>
      <w:pPr>
        <w:ind w:left="284" w:hanging="284"/>
        <w:spacing w:after="0" w:line="226" w:lineRule="auto"/>
        <w:tabs>
          <w:tab w:leader="none" w:pos="284" w:val="left"/>
        </w:tabs>
        <w:numPr>
          <w:ilvl w:val="0"/>
          <w:numId w:val="119"/>
        </w:numPr>
        <w:rPr>
          <w:rFonts w:ascii="Arial" w:cs="Arial" w:eastAsia="Arial" w:hAnsi="Arial"/>
          <w:sz w:val="11"/>
          <w:szCs w:val="11"/>
          <w:color w:val="333740"/>
        </w:rPr>
      </w:pPr>
      <w:r>
        <w:rPr>
          <w:rFonts w:ascii="Arial" w:cs="Arial" w:eastAsia="Arial" w:hAnsi="Arial"/>
          <w:sz w:val="11"/>
          <w:szCs w:val="11"/>
          <w:color w:val="333740"/>
        </w:rPr>
        <w:t>The total amount includes a contribution made on March 15, 2019 attributable to the 2018 plan year and excludes a contribution to be made by March 15, 2020 attributable to the 2019 plan year.</w:t>
      </w:r>
    </w:p>
    <w:p>
      <w:pPr>
        <w:ind w:left="284" w:right="60" w:hanging="284"/>
        <w:spacing w:after="0" w:line="239" w:lineRule="auto"/>
        <w:tabs>
          <w:tab w:leader="none" w:pos="284" w:val="left"/>
        </w:tabs>
        <w:numPr>
          <w:ilvl w:val="0"/>
          <w:numId w:val="119"/>
        </w:numPr>
        <w:rPr>
          <w:rFonts w:ascii="Arial" w:cs="Arial" w:eastAsia="Arial" w:hAnsi="Arial"/>
          <w:sz w:val="11"/>
          <w:szCs w:val="11"/>
          <w:color w:val="333740"/>
        </w:rPr>
      </w:pPr>
      <w:r>
        <w:rPr>
          <w:rFonts w:ascii="Arial" w:cs="Arial" w:eastAsia="Arial" w:hAnsi="Arial"/>
          <w:sz w:val="11"/>
          <w:szCs w:val="11"/>
          <w:color w:val="333740"/>
        </w:rPr>
        <w:t>The following amounts have been reported in the Summary Compensation Table in previous years: Mr. Pferdehirt $829,346; Ms. Mannen $93,293; and Ms. Ralston $372,313. Mr. Rounce did not participate in the U.S. Non-Qualified Savings Plan in previous years, and Mr. Uccelletti does not participate in the U.S. Non-Qualified Savings Plan.</w:t>
      </w:r>
    </w:p>
    <w:p>
      <w:pPr>
        <w:spacing w:after="0" w:line="331" w:lineRule="exact"/>
        <w:rPr>
          <w:sz w:val="20"/>
          <w:szCs w:val="20"/>
          <w:color w:val="auto"/>
        </w:rPr>
      </w:pPr>
    </w:p>
    <w:p>
      <w:pPr>
        <w:ind w:left="564" w:hanging="564"/>
        <w:spacing w:after="0"/>
        <w:tabs>
          <w:tab w:leader="none" w:pos="564" w:val="left"/>
        </w:tabs>
        <w:numPr>
          <w:ilvl w:val="0"/>
          <w:numId w:val="120"/>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99" w:name="page100"/>
    <w:bookmarkEnd w:id="99"/>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3"/>
          <w:szCs w:val="33"/>
          <w:color w:val="481F6E"/>
        </w:rPr>
        <w:t>Potential Payments upon Termination</w:t>
      </w:r>
    </w:p>
    <w:p>
      <w:pPr>
        <w:spacing w:after="0" w:line="30" w:lineRule="exact"/>
        <w:rPr>
          <w:sz w:val="20"/>
          <w:szCs w:val="20"/>
          <w:color w:val="auto"/>
        </w:rPr>
      </w:pPr>
    </w:p>
    <w:p>
      <w:pPr>
        <w:ind w:left="4" w:right="140"/>
        <w:spacing w:after="0" w:line="238" w:lineRule="auto"/>
        <w:rPr>
          <w:sz w:val="20"/>
          <w:szCs w:val="20"/>
          <w:color w:val="auto"/>
        </w:rPr>
      </w:pPr>
      <w:r>
        <w:rPr>
          <w:rFonts w:ascii="Arial" w:cs="Arial" w:eastAsia="Arial" w:hAnsi="Arial"/>
          <w:sz w:val="16"/>
          <w:szCs w:val="16"/>
          <w:color w:val="333740"/>
        </w:rPr>
        <w:t>The compensation and benefits payable to each of the NEOs in the event of a voluntary termination are the same as those available to all other salaried employees in those situations. Our NEOs receive additional compensation benefits either in the event of their death or disability, retirement, or involuntary not-for-cause termination as discussed in this section, or, alternatively, in the event of a change-in-control. Termination payments and change-in-control payments are mutually exclusive, and our NEOs are not entitled to receive both forms of payment.</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Payments in the Event of Death, Disability, or Retirement</w:t>
      </w:r>
    </w:p>
    <w:p>
      <w:pPr>
        <w:spacing w:after="0" w:line="51" w:lineRule="exact"/>
        <w:rPr>
          <w:sz w:val="20"/>
          <w:szCs w:val="20"/>
          <w:color w:val="auto"/>
        </w:rPr>
      </w:pPr>
    </w:p>
    <w:p>
      <w:pPr>
        <w:ind w:left="4" w:right="300"/>
        <w:spacing w:after="0" w:line="233" w:lineRule="auto"/>
        <w:rPr>
          <w:sz w:val="20"/>
          <w:szCs w:val="20"/>
          <w:color w:val="auto"/>
        </w:rPr>
      </w:pPr>
      <w:r>
        <w:rPr>
          <w:rFonts w:ascii="Arial" w:cs="Arial" w:eastAsia="Arial" w:hAnsi="Arial"/>
          <w:sz w:val="16"/>
          <w:szCs w:val="16"/>
          <w:color w:val="333740"/>
        </w:rPr>
        <w:t>In the event of the death or disability of an NEO during active employment with the Company, all outstanding equity awards vest on the first business day following death or disability. This death or disability benefit exists for any of our employees who hold an unvested equity award at the time of their death or disability. In the event of an NEO’s</w:t>
      </w:r>
    </w:p>
    <w:p>
      <w:pPr>
        <w:ind w:left="4"/>
        <w:spacing w:after="0" w:line="236" w:lineRule="auto"/>
        <w:rPr>
          <w:sz w:val="20"/>
          <w:szCs w:val="20"/>
          <w:color w:val="auto"/>
        </w:rPr>
      </w:pPr>
      <w:r>
        <w:rPr>
          <w:rFonts w:ascii="Arial" w:cs="Arial" w:eastAsia="Arial" w:hAnsi="Arial"/>
          <w:sz w:val="16"/>
          <w:szCs w:val="16"/>
          <w:color w:val="333740"/>
        </w:rPr>
        <w:t>retirement after reaching the age of 62, all outstanding equity awards are retained and vest in accordance with their pre- retirement, normal vesting schedule.</w:t>
      </w:r>
    </w:p>
    <w:p>
      <w:pPr>
        <w:ind w:left="4"/>
        <w:spacing w:after="0"/>
        <w:rPr>
          <w:sz w:val="20"/>
          <w:szCs w:val="20"/>
          <w:color w:val="auto"/>
        </w:rPr>
      </w:pPr>
      <w:r>
        <w:rPr>
          <w:rFonts w:ascii="Arial" w:cs="Arial" w:eastAsia="Arial" w:hAnsi="Arial"/>
          <w:sz w:val="16"/>
          <w:szCs w:val="16"/>
          <w:color w:val="333740"/>
        </w:rPr>
        <w:t>Nello Uccelletti was the only NEO eligible for retirement as of December 31, 2019.</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6"/>
          <w:szCs w:val="16"/>
          <w:color w:val="333740"/>
        </w:rPr>
        <w:t>The following table shows the value to each of the NEOs if death or disability had occurred on December 31, 2019.</w:t>
      </w:r>
    </w:p>
    <w:p>
      <w:pPr>
        <w:spacing w:after="0" w:line="25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333740"/>
        </w:rPr>
        <w:t>Executive Benefits and Payments in the Event of Death or Disability on December 31, 2019 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63500</wp:posOffset>
            </wp:positionV>
            <wp:extent cx="7620" cy="5689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20" cy="568960"/>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63500</wp:posOffset>
            </wp:positionV>
            <wp:extent cx="7620" cy="5689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20" cy="56896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63500</wp:posOffset>
            </wp:positionV>
            <wp:extent cx="7620" cy="5689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20" cy="56896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63500</wp:posOffset>
            </wp:positionV>
            <wp:extent cx="7620" cy="5689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20" cy="568960"/>
                    </a:xfrm>
                    <a:prstGeom prst="rect">
                      <a:avLst/>
                    </a:prstGeom>
                    <a:noFill/>
                  </pic:spPr>
                </pic:pic>
              </a:graphicData>
            </a:graphic>
          </wp:anchor>
        </w:drawing>
      </w:r>
    </w:p>
    <w:p>
      <w:pPr>
        <w:spacing w:after="0" w:line="80" w:lineRule="exact"/>
        <w:rPr>
          <w:sz w:val="20"/>
          <w:szCs w:val="20"/>
          <w:color w:val="auto"/>
        </w:rPr>
      </w:pPr>
    </w:p>
    <w:tbl>
      <w:tblPr>
        <w:tblLayout w:type="fixed"/>
        <w:tblInd w:w="4" w:type="dxa"/>
        <w:tblCellMar>
          <w:top w:w="0" w:type="dxa"/>
          <w:left w:w="0" w:type="dxa"/>
          <w:bottom w:w="0" w:type="dxa"/>
          <w:right w:w="0" w:type="dxa"/>
        </w:tblCellMar>
      </w:tblPr>
      <w:tr>
        <w:trPr>
          <w:trHeight w:val="270"/>
        </w:trPr>
        <w:tc>
          <w:tcPr>
            <w:tcW w:w="2740" w:type="dxa"/>
            <w:vAlign w:val="bottom"/>
            <w:shd w:val="clear" w:color="auto" w:fill="481F6E"/>
          </w:tcPr>
          <w:p>
            <w:pPr>
              <w:ind w:left="20"/>
              <w:spacing w:after="0"/>
              <w:rPr>
                <w:sz w:val="20"/>
                <w:szCs w:val="20"/>
                <w:color w:val="auto"/>
              </w:rPr>
            </w:pPr>
            <w:r>
              <w:rPr>
                <w:rFonts w:ascii="Arial" w:cs="Arial" w:eastAsia="Arial" w:hAnsi="Arial"/>
                <w:sz w:val="14"/>
                <w:szCs w:val="14"/>
                <w:b w:val="1"/>
                <w:bCs w:val="1"/>
                <w:color w:val="FFFFFF"/>
              </w:rPr>
              <w:t>Name</w:t>
            </w:r>
          </w:p>
        </w:tc>
        <w:tc>
          <w:tcPr>
            <w:tcW w:w="2760" w:type="dxa"/>
            <w:vAlign w:val="bottom"/>
            <w:shd w:val="clear" w:color="auto" w:fill="481F6E"/>
          </w:tcPr>
          <w:p>
            <w:pPr>
              <w:jc w:val="right"/>
              <w:ind w:right="268"/>
              <w:spacing w:after="0"/>
              <w:rPr>
                <w:sz w:val="20"/>
                <w:szCs w:val="20"/>
                <w:color w:val="auto"/>
              </w:rPr>
            </w:pPr>
            <w:r>
              <w:rPr>
                <w:rFonts w:ascii="Arial" w:cs="Arial" w:eastAsia="Arial" w:hAnsi="Arial"/>
                <w:sz w:val="14"/>
                <w:szCs w:val="14"/>
                <w:b w:val="1"/>
                <w:bCs w:val="1"/>
                <w:color w:val="FFFFFF"/>
              </w:rPr>
              <w:t>Performance-</w:t>
            </w:r>
          </w:p>
        </w:tc>
        <w:tc>
          <w:tcPr>
            <w:tcW w:w="2140" w:type="dxa"/>
            <w:vAlign w:val="bottom"/>
            <w:shd w:val="clear" w:color="auto" w:fill="481F6E"/>
          </w:tcPr>
          <w:p>
            <w:pPr>
              <w:jc w:val="right"/>
              <w:ind w:right="528"/>
              <w:spacing w:after="0"/>
              <w:rPr>
                <w:sz w:val="20"/>
                <w:szCs w:val="20"/>
                <w:color w:val="auto"/>
              </w:rPr>
            </w:pPr>
            <w:r>
              <w:rPr>
                <w:rFonts w:ascii="Arial" w:cs="Arial" w:eastAsia="Arial" w:hAnsi="Arial"/>
                <w:sz w:val="14"/>
                <w:szCs w:val="14"/>
                <w:b w:val="1"/>
                <w:bCs w:val="1"/>
                <w:color w:val="FFFFFF"/>
              </w:rPr>
              <w:t>Stock Options/</w:t>
            </w:r>
          </w:p>
        </w:tc>
        <w:tc>
          <w:tcPr>
            <w:tcW w:w="2380" w:type="dxa"/>
            <w:vAlign w:val="bottom"/>
            <w:shd w:val="clear" w:color="auto" w:fill="481F6E"/>
          </w:tcPr>
          <w:p>
            <w:pPr>
              <w:jc w:val="right"/>
              <w:ind w:right="348"/>
              <w:spacing w:after="0"/>
              <w:rPr>
                <w:sz w:val="20"/>
                <w:szCs w:val="20"/>
                <w:color w:val="auto"/>
              </w:rPr>
            </w:pPr>
            <w:r>
              <w:rPr>
                <w:rFonts w:ascii="Arial" w:cs="Arial" w:eastAsia="Arial" w:hAnsi="Arial"/>
                <w:sz w:val="14"/>
                <w:szCs w:val="14"/>
                <w:b w:val="1"/>
                <w:bCs w:val="1"/>
                <w:color w:val="FFFFFF"/>
              </w:rPr>
              <w:t>Time Vested</w:t>
            </w:r>
          </w:p>
        </w:tc>
        <w:tc>
          <w:tcPr>
            <w:tcW w:w="1240" w:type="dxa"/>
            <w:vAlign w:val="bottom"/>
            <w:shd w:val="clear" w:color="auto" w:fill="481F6E"/>
          </w:tcPr>
          <w:p>
            <w:pPr>
              <w:jc w:val="right"/>
              <w:spacing w:after="0"/>
              <w:rPr>
                <w:sz w:val="20"/>
                <w:szCs w:val="20"/>
                <w:color w:val="auto"/>
              </w:rPr>
            </w:pPr>
            <w:r>
              <w:rPr>
                <w:rFonts w:ascii="Arial" w:cs="Arial" w:eastAsia="Arial" w:hAnsi="Arial"/>
                <w:sz w:val="14"/>
                <w:szCs w:val="14"/>
                <w:b w:val="1"/>
                <w:bCs w:val="1"/>
                <w:color w:val="FFFFFF"/>
              </w:rPr>
              <w:t>Total ($)</w:t>
            </w:r>
          </w:p>
        </w:tc>
      </w:tr>
      <w:tr>
        <w:trPr>
          <w:trHeight w:val="167"/>
        </w:trPr>
        <w:tc>
          <w:tcPr>
            <w:tcW w:w="2740" w:type="dxa"/>
            <w:vAlign w:val="bottom"/>
            <w:shd w:val="clear" w:color="auto" w:fill="481F6E"/>
          </w:tcPr>
          <w:p>
            <w:pPr>
              <w:spacing w:after="0"/>
              <w:rPr>
                <w:sz w:val="14"/>
                <w:szCs w:val="14"/>
                <w:color w:val="auto"/>
              </w:rPr>
            </w:pPr>
          </w:p>
        </w:tc>
        <w:tc>
          <w:tcPr>
            <w:tcW w:w="2760" w:type="dxa"/>
            <w:vAlign w:val="bottom"/>
            <w:shd w:val="clear" w:color="auto" w:fill="481F6E"/>
          </w:tcPr>
          <w:p>
            <w:pPr>
              <w:jc w:val="right"/>
              <w:ind w:right="268"/>
              <w:spacing w:after="0"/>
              <w:rPr>
                <w:sz w:val="20"/>
                <w:szCs w:val="20"/>
                <w:color w:val="auto"/>
              </w:rPr>
            </w:pPr>
            <w:r>
              <w:rPr>
                <w:rFonts w:ascii="Arial" w:cs="Arial" w:eastAsia="Arial" w:hAnsi="Arial"/>
                <w:sz w:val="14"/>
                <w:szCs w:val="14"/>
                <w:b w:val="1"/>
                <w:bCs w:val="1"/>
                <w:color w:val="FFFFFF"/>
              </w:rPr>
              <w:t>Based Restricted</w:t>
            </w:r>
          </w:p>
        </w:tc>
        <w:tc>
          <w:tcPr>
            <w:tcW w:w="2140" w:type="dxa"/>
            <w:vAlign w:val="bottom"/>
            <w:shd w:val="clear" w:color="auto" w:fill="481F6E"/>
          </w:tcPr>
          <w:p>
            <w:pPr>
              <w:jc w:val="right"/>
              <w:ind w:right="528"/>
              <w:spacing w:after="0"/>
              <w:rPr>
                <w:sz w:val="20"/>
                <w:szCs w:val="20"/>
                <w:color w:val="auto"/>
              </w:rPr>
            </w:pPr>
            <w:r>
              <w:rPr>
                <w:rFonts w:ascii="Arial" w:cs="Arial" w:eastAsia="Arial" w:hAnsi="Arial"/>
                <w:sz w:val="14"/>
                <w:szCs w:val="14"/>
                <w:b w:val="1"/>
                <w:bCs w:val="1"/>
                <w:color w:val="FFFFFF"/>
              </w:rPr>
              <w:t>SARs ($)</w:t>
            </w:r>
            <w:r>
              <w:rPr>
                <w:rFonts w:ascii="Arial" w:cs="Arial" w:eastAsia="Arial" w:hAnsi="Arial"/>
                <w:sz w:val="6"/>
                <w:szCs w:val="6"/>
                <w:b w:val="1"/>
                <w:bCs w:val="1"/>
                <w:color w:val="FFFFFF"/>
              </w:rPr>
              <w:t>1, 2</w:t>
            </w:r>
          </w:p>
        </w:tc>
        <w:tc>
          <w:tcPr>
            <w:tcW w:w="2380" w:type="dxa"/>
            <w:vAlign w:val="bottom"/>
            <w:shd w:val="clear" w:color="auto" w:fill="481F6E"/>
          </w:tcPr>
          <w:p>
            <w:pPr>
              <w:jc w:val="right"/>
              <w:ind w:right="348"/>
              <w:spacing w:after="0"/>
              <w:rPr>
                <w:sz w:val="20"/>
                <w:szCs w:val="20"/>
                <w:color w:val="auto"/>
              </w:rPr>
            </w:pPr>
            <w:r>
              <w:rPr>
                <w:rFonts w:ascii="Arial" w:cs="Arial" w:eastAsia="Arial" w:hAnsi="Arial"/>
                <w:sz w:val="14"/>
                <w:szCs w:val="14"/>
                <w:b w:val="1"/>
                <w:bCs w:val="1"/>
                <w:color w:val="FFFFFF"/>
              </w:rPr>
              <w:t>Restricted Stock</w:t>
            </w:r>
          </w:p>
        </w:tc>
        <w:tc>
          <w:tcPr>
            <w:tcW w:w="1240" w:type="dxa"/>
            <w:vAlign w:val="bottom"/>
            <w:shd w:val="clear" w:color="auto" w:fill="481F6E"/>
          </w:tcPr>
          <w:p>
            <w:pPr>
              <w:spacing w:after="0"/>
              <w:rPr>
                <w:sz w:val="14"/>
                <w:szCs w:val="14"/>
                <w:color w:val="auto"/>
              </w:rPr>
            </w:pPr>
          </w:p>
        </w:tc>
      </w:tr>
      <w:tr>
        <w:trPr>
          <w:trHeight w:val="148"/>
        </w:trPr>
        <w:tc>
          <w:tcPr>
            <w:tcW w:w="2740" w:type="dxa"/>
            <w:vAlign w:val="bottom"/>
            <w:shd w:val="clear" w:color="auto" w:fill="481F6E"/>
          </w:tcPr>
          <w:p>
            <w:pPr>
              <w:spacing w:after="0"/>
              <w:rPr>
                <w:sz w:val="12"/>
                <w:szCs w:val="12"/>
                <w:color w:val="auto"/>
              </w:rPr>
            </w:pPr>
          </w:p>
        </w:tc>
        <w:tc>
          <w:tcPr>
            <w:tcW w:w="2760" w:type="dxa"/>
            <w:vAlign w:val="bottom"/>
            <w:shd w:val="clear" w:color="auto" w:fill="481F6E"/>
          </w:tcPr>
          <w:p>
            <w:pPr>
              <w:jc w:val="right"/>
              <w:ind w:right="268"/>
              <w:spacing w:after="0" w:line="148" w:lineRule="exact"/>
              <w:rPr>
                <w:sz w:val="20"/>
                <w:szCs w:val="20"/>
                <w:color w:val="auto"/>
              </w:rPr>
            </w:pPr>
            <w:r>
              <w:rPr>
                <w:rFonts w:ascii="Arial" w:cs="Arial" w:eastAsia="Arial" w:hAnsi="Arial"/>
                <w:sz w:val="14"/>
                <w:szCs w:val="14"/>
                <w:b w:val="1"/>
                <w:bCs w:val="1"/>
                <w:color w:val="FFFFFF"/>
              </w:rPr>
              <w:t>Stock Units ($)</w:t>
            </w:r>
            <w:r>
              <w:rPr>
                <w:rFonts w:ascii="Arial" w:cs="Arial" w:eastAsia="Arial" w:hAnsi="Arial"/>
                <w:sz w:val="6"/>
                <w:szCs w:val="6"/>
                <w:b w:val="1"/>
                <w:bCs w:val="1"/>
                <w:color w:val="FFFFFF"/>
              </w:rPr>
              <w:t>1</w:t>
            </w:r>
          </w:p>
        </w:tc>
        <w:tc>
          <w:tcPr>
            <w:tcW w:w="2140" w:type="dxa"/>
            <w:vAlign w:val="bottom"/>
            <w:shd w:val="clear" w:color="auto" w:fill="481F6E"/>
          </w:tcPr>
          <w:p>
            <w:pPr>
              <w:spacing w:after="0"/>
              <w:rPr>
                <w:sz w:val="12"/>
                <w:szCs w:val="12"/>
                <w:color w:val="auto"/>
              </w:rPr>
            </w:pPr>
          </w:p>
        </w:tc>
        <w:tc>
          <w:tcPr>
            <w:tcW w:w="2380" w:type="dxa"/>
            <w:vAlign w:val="bottom"/>
            <w:shd w:val="clear" w:color="auto" w:fill="481F6E"/>
          </w:tcPr>
          <w:p>
            <w:pPr>
              <w:jc w:val="right"/>
              <w:ind w:right="348"/>
              <w:spacing w:after="0" w:line="148" w:lineRule="exact"/>
              <w:rPr>
                <w:sz w:val="20"/>
                <w:szCs w:val="20"/>
                <w:color w:val="auto"/>
              </w:rPr>
            </w:pPr>
            <w:r>
              <w:rPr>
                <w:rFonts w:ascii="Arial" w:cs="Arial" w:eastAsia="Arial" w:hAnsi="Arial"/>
                <w:sz w:val="14"/>
                <w:szCs w:val="14"/>
                <w:b w:val="1"/>
                <w:bCs w:val="1"/>
                <w:color w:val="FFFFFF"/>
              </w:rPr>
              <w:t>Units Unvested and</w:t>
            </w:r>
          </w:p>
        </w:tc>
        <w:tc>
          <w:tcPr>
            <w:tcW w:w="1240" w:type="dxa"/>
            <w:vAlign w:val="bottom"/>
            <w:shd w:val="clear" w:color="auto" w:fill="481F6E"/>
          </w:tcPr>
          <w:p>
            <w:pPr>
              <w:spacing w:after="0"/>
              <w:rPr>
                <w:sz w:val="12"/>
                <w:szCs w:val="12"/>
                <w:color w:val="auto"/>
              </w:rPr>
            </w:pPr>
          </w:p>
        </w:tc>
      </w:tr>
      <w:tr>
        <w:trPr>
          <w:trHeight w:val="225"/>
        </w:trPr>
        <w:tc>
          <w:tcPr>
            <w:tcW w:w="2740" w:type="dxa"/>
            <w:vAlign w:val="bottom"/>
            <w:shd w:val="clear" w:color="auto" w:fill="481F6E"/>
          </w:tcPr>
          <w:p>
            <w:pPr>
              <w:spacing w:after="0"/>
              <w:rPr>
                <w:sz w:val="19"/>
                <w:szCs w:val="19"/>
                <w:color w:val="auto"/>
              </w:rPr>
            </w:pPr>
          </w:p>
        </w:tc>
        <w:tc>
          <w:tcPr>
            <w:tcW w:w="2760" w:type="dxa"/>
            <w:vAlign w:val="bottom"/>
            <w:shd w:val="clear" w:color="auto" w:fill="481F6E"/>
          </w:tcPr>
          <w:p>
            <w:pPr>
              <w:spacing w:after="0"/>
              <w:rPr>
                <w:sz w:val="19"/>
                <w:szCs w:val="19"/>
                <w:color w:val="auto"/>
              </w:rPr>
            </w:pPr>
          </w:p>
        </w:tc>
        <w:tc>
          <w:tcPr>
            <w:tcW w:w="2140" w:type="dxa"/>
            <w:vAlign w:val="bottom"/>
            <w:shd w:val="clear" w:color="auto" w:fill="481F6E"/>
          </w:tcPr>
          <w:p>
            <w:pPr>
              <w:spacing w:after="0"/>
              <w:rPr>
                <w:sz w:val="19"/>
                <w:szCs w:val="19"/>
                <w:color w:val="auto"/>
              </w:rPr>
            </w:pPr>
          </w:p>
        </w:tc>
        <w:tc>
          <w:tcPr>
            <w:tcW w:w="2380" w:type="dxa"/>
            <w:vAlign w:val="bottom"/>
            <w:shd w:val="clear" w:color="auto" w:fill="481F6E"/>
          </w:tcPr>
          <w:p>
            <w:pPr>
              <w:jc w:val="right"/>
              <w:ind w:right="348"/>
              <w:spacing w:after="0"/>
              <w:rPr>
                <w:sz w:val="20"/>
                <w:szCs w:val="20"/>
                <w:color w:val="auto"/>
              </w:rPr>
            </w:pPr>
            <w:r>
              <w:rPr>
                <w:rFonts w:ascii="Arial" w:cs="Arial" w:eastAsia="Arial" w:hAnsi="Arial"/>
                <w:sz w:val="14"/>
                <w:szCs w:val="14"/>
                <w:b w:val="1"/>
                <w:bCs w:val="1"/>
                <w:color w:val="FFFFFF"/>
              </w:rPr>
              <w:t>Accelerated ($)</w:t>
            </w:r>
            <w:r>
              <w:rPr>
                <w:rFonts w:ascii="Arial" w:cs="Arial" w:eastAsia="Arial" w:hAnsi="Arial"/>
                <w:sz w:val="6"/>
                <w:szCs w:val="6"/>
                <w:b w:val="1"/>
                <w:bCs w:val="1"/>
                <w:color w:val="FFFFFF"/>
              </w:rPr>
              <w:t>1</w:t>
            </w:r>
          </w:p>
        </w:tc>
        <w:tc>
          <w:tcPr>
            <w:tcW w:w="1240" w:type="dxa"/>
            <w:vAlign w:val="bottom"/>
            <w:shd w:val="clear" w:color="auto" w:fill="481F6E"/>
          </w:tcPr>
          <w:p>
            <w:pPr>
              <w:spacing w:after="0"/>
              <w:rPr>
                <w:sz w:val="19"/>
                <w:szCs w:val="19"/>
                <w:color w:val="auto"/>
              </w:rPr>
            </w:pPr>
          </w:p>
        </w:tc>
      </w:tr>
      <w:tr>
        <w:trPr>
          <w:trHeight w:val="85"/>
        </w:trPr>
        <w:tc>
          <w:tcPr>
            <w:tcW w:w="2740" w:type="dxa"/>
            <w:vAlign w:val="bottom"/>
            <w:shd w:val="clear" w:color="auto" w:fill="481F6E"/>
          </w:tcPr>
          <w:p>
            <w:pPr>
              <w:spacing w:after="0"/>
              <w:rPr>
                <w:sz w:val="7"/>
                <w:szCs w:val="7"/>
                <w:color w:val="auto"/>
              </w:rPr>
            </w:pPr>
          </w:p>
        </w:tc>
        <w:tc>
          <w:tcPr>
            <w:tcW w:w="2760" w:type="dxa"/>
            <w:vAlign w:val="bottom"/>
            <w:shd w:val="clear" w:color="auto" w:fill="481F6E"/>
          </w:tcPr>
          <w:p>
            <w:pPr>
              <w:spacing w:after="0"/>
              <w:rPr>
                <w:sz w:val="7"/>
                <w:szCs w:val="7"/>
                <w:color w:val="auto"/>
              </w:rPr>
            </w:pPr>
          </w:p>
        </w:tc>
        <w:tc>
          <w:tcPr>
            <w:tcW w:w="2140" w:type="dxa"/>
            <w:vAlign w:val="bottom"/>
            <w:shd w:val="clear" w:color="auto" w:fill="481F6E"/>
          </w:tcPr>
          <w:p>
            <w:pPr>
              <w:spacing w:after="0"/>
              <w:rPr>
                <w:sz w:val="7"/>
                <w:szCs w:val="7"/>
                <w:color w:val="auto"/>
              </w:rPr>
            </w:pPr>
          </w:p>
        </w:tc>
        <w:tc>
          <w:tcPr>
            <w:tcW w:w="2380" w:type="dxa"/>
            <w:vAlign w:val="bottom"/>
            <w:shd w:val="clear" w:color="auto" w:fill="481F6E"/>
          </w:tcPr>
          <w:p>
            <w:pPr>
              <w:spacing w:after="0"/>
              <w:rPr>
                <w:sz w:val="7"/>
                <w:szCs w:val="7"/>
                <w:color w:val="auto"/>
              </w:rPr>
            </w:pPr>
          </w:p>
        </w:tc>
        <w:tc>
          <w:tcPr>
            <w:tcW w:w="1240" w:type="dxa"/>
            <w:vAlign w:val="bottom"/>
            <w:shd w:val="clear" w:color="auto" w:fill="481F6E"/>
          </w:tcPr>
          <w:p>
            <w:pPr>
              <w:spacing w:after="0"/>
              <w:rPr>
                <w:sz w:val="7"/>
                <w:szCs w:val="7"/>
                <w:color w:val="auto"/>
              </w:rPr>
            </w:pPr>
          </w:p>
        </w:tc>
      </w:tr>
      <w:tr>
        <w:trPr>
          <w:trHeight w:val="219"/>
        </w:trPr>
        <w:tc>
          <w:tcPr>
            <w:tcW w:w="2740" w:type="dxa"/>
            <w:vAlign w:val="bottom"/>
            <w:tcBorders>
              <w:bottom w:val="single" w:sz="8" w:color="D7D8D6"/>
            </w:tcBorders>
          </w:tcPr>
          <w:p>
            <w:pPr>
              <w:ind w:left="60"/>
              <w:spacing w:after="0"/>
              <w:rPr>
                <w:sz w:val="20"/>
                <w:szCs w:val="20"/>
                <w:color w:val="auto"/>
              </w:rPr>
            </w:pPr>
            <w:r>
              <w:rPr>
                <w:rFonts w:ascii="Arial" w:cs="Arial" w:eastAsia="Arial" w:hAnsi="Arial"/>
                <w:sz w:val="14"/>
                <w:szCs w:val="14"/>
                <w:b w:val="1"/>
                <w:bCs w:val="1"/>
                <w:color w:val="333740"/>
              </w:rPr>
              <w:t>Douglas J. Pferdehirt</w:t>
            </w:r>
          </w:p>
        </w:tc>
        <w:tc>
          <w:tcPr>
            <w:tcW w:w="2760" w:type="dxa"/>
            <w:vAlign w:val="bottom"/>
            <w:tcBorders>
              <w:bottom w:val="single" w:sz="8" w:color="D7D8D6"/>
            </w:tcBorders>
          </w:tcPr>
          <w:p>
            <w:pPr>
              <w:jc w:val="right"/>
              <w:ind w:right="508"/>
              <w:spacing w:after="0"/>
              <w:rPr>
                <w:sz w:val="20"/>
                <w:szCs w:val="20"/>
                <w:color w:val="auto"/>
              </w:rPr>
            </w:pPr>
            <w:r>
              <w:rPr>
                <w:rFonts w:ascii="Arial" w:cs="Arial" w:eastAsia="Arial" w:hAnsi="Arial"/>
                <w:sz w:val="14"/>
                <w:szCs w:val="14"/>
                <w:color w:val="333740"/>
              </w:rPr>
              <w:t>13,845,459</w:t>
            </w:r>
          </w:p>
        </w:tc>
        <w:tc>
          <w:tcPr>
            <w:tcW w:w="2140" w:type="dxa"/>
            <w:vAlign w:val="bottom"/>
            <w:tcBorders>
              <w:bottom w:val="single" w:sz="8" w:color="D7D8D6"/>
            </w:tcBorders>
          </w:tcPr>
          <w:p>
            <w:pPr>
              <w:jc w:val="right"/>
              <w:ind w:right="608"/>
              <w:spacing w:after="0"/>
              <w:rPr>
                <w:sz w:val="20"/>
                <w:szCs w:val="20"/>
                <w:color w:val="auto"/>
              </w:rPr>
            </w:pPr>
            <w:r>
              <w:rPr>
                <w:rFonts w:ascii="Arial" w:cs="Arial" w:eastAsia="Arial" w:hAnsi="Arial"/>
                <w:sz w:val="14"/>
                <w:szCs w:val="14"/>
                <w:color w:val="333740"/>
              </w:rPr>
              <w:t>158,114</w:t>
            </w:r>
          </w:p>
        </w:tc>
        <w:tc>
          <w:tcPr>
            <w:tcW w:w="2380" w:type="dxa"/>
            <w:vAlign w:val="bottom"/>
            <w:tcBorders>
              <w:bottom w:val="single" w:sz="8" w:color="D7D8D6"/>
            </w:tcBorders>
          </w:tcPr>
          <w:p>
            <w:pPr>
              <w:jc w:val="right"/>
              <w:ind w:right="748"/>
              <w:spacing w:after="0"/>
              <w:rPr>
                <w:sz w:val="20"/>
                <w:szCs w:val="20"/>
                <w:color w:val="auto"/>
              </w:rPr>
            </w:pPr>
            <w:r>
              <w:rPr>
                <w:rFonts w:ascii="Arial" w:cs="Arial" w:eastAsia="Arial" w:hAnsi="Arial"/>
                <w:sz w:val="14"/>
                <w:szCs w:val="14"/>
                <w:color w:val="333740"/>
              </w:rPr>
              <w:t>4,615,132</w:t>
            </w:r>
          </w:p>
        </w:tc>
        <w:tc>
          <w:tcPr>
            <w:tcW w:w="1240" w:type="dxa"/>
            <w:vAlign w:val="bottom"/>
            <w:tcBorders>
              <w:bottom w:val="single" w:sz="8" w:color="D7D8D6"/>
            </w:tcBorders>
          </w:tcPr>
          <w:p>
            <w:pPr>
              <w:jc w:val="right"/>
              <w:ind w:right="8"/>
              <w:spacing w:after="0"/>
              <w:rPr>
                <w:sz w:val="20"/>
                <w:szCs w:val="20"/>
                <w:color w:val="auto"/>
              </w:rPr>
            </w:pPr>
            <w:r>
              <w:rPr>
                <w:rFonts w:ascii="Arial" w:cs="Arial" w:eastAsia="Arial" w:hAnsi="Arial"/>
                <w:sz w:val="14"/>
                <w:szCs w:val="14"/>
                <w:color w:val="333740"/>
              </w:rPr>
              <w:t>18,618,705</w:t>
            </w:r>
          </w:p>
        </w:tc>
      </w:tr>
      <w:tr>
        <w:trPr>
          <w:trHeight w:val="219"/>
        </w:trPr>
        <w:tc>
          <w:tcPr>
            <w:tcW w:w="2740" w:type="dxa"/>
            <w:vAlign w:val="bottom"/>
            <w:tcBorders>
              <w:bottom w:val="single" w:sz="8" w:color="D7D8D6"/>
            </w:tcBorders>
          </w:tcPr>
          <w:p>
            <w:pPr>
              <w:ind w:left="60"/>
              <w:spacing w:after="0"/>
              <w:rPr>
                <w:sz w:val="20"/>
                <w:szCs w:val="20"/>
                <w:color w:val="auto"/>
              </w:rPr>
            </w:pPr>
            <w:r>
              <w:rPr>
                <w:rFonts w:ascii="Arial" w:cs="Arial" w:eastAsia="Arial" w:hAnsi="Arial"/>
                <w:sz w:val="14"/>
                <w:szCs w:val="14"/>
                <w:b w:val="1"/>
                <w:bCs w:val="1"/>
                <w:color w:val="333740"/>
              </w:rPr>
              <w:t>Maryann T. Mannen</w:t>
            </w:r>
          </w:p>
        </w:tc>
        <w:tc>
          <w:tcPr>
            <w:tcW w:w="2760" w:type="dxa"/>
            <w:vAlign w:val="bottom"/>
            <w:tcBorders>
              <w:bottom w:val="single" w:sz="8" w:color="D7D8D6"/>
            </w:tcBorders>
          </w:tcPr>
          <w:p>
            <w:pPr>
              <w:jc w:val="right"/>
              <w:ind w:right="508"/>
              <w:spacing w:after="0"/>
              <w:rPr>
                <w:sz w:val="20"/>
                <w:szCs w:val="20"/>
                <w:color w:val="auto"/>
              </w:rPr>
            </w:pPr>
            <w:r>
              <w:rPr>
                <w:rFonts w:ascii="Arial" w:cs="Arial" w:eastAsia="Arial" w:hAnsi="Arial"/>
                <w:sz w:val="14"/>
                <w:szCs w:val="14"/>
                <w:color w:val="333740"/>
              </w:rPr>
              <w:t>4,450,730</w:t>
            </w:r>
          </w:p>
        </w:tc>
        <w:tc>
          <w:tcPr>
            <w:tcW w:w="2140" w:type="dxa"/>
            <w:vAlign w:val="bottom"/>
            <w:tcBorders>
              <w:bottom w:val="single" w:sz="8" w:color="D7D8D6"/>
            </w:tcBorders>
          </w:tcPr>
          <w:p>
            <w:pPr>
              <w:jc w:val="right"/>
              <w:ind w:right="608"/>
              <w:spacing w:after="0"/>
              <w:rPr>
                <w:sz w:val="20"/>
                <w:szCs w:val="20"/>
                <w:color w:val="auto"/>
              </w:rPr>
            </w:pPr>
            <w:r>
              <w:rPr>
                <w:rFonts w:ascii="Arial" w:cs="Arial" w:eastAsia="Arial" w:hAnsi="Arial"/>
                <w:sz w:val="14"/>
                <w:szCs w:val="14"/>
                <w:color w:val="333740"/>
              </w:rPr>
              <w:t>50,531</w:t>
            </w:r>
          </w:p>
        </w:tc>
        <w:tc>
          <w:tcPr>
            <w:tcW w:w="2380" w:type="dxa"/>
            <w:vAlign w:val="bottom"/>
            <w:tcBorders>
              <w:bottom w:val="single" w:sz="8" w:color="D7D8D6"/>
            </w:tcBorders>
          </w:tcPr>
          <w:p>
            <w:pPr>
              <w:jc w:val="right"/>
              <w:ind w:right="728"/>
              <w:spacing w:after="0"/>
              <w:rPr>
                <w:sz w:val="20"/>
                <w:szCs w:val="20"/>
                <w:color w:val="auto"/>
              </w:rPr>
            </w:pPr>
            <w:r>
              <w:rPr>
                <w:rFonts w:ascii="Arial" w:cs="Arial" w:eastAsia="Arial" w:hAnsi="Arial"/>
                <w:sz w:val="14"/>
                <w:szCs w:val="14"/>
                <w:color w:val="333740"/>
              </w:rPr>
              <w:t>1,483,562</w:t>
            </w:r>
          </w:p>
        </w:tc>
        <w:tc>
          <w:tcPr>
            <w:tcW w:w="1240" w:type="dxa"/>
            <w:vAlign w:val="bottom"/>
            <w:tcBorders>
              <w:bottom w:val="single" w:sz="8" w:color="D7D8D6"/>
            </w:tcBorders>
          </w:tcPr>
          <w:p>
            <w:pPr>
              <w:jc w:val="right"/>
              <w:ind w:right="8"/>
              <w:spacing w:after="0"/>
              <w:rPr>
                <w:sz w:val="20"/>
                <w:szCs w:val="20"/>
                <w:color w:val="auto"/>
              </w:rPr>
            </w:pPr>
            <w:r>
              <w:rPr>
                <w:rFonts w:ascii="Arial" w:cs="Arial" w:eastAsia="Arial" w:hAnsi="Arial"/>
                <w:sz w:val="14"/>
                <w:szCs w:val="14"/>
                <w:color w:val="333740"/>
              </w:rPr>
              <w:t>5,984,823</w:t>
            </w:r>
          </w:p>
        </w:tc>
      </w:tr>
      <w:tr>
        <w:trPr>
          <w:trHeight w:val="219"/>
        </w:trPr>
        <w:tc>
          <w:tcPr>
            <w:tcW w:w="2740" w:type="dxa"/>
            <w:vAlign w:val="bottom"/>
            <w:tcBorders>
              <w:bottom w:val="single" w:sz="8" w:color="D7D8D6"/>
            </w:tcBorders>
          </w:tcPr>
          <w:p>
            <w:pPr>
              <w:ind w:left="60"/>
              <w:spacing w:after="0"/>
              <w:rPr>
                <w:sz w:val="20"/>
                <w:szCs w:val="20"/>
                <w:color w:val="auto"/>
              </w:rPr>
            </w:pPr>
            <w:r>
              <w:rPr>
                <w:rFonts w:ascii="Arial" w:cs="Arial" w:eastAsia="Arial" w:hAnsi="Arial"/>
                <w:sz w:val="14"/>
                <w:szCs w:val="14"/>
                <w:b w:val="1"/>
                <w:bCs w:val="1"/>
                <w:color w:val="333740"/>
              </w:rPr>
              <w:t>Dianne B. Ralston</w:t>
            </w:r>
          </w:p>
        </w:tc>
        <w:tc>
          <w:tcPr>
            <w:tcW w:w="2760" w:type="dxa"/>
            <w:vAlign w:val="bottom"/>
            <w:tcBorders>
              <w:bottom w:val="single" w:sz="8" w:color="D7D8D6"/>
            </w:tcBorders>
          </w:tcPr>
          <w:p>
            <w:pPr>
              <w:jc w:val="right"/>
              <w:ind w:right="508"/>
              <w:spacing w:after="0"/>
              <w:rPr>
                <w:sz w:val="20"/>
                <w:szCs w:val="20"/>
                <w:color w:val="auto"/>
              </w:rPr>
            </w:pPr>
            <w:r>
              <w:rPr>
                <w:rFonts w:ascii="Arial" w:cs="Arial" w:eastAsia="Arial" w:hAnsi="Arial"/>
                <w:sz w:val="14"/>
                <w:szCs w:val="14"/>
                <w:color w:val="333740"/>
              </w:rPr>
              <w:t>3,015,021</w:t>
            </w:r>
          </w:p>
        </w:tc>
        <w:tc>
          <w:tcPr>
            <w:tcW w:w="2140" w:type="dxa"/>
            <w:vAlign w:val="bottom"/>
            <w:tcBorders>
              <w:bottom w:val="single" w:sz="8" w:color="D7D8D6"/>
            </w:tcBorders>
          </w:tcPr>
          <w:p>
            <w:pPr>
              <w:jc w:val="right"/>
              <w:ind w:right="608"/>
              <w:spacing w:after="0"/>
              <w:rPr>
                <w:sz w:val="20"/>
                <w:szCs w:val="20"/>
                <w:color w:val="auto"/>
              </w:rPr>
            </w:pPr>
            <w:r>
              <w:rPr>
                <w:rFonts w:ascii="Arial" w:cs="Arial" w:eastAsia="Arial" w:hAnsi="Arial"/>
                <w:sz w:val="14"/>
                <w:szCs w:val="14"/>
                <w:color w:val="333740"/>
              </w:rPr>
              <w:t>34,231</w:t>
            </w:r>
          </w:p>
        </w:tc>
        <w:tc>
          <w:tcPr>
            <w:tcW w:w="2380" w:type="dxa"/>
            <w:vAlign w:val="bottom"/>
            <w:tcBorders>
              <w:bottom w:val="single" w:sz="8" w:color="D7D8D6"/>
            </w:tcBorders>
          </w:tcPr>
          <w:p>
            <w:pPr>
              <w:jc w:val="right"/>
              <w:ind w:right="728"/>
              <w:spacing w:after="0"/>
              <w:rPr>
                <w:sz w:val="20"/>
                <w:szCs w:val="20"/>
                <w:color w:val="auto"/>
              </w:rPr>
            </w:pPr>
            <w:r>
              <w:rPr>
                <w:rFonts w:ascii="Arial" w:cs="Arial" w:eastAsia="Arial" w:hAnsi="Arial"/>
                <w:sz w:val="14"/>
                <w:szCs w:val="14"/>
                <w:color w:val="333740"/>
              </w:rPr>
              <w:t>1,005,000</w:t>
            </w:r>
          </w:p>
        </w:tc>
        <w:tc>
          <w:tcPr>
            <w:tcW w:w="1240" w:type="dxa"/>
            <w:vAlign w:val="bottom"/>
            <w:tcBorders>
              <w:bottom w:val="single" w:sz="8" w:color="D7D8D6"/>
            </w:tcBorders>
          </w:tcPr>
          <w:p>
            <w:pPr>
              <w:jc w:val="right"/>
              <w:ind w:right="8"/>
              <w:spacing w:after="0"/>
              <w:rPr>
                <w:sz w:val="20"/>
                <w:szCs w:val="20"/>
                <w:color w:val="auto"/>
              </w:rPr>
            </w:pPr>
            <w:r>
              <w:rPr>
                <w:rFonts w:ascii="Arial" w:cs="Arial" w:eastAsia="Arial" w:hAnsi="Arial"/>
                <w:sz w:val="14"/>
                <w:szCs w:val="14"/>
                <w:color w:val="333740"/>
              </w:rPr>
              <w:t>4,054,252</w:t>
            </w:r>
          </w:p>
        </w:tc>
      </w:tr>
      <w:tr>
        <w:trPr>
          <w:trHeight w:val="219"/>
        </w:trPr>
        <w:tc>
          <w:tcPr>
            <w:tcW w:w="2740" w:type="dxa"/>
            <w:vAlign w:val="bottom"/>
            <w:tcBorders>
              <w:bottom w:val="single" w:sz="8" w:color="D7D8D6"/>
            </w:tcBorders>
          </w:tcPr>
          <w:p>
            <w:pPr>
              <w:ind w:left="60"/>
              <w:spacing w:after="0"/>
              <w:rPr>
                <w:sz w:val="20"/>
                <w:szCs w:val="20"/>
                <w:color w:val="auto"/>
              </w:rPr>
            </w:pPr>
            <w:r>
              <w:rPr>
                <w:rFonts w:ascii="Arial" w:cs="Arial" w:eastAsia="Arial" w:hAnsi="Arial"/>
                <w:sz w:val="14"/>
                <w:szCs w:val="14"/>
                <w:b w:val="1"/>
                <w:bCs w:val="1"/>
                <w:color w:val="333740"/>
              </w:rPr>
              <w:t>Justin Rounce</w:t>
            </w:r>
          </w:p>
        </w:tc>
        <w:tc>
          <w:tcPr>
            <w:tcW w:w="2760" w:type="dxa"/>
            <w:vAlign w:val="bottom"/>
            <w:tcBorders>
              <w:bottom w:val="single" w:sz="8" w:color="D7D8D6"/>
            </w:tcBorders>
          </w:tcPr>
          <w:p>
            <w:pPr>
              <w:jc w:val="right"/>
              <w:ind w:right="508"/>
              <w:spacing w:after="0"/>
              <w:rPr>
                <w:sz w:val="20"/>
                <w:szCs w:val="20"/>
                <w:color w:val="auto"/>
              </w:rPr>
            </w:pPr>
            <w:r>
              <w:rPr>
                <w:rFonts w:ascii="Arial" w:cs="Arial" w:eastAsia="Arial" w:hAnsi="Arial"/>
                <w:sz w:val="14"/>
                <w:szCs w:val="14"/>
                <w:color w:val="333740"/>
              </w:rPr>
              <w:t>1,103,667</w:t>
            </w:r>
          </w:p>
        </w:tc>
        <w:tc>
          <w:tcPr>
            <w:tcW w:w="2140" w:type="dxa"/>
            <w:vAlign w:val="bottom"/>
            <w:tcBorders>
              <w:bottom w:val="single" w:sz="8" w:color="D7D8D6"/>
            </w:tcBorders>
          </w:tcPr>
          <w:p>
            <w:pPr>
              <w:jc w:val="right"/>
              <w:ind w:right="608"/>
              <w:spacing w:after="0"/>
              <w:rPr>
                <w:sz w:val="20"/>
                <w:szCs w:val="20"/>
                <w:color w:val="auto"/>
              </w:rPr>
            </w:pPr>
            <w:r>
              <w:rPr>
                <w:rFonts w:ascii="Arial" w:cs="Arial" w:eastAsia="Arial" w:hAnsi="Arial"/>
                <w:sz w:val="14"/>
                <w:szCs w:val="14"/>
                <w:color w:val="333740"/>
              </w:rPr>
              <w:t>29,341</w:t>
            </w:r>
          </w:p>
        </w:tc>
        <w:tc>
          <w:tcPr>
            <w:tcW w:w="2380" w:type="dxa"/>
            <w:vAlign w:val="bottom"/>
            <w:tcBorders>
              <w:bottom w:val="single" w:sz="8" w:color="D7D8D6"/>
            </w:tcBorders>
          </w:tcPr>
          <w:p>
            <w:pPr>
              <w:jc w:val="right"/>
              <w:ind w:right="728"/>
              <w:spacing w:after="0"/>
              <w:rPr>
                <w:sz w:val="20"/>
                <w:szCs w:val="20"/>
                <w:color w:val="auto"/>
              </w:rPr>
            </w:pPr>
            <w:r>
              <w:rPr>
                <w:rFonts w:ascii="Arial" w:cs="Arial" w:eastAsia="Arial" w:hAnsi="Arial"/>
                <w:sz w:val="14"/>
                <w:szCs w:val="14"/>
                <w:color w:val="333740"/>
              </w:rPr>
              <w:t>933,798</w:t>
            </w:r>
          </w:p>
        </w:tc>
        <w:tc>
          <w:tcPr>
            <w:tcW w:w="1240" w:type="dxa"/>
            <w:vAlign w:val="bottom"/>
            <w:tcBorders>
              <w:bottom w:val="single" w:sz="8" w:color="D7D8D6"/>
            </w:tcBorders>
          </w:tcPr>
          <w:p>
            <w:pPr>
              <w:jc w:val="right"/>
              <w:ind w:right="8"/>
              <w:spacing w:after="0"/>
              <w:rPr>
                <w:sz w:val="20"/>
                <w:szCs w:val="20"/>
                <w:color w:val="auto"/>
              </w:rPr>
            </w:pPr>
            <w:r>
              <w:rPr>
                <w:rFonts w:ascii="Arial" w:cs="Arial" w:eastAsia="Arial" w:hAnsi="Arial"/>
                <w:sz w:val="14"/>
                <w:szCs w:val="14"/>
                <w:color w:val="333740"/>
              </w:rPr>
              <w:t>2,066,806</w:t>
            </w:r>
          </w:p>
        </w:tc>
      </w:tr>
      <w:tr>
        <w:trPr>
          <w:trHeight w:val="219"/>
        </w:trPr>
        <w:tc>
          <w:tcPr>
            <w:tcW w:w="2740" w:type="dxa"/>
            <w:vAlign w:val="bottom"/>
            <w:tcBorders>
              <w:bottom w:val="single" w:sz="8" w:color="D7D8D6"/>
            </w:tcBorders>
          </w:tcPr>
          <w:p>
            <w:pPr>
              <w:ind w:left="60"/>
              <w:spacing w:after="0"/>
              <w:rPr>
                <w:sz w:val="20"/>
                <w:szCs w:val="20"/>
                <w:color w:val="auto"/>
              </w:rPr>
            </w:pPr>
            <w:r>
              <w:rPr>
                <w:rFonts w:ascii="Arial" w:cs="Arial" w:eastAsia="Arial" w:hAnsi="Arial"/>
                <w:sz w:val="14"/>
                <w:szCs w:val="14"/>
                <w:b w:val="1"/>
                <w:bCs w:val="1"/>
                <w:color w:val="333740"/>
              </w:rPr>
              <w:t>Nello Uccelletti</w:t>
            </w:r>
          </w:p>
        </w:tc>
        <w:tc>
          <w:tcPr>
            <w:tcW w:w="2760" w:type="dxa"/>
            <w:vAlign w:val="bottom"/>
            <w:tcBorders>
              <w:bottom w:val="single" w:sz="8" w:color="D7D8D6"/>
            </w:tcBorders>
          </w:tcPr>
          <w:p>
            <w:pPr>
              <w:jc w:val="right"/>
              <w:ind w:right="508"/>
              <w:spacing w:after="0"/>
              <w:rPr>
                <w:sz w:val="20"/>
                <w:szCs w:val="20"/>
                <w:color w:val="auto"/>
              </w:rPr>
            </w:pPr>
            <w:r>
              <w:rPr>
                <w:rFonts w:ascii="Arial" w:cs="Arial" w:eastAsia="Arial" w:hAnsi="Arial"/>
                <w:sz w:val="14"/>
                <w:szCs w:val="14"/>
                <w:color w:val="333740"/>
              </w:rPr>
              <w:t>1,825,294</w:t>
            </w:r>
          </w:p>
        </w:tc>
        <w:tc>
          <w:tcPr>
            <w:tcW w:w="2140" w:type="dxa"/>
            <w:vAlign w:val="bottom"/>
            <w:tcBorders>
              <w:bottom w:val="single" w:sz="8" w:color="D7D8D6"/>
            </w:tcBorders>
          </w:tcPr>
          <w:p>
            <w:pPr>
              <w:jc w:val="right"/>
              <w:ind w:right="608"/>
              <w:spacing w:after="0"/>
              <w:rPr>
                <w:sz w:val="20"/>
                <w:szCs w:val="20"/>
                <w:color w:val="auto"/>
              </w:rPr>
            </w:pPr>
            <w:r>
              <w:rPr>
                <w:rFonts w:ascii="Arial" w:cs="Arial" w:eastAsia="Arial" w:hAnsi="Arial"/>
                <w:sz w:val="14"/>
                <w:szCs w:val="14"/>
                <w:color w:val="333740"/>
              </w:rPr>
              <w:t>21,190</w:t>
            </w:r>
          </w:p>
        </w:tc>
        <w:tc>
          <w:tcPr>
            <w:tcW w:w="2380" w:type="dxa"/>
            <w:vAlign w:val="bottom"/>
            <w:tcBorders>
              <w:bottom w:val="single" w:sz="8" w:color="D7D8D6"/>
            </w:tcBorders>
          </w:tcPr>
          <w:p>
            <w:pPr>
              <w:jc w:val="right"/>
              <w:ind w:right="728"/>
              <w:spacing w:after="0"/>
              <w:rPr>
                <w:sz w:val="20"/>
                <w:szCs w:val="20"/>
                <w:color w:val="auto"/>
              </w:rPr>
            </w:pPr>
            <w:r>
              <w:rPr>
                <w:rFonts w:ascii="Arial" w:cs="Arial" w:eastAsia="Arial" w:hAnsi="Arial"/>
                <w:sz w:val="14"/>
                <w:szCs w:val="14"/>
                <w:color w:val="333740"/>
              </w:rPr>
              <w:t>1,251,603</w:t>
            </w:r>
          </w:p>
        </w:tc>
        <w:tc>
          <w:tcPr>
            <w:tcW w:w="1240" w:type="dxa"/>
            <w:vAlign w:val="bottom"/>
            <w:tcBorders>
              <w:bottom w:val="single" w:sz="8" w:color="D7D8D6"/>
            </w:tcBorders>
          </w:tcPr>
          <w:p>
            <w:pPr>
              <w:jc w:val="right"/>
              <w:ind w:right="8"/>
              <w:spacing w:after="0"/>
              <w:rPr>
                <w:sz w:val="20"/>
                <w:szCs w:val="20"/>
                <w:color w:val="auto"/>
              </w:rPr>
            </w:pPr>
            <w:r>
              <w:rPr>
                <w:rFonts w:ascii="Arial" w:cs="Arial" w:eastAsia="Arial" w:hAnsi="Arial"/>
                <w:sz w:val="14"/>
                <w:szCs w:val="14"/>
                <w:color w:val="333740"/>
              </w:rPr>
              <w:t>3,098,087</w:t>
            </w:r>
          </w:p>
        </w:tc>
      </w:tr>
    </w:tbl>
    <w:p>
      <w:pPr>
        <w:spacing w:after="0" w:line="131" w:lineRule="exact"/>
        <w:rPr>
          <w:sz w:val="20"/>
          <w:szCs w:val="20"/>
          <w:color w:val="auto"/>
        </w:rPr>
      </w:pPr>
    </w:p>
    <w:p>
      <w:pPr>
        <w:ind w:left="284" w:hanging="284"/>
        <w:spacing w:after="0"/>
        <w:tabs>
          <w:tab w:leader="none" w:pos="284" w:val="left"/>
        </w:tabs>
        <w:numPr>
          <w:ilvl w:val="0"/>
          <w:numId w:val="121"/>
        </w:numPr>
        <w:rPr>
          <w:rFonts w:ascii="Arial" w:cs="Arial" w:eastAsia="Arial" w:hAnsi="Arial"/>
          <w:sz w:val="11"/>
          <w:szCs w:val="11"/>
          <w:color w:val="333740"/>
        </w:rPr>
      </w:pPr>
      <w:r>
        <w:rPr>
          <w:rFonts w:ascii="Arial" w:cs="Arial" w:eastAsia="Arial" w:hAnsi="Arial"/>
          <w:sz w:val="11"/>
          <w:szCs w:val="11"/>
          <w:color w:val="333740"/>
        </w:rPr>
        <w:t>Assumes PSUs are paid at target (100%).</w:t>
      </w:r>
    </w:p>
    <w:p>
      <w:pPr>
        <w:ind w:left="284" w:right="280" w:hanging="284"/>
        <w:spacing w:after="0" w:line="239" w:lineRule="auto"/>
        <w:tabs>
          <w:tab w:leader="none" w:pos="284" w:val="left"/>
        </w:tabs>
        <w:numPr>
          <w:ilvl w:val="0"/>
          <w:numId w:val="121"/>
        </w:numPr>
        <w:rPr>
          <w:rFonts w:ascii="Arial" w:cs="Arial" w:eastAsia="Arial" w:hAnsi="Arial"/>
          <w:sz w:val="11"/>
          <w:szCs w:val="11"/>
          <w:color w:val="333740"/>
        </w:rPr>
      </w:pPr>
      <w:r>
        <w:rPr>
          <w:rFonts w:ascii="Arial" w:cs="Arial" w:eastAsia="Arial" w:hAnsi="Arial"/>
          <w:sz w:val="11"/>
          <w:szCs w:val="11"/>
          <w:color w:val="333740"/>
        </w:rPr>
        <w:t>Unvested stock options vest and become exercisable in the event of death or disability. No value is included for stock options that have an exercise price that is greater than the Company’s stock price on December 31, 2019.</w:t>
      </w:r>
    </w:p>
    <w:p>
      <w:pPr>
        <w:spacing w:after="0" w:line="331" w:lineRule="exact"/>
        <w:rPr>
          <w:sz w:val="20"/>
          <w:szCs w:val="20"/>
          <w:color w:val="auto"/>
        </w:rPr>
      </w:pPr>
    </w:p>
    <w:p>
      <w:pPr>
        <w:ind w:left="564" w:hanging="564"/>
        <w:spacing w:after="0"/>
        <w:tabs>
          <w:tab w:leader="none" w:pos="564" w:val="left"/>
        </w:tabs>
        <w:numPr>
          <w:ilvl w:val="0"/>
          <w:numId w:val="122"/>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100" w:name="page101"/>
    <w:bookmarkEnd w:id="100"/>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Payments Made in an Involuntary Termination</w:t>
      </w:r>
    </w:p>
    <w:p>
      <w:pPr>
        <w:spacing w:after="0" w:line="51" w:lineRule="exact"/>
        <w:rPr>
          <w:sz w:val="20"/>
          <w:szCs w:val="20"/>
          <w:color w:val="auto"/>
        </w:rPr>
      </w:pPr>
    </w:p>
    <w:p>
      <w:pPr>
        <w:ind w:left="4" w:right="40"/>
        <w:spacing w:after="0" w:line="238" w:lineRule="auto"/>
        <w:rPr>
          <w:sz w:val="20"/>
          <w:szCs w:val="20"/>
          <w:color w:val="auto"/>
        </w:rPr>
      </w:pPr>
      <w:r>
        <w:rPr>
          <w:rFonts w:ascii="Arial" w:cs="Arial" w:eastAsia="Arial" w:hAnsi="Arial"/>
          <w:sz w:val="16"/>
          <w:szCs w:val="16"/>
          <w:color w:val="333740"/>
        </w:rPr>
        <w:t>The amounts shown in the table below are calculated using the assumption that an involuntary not-for-cause termination was effective as of December 31, 2019, and, as a result, are based on amounts earned through such time and are only estimates of amounts that would be paid out to the NEOs in the event of such a termination. The actual amounts that would be paid out if such a termination were to occur can only be determined at the time of such executive officer’s actual termination.</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333740"/>
        </w:rPr>
        <w:t>Executive Benefits and Payments for Involuntary Termination Not in Connection with a Change-in-Control Occurring on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123825</wp:posOffset>
            </wp:positionV>
            <wp:extent cx="5911215" cy="61468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911215" cy="614680"/>
                    </a:xfrm>
                    <a:prstGeom prst="rect">
                      <a:avLst/>
                    </a:prstGeom>
                    <a:noFill/>
                  </pic:spPr>
                </pic:pic>
              </a:graphicData>
            </a:graphic>
          </wp:anchor>
        </w:drawing>
      </w:r>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183"/>
        </w:trPr>
        <w:tc>
          <w:tcPr>
            <w:tcW w:w="1940" w:type="dxa"/>
            <w:vAlign w:val="bottom"/>
            <w:shd w:val="clear" w:color="auto" w:fill="481F6E"/>
          </w:tcPr>
          <w:p>
            <w:pPr>
              <w:spacing w:after="0"/>
              <w:rPr>
                <w:sz w:val="15"/>
                <w:szCs w:val="15"/>
                <w:color w:val="auto"/>
              </w:rPr>
            </w:pPr>
          </w:p>
        </w:tc>
        <w:tc>
          <w:tcPr>
            <w:tcW w:w="1580" w:type="dxa"/>
            <w:vAlign w:val="bottom"/>
            <w:shd w:val="clear" w:color="auto" w:fill="481F6E"/>
          </w:tcPr>
          <w:p>
            <w:pPr>
              <w:spacing w:after="0"/>
              <w:rPr>
                <w:sz w:val="15"/>
                <w:szCs w:val="15"/>
                <w:color w:val="auto"/>
              </w:rPr>
            </w:pPr>
          </w:p>
        </w:tc>
        <w:tc>
          <w:tcPr>
            <w:tcW w:w="1380" w:type="dxa"/>
            <w:vAlign w:val="bottom"/>
            <w:shd w:val="clear" w:color="auto" w:fill="481F6E"/>
          </w:tcPr>
          <w:p>
            <w:pPr>
              <w:jc w:val="right"/>
              <w:ind w:right="535"/>
              <w:spacing w:after="0"/>
              <w:rPr>
                <w:sz w:val="20"/>
                <w:szCs w:val="20"/>
                <w:color w:val="auto"/>
              </w:rPr>
            </w:pPr>
            <w:r>
              <w:rPr>
                <w:rFonts w:ascii="Arial" w:cs="Arial" w:eastAsia="Arial" w:hAnsi="Arial"/>
                <w:sz w:val="10"/>
                <w:szCs w:val="10"/>
                <w:b w:val="1"/>
                <w:bCs w:val="1"/>
                <w:color w:val="FFFFFF"/>
              </w:rPr>
              <w:t>Compensation</w:t>
            </w:r>
          </w:p>
        </w:tc>
        <w:tc>
          <w:tcPr>
            <w:tcW w:w="1340" w:type="dxa"/>
            <w:vAlign w:val="bottom"/>
            <w:shd w:val="clear" w:color="auto" w:fill="481F6E"/>
          </w:tcPr>
          <w:p>
            <w:pPr>
              <w:spacing w:after="0"/>
              <w:rPr>
                <w:sz w:val="15"/>
                <w:szCs w:val="15"/>
                <w:color w:val="auto"/>
              </w:rPr>
            </w:pPr>
          </w:p>
        </w:tc>
        <w:tc>
          <w:tcPr>
            <w:tcW w:w="1420" w:type="dxa"/>
            <w:vAlign w:val="bottom"/>
            <w:shd w:val="clear" w:color="auto" w:fill="481F6E"/>
          </w:tcPr>
          <w:p>
            <w:pPr>
              <w:spacing w:after="0"/>
              <w:rPr>
                <w:sz w:val="15"/>
                <w:szCs w:val="15"/>
                <w:color w:val="auto"/>
              </w:rPr>
            </w:pPr>
          </w:p>
        </w:tc>
        <w:tc>
          <w:tcPr>
            <w:tcW w:w="1700" w:type="dxa"/>
            <w:vAlign w:val="bottom"/>
            <w:shd w:val="clear" w:color="auto" w:fill="481F6E"/>
          </w:tcPr>
          <w:p>
            <w:pPr>
              <w:jc w:val="right"/>
              <w:ind w:right="115"/>
              <w:spacing w:after="0"/>
              <w:rPr>
                <w:sz w:val="20"/>
                <w:szCs w:val="20"/>
                <w:color w:val="auto"/>
              </w:rPr>
            </w:pPr>
            <w:r>
              <w:rPr>
                <w:rFonts w:ascii="Arial" w:cs="Arial" w:eastAsia="Arial" w:hAnsi="Arial"/>
                <w:sz w:val="10"/>
                <w:szCs w:val="10"/>
                <w:b w:val="1"/>
                <w:bCs w:val="1"/>
                <w:color w:val="FFFFFF"/>
              </w:rPr>
              <w:t>Benefits and Perquisites</w:t>
            </w:r>
          </w:p>
        </w:tc>
        <w:tc>
          <w:tcPr>
            <w:tcW w:w="1100" w:type="dxa"/>
            <w:vAlign w:val="bottom"/>
            <w:shd w:val="clear" w:color="auto" w:fill="481F6E"/>
          </w:tcPr>
          <w:p>
            <w:pPr>
              <w:spacing w:after="0"/>
              <w:rPr>
                <w:sz w:val="15"/>
                <w:szCs w:val="15"/>
                <w:color w:val="auto"/>
              </w:rPr>
            </w:pPr>
          </w:p>
        </w:tc>
        <w:tc>
          <w:tcPr>
            <w:tcW w:w="800" w:type="dxa"/>
            <w:vAlign w:val="bottom"/>
            <w:shd w:val="clear" w:color="auto" w:fill="481F6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940" w:type="dxa"/>
            <w:vAlign w:val="bottom"/>
            <w:shd w:val="clear" w:color="auto" w:fill="481F6E"/>
          </w:tcPr>
          <w:p>
            <w:pPr>
              <w:spacing w:after="0"/>
              <w:rPr>
                <w:sz w:val="19"/>
                <w:szCs w:val="19"/>
                <w:color w:val="auto"/>
              </w:rPr>
            </w:pPr>
          </w:p>
        </w:tc>
        <w:tc>
          <w:tcPr>
            <w:tcW w:w="1580" w:type="dxa"/>
            <w:vAlign w:val="bottom"/>
            <w:shd w:val="clear" w:color="auto" w:fill="481F6E"/>
          </w:tcPr>
          <w:p>
            <w:pPr>
              <w:spacing w:after="0"/>
              <w:rPr>
                <w:sz w:val="19"/>
                <w:szCs w:val="19"/>
                <w:color w:val="auto"/>
              </w:rPr>
            </w:pPr>
          </w:p>
        </w:tc>
        <w:tc>
          <w:tcPr>
            <w:tcW w:w="1380" w:type="dxa"/>
            <w:vAlign w:val="bottom"/>
            <w:shd w:val="clear" w:color="auto" w:fill="481F6E"/>
          </w:tcPr>
          <w:p>
            <w:pPr>
              <w:jc w:val="right"/>
              <w:ind w:right="135"/>
              <w:spacing w:after="0"/>
              <w:rPr>
                <w:sz w:val="20"/>
                <w:szCs w:val="20"/>
                <w:color w:val="auto"/>
              </w:rPr>
            </w:pPr>
            <w:r>
              <w:rPr>
                <w:rFonts w:ascii="Arial" w:cs="Arial" w:eastAsia="Arial" w:hAnsi="Arial"/>
                <w:sz w:val="10"/>
                <w:szCs w:val="10"/>
                <w:b w:val="1"/>
                <w:bCs w:val="1"/>
                <w:color w:val="FFFFFF"/>
              </w:rPr>
              <w:t>Pro-rated Target Annual</w:t>
            </w:r>
          </w:p>
        </w:tc>
        <w:tc>
          <w:tcPr>
            <w:tcW w:w="1340" w:type="dxa"/>
            <w:vAlign w:val="bottom"/>
            <w:shd w:val="clear" w:color="auto" w:fill="481F6E"/>
          </w:tcPr>
          <w:p>
            <w:pPr>
              <w:spacing w:after="0"/>
              <w:rPr>
                <w:sz w:val="19"/>
                <w:szCs w:val="19"/>
                <w:color w:val="auto"/>
              </w:rPr>
            </w:pPr>
          </w:p>
        </w:tc>
        <w:tc>
          <w:tcPr>
            <w:tcW w:w="1420" w:type="dxa"/>
            <w:vAlign w:val="bottom"/>
            <w:shd w:val="clear" w:color="auto" w:fill="481F6E"/>
          </w:tcPr>
          <w:p>
            <w:pPr>
              <w:spacing w:after="0"/>
              <w:rPr>
                <w:sz w:val="19"/>
                <w:szCs w:val="19"/>
                <w:color w:val="auto"/>
              </w:rPr>
            </w:pPr>
          </w:p>
        </w:tc>
        <w:tc>
          <w:tcPr>
            <w:tcW w:w="1700" w:type="dxa"/>
            <w:vAlign w:val="bottom"/>
            <w:shd w:val="clear" w:color="auto" w:fill="481F6E"/>
          </w:tcPr>
          <w:p>
            <w:pPr>
              <w:spacing w:after="0"/>
              <w:rPr>
                <w:sz w:val="19"/>
                <w:szCs w:val="19"/>
                <w:color w:val="auto"/>
              </w:rPr>
            </w:pPr>
          </w:p>
        </w:tc>
        <w:tc>
          <w:tcPr>
            <w:tcW w:w="1100" w:type="dxa"/>
            <w:vAlign w:val="bottom"/>
            <w:shd w:val="clear" w:color="auto" w:fill="481F6E"/>
          </w:tcPr>
          <w:p>
            <w:pPr>
              <w:spacing w:after="0"/>
              <w:rPr>
                <w:sz w:val="19"/>
                <w:szCs w:val="19"/>
                <w:color w:val="auto"/>
              </w:rPr>
            </w:pPr>
          </w:p>
        </w:tc>
        <w:tc>
          <w:tcPr>
            <w:tcW w:w="800" w:type="dxa"/>
            <w:vAlign w:val="bottom"/>
            <w:shd w:val="clear" w:color="auto" w:fill="481F6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940" w:type="dxa"/>
            <w:vAlign w:val="bottom"/>
            <w:shd w:val="clear" w:color="auto" w:fill="481F6E"/>
          </w:tcPr>
          <w:p>
            <w:pPr>
              <w:spacing w:after="0"/>
              <w:rPr>
                <w:sz w:val="9"/>
                <w:szCs w:val="9"/>
                <w:color w:val="auto"/>
              </w:rPr>
            </w:pPr>
          </w:p>
        </w:tc>
        <w:tc>
          <w:tcPr>
            <w:tcW w:w="1580" w:type="dxa"/>
            <w:vAlign w:val="bottom"/>
            <w:shd w:val="clear" w:color="auto" w:fill="481F6E"/>
          </w:tcPr>
          <w:p>
            <w:pPr>
              <w:spacing w:after="0"/>
              <w:rPr>
                <w:sz w:val="9"/>
                <w:szCs w:val="9"/>
                <w:color w:val="auto"/>
              </w:rPr>
            </w:pPr>
          </w:p>
        </w:tc>
        <w:tc>
          <w:tcPr>
            <w:tcW w:w="1380" w:type="dxa"/>
            <w:vAlign w:val="bottom"/>
            <w:shd w:val="clear" w:color="auto" w:fill="481F6E"/>
          </w:tcPr>
          <w:p>
            <w:pPr>
              <w:jc w:val="right"/>
              <w:ind w:right="135"/>
              <w:spacing w:after="0" w:line="108" w:lineRule="exact"/>
              <w:rPr>
                <w:sz w:val="20"/>
                <w:szCs w:val="20"/>
                <w:color w:val="auto"/>
              </w:rPr>
            </w:pPr>
            <w:r>
              <w:rPr>
                <w:rFonts w:ascii="Arial" w:cs="Arial" w:eastAsia="Arial" w:hAnsi="Arial"/>
                <w:sz w:val="10"/>
                <w:szCs w:val="10"/>
                <w:b w:val="1"/>
                <w:bCs w:val="1"/>
                <w:color w:val="FFFFFF"/>
              </w:rPr>
              <w:t>Cash</w:t>
            </w:r>
          </w:p>
        </w:tc>
        <w:tc>
          <w:tcPr>
            <w:tcW w:w="1340" w:type="dxa"/>
            <w:vAlign w:val="bottom"/>
            <w:shd w:val="clear" w:color="auto" w:fill="481F6E"/>
          </w:tcPr>
          <w:p>
            <w:pPr>
              <w:jc w:val="right"/>
              <w:ind w:right="223"/>
              <w:spacing w:after="0" w:line="108" w:lineRule="exact"/>
              <w:rPr>
                <w:sz w:val="20"/>
                <w:szCs w:val="20"/>
                <w:color w:val="auto"/>
              </w:rPr>
            </w:pPr>
            <w:r>
              <w:rPr>
                <w:rFonts w:ascii="Arial" w:cs="Arial" w:eastAsia="Arial" w:hAnsi="Arial"/>
                <w:sz w:val="10"/>
                <w:szCs w:val="10"/>
                <w:b w:val="1"/>
                <w:bCs w:val="1"/>
                <w:color w:val="FFFFFF"/>
              </w:rPr>
              <w:t>Equity Award</w:t>
            </w:r>
          </w:p>
        </w:tc>
        <w:tc>
          <w:tcPr>
            <w:tcW w:w="1420" w:type="dxa"/>
            <w:vAlign w:val="bottom"/>
            <w:shd w:val="clear" w:color="auto" w:fill="481F6E"/>
          </w:tcPr>
          <w:p>
            <w:pPr>
              <w:jc w:val="right"/>
              <w:ind w:right="256"/>
              <w:spacing w:after="0" w:line="108" w:lineRule="exact"/>
              <w:rPr>
                <w:sz w:val="20"/>
                <w:szCs w:val="20"/>
                <w:color w:val="auto"/>
              </w:rPr>
            </w:pPr>
            <w:r>
              <w:rPr>
                <w:rFonts w:ascii="Arial" w:cs="Arial" w:eastAsia="Arial" w:hAnsi="Arial"/>
                <w:sz w:val="10"/>
                <w:szCs w:val="10"/>
                <w:b w:val="1"/>
                <w:bCs w:val="1"/>
                <w:color w:val="FFFFFF"/>
              </w:rPr>
              <w:t>Medical, Dental,</w:t>
            </w:r>
          </w:p>
        </w:tc>
        <w:tc>
          <w:tcPr>
            <w:tcW w:w="1700" w:type="dxa"/>
            <w:vAlign w:val="bottom"/>
            <w:shd w:val="clear" w:color="auto" w:fill="481F6E"/>
          </w:tcPr>
          <w:p>
            <w:pPr>
              <w:jc w:val="right"/>
              <w:ind w:right="595"/>
              <w:spacing w:after="0" w:line="108" w:lineRule="exact"/>
              <w:rPr>
                <w:sz w:val="20"/>
                <w:szCs w:val="20"/>
                <w:color w:val="auto"/>
              </w:rPr>
            </w:pPr>
            <w:r>
              <w:rPr>
                <w:rFonts w:ascii="Arial" w:cs="Arial" w:eastAsia="Arial" w:hAnsi="Arial"/>
                <w:sz w:val="10"/>
                <w:szCs w:val="10"/>
                <w:b w:val="1"/>
                <w:bCs w:val="1"/>
                <w:color w:val="FFFFFF"/>
              </w:rPr>
              <w:t>Financial</w:t>
            </w:r>
          </w:p>
        </w:tc>
        <w:tc>
          <w:tcPr>
            <w:tcW w:w="1100" w:type="dxa"/>
            <w:vAlign w:val="bottom"/>
            <w:shd w:val="clear" w:color="auto" w:fill="481F6E"/>
          </w:tcPr>
          <w:p>
            <w:pPr>
              <w:spacing w:after="0"/>
              <w:rPr>
                <w:sz w:val="9"/>
                <w:szCs w:val="9"/>
                <w:color w:val="auto"/>
              </w:rPr>
            </w:pPr>
          </w:p>
        </w:tc>
        <w:tc>
          <w:tcPr>
            <w:tcW w:w="800" w:type="dxa"/>
            <w:vAlign w:val="bottom"/>
            <w:shd w:val="clear" w:color="auto" w:fill="481F6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40" w:type="dxa"/>
            <w:vAlign w:val="bottom"/>
            <w:shd w:val="clear" w:color="auto" w:fill="481F6E"/>
          </w:tcPr>
          <w:p>
            <w:pPr>
              <w:spacing w:after="0"/>
              <w:rPr>
                <w:sz w:val="9"/>
                <w:szCs w:val="9"/>
                <w:color w:val="auto"/>
              </w:rPr>
            </w:pPr>
          </w:p>
        </w:tc>
        <w:tc>
          <w:tcPr>
            <w:tcW w:w="1580" w:type="dxa"/>
            <w:vAlign w:val="bottom"/>
            <w:shd w:val="clear" w:color="auto" w:fill="481F6E"/>
          </w:tcPr>
          <w:p>
            <w:pPr>
              <w:spacing w:after="0"/>
              <w:rPr>
                <w:sz w:val="9"/>
                <w:szCs w:val="9"/>
                <w:color w:val="auto"/>
              </w:rPr>
            </w:pPr>
          </w:p>
        </w:tc>
        <w:tc>
          <w:tcPr>
            <w:tcW w:w="1380" w:type="dxa"/>
            <w:vAlign w:val="bottom"/>
            <w:shd w:val="clear" w:color="auto" w:fill="481F6E"/>
          </w:tcPr>
          <w:p>
            <w:pPr>
              <w:jc w:val="right"/>
              <w:ind w:right="135"/>
              <w:spacing w:after="0" w:line="108" w:lineRule="exact"/>
              <w:rPr>
                <w:sz w:val="20"/>
                <w:szCs w:val="20"/>
                <w:color w:val="auto"/>
              </w:rPr>
            </w:pPr>
            <w:r>
              <w:rPr>
                <w:rFonts w:ascii="Arial" w:cs="Arial" w:eastAsia="Arial" w:hAnsi="Arial"/>
                <w:sz w:val="10"/>
                <w:szCs w:val="10"/>
                <w:b w:val="1"/>
                <w:bCs w:val="1"/>
                <w:color w:val="FFFFFF"/>
              </w:rPr>
              <w:t>Bonus or Agreed</w:t>
            </w:r>
          </w:p>
        </w:tc>
        <w:tc>
          <w:tcPr>
            <w:tcW w:w="1340" w:type="dxa"/>
            <w:vAlign w:val="bottom"/>
            <w:shd w:val="clear" w:color="auto" w:fill="481F6E"/>
          </w:tcPr>
          <w:p>
            <w:pPr>
              <w:jc w:val="right"/>
              <w:ind w:right="223"/>
              <w:spacing w:after="0" w:line="108" w:lineRule="exact"/>
              <w:rPr>
                <w:sz w:val="20"/>
                <w:szCs w:val="20"/>
                <w:color w:val="auto"/>
              </w:rPr>
            </w:pPr>
            <w:r>
              <w:rPr>
                <w:rFonts w:ascii="Arial" w:cs="Arial" w:eastAsia="Arial" w:hAnsi="Arial"/>
                <w:sz w:val="10"/>
                <w:szCs w:val="10"/>
                <w:b w:val="1"/>
                <w:bCs w:val="1"/>
                <w:color w:val="FFFFFF"/>
              </w:rPr>
              <w:t>and Long-Term</w:t>
            </w:r>
          </w:p>
        </w:tc>
        <w:tc>
          <w:tcPr>
            <w:tcW w:w="1420" w:type="dxa"/>
            <w:vAlign w:val="bottom"/>
            <w:shd w:val="clear" w:color="auto" w:fill="481F6E"/>
          </w:tcPr>
          <w:p>
            <w:pPr>
              <w:jc w:val="right"/>
              <w:ind w:right="256"/>
              <w:spacing w:after="0" w:line="108" w:lineRule="exact"/>
              <w:rPr>
                <w:sz w:val="20"/>
                <w:szCs w:val="20"/>
                <w:color w:val="auto"/>
              </w:rPr>
            </w:pPr>
            <w:r>
              <w:rPr>
                <w:rFonts w:ascii="Arial" w:cs="Arial" w:eastAsia="Arial" w:hAnsi="Arial"/>
                <w:sz w:val="10"/>
                <w:szCs w:val="10"/>
                <w:b w:val="1"/>
                <w:bCs w:val="1"/>
                <w:color w:val="FFFFFF"/>
              </w:rPr>
              <w:t>Life Insurance and</w:t>
            </w:r>
          </w:p>
        </w:tc>
        <w:tc>
          <w:tcPr>
            <w:tcW w:w="1700" w:type="dxa"/>
            <w:vAlign w:val="bottom"/>
            <w:shd w:val="clear" w:color="auto" w:fill="481F6E"/>
          </w:tcPr>
          <w:p>
            <w:pPr>
              <w:jc w:val="right"/>
              <w:ind w:right="595"/>
              <w:spacing w:after="0" w:line="108" w:lineRule="exact"/>
              <w:rPr>
                <w:sz w:val="20"/>
                <w:szCs w:val="20"/>
                <w:color w:val="auto"/>
              </w:rPr>
            </w:pPr>
            <w:r>
              <w:rPr>
                <w:rFonts w:ascii="Arial" w:cs="Arial" w:eastAsia="Arial" w:hAnsi="Arial"/>
                <w:sz w:val="10"/>
                <w:szCs w:val="10"/>
                <w:b w:val="1"/>
                <w:bCs w:val="1"/>
                <w:color w:val="FFFFFF"/>
              </w:rPr>
              <w:t>Planning and</w:t>
            </w:r>
          </w:p>
        </w:tc>
        <w:tc>
          <w:tcPr>
            <w:tcW w:w="1100" w:type="dxa"/>
            <w:vAlign w:val="bottom"/>
            <w:shd w:val="clear" w:color="auto" w:fill="481F6E"/>
          </w:tcPr>
          <w:p>
            <w:pPr>
              <w:jc w:val="right"/>
              <w:ind w:right="256"/>
              <w:spacing w:after="0" w:line="108" w:lineRule="exact"/>
              <w:rPr>
                <w:sz w:val="20"/>
                <w:szCs w:val="20"/>
                <w:color w:val="auto"/>
              </w:rPr>
            </w:pPr>
            <w:r>
              <w:rPr>
                <w:rFonts w:ascii="Arial" w:cs="Arial" w:eastAsia="Arial" w:hAnsi="Arial"/>
                <w:sz w:val="10"/>
                <w:szCs w:val="10"/>
                <w:b w:val="1"/>
                <w:bCs w:val="1"/>
                <w:color w:val="FFFFFF"/>
              </w:rPr>
              <w:t>Outplacement</w:t>
            </w:r>
          </w:p>
        </w:tc>
        <w:tc>
          <w:tcPr>
            <w:tcW w:w="800" w:type="dxa"/>
            <w:vAlign w:val="bottom"/>
            <w:shd w:val="clear" w:color="auto" w:fill="481F6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940" w:type="dxa"/>
            <w:vAlign w:val="bottom"/>
            <w:shd w:val="clear" w:color="auto" w:fill="481F6E"/>
          </w:tcPr>
          <w:p>
            <w:pPr>
              <w:spacing w:after="0"/>
              <w:rPr>
                <w:sz w:val="8"/>
                <w:szCs w:val="8"/>
                <w:color w:val="auto"/>
              </w:rPr>
            </w:pPr>
          </w:p>
        </w:tc>
        <w:tc>
          <w:tcPr>
            <w:tcW w:w="1580" w:type="dxa"/>
            <w:vAlign w:val="bottom"/>
            <w:shd w:val="clear" w:color="auto" w:fill="481F6E"/>
          </w:tcPr>
          <w:p>
            <w:pPr>
              <w:jc w:val="right"/>
              <w:ind w:right="96"/>
              <w:spacing w:after="0" w:line="99" w:lineRule="exact"/>
              <w:rPr>
                <w:sz w:val="20"/>
                <w:szCs w:val="20"/>
                <w:color w:val="auto"/>
              </w:rPr>
            </w:pPr>
            <w:r>
              <w:rPr>
                <w:rFonts w:ascii="Arial" w:cs="Arial" w:eastAsia="Arial" w:hAnsi="Arial"/>
                <w:sz w:val="10"/>
                <w:szCs w:val="10"/>
                <w:b w:val="1"/>
                <w:bCs w:val="1"/>
                <w:color w:val="FFFFFF"/>
              </w:rPr>
              <w:t>Severance</w:t>
            </w:r>
          </w:p>
        </w:tc>
        <w:tc>
          <w:tcPr>
            <w:tcW w:w="1380" w:type="dxa"/>
            <w:vAlign w:val="bottom"/>
            <w:shd w:val="clear" w:color="auto" w:fill="481F6E"/>
          </w:tcPr>
          <w:p>
            <w:pPr>
              <w:jc w:val="right"/>
              <w:ind w:right="135"/>
              <w:spacing w:after="0" w:line="99" w:lineRule="exact"/>
              <w:rPr>
                <w:sz w:val="20"/>
                <w:szCs w:val="20"/>
                <w:color w:val="auto"/>
              </w:rPr>
            </w:pPr>
            <w:r>
              <w:rPr>
                <w:rFonts w:ascii="Arial" w:cs="Arial" w:eastAsia="Arial" w:hAnsi="Arial"/>
                <w:sz w:val="10"/>
                <w:szCs w:val="10"/>
                <w:b w:val="1"/>
                <w:bCs w:val="1"/>
                <w:color w:val="FFFFFF"/>
              </w:rPr>
              <w:t>Bonus</w:t>
            </w:r>
          </w:p>
        </w:tc>
        <w:tc>
          <w:tcPr>
            <w:tcW w:w="1340" w:type="dxa"/>
            <w:vAlign w:val="bottom"/>
            <w:shd w:val="clear" w:color="auto" w:fill="481F6E"/>
          </w:tcPr>
          <w:p>
            <w:pPr>
              <w:jc w:val="right"/>
              <w:ind w:right="223"/>
              <w:spacing w:after="0" w:line="99" w:lineRule="exact"/>
              <w:rPr>
                <w:sz w:val="20"/>
                <w:szCs w:val="20"/>
                <w:color w:val="auto"/>
              </w:rPr>
            </w:pPr>
            <w:r>
              <w:rPr>
                <w:rFonts w:ascii="Arial" w:cs="Arial" w:eastAsia="Arial" w:hAnsi="Arial"/>
                <w:sz w:val="10"/>
                <w:szCs w:val="10"/>
                <w:b w:val="1"/>
                <w:bCs w:val="1"/>
                <w:color w:val="FFFFFF"/>
              </w:rPr>
              <w:t>Incentive</w:t>
            </w:r>
          </w:p>
        </w:tc>
        <w:tc>
          <w:tcPr>
            <w:tcW w:w="1420" w:type="dxa"/>
            <w:vAlign w:val="bottom"/>
            <w:shd w:val="clear" w:color="auto" w:fill="481F6E"/>
          </w:tcPr>
          <w:p>
            <w:pPr>
              <w:jc w:val="right"/>
              <w:ind w:right="256"/>
              <w:spacing w:after="0" w:line="99" w:lineRule="exact"/>
              <w:rPr>
                <w:sz w:val="20"/>
                <w:szCs w:val="20"/>
                <w:color w:val="auto"/>
              </w:rPr>
            </w:pPr>
            <w:r>
              <w:rPr>
                <w:rFonts w:ascii="Arial" w:cs="Arial" w:eastAsia="Arial" w:hAnsi="Arial"/>
                <w:sz w:val="10"/>
                <w:szCs w:val="10"/>
                <w:b w:val="1"/>
                <w:bCs w:val="1"/>
                <w:color w:val="FFFFFF"/>
              </w:rPr>
              <w:t>Disability Benefits</w:t>
            </w:r>
          </w:p>
        </w:tc>
        <w:tc>
          <w:tcPr>
            <w:tcW w:w="1700" w:type="dxa"/>
            <w:vAlign w:val="bottom"/>
            <w:shd w:val="clear" w:color="auto" w:fill="481F6E"/>
          </w:tcPr>
          <w:p>
            <w:pPr>
              <w:jc w:val="right"/>
              <w:ind w:right="595"/>
              <w:spacing w:after="0" w:line="99" w:lineRule="exact"/>
              <w:rPr>
                <w:sz w:val="20"/>
                <w:szCs w:val="20"/>
                <w:color w:val="auto"/>
              </w:rPr>
            </w:pPr>
            <w:r>
              <w:rPr>
                <w:rFonts w:ascii="Arial" w:cs="Arial" w:eastAsia="Arial" w:hAnsi="Arial"/>
                <w:sz w:val="10"/>
                <w:szCs w:val="10"/>
                <w:b w:val="1"/>
                <w:bCs w:val="1"/>
                <w:color w:val="FFFFFF"/>
              </w:rPr>
              <w:t>Tax Preparation</w:t>
            </w:r>
          </w:p>
        </w:tc>
        <w:tc>
          <w:tcPr>
            <w:tcW w:w="1100" w:type="dxa"/>
            <w:vAlign w:val="bottom"/>
            <w:shd w:val="clear" w:color="auto" w:fill="481F6E"/>
          </w:tcPr>
          <w:p>
            <w:pPr>
              <w:jc w:val="right"/>
              <w:ind w:right="256"/>
              <w:spacing w:after="0" w:line="99" w:lineRule="exact"/>
              <w:rPr>
                <w:sz w:val="20"/>
                <w:szCs w:val="20"/>
                <w:color w:val="auto"/>
              </w:rPr>
            </w:pPr>
            <w:r>
              <w:rPr>
                <w:rFonts w:ascii="Arial" w:cs="Arial" w:eastAsia="Arial" w:hAnsi="Arial"/>
                <w:sz w:val="10"/>
                <w:szCs w:val="10"/>
                <w:b w:val="1"/>
                <w:bCs w:val="1"/>
                <w:color w:val="FFFFFF"/>
              </w:rPr>
              <w:t>Services</w:t>
            </w:r>
          </w:p>
        </w:tc>
        <w:tc>
          <w:tcPr>
            <w:tcW w:w="800" w:type="dxa"/>
            <w:vAlign w:val="bottom"/>
            <w:shd w:val="clear" w:color="auto" w:fill="481F6E"/>
          </w:tcPr>
          <w:p>
            <w:pPr>
              <w:jc w:val="right"/>
              <w:spacing w:after="0" w:line="99" w:lineRule="exact"/>
              <w:rPr>
                <w:sz w:val="20"/>
                <w:szCs w:val="20"/>
                <w:color w:val="auto"/>
              </w:rPr>
            </w:pPr>
            <w:r>
              <w:rPr>
                <w:rFonts w:ascii="Arial" w:cs="Arial" w:eastAsia="Arial" w:hAnsi="Arial"/>
                <w:sz w:val="10"/>
                <w:szCs w:val="10"/>
                <w:b w:val="1"/>
                <w:bCs w:val="1"/>
                <w:color w:val="FFFFFF"/>
              </w:rPr>
              <w:t>Total</w:t>
            </w:r>
          </w:p>
        </w:tc>
        <w:tc>
          <w:tcPr>
            <w:tcW w:w="0" w:type="dxa"/>
            <w:vAlign w:val="bottom"/>
          </w:tcPr>
          <w:p>
            <w:pPr>
              <w:spacing w:after="0"/>
              <w:rPr>
                <w:sz w:val="1"/>
                <w:szCs w:val="1"/>
                <w:color w:val="auto"/>
              </w:rPr>
            </w:pPr>
          </w:p>
        </w:tc>
      </w:tr>
      <w:tr>
        <w:trPr>
          <w:trHeight w:val="149"/>
        </w:trPr>
        <w:tc>
          <w:tcPr>
            <w:tcW w:w="1940" w:type="dxa"/>
            <w:vAlign w:val="bottom"/>
            <w:vMerge w:val="restart"/>
            <w:shd w:val="clear" w:color="auto" w:fill="481F6E"/>
          </w:tcPr>
          <w:p>
            <w:pPr>
              <w:ind w:left="20"/>
              <w:spacing w:after="0"/>
              <w:rPr>
                <w:sz w:val="20"/>
                <w:szCs w:val="20"/>
                <w:color w:val="auto"/>
              </w:rPr>
            </w:pPr>
            <w:r>
              <w:rPr>
                <w:rFonts w:ascii="Arial" w:cs="Arial" w:eastAsia="Arial" w:hAnsi="Arial"/>
                <w:sz w:val="10"/>
                <w:szCs w:val="10"/>
                <w:color w:val="FFFFFF"/>
              </w:rPr>
              <w:t>Name</w:t>
            </w:r>
          </w:p>
        </w:tc>
        <w:tc>
          <w:tcPr>
            <w:tcW w:w="1580" w:type="dxa"/>
            <w:vAlign w:val="bottom"/>
            <w:shd w:val="clear" w:color="auto" w:fill="481F6E"/>
          </w:tcPr>
          <w:p>
            <w:pPr>
              <w:jc w:val="right"/>
              <w:ind w:right="96"/>
              <w:spacing w:after="0"/>
              <w:rPr>
                <w:sz w:val="20"/>
                <w:szCs w:val="20"/>
                <w:color w:val="auto"/>
              </w:rPr>
            </w:pPr>
            <w:r>
              <w:rPr>
                <w:rFonts w:ascii="Arial" w:cs="Arial" w:eastAsia="Arial" w:hAnsi="Arial"/>
                <w:sz w:val="10"/>
                <w:szCs w:val="10"/>
                <w:b w:val="1"/>
                <w:bCs w:val="1"/>
                <w:color w:val="FFFFFF"/>
              </w:rPr>
              <w:t>Payment ($)</w:t>
            </w:r>
            <w:r>
              <w:rPr>
                <w:rFonts w:ascii="Arial" w:cs="Arial" w:eastAsia="Arial" w:hAnsi="Arial"/>
                <w:sz w:val="5"/>
                <w:szCs w:val="5"/>
                <w:b w:val="1"/>
                <w:bCs w:val="1"/>
                <w:color w:val="FFFFFF"/>
              </w:rPr>
              <w:t>1</w:t>
            </w:r>
          </w:p>
        </w:tc>
        <w:tc>
          <w:tcPr>
            <w:tcW w:w="1380" w:type="dxa"/>
            <w:vAlign w:val="bottom"/>
            <w:shd w:val="clear" w:color="auto" w:fill="481F6E"/>
          </w:tcPr>
          <w:p>
            <w:pPr>
              <w:jc w:val="right"/>
              <w:ind w:right="135"/>
              <w:spacing w:after="0"/>
              <w:rPr>
                <w:sz w:val="20"/>
                <w:szCs w:val="20"/>
                <w:color w:val="auto"/>
              </w:rPr>
            </w:pPr>
            <w:r>
              <w:rPr>
                <w:rFonts w:ascii="Arial" w:cs="Arial" w:eastAsia="Arial" w:hAnsi="Arial"/>
                <w:sz w:val="10"/>
                <w:szCs w:val="10"/>
                <w:b w:val="1"/>
                <w:bCs w:val="1"/>
                <w:color w:val="FFFFFF"/>
              </w:rPr>
              <w:t>($)</w:t>
            </w:r>
          </w:p>
        </w:tc>
        <w:tc>
          <w:tcPr>
            <w:tcW w:w="1340" w:type="dxa"/>
            <w:vAlign w:val="bottom"/>
            <w:shd w:val="clear" w:color="auto" w:fill="481F6E"/>
          </w:tcPr>
          <w:p>
            <w:pPr>
              <w:jc w:val="right"/>
              <w:ind w:right="223"/>
              <w:spacing w:after="0"/>
              <w:rPr>
                <w:sz w:val="20"/>
                <w:szCs w:val="20"/>
                <w:color w:val="auto"/>
              </w:rPr>
            </w:pPr>
            <w:r>
              <w:rPr>
                <w:rFonts w:ascii="Arial" w:cs="Arial" w:eastAsia="Arial" w:hAnsi="Arial"/>
                <w:sz w:val="10"/>
                <w:szCs w:val="10"/>
                <w:b w:val="1"/>
                <w:bCs w:val="1"/>
                <w:color w:val="FFFFFF"/>
              </w:rPr>
              <w:t>Acceleration ($)</w:t>
            </w:r>
            <w:r>
              <w:rPr>
                <w:rFonts w:ascii="Arial" w:cs="Arial" w:eastAsia="Arial" w:hAnsi="Arial"/>
                <w:sz w:val="5"/>
                <w:szCs w:val="5"/>
                <w:b w:val="1"/>
                <w:bCs w:val="1"/>
                <w:color w:val="FFFFFF"/>
              </w:rPr>
              <w:t>2</w:t>
            </w:r>
          </w:p>
        </w:tc>
        <w:tc>
          <w:tcPr>
            <w:tcW w:w="1420" w:type="dxa"/>
            <w:vAlign w:val="bottom"/>
            <w:shd w:val="clear" w:color="auto" w:fill="481F6E"/>
          </w:tcPr>
          <w:p>
            <w:pPr>
              <w:jc w:val="right"/>
              <w:ind w:right="256"/>
              <w:spacing w:after="0"/>
              <w:rPr>
                <w:sz w:val="20"/>
                <w:szCs w:val="20"/>
                <w:color w:val="auto"/>
              </w:rPr>
            </w:pPr>
            <w:r>
              <w:rPr>
                <w:rFonts w:ascii="Arial" w:cs="Arial" w:eastAsia="Arial" w:hAnsi="Arial"/>
                <w:sz w:val="10"/>
                <w:szCs w:val="10"/>
                <w:b w:val="1"/>
                <w:bCs w:val="1"/>
                <w:color w:val="FFFFFF"/>
              </w:rPr>
              <w:t>($)</w:t>
            </w:r>
            <w:r>
              <w:rPr>
                <w:rFonts w:ascii="Arial" w:cs="Arial" w:eastAsia="Arial" w:hAnsi="Arial"/>
                <w:sz w:val="5"/>
                <w:szCs w:val="5"/>
                <w:b w:val="1"/>
                <w:bCs w:val="1"/>
                <w:color w:val="FFFFFF"/>
              </w:rPr>
              <w:t>2</w:t>
            </w:r>
          </w:p>
        </w:tc>
        <w:tc>
          <w:tcPr>
            <w:tcW w:w="1700" w:type="dxa"/>
            <w:vAlign w:val="bottom"/>
            <w:shd w:val="clear" w:color="auto" w:fill="481F6E"/>
          </w:tcPr>
          <w:p>
            <w:pPr>
              <w:jc w:val="right"/>
              <w:ind w:right="595"/>
              <w:spacing w:after="0"/>
              <w:rPr>
                <w:sz w:val="20"/>
                <w:szCs w:val="20"/>
                <w:color w:val="auto"/>
              </w:rPr>
            </w:pPr>
            <w:r>
              <w:rPr>
                <w:rFonts w:ascii="Arial" w:cs="Arial" w:eastAsia="Arial" w:hAnsi="Arial"/>
                <w:sz w:val="10"/>
                <w:szCs w:val="10"/>
                <w:b w:val="1"/>
                <w:bCs w:val="1"/>
                <w:color w:val="FFFFFF"/>
              </w:rPr>
              <w:t>Assistance ($)</w:t>
            </w:r>
          </w:p>
        </w:tc>
        <w:tc>
          <w:tcPr>
            <w:tcW w:w="1100" w:type="dxa"/>
            <w:vAlign w:val="bottom"/>
            <w:shd w:val="clear" w:color="auto" w:fill="481F6E"/>
          </w:tcPr>
          <w:p>
            <w:pPr>
              <w:jc w:val="right"/>
              <w:ind w:right="256"/>
              <w:spacing w:after="0"/>
              <w:rPr>
                <w:sz w:val="20"/>
                <w:szCs w:val="20"/>
                <w:color w:val="auto"/>
              </w:rPr>
            </w:pPr>
            <w:r>
              <w:rPr>
                <w:rFonts w:ascii="Arial" w:cs="Arial" w:eastAsia="Arial" w:hAnsi="Arial"/>
                <w:sz w:val="10"/>
                <w:szCs w:val="10"/>
                <w:b w:val="1"/>
                <w:bCs w:val="1"/>
                <w:color w:val="FFFFFF"/>
              </w:rPr>
              <w:t>($)</w:t>
            </w:r>
          </w:p>
        </w:tc>
        <w:tc>
          <w:tcPr>
            <w:tcW w:w="800" w:type="dxa"/>
            <w:vAlign w:val="bottom"/>
            <w:shd w:val="clear" w:color="auto" w:fill="481F6E"/>
          </w:tcPr>
          <w:p>
            <w:pPr>
              <w:jc w:val="right"/>
              <w:spacing w:after="0"/>
              <w:rPr>
                <w:sz w:val="20"/>
                <w:szCs w:val="20"/>
                <w:color w:val="auto"/>
              </w:rPr>
            </w:pPr>
            <w:r>
              <w:rPr>
                <w:rFonts w:ascii="Arial" w:cs="Arial" w:eastAsia="Arial" w:hAnsi="Arial"/>
                <w:sz w:val="10"/>
                <w:szCs w:val="10"/>
                <w:b w:val="1"/>
                <w:bCs w:val="1"/>
                <w:color w:val="FFFFFF"/>
              </w:rPr>
              <w:t>($)</w:t>
            </w:r>
          </w:p>
        </w:tc>
        <w:tc>
          <w:tcPr>
            <w:tcW w:w="0" w:type="dxa"/>
            <w:vAlign w:val="bottom"/>
          </w:tcPr>
          <w:p>
            <w:pPr>
              <w:spacing w:after="0"/>
              <w:rPr>
                <w:sz w:val="1"/>
                <w:szCs w:val="1"/>
                <w:color w:val="auto"/>
              </w:rPr>
            </w:pPr>
          </w:p>
        </w:tc>
      </w:tr>
      <w:tr>
        <w:trPr>
          <w:trHeight w:val="102"/>
        </w:trPr>
        <w:tc>
          <w:tcPr>
            <w:tcW w:w="1940" w:type="dxa"/>
            <w:vAlign w:val="bottom"/>
            <w:vMerge w:val="continue"/>
            <w:shd w:val="clear" w:color="auto" w:fill="481F6E"/>
          </w:tcPr>
          <w:p>
            <w:pPr>
              <w:spacing w:after="0"/>
              <w:rPr>
                <w:sz w:val="8"/>
                <w:szCs w:val="8"/>
                <w:color w:val="auto"/>
              </w:rPr>
            </w:pPr>
          </w:p>
        </w:tc>
        <w:tc>
          <w:tcPr>
            <w:tcW w:w="1580" w:type="dxa"/>
            <w:vAlign w:val="bottom"/>
            <w:shd w:val="clear" w:color="auto" w:fill="481F6E"/>
          </w:tcPr>
          <w:p>
            <w:pPr>
              <w:spacing w:after="0"/>
              <w:rPr>
                <w:sz w:val="8"/>
                <w:szCs w:val="8"/>
                <w:color w:val="auto"/>
              </w:rPr>
            </w:pPr>
          </w:p>
        </w:tc>
        <w:tc>
          <w:tcPr>
            <w:tcW w:w="1380" w:type="dxa"/>
            <w:vAlign w:val="bottom"/>
            <w:shd w:val="clear" w:color="auto" w:fill="481F6E"/>
          </w:tcPr>
          <w:p>
            <w:pPr>
              <w:spacing w:after="0"/>
              <w:rPr>
                <w:sz w:val="8"/>
                <w:szCs w:val="8"/>
                <w:color w:val="auto"/>
              </w:rPr>
            </w:pPr>
          </w:p>
        </w:tc>
        <w:tc>
          <w:tcPr>
            <w:tcW w:w="1340" w:type="dxa"/>
            <w:vAlign w:val="bottom"/>
            <w:shd w:val="clear" w:color="auto" w:fill="481F6E"/>
          </w:tcPr>
          <w:p>
            <w:pPr>
              <w:spacing w:after="0"/>
              <w:rPr>
                <w:sz w:val="8"/>
                <w:szCs w:val="8"/>
                <w:color w:val="auto"/>
              </w:rPr>
            </w:pPr>
          </w:p>
        </w:tc>
        <w:tc>
          <w:tcPr>
            <w:tcW w:w="1420" w:type="dxa"/>
            <w:vAlign w:val="bottom"/>
            <w:shd w:val="clear" w:color="auto" w:fill="481F6E"/>
          </w:tcPr>
          <w:p>
            <w:pPr>
              <w:spacing w:after="0"/>
              <w:rPr>
                <w:sz w:val="8"/>
                <w:szCs w:val="8"/>
                <w:color w:val="auto"/>
              </w:rPr>
            </w:pPr>
          </w:p>
        </w:tc>
        <w:tc>
          <w:tcPr>
            <w:tcW w:w="1700" w:type="dxa"/>
            <w:vAlign w:val="bottom"/>
            <w:shd w:val="clear" w:color="auto" w:fill="481F6E"/>
          </w:tcPr>
          <w:p>
            <w:pPr>
              <w:spacing w:after="0"/>
              <w:rPr>
                <w:sz w:val="8"/>
                <w:szCs w:val="8"/>
                <w:color w:val="auto"/>
              </w:rPr>
            </w:pPr>
          </w:p>
        </w:tc>
        <w:tc>
          <w:tcPr>
            <w:tcW w:w="1100" w:type="dxa"/>
            <w:vAlign w:val="bottom"/>
            <w:shd w:val="clear" w:color="auto" w:fill="481F6E"/>
          </w:tcPr>
          <w:p>
            <w:pPr>
              <w:spacing w:after="0"/>
              <w:rPr>
                <w:sz w:val="8"/>
                <w:szCs w:val="8"/>
                <w:color w:val="auto"/>
              </w:rPr>
            </w:pPr>
          </w:p>
        </w:tc>
        <w:tc>
          <w:tcPr>
            <w:tcW w:w="800" w:type="dxa"/>
            <w:vAlign w:val="bottom"/>
            <w:shd w:val="clear" w:color="auto" w:fill="481F6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940" w:type="dxa"/>
            <w:vAlign w:val="bottom"/>
          </w:tcPr>
          <w:p>
            <w:pPr>
              <w:ind w:left="60"/>
              <w:spacing w:after="0" w:line="72" w:lineRule="exact"/>
              <w:rPr>
                <w:sz w:val="20"/>
                <w:szCs w:val="20"/>
                <w:color w:val="auto"/>
              </w:rPr>
            </w:pPr>
            <w:r>
              <w:rPr>
                <w:rFonts w:ascii="Arial" w:cs="Arial" w:eastAsia="Arial" w:hAnsi="Arial"/>
                <w:sz w:val="8"/>
                <w:szCs w:val="8"/>
                <w:color w:val="333740"/>
              </w:rPr>
              <w:t>Douglas J. Pferdehirt</w:t>
            </w:r>
          </w:p>
        </w:tc>
        <w:tc>
          <w:tcPr>
            <w:tcW w:w="1580" w:type="dxa"/>
            <w:vAlign w:val="bottom"/>
          </w:tcPr>
          <w:p>
            <w:pPr>
              <w:jc w:val="right"/>
              <w:ind w:right="176"/>
              <w:spacing w:after="0" w:line="72" w:lineRule="exact"/>
              <w:rPr>
                <w:sz w:val="20"/>
                <w:szCs w:val="20"/>
                <w:color w:val="auto"/>
              </w:rPr>
            </w:pPr>
            <w:r>
              <w:rPr>
                <w:rFonts w:ascii="Arial" w:cs="Arial" w:eastAsia="Arial" w:hAnsi="Arial"/>
                <w:sz w:val="8"/>
                <w:szCs w:val="8"/>
                <w:color w:val="333740"/>
              </w:rPr>
              <w:t>3,522,600</w:t>
            </w:r>
          </w:p>
        </w:tc>
        <w:tc>
          <w:tcPr>
            <w:tcW w:w="1380" w:type="dxa"/>
            <w:vAlign w:val="bottom"/>
          </w:tcPr>
          <w:p>
            <w:pPr>
              <w:jc w:val="right"/>
              <w:ind w:right="215"/>
              <w:spacing w:after="0" w:line="72" w:lineRule="exact"/>
              <w:rPr>
                <w:sz w:val="20"/>
                <w:szCs w:val="20"/>
                <w:color w:val="auto"/>
              </w:rPr>
            </w:pPr>
            <w:r>
              <w:rPr>
                <w:rFonts w:ascii="Arial" w:cs="Arial" w:eastAsia="Arial" w:hAnsi="Arial"/>
                <w:sz w:val="8"/>
                <w:szCs w:val="8"/>
                <w:color w:val="333740"/>
              </w:rPr>
              <w:t>1,668,600</w:t>
            </w:r>
          </w:p>
        </w:tc>
        <w:tc>
          <w:tcPr>
            <w:tcW w:w="1340" w:type="dxa"/>
            <w:vAlign w:val="bottom"/>
          </w:tcPr>
          <w:p>
            <w:pPr>
              <w:ind w:left="980"/>
              <w:spacing w:after="0"/>
              <w:rPr>
                <w:sz w:val="20"/>
                <w:szCs w:val="20"/>
                <w:color w:val="auto"/>
              </w:rPr>
            </w:pPr>
            <w:r>
              <w:rPr>
                <w:rFonts w:ascii="Arial" w:cs="Arial" w:eastAsia="Arial" w:hAnsi="Arial"/>
                <w:sz w:val="6"/>
                <w:szCs w:val="6"/>
                <w:color w:val="333740"/>
              </w:rPr>
              <w:t>—</w:t>
            </w:r>
          </w:p>
        </w:tc>
        <w:tc>
          <w:tcPr>
            <w:tcW w:w="1420" w:type="dxa"/>
            <w:vAlign w:val="bottom"/>
          </w:tcPr>
          <w:p>
            <w:pPr>
              <w:jc w:val="right"/>
              <w:ind w:right="356"/>
              <w:spacing w:after="0" w:line="72" w:lineRule="exact"/>
              <w:rPr>
                <w:sz w:val="20"/>
                <w:szCs w:val="20"/>
                <w:color w:val="auto"/>
              </w:rPr>
            </w:pPr>
            <w:r>
              <w:rPr>
                <w:rFonts w:ascii="Arial" w:cs="Arial" w:eastAsia="Arial" w:hAnsi="Arial"/>
                <w:sz w:val="8"/>
                <w:szCs w:val="8"/>
                <w:color w:val="333740"/>
              </w:rPr>
              <w:t>36,181</w:t>
            </w:r>
          </w:p>
        </w:tc>
        <w:tc>
          <w:tcPr>
            <w:tcW w:w="1700" w:type="dxa"/>
            <w:vAlign w:val="bottom"/>
          </w:tcPr>
          <w:p>
            <w:pPr>
              <w:jc w:val="right"/>
              <w:ind w:right="735"/>
              <w:spacing w:after="0" w:line="72" w:lineRule="exact"/>
              <w:rPr>
                <w:sz w:val="20"/>
                <w:szCs w:val="20"/>
                <w:color w:val="auto"/>
              </w:rPr>
            </w:pPr>
            <w:r>
              <w:rPr>
                <w:rFonts w:ascii="Arial" w:cs="Arial" w:eastAsia="Arial" w:hAnsi="Arial"/>
                <w:sz w:val="8"/>
                <w:szCs w:val="8"/>
                <w:color w:val="333740"/>
              </w:rPr>
              <w:t>20,935</w:t>
            </w:r>
          </w:p>
        </w:tc>
        <w:tc>
          <w:tcPr>
            <w:tcW w:w="1100" w:type="dxa"/>
            <w:vAlign w:val="bottom"/>
          </w:tcPr>
          <w:p>
            <w:pPr>
              <w:jc w:val="right"/>
              <w:ind w:right="496"/>
              <w:spacing w:after="0" w:line="72" w:lineRule="exact"/>
              <w:rPr>
                <w:sz w:val="20"/>
                <w:szCs w:val="20"/>
                <w:color w:val="auto"/>
              </w:rPr>
            </w:pPr>
            <w:r>
              <w:rPr>
                <w:rFonts w:ascii="Arial" w:cs="Arial" w:eastAsia="Arial" w:hAnsi="Arial"/>
                <w:sz w:val="8"/>
                <w:szCs w:val="8"/>
                <w:color w:val="333740"/>
              </w:rPr>
              <w:t>50,000</w:t>
            </w:r>
          </w:p>
        </w:tc>
        <w:tc>
          <w:tcPr>
            <w:tcW w:w="800" w:type="dxa"/>
            <w:vAlign w:val="bottom"/>
          </w:tcPr>
          <w:p>
            <w:pPr>
              <w:jc w:val="right"/>
              <w:ind w:right="16"/>
              <w:spacing w:after="0" w:line="72" w:lineRule="exact"/>
              <w:rPr>
                <w:sz w:val="20"/>
                <w:szCs w:val="20"/>
                <w:color w:val="auto"/>
              </w:rPr>
            </w:pPr>
            <w:r>
              <w:rPr>
                <w:rFonts w:ascii="Arial" w:cs="Arial" w:eastAsia="Arial" w:hAnsi="Arial"/>
                <w:sz w:val="8"/>
                <w:szCs w:val="8"/>
                <w:color w:val="333740"/>
              </w:rPr>
              <w:t>5,298,316</w:t>
            </w:r>
          </w:p>
        </w:tc>
        <w:tc>
          <w:tcPr>
            <w:tcW w:w="0" w:type="dxa"/>
            <w:vAlign w:val="bottom"/>
          </w:tcPr>
          <w:p>
            <w:pPr>
              <w:spacing w:after="0"/>
              <w:rPr>
                <w:sz w:val="1"/>
                <w:szCs w:val="1"/>
                <w:color w:val="auto"/>
              </w:rPr>
            </w:pPr>
          </w:p>
        </w:tc>
      </w:tr>
      <w:tr>
        <w:trPr>
          <w:trHeight w:val="72"/>
        </w:trPr>
        <w:tc>
          <w:tcPr>
            <w:tcW w:w="1940" w:type="dxa"/>
            <w:vAlign w:val="bottom"/>
            <w:tcBorders>
              <w:bottom w:val="single" w:sz="8" w:color="D7D8D6"/>
            </w:tcBorders>
          </w:tcPr>
          <w:p>
            <w:pPr>
              <w:spacing w:after="0"/>
              <w:rPr>
                <w:sz w:val="6"/>
                <w:szCs w:val="6"/>
                <w:color w:val="auto"/>
              </w:rPr>
            </w:pPr>
          </w:p>
        </w:tc>
        <w:tc>
          <w:tcPr>
            <w:tcW w:w="1580" w:type="dxa"/>
            <w:vAlign w:val="bottom"/>
            <w:tcBorders>
              <w:bottom w:val="single" w:sz="8" w:color="D7D8D6"/>
            </w:tcBorders>
          </w:tcPr>
          <w:p>
            <w:pPr>
              <w:spacing w:after="0"/>
              <w:rPr>
                <w:sz w:val="6"/>
                <w:szCs w:val="6"/>
                <w:color w:val="auto"/>
              </w:rPr>
            </w:pPr>
          </w:p>
        </w:tc>
        <w:tc>
          <w:tcPr>
            <w:tcW w:w="1380" w:type="dxa"/>
            <w:vAlign w:val="bottom"/>
            <w:tcBorders>
              <w:bottom w:val="single" w:sz="8" w:color="D7D8D6"/>
            </w:tcBorders>
          </w:tcPr>
          <w:p>
            <w:pPr>
              <w:spacing w:after="0"/>
              <w:rPr>
                <w:sz w:val="6"/>
                <w:szCs w:val="6"/>
                <w:color w:val="auto"/>
              </w:rPr>
            </w:pPr>
          </w:p>
        </w:tc>
        <w:tc>
          <w:tcPr>
            <w:tcW w:w="1340" w:type="dxa"/>
            <w:vAlign w:val="bottom"/>
            <w:tcBorders>
              <w:bottom w:val="single" w:sz="8" w:color="D7D8D6"/>
            </w:tcBorders>
          </w:tcPr>
          <w:p>
            <w:pPr>
              <w:spacing w:after="0"/>
              <w:rPr>
                <w:sz w:val="6"/>
                <w:szCs w:val="6"/>
                <w:color w:val="auto"/>
              </w:rPr>
            </w:pPr>
          </w:p>
        </w:tc>
        <w:tc>
          <w:tcPr>
            <w:tcW w:w="1420" w:type="dxa"/>
            <w:vAlign w:val="bottom"/>
            <w:tcBorders>
              <w:bottom w:val="single" w:sz="8" w:color="D7D8D6"/>
            </w:tcBorders>
          </w:tcPr>
          <w:p>
            <w:pPr>
              <w:spacing w:after="0"/>
              <w:rPr>
                <w:sz w:val="6"/>
                <w:szCs w:val="6"/>
                <w:color w:val="auto"/>
              </w:rPr>
            </w:pPr>
          </w:p>
        </w:tc>
        <w:tc>
          <w:tcPr>
            <w:tcW w:w="1700" w:type="dxa"/>
            <w:vAlign w:val="bottom"/>
            <w:tcBorders>
              <w:bottom w:val="single" w:sz="8" w:color="D7D8D6"/>
            </w:tcBorders>
          </w:tcPr>
          <w:p>
            <w:pPr>
              <w:spacing w:after="0"/>
              <w:rPr>
                <w:sz w:val="6"/>
                <w:szCs w:val="6"/>
                <w:color w:val="auto"/>
              </w:rPr>
            </w:pPr>
          </w:p>
        </w:tc>
        <w:tc>
          <w:tcPr>
            <w:tcW w:w="1100" w:type="dxa"/>
            <w:vAlign w:val="bottom"/>
            <w:tcBorders>
              <w:bottom w:val="single" w:sz="8" w:color="D7D8D6"/>
            </w:tcBorders>
          </w:tcPr>
          <w:p>
            <w:pPr>
              <w:spacing w:after="0"/>
              <w:rPr>
                <w:sz w:val="6"/>
                <w:szCs w:val="6"/>
                <w:color w:val="auto"/>
              </w:rPr>
            </w:pPr>
          </w:p>
        </w:tc>
        <w:tc>
          <w:tcPr>
            <w:tcW w:w="800" w:type="dxa"/>
            <w:vAlign w:val="bottom"/>
            <w:tcBorders>
              <w:bottom w:val="single" w:sz="8" w:color="D7D8D6"/>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940" w:type="dxa"/>
            <w:vAlign w:val="bottom"/>
          </w:tcPr>
          <w:p>
            <w:pPr>
              <w:ind w:left="60"/>
              <w:spacing w:after="0" w:line="72" w:lineRule="exact"/>
              <w:rPr>
                <w:sz w:val="20"/>
                <w:szCs w:val="20"/>
                <w:color w:val="auto"/>
              </w:rPr>
            </w:pPr>
            <w:r>
              <w:rPr>
                <w:rFonts w:ascii="Arial" w:cs="Arial" w:eastAsia="Arial" w:hAnsi="Arial"/>
                <w:sz w:val="8"/>
                <w:szCs w:val="8"/>
                <w:color w:val="333740"/>
              </w:rPr>
              <w:t>Maryann T. Mannen</w:t>
            </w:r>
          </w:p>
        </w:tc>
        <w:tc>
          <w:tcPr>
            <w:tcW w:w="1580" w:type="dxa"/>
            <w:vAlign w:val="bottom"/>
          </w:tcPr>
          <w:p>
            <w:pPr>
              <w:jc w:val="right"/>
              <w:ind w:right="176"/>
              <w:spacing w:after="0" w:line="72" w:lineRule="exact"/>
              <w:rPr>
                <w:sz w:val="20"/>
                <w:szCs w:val="20"/>
                <w:color w:val="auto"/>
              </w:rPr>
            </w:pPr>
            <w:r>
              <w:rPr>
                <w:rFonts w:ascii="Arial" w:cs="Arial" w:eastAsia="Arial" w:hAnsi="Arial"/>
                <w:sz w:val="8"/>
                <w:szCs w:val="8"/>
                <w:color w:val="333740"/>
              </w:rPr>
              <w:t>2,002,417</w:t>
            </w:r>
          </w:p>
        </w:tc>
        <w:tc>
          <w:tcPr>
            <w:tcW w:w="1380" w:type="dxa"/>
            <w:vAlign w:val="bottom"/>
          </w:tcPr>
          <w:p>
            <w:pPr>
              <w:jc w:val="right"/>
              <w:ind w:right="215"/>
              <w:spacing w:after="0" w:line="72" w:lineRule="exact"/>
              <w:rPr>
                <w:sz w:val="20"/>
                <w:szCs w:val="20"/>
                <w:color w:val="auto"/>
              </w:rPr>
            </w:pPr>
            <w:r>
              <w:rPr>
                <w:rFonts w:ascii="Arial" w:cs="Arial" w:eastAsia="Arial" w:hAnsi="Arial"/>
                <w:sz w:val="8"/>
                <w:szCs w:val="8"/>
                <w:color w:val="333740"/>
              </w:rPr>
              <w:t>797,917</w:t>
            </w:r>
          </w:p>
        </w:tc>
        <w:tc>
          <w:tcPr>
            <w:tcW w:w="1340" w:type="dxa"/>
            <w:vAlign w:val="bottom"/>
          </w:tcPr>
          <w:p>
            <w:pPr>
              <w:ind w:left="980"/>
              <w:spacing w:after="0"/>
              <w:rPr>
                <w:sz w:val="20"/>
                <w:szCs w:val="20"/>
                <w:color w:val="auto"/>
              </w:rPr>
            </w:pPr>
            <w:r>
              <w:rPr>
                <w:rFonts w:ascii="Arial" w:cs="Arial" w:eastAsia="Arial" w:hAnsi="Arial"/>
                <w:sz w:val="6"/>
                <w:szCs w:val="6"/>
                <w:color w:val="333740"/>
              </w:rPr>
              <w:t>—</w:t>
            </w:r>
          </w:p>
        </w:tc>
        <w:tc>
          <w:tcPr>
            <w:tcW w:w="1420" w:type="dxa"/>
            <w:vAlign w:val="bottom"/>
          </w:tcPr>
          <w:p>
            <w:pPr>
              <w:jc w:val="right"/>
              <w:ind w:right="356"/>
              <w:spacing w:after="0" w:line="72" w:lineRule="exact"/>
              <w:rPr>
                <w:sz w:val="20"/>
                <w:szCs w:val="20"/>
                <w:color w:val="auto"/>
              </w:rPr>
            </w:pPr>
            <w:r>
              <w:rPr>
                <w:rFonts w:ascii="Arial" w:cs="Arial" w:eastAsia="Arial" w:hAnsi="Arial"/>
                <w:sz w:val="8"/>
                <w:szCs w:val="8"/>
                <w:color w:val="333740"/>
              </w:rPr>
              <w:t>17,119</w:t>
            </w:r>
          </w:p>
        </w:tc>
        <w:tc>
          <w:tcPr>
            <w:tcW w:w="1700" w:type="dxa"/>
            <w:vAlign w:val="bottom"/>
          </w:tcPr>
          <w:p>
            <w:pPr>
              <w:jc w:val="right"/>
              <w:ind w:right="735"/>
              <w:spacing w:after="0" w:line="72" w:lineRule="exact"/>
              <w:rPr>
                <w:sz w:val="20"/>
                <w:szCs w:val="20"/>
                <w:color w:val="auto"/>
              </w:rPr>
            </w:pPr>
            <w:r>
              <w:rPr>
                <w:rFonts w:ascii="Arial" w:cs="Arial" w:eastAsia="Arial" w:hAnsi="Arial"/>
                <w:sz w:val="8"/>
                <w:szCs w:val="8"/>
                <w:color w:val="333740"/>
              </w:rPr>
              <w:t>20,935</w:t>
            </w:r>
          </w:p>
        </w:tc>
        <w:tc>
          <w:tcPr>
            <w:tcW w:w="1100" w:type="dxa"/>
            <w:vAlign w:val="bottom"/>
          </w:tcPr>
          <w:p>
            <w:pPr>
              <w:jc w:val="right"/>
              <w:ind w:right="496"/>
              <w:spacing w:after="0" w:line="72" w:lineRule="exact"/>
              <w:rPr>
                <w:sz w:val="20"/>
                <w:szCs w:val="20"/>
                <w:color w:val="auto"/>
              </w:rPr>
            </w:pPr>
            <w:r>
              <w:rPr>
                <w:rFonts w:ascii="Arial" w:cs="Arial" w:eastAsia="Arial" w:hAnsi="Arial"/>
                <w:sz w:val="8"/>
                <w:szCs w:val="8"/>
                <w:color w:val="333740"/>
              </w:rPr>
              <w:t>50,000</w:t>
            </w:r>
          </w:p>
        </w:tc>
        <w:tc>
          <w:tcPr>
            <w:tcW w:w="800" w:type="dxa"/>
            <w:vAlign w:val="bottom"/>
          </w:tcPr>
          <w:p>
            <w:pPr>
              <w:jc w:val="right"/>
              <w:ind w:right="16"/>
              <w:spacing w:after="0" w:line="72" w:lineRule="exact"/>
              <w:rPr>
                <w:sz w:val="20"/>
                <w:szCs w:val="20"/>
                <w:color w:val="auto"/>
              </w:rPr>
            </w:pPr>
            <w:r>
              <w:rPr>
                <w:rFonts w:ascii="Arial" w:cs="Arial" w:eastAsia="Arial" w:hAnsi="Arial"/>
                <w:sz w:val="8"/>
                <w:szCs w:val="8"/>
                <w:color w:val="333740"/>
              </w:rPr>
              <w:t>2,888,388</w:t>
            </w:r>
          </w:p>
        </w:tc>
        <w:tc>
          <w:tcPr>
            <w:tcW w:w="0" w:type="dxa"/>
            <w:vAlign w:val="bottom"/>
          </w:tcPr>
          <w:p>
            <w:pPr>
              <w:spacing w:after="0"/>
              <w:rPr>
                <w:sz w:val="1"/>
                <w:szCs w:val="1"/>
                <w:color w:val="auto"/>
              </w:rPr>
            </w:pPr>
          </w:p>
        </w:tc>
      </w:tr>
      <w:tr>
        <w:trPr>
          <w:trHeight w:val="72"/>
        </w:trPr>
        <w:tc>
          <w:tcPr>
            <w:tcW w:w="1940" w:type="dxa"/>
            <w:vAlign w:val="bottom"/>
            <w:tcBorders>
              <w:bottom w:val="single" w:sz="8" w:color="D7D8D6"/>
            </w:tcBorders>
          </w:tcPr>
          <w:p>
            <w:pPr>
              <w:spacing w:after="0"/>
              <w:rPr>
                <w:sz w:val="6"/>
                <w:szCs w:val="6"/>
                <w:color w:val="auto"/>
              </w:rPr>
            </w:pPr>
          </w:p>
        </w:tc>
        <w:tc>
          <w:tcPr>
            <w:tcW w:w="1580" w:type="dxa"/>
            <w:vAlign w:val="bottom"/>
            <w:tcBorders>
              <w:bottom w:val="single" w:sz="8" w:color="D7D8D6"/>
            </w:tcBorders>
          </w:tcPr>
          <w:p>
            <w:pPr>
              <w:spacing w:after="0"/>
              <w:rPr>
                <w:sz w:val="6"/>
                <w:szCs w:val="6"/>
                <w:color w:val="auto"/>
              </w:rPr>
            </w:pPr>
          </w:p>
        </w:tc>
        <w:tc>
          <w:tcPr>
            <w:tcW w:w="1380" w:type="dxa"/>
            <w:vAlign w:val="bottom"/>
            <w:tcBorders>
              <w:bottom w:val="single" w:sz="8" w:color="D7D8D6"/>
            </w:tcBorders>
          </w:tcPr>
          <w:p>
            <w:pPr>
              <w:spacing w:after="0"/>
              <w:rPr>
                <w:sz w:val="6"/>
                <w:szCs w:val="6"/>
                <w:color w:val="auto"/>
              </w:rPr>
            </w:pPr>
          </w:p>
        </w:tc>
        <w:tc>
          <w:tcPr>
            <w:tcW w:w="1340" w:type="dxa"/>
            <w:vAlign w:val="bottom"/>
            <w:tcBorders>
              <w:bottom w:val="single" w:sz="8" w:color="D7D8D6"/>
            </w:tcBorders>
          </w:tcPr>
          <w:p>
            <w:pPr>
              <w:spacing w:after="0"/>
              <w:rPr>
                <w:sz w:val="6"/>
                <w:szCs w:val="6"/>
                <w:color w:val="auto"/>
              </w:rPr>
            </w:pPr>
          </w:p>
        </w:tc>
        <w:tc>
          <w:tcPr>
            <w:tcW w:w="1420" w:type="dxa"/>
            <w:vAlign w:val="bottom"/>
            <w:tcBorders>
              <w:bottom w:val="single" w:sz="8" w:color="D7D8D6"/>
            </w:tcBorders>
          </w:tcPr>
          <w:p>
            <w:pPr>
              <w:spacing w:after="0"/>
              <w:rPr>
                <w:sz w:val="6"/>
                <w:szCs w:val="6"/>
                <w:color w:val="auto"/>
              </w:rPr>
            </w:pPr>
          </w:p>
        </w:tc>
        <w:tc>
          <w:tcPr>
            <w:tcW w:w="1700" w:type="dxa"/>
            <w:vAlign w:val="bottom"/>
            <w:tcBorders>
              <w:bottom w:val="single" w:sz="8" w:color="D7D8D6"/>
            </w:tcBorders>
          </w:tcPr>
          <w:p>
            <w:pPr>
              <w:spacing w:after="0"/>
              <w:rPr>
                <w:sz w:val="6"/>
                <w:szCs w:val="6"/>
                <w:color w:val="auto"/>
              </w:rPr>
            </w:pPr>
          </w:p>
        </w:tc>
        <w:tc>
          <w:tcPr>
            <w:tcW w:w="1100" w:type="dxa"/>
            <w:vAlign w:val="bottom"/>
            <w:tcBorders>
              <w:bottom w:val="single" w:sz="8" w:color="D7D8D6"/>
            </w:tcBorders>
          </w:tcPr>
          <w:p>
            <w:pPr>
              <w:spacing w:after="0"/>
              <w:rPr>
                <w:sz w:val="6"/>
                <w:szCs w:val="6"/>
                <w:color w:val="auto"/>
              </w:rPr>
            </w:pPr>
          </w:p>
        </w:tc>
        <w:tc>
          <w:tcPr>
            <w:tcW w:w="800" w:type="dxa"/>
            <w:vAlign w:val="bottom"/>
            <w:tcBorders>
              <w:bottom w:val="single" w:sz="8" w:color="D7D8D6"/>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940" w:type="dxa"/>
            <w:vAlign w:val="bottom"/>
          </w:tcPr>
          <w:p>
            <w:pPr>
              <w:ind w:left="60"/>
              <w:spacing w:after="0" w:line="72" w:lineRule="exact"/>
              <w:rPr>
                <w:sz w:val="20"/>
                <w:szCs w:val="20"/>
                <w:color w:val="auto"/>
              </w:rPr>
            </w:pPr>
            <w:r>
              <w:rPr>
                <w:rFonts w:ascii="Arial" w:cs="Arial" w:eastAsia="Arial" w:hAnsi="Arial"/>
                <w:sz w:val="8"/>
                <w:szCs w:val="8"/>
                <w:color w:val="333740"/>
              </w:rPr>
              <w:t>Dianne B. Ralston</w:t>
            </w:r>
          </w:p>
        </w:tc>
        <w:tc>
          <w:tcPr>
            <w:tcW w:w="1580" w:type="dxa"/>
            <w:vAlign w:val="bottom"/>
          </w:tcPr>
          <w:p>
            <w:pPr>
              <w:jc w:val="right"/>
              <w:ind w:right="176"/>
              <w:spacing w:after="0" w:line="72" w:lineRule="exact"/>
              <w:rPr>
                <w:sz w:val="20"/>
                <w:szCs w:val="20"/>
                <w:color w:val="auto"/>
              </w:rPr>
            </w:pPr>
            <w:r>
              <w:rPr>
                <w:rFonts w:ascii="Arial" w:cs="Arial" w:eastAsia="Arial" w:hAnsi="Arial"/>
                <w:sz w:val="8"/>
                <w:szCs w:val="8"/>
                <w:color w:val="333740"/>
              </w:rPr>
              <w:t>1,603,333</w:t>
            </w:r>
          </w:p>
        </w:tc>
        <w:tc>
          <w:tcPr>
            <w:tcW w:w="1380" w:type="dxa"/>
            <w:vAlign w:val="bottom"/>
          </w:tcPr>
          <w:p>
            <w:pPr>
              <w:jc w:val="right"/>
              <w:ind w:right="215"/>
              <w:spacing w:after="0" w:line="72" w:lineRule="exact"/>
              <w:rPr>
                <w:sz w:val="20"/>
                <w:szCs w:val="20"/>
                <w:color w:val="auto"/>
              </w:rPr>
            </w:pPr>
            <w:r>
              <w:rPr>
                <w:rFonts w:ascii="Arial" w:cs="Arial" w:eastAsia="Arial" w:hAnsi="Arial"/>
                <w:sz w:val="8"/>
                <w:szCs w:val="8"/>
                <w:color w:val="333740"/>
              </w:rPr>
              <w:t>638,833</w:t>
            </w:r>
          </w:p>
        </w:tc>
        <w:tc>
          <w:tcPr>
            <w:tcW w:w="1340" w:type="dxa"/>
            <w:vAlign w:val="bottom"/>
          </w:tcPr>
          <w:p>
            <w:pPr>
              <w:ind w:left="980"/>
              <w:spacing w:after="0"/>
              <w:rPr>
                <w:sz w:val="20"/>
                <w:szCs w:val="20"/>
                <w:color w:val="auto"/>
              </w:rPr>
            </w:pPr>
            <w:r>
              <w:rPr>
                <w:rFonts w:ascii="Arial" w:cs="Arial" w:eastAsia="Arial" w:hAnsi="Arial"/>
                <w:sz w:val="6"/>
                <w:szCs w:val="6"/>
                <w:color w:val="333740"/>
              </w:rPr>
              <w:t>—</w:t>
            </w:r>
          </w:p>
        </w:tc>
        <w:tc>
          <w:tcPr>
            <w:tcW w:w="1420" w:type="dxa"/>
            <w:vAlign w:val="bottom"/>
          </w:tcPr>
          <w:p>
            <w:pPr>
              <w:jc w:val="right"/>
              <w:ind w:right="356"/>
              <w:spacing w:after="0" w:line="72" w:lineRule="exact"/>
              <w:rPr>
                <w:sz w:val="20"/>
                <w:szCs w:val="20"/>
                <w:color w:val="auto"/>
              </w:rPr>
            </w:pPr>
            <w:r>
              <w:rPr>
                <w:rFonts w:ascii="Arial" w:cs="Arial" w:eastAsia="Arial" w:hAnsi="Arial"/>
                <w:sz w:val="8"/>
                <w:szCs w:val="8"/>
                <w:color w:val="333740"/>
              </w:rPr>
              <w:t>0</w:t>
            </w:r>
          </w:p>
        </w:tc>
        <w:tc>
          <w:tcPr>
            <w:tcW w:w="1700" w:type="dxa"/>
            <w:vAlign w:val="bottom"/>
          </w:tcPr>
          <w:p>
            <w:pPr>
              <w:jc w:val="right"/>
              <w:ind w:right="735"/>
              <w:spacing w:after="0" w:line="72" w:lineRule="exact"/>
              <w:rPr>
                <w:sz w:val="20"/>
                <w:szCs w:val="20"/>
                <w:color w:val="auto"/>
              </w:rPr>
            </w:pPr>
            <w:r>
              <w:rPr>
                <w:rFonts w:ascii="Arial" w:cs="Arial" w:eastAsia="Arial" w:hAnsi="Arial"/>
                <w:sz w:val="8"/>
                <w:szCs w:val="8"/>
                <w:color w:val="333740"/>
              </w:rPr>
              <w:t>20,935</w:t>
            </w:r>
          </w:p>
        </w:tc>
        <w:tc>
          <w:tcPr>
            <w:tcW w:w="1100" w:type="dxa"/>
            <w:vAlign w:val="bottom"/>
          </w:tcPr>
          <w:p>
            <w:pPr>
              <w:jc w:val="right"/>
              <w:ind w:right="496"/>
              <w:spacing w:after="0" w:line="72" w:lineRule="exact"/>
              <w:rPr>
                <w:sz w:val="20"/>
                <w:szCs w:val="20"/>
                <w:color w:val="auto"/>
              </w:rPr>
            </w:pPr>
            <w:r>
              <w:rPr>
                <w:rFonts w:ascii="Arial" w:cs="Arial" w:eastAsia="Arial" w:hAnsi="Arial"/>
                <w:sz w:val="8"/>
                <w:szCs w:val="8"/>
                <w:color w:val="333740"/>
              </w:rPr>
              <w:t>50,000</w:t>
            </w:r>
          </w:p>
        </w:tc>
        <w:tc>
          <w:tcPr>
            <w:tcW w:w="800" w:type="dxa"/>
            <w:vAlign w:val="bottom"/>
          </w:tcPr>
          <w:p>
            <w:pPr>
              <w:jc w:val="right"/>
              <w:ind w:right="16"/>
              <w:spacing w:after="0" w:line="72" w:lineRule="exact"/>
              <w:rPr>
                <w:sz w:val="20"/>
                <w:szCs w:val="20"/>
                <w:color w:val="auto"/>
              </w:rPr>
            </w:pPr>
            <w:r>
              <w:rPr>
                <w:rFonts w:ascii="Arial" w:cs="Arial" w:eastAsia="Arial" w:hAnsi="Arial"/>
                <w:sz w:val="8"/>
                <w:szCs w:val="8"/>
                <w:color w:val="333740"/>
              </w:rPr>
              <w:t>2,313,101</w:t>
            </w:r>
          </w:p>
        </w:tc>
        <w:tc>
          <w:tcPr>
            <w:tcW w:w="0" w:type="dxa"/>
            <w:vAlign w:val="bottom"/>
          </w:tcPr>
          <w:p>
            <w:pPr>
              <w:spacing w:after="0"/>
              <w:rPr>
                <w:sz w:val="1"/>
                <w:szCs w:val="1"/>
                <w:color w:val="auto"/>
              </w:rPr>
            </w:pPr>
          </w:p>
        </w:tc>
      </w:tr>
      <w:tr>
        <w:trPr>
          <w:trHeight w:val="72"/>
        </w:trPr>
        <w:tc>
          <w:tcPr>
            <w:tcW w:w="1940" w:type="dxa"/>
            <w:vAlign w:val="bottom"/>
            <w:tcBorders>
              <w:bottom w:val="single" w:sz="8" w:color="D7D8D6"/>
            </w:tcBorders>
          </w:tcPr>
          <w:p>
            <w:pPr>
              <w:spacing w:after="0"/>
              <w:rPr>
                <w:sz w:val="6"/>
                <w:szCs w:val="6"/>
                <w:color w:val="auto"/>
              </w:rPr>
            </w:pPr>
          </w:p>
        </w:tc>
        <w:tc>
          <w:tcPr>
            <w:tcW w:w="1580" w:type="dxa"/>
            <w:vAlign w:val="bottom"/>
            <w:tcBorders>
              <w:bottom w:val="single" w:sz="8" w:color="D7D8D6"/>
            </w:tcBorders>
          </w:tcPr>
          <w:p>
            <w:pPr>
              <w:spacing w:after="0"/>
              <w:rPr>
                <w:sz w:val="6"/>
                <w:szCs w:val="6"/>
                <w:color w:val="auto"/>
              </w:rPr>
            </w:pPr>
          </w:p>
        </w:tc>
        <w:tc>
          <w:tcPr>
            <w:tcW w:w="1380" w:type="dxa"/>
            <w:vAlign w:val="bottom"/>
            <w:tcBorders>
              <w:bottom w:val="single" w:sz="8" w:color="D7D8D6"/>
            </w:tcBorders>
          </w:tcPr>
          <w:p>
            <w:pPr>
              <w:spacing w:after="0"/>
              <w:rPr>
                <w:sz w:val="6"/>
                <w:szCs w:val="6"/>
                <w:color w:val="auto"/>
              </w:rPr>
            </w:pPr>
          </w:p>
        </w:tc>
        <w:tc>
          <w:tcPr>
            <w:tcW w:w="1340" w:type="dxa"/>
            <w:vAlign w:val="bottom"/>
            <w:tcBorders>
              <w:bottom w:val="single" w:sz="8" w:color="D7D8D6"/>
            </w:tcBorders>
          </w:tcPr>
          <w:p>
            <w:pPr>
              <w:spacing w:after="0"/>
              <w:rPr>
                <w:sz w:val="6"/>
                <w:szCs w:val="6"/>
                <w:color w:val="auto"/>
              </w:rPr>
            </w:pPr>
          </w:p>
        </w:tc>
        <w:tc>
          <w:tcPr>
            <w:tcW w:w="1420" w:type="dxa"/>
            <w:vAlign w:val="bottom"/>
            <w:tcBorders>
              <w:bottom w:val="single" w:sz="8" w:color="D7D8D6"/>
            </w:tcBorders>
          </w:tcPr>
          <w:p>
            <w:pPr>
              <w:spacing w:after="0"/>
              <w:rPr>
                <w:sz w:val="6"/>
                <w:szCs w:val="6"/>
                <w:color w:val="auto"/>
              </w:rPr>
            </w:pPr>
          </w:p>
        </w:tc>
        <w:tc>
          <w:tcPr>
            <w:tcW w:w="1700" w:type="dxa"/>
            <w:vAlign w:val="bottom"/>
            <w:tcBorders>
              <w:bottom w:val="single" w:sz="8" w:color="D7D8D6"/>
            </w:tcBorders>
          </w:tcPr>
          <w:p>
            <w:pPr>
              <w:spacing w:after="0"/>
              <w:rPr>
                <w:sz w:val="6"/>
                <w:szCs w:val="6"/>
                <w:color w:val="auto"/>
              </w:rPr>
            </w:pPr>
          </w:p>
        </w:tc>
        <w:tc>
          <w:tcPr>
            <w:tcW w:w="1100" w:type="dxa"/>
            <w:vAlign w:val="bottom"/>
            <w:tcBorders>
              <w:bottom w:val="single" w:sz="8" w:color="D7D8D6"/>
            </w:tcBorders>
          </w:tcPr>
          <w:p>
            <w:pPr>
              <w:spacing w:after="0"/>
              <w:rPr>
                <w:sz w:val="6"/>
                <w:szCs w:val="6"/>
                <w:color w:val="auto"/>
              </w:rPr>
            </w:pPr>
          </w:p>
        </w:tc>
        <w:tc>
          <w:tcPr>
            <w:tcW w:w="800" w:type="dxa"/>
            <w:vAlign w:val="bottom"/>
            <w:tcBorders>
              <w:bottom w:val="single" w:sz="8" w:color="D7D8D6"/>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940" w:type="dxa"/>
            <w:vAlign w:val="bottom"/>
          </w:tcPr>
          <w:p>
            <w:pPr>
              <w:ind w:left="60"/>
              <w:spacing w:after="0" w:line="72" w:lineRule="exact"/>
              <w:rPr>
                <w:sz w:val="20"/>
                <w:szCs w:val="20"/>
                <w:color w:val="auto"/>
              </w:rPr>
            </w:pPr>
            <w:r>
              <w:rPr>
                <w:rFonts w:ascii="Arial" w:cs="Arial" w:eastAsia="Arial" w:hAnsi="Arial"/>
                <w:sz w:val="8"/>
                <w:szCs w:val="8"/>
                <w:color w:val="333740"/>
              </w:rPr>
              <w:t>Justin Rounce</w:t>
            </w:r>
          </w:p>
        </w:tc>
        <w:tc>
          <w:tcPr>
            <w:tcW w:w="1580" w:type="dxa"/>
            <w:vAlign w:val="bottom"/>
          </w:tcPr>
          <w:p>
            <w:pPr>
              <w:jc w:val="right"/>
              <w:ind w:right="176"/>
              <w:spacing w:after="0" w:line="72" w:lineRule="exact"/>
              <w:rPr>
                <w:sz w:val="20"/>
                <w:szCs w:val="20"/>
                <w:color w:val="auto"/>
              </w:rPr>
            </w:pPr>
            <w:r>
              <w:rPr>
                <w:rFonts w:ascii="Arial" w:cs="Arial" w:eastAsia="Arial" w:hAnsi="Arial"/>
                <w:sz w:val="8"/>
                <w:szCs w:val="8"/>
                <w:color w:val="333740"/>
              </w:rPr>
              <w:t>1,500,000</w:t>
            </w:r>
          </w:p>
        </w:tc>
        <w:tc>
          <w:tcPr>
            <w:tcW w:w="1380" w:type="dxa"/>
            <w:vAlign w:val="bottom"/>
          </w:tcPr>
          <w:p>
            <w:pPr>
              <w:jc w:val="right"/>
              <w:ind w:right="215"/>
              <w:spacing w:after="0" w:line="72" w:lineRule="exact"/>
              <w:rPr>
                <w:sz w:val="20"/>
                <w:szCs w:val="20"/>
                <w:color w:val="auto"/>
              </w:rPr>
            </w:pPr>
            <w:r>
              <w:rPr>
                <w:rFonts w:ascii="Arial" w:cs="Arial" w:eastAsia="Arial" w:hAnsi="Arial"/>
                <w:sz w:val="8"/>
                <w:szCs w:val="8"/>
                <w:color w:val="333740"/>
              </w:rPr>
              <w:t>600,000</w:t>
            </w:r>
          </w:p>
        </w:tc>
        <w:tc>
          <w:tcPr>
            <w:tcW w:w="1340" w:type="dxa"/>
            <w:vAlign w:val="bottom"/>
          </w:tcPr>
          <w:p>
            <w:pPr>
              <w:ind w:left="980"/>
              <w:spacing w:after="0"/>
              <w:rPr>
                <w:sz w:val="20"/>
                <w:szCs w:val="20"/>
                <w:color w:val="auto"/>
              </w:rPr>
            </w:pPr>
            <w:r>
              <w:rPr>
                <w:rFonts w:ascii="Arial" w:cs="Arial" w:eastAsia="Arial" w:hAnsi="Arial"/>
                <w:sz w:val="6"/>
                <w:szCs w:val="6"/>
                <w:color w:val="333740"/>
              </w:rPr>
              <w:t>—</w:t>
            </w:r>
          </w:p>
        </w:tc>
        <w:tc>
          <w:tcPr>
            <w:tcW w:w="1420" w:type="dxa"/>
            <w:vAlign w:val="bottom"/>
          </w:tcPr>
          <w:p>
            <w:pPr>
              <w:jc w:val="right"/>
              <w:ind w:right="356"/>
              <w:spacing w:after="0" w:line="72" w:lineRule="exact"/>
              <w:rPr>
                <w:sz w:val="20"/>
                <w:szCs w:val="20"/>
                <w:color w:val="auto"/>
              </w:rPr>
            </w:pPr>
            <w:r>
              <w:rPr>
                <w:rFonts w:ascii="Arial" w:cs="Arial" w:eastAsia="Arial" w:hAnsi="Arial"/>
                <w:sz w:val="8"/>
                <w:szCs w:val="8"/>
                <w:color w:val="333740"/>
              </w:rPr>
              <w:t>28,316</w:t>
            </w:r>
          </w:p>
        </w:tc>
        <w:tc>
          <w:tcPr>
            <w:tcW w:w="1700" w:type="dxa"/>
            <w:vAlign w:val="bottom"/>
          </w:tcPr>
          <w:p>
            <w:pPr>
              <w:jc w:val="right"/>
              <w:ind w:right="735"/>
              <w:spacing w:after="0" w:line="72" w:lineRule="exact"/>
              <w:rPr>
                <w:sz w:val="20"/>
                <w:szCs w:val="20"/>
                <w:color w:val="auto"/>
              </w:rPr>
            </w:pPr>
            <w:r>
              <w:rPr>
                <w:rFonts w:ascii="Arial" w:cs="Arial" w:eastAsia="Arial" w:hAnsi="Arial"/>
                <w:sz w:val="8"/>
                <w:szCs w:val="8"/>
                <w:color w:val="333740"/>
              </w:rPr>
              <w:t>2,935</w:t>
            </w:r>
          </w:p>
        </w:tc>
        <w:tc>
          <w:tcPr>
            <w:tcW w:w="1100" w:type="dxa"/>
            <w:vAlign w:val="bottom"/>
          </w:tcPr>
          <w:p>
            <w:pPr>
              <w:jc w:val="right"/>
              <w:ind w:right="496"/>
              <w:spacing w:after="0" w:line="72" w:lineRule="exact"/>
              <w:rPr>
                <w:sz w:val="20"/>
                <w:szCs w:val="20"/>
                <w:color w:val="auto"/>
              </w:rPr>
            </w:pPr>
            <w:r>
              <w:rPr>
                <w:rFonts w:ascii="Arial" w:cs="Arial" w:eastAsia="Arial" w:hAnsi="Arial"/>
                <w:sz w:val="8"/>
                <w:szCs w:val="8"/>
                <w:color w:val="333740"/>
              </w:rPr>
              <w:t>50,000</w:t>
            </w:r>
          </w:p>
        </w:tc>
        <w:tc>
          <w:tcPr>
            <w:tcW w:w="800" w:type="dxa"/>
            <w:vAlign w:val="bottom"/>
          </w:tcPr>
          <w:p>
            <w:pPr>
              <w:jc w:val="right"/>
              <w:ind w:right="36"/>
              <w:spacing w:after="0" w:line="72" w:lineRule="exact"/>
              <w:rPr>
                <w:sz w:val="20"/>
                <w:szCs w:val="20"/>
                <w:color w:val="auto"/>
              </w:rPr>
            </w:pPr>
            <w:r>
              <w:rPr>
                <w:rFonts w:ascii="Arial" w:cs="Arial" w:eastAsia="Arial" w:hAnsi="Arial"/>
                <w:sz w:val="8"/>
                <w:szCs w:val="8"/>
                <w:color w:val="333740"/>
              </w:rPr>
              <w:t>2,181,251</w:t>
            </w:r>
          </w:p>
        </w:tc>
        <w:tc>
          <w:tcPr>
            <w:tcW w:w="0" w:type="dxa"/>
            <w:vAlign w:val="bottom"/>
          </w:tcPr>
          <w:p>
            <w:pPr>
              <w:spacing w:after="0"/>
              <w:rPr>
                <w:sz w:val="1"/>
                <w:szCs w:val="1"/>
                <w:color w:val="auto"/>
              </w:rPr>
            </w:pPr>
          </w:p>
        </w:tc>
      </w:tr>
      <w:tr>
        <w:trPr>
          <w:trHeight w:val="72"/>
        </w:trPr>
        <w:tc>
          <w:tcPr>
            <w:tcW w:w="1940" w:type="dxa"/>
            <w:vAlign w:val="bottom"/>
            <w:tcBorders>
              <w:bottom w:val="single" w:sz="8" w:color="D7D8D6"/>
            </w:tcBorders>
          </w:tcPr>
          <w:p>
            <w:pPr>
              <w:spacing w:after="0"/>
              <w:rPr>
                <w:sz w:val="6"/>
                <w:szCs w:val="6"/>
                <w:color w:val="auto"/>
              </w:rPr>
            </w:pPr>
          </w:p>
        </w:tc>
        <w:tc>
          <w:tcPr>
            <w:tcW w:w="1580" w:type="dxa"/>
            <w:vAlign w:val="bottom"/>
            <w:tcBorders>
              <w:bottom w:val="single" w:sz="8" w:color="D7D8D6"/>
            </w:tcBorders>
          </w:tcPr>
          <w:p>
            <w:pPr>
              <w:spacing w:after="0"/>
              <w:rPr>
                <w:sz w:val="6"/>
                <w:szCs w:val="6"/>
                <w:color w:val="auto"/>
              </w:rPr>
            </w:pPr>
          </w:p>
        </w:tc>
        <w:tc>
          <w:tcPr>
            <w:tcW w:w="1380" w:type="dxa"/>
            <w:vAlign w:val="bottom"/>
            <w:tcBorders>
              <w:bottom w:val="single" w:sz="8" w:color="D7D8D6"/>
            </w:tcBorders>
          </w:tcPr>
          <w:p>
            <w:pPr>
              <w:spacing w:after="0"/>
              <w:rPr>
                <w:sz w:val="6"/>
                <w:szCs w:val="6"/>
                <w:color w:val="auto"/>
              </w:rPr>
            </w:pPr>
          </w:p>
        </w:tc>
        <w:tc>
          <w:tcPr>
            <w:tcW w:w="1340" w:type="dxa"/>
            <w:vAlign w:val="bottom"/>
            <w:tcBorders>
              <w:bottom w:val="single" w:sz="8" w:color="D7D8D6"/>
            </w:tcBorders>
          </w:tcPr>
          <w:p>
            <w:pPr>
              <w:spacing w:after="0"/>
              <w:rPr>
                <w:sz w:val="6"/>
                <w:szCs w:val="6"/>
                <w:color w:val="auto"/>
              </w:rPr>
            </w:pPr>
          </w:p>
        </w:tc>
        <w:tc>
          <w:tcPr>
            <w:tcW w:w="1420" w:type="dxa"/>
            <w:vAlign w:val="bottom"/>
            <w:tcBorders>
              <w:bottom w:val="single" w:sz="8" w:color="D7D8D6"/>
            </w:tcBorders>
          </w:tcPr>
          <w:p>
            <w:pPr>
              <w:spacing w:after="0"/>
              <w:rPr>
                <w:sz w:val="6"/>
                <w:szCs w:val="6"/>
                <w:color w:val="auto"/>
              </w:rPr>
            </w:pPr>
          </w:p>
        </w:tc>
        <w:tc>
          <w:tcPr>
            <w:tcW w:w="1700" w:type="dxa"/>
            <w:vAlign w:val="bottom"/>
            <w:tcBorders>
              <w:bottom w:val="single" w:sz="8" w:color="D7D8D6"/>
            </w:tcBorders>
          </w:tcPr>
          <w:p>
            <w:pPr>
              <w:spacing w:after="0"/>
              <w:rPr>
                <w:sz w:val="6"/>
                <w:szCs w:val="6"/>
                <w:color w:val="auto"/>
              </w:rPr>
            </w:pPr>
          </w:p>
        </w:tc>
        <w:tc>
          <w:tcPr>
            <w:tcW w:w="1100" w:type="dxa"/>
            <w:vAlign w:val="bottom"/>
            <w:tcBorders>
              <w:bottom w:val="single" w:sz="8" w:color="D7D8D6"/>
            </w:tcBorders>
          </w:tcPr>
          <w:p>
            <w:pPr>
              <w:spacing w:after="0"/>
              <w:rPr>
                <w:sz w:val="6"/>
                <w:szCs w:val="6"/>
                <w:color w:val="auto"/>
              </w:rPr>
            </w:pPr>
          </w:p>
        </w:tc>
        <w:tc>
          <w:tcPr>
            <w:tcW w:w="800" w:type="dxa"/>
            <w:vAlign w:val="bottom"/>
            <w:tcBorders>
              <w:bottom w:val="single" w:sz="8" w:color="D7D8D6"/>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940" w:type="dxa"/>
            <w:vAlign w:val="bottom"/>
          </w:tcPr>
          <w:p>
            <w:pPr>
              <w:ind w:left="60"/>
              <w:spacing w:after="0" w:line="72" w:lineRule="exact"/>
              <w:rPr>
                <w:sz w:val="20"/>
                <w:szCs w:val="20"/>
                <w:color w:val="auto"/>
              </w:rPr>
            </w:pPr>
            <w:r>
              <w:rPr>
                <w:rFonts w:ascii="Arial" w:cs="Arial" w:eastAsia="Arial" w:hAnsi="Arial"/>
                <w:sz w:val="8"/>
                <w:szCs w:val="8"/>
                <w:color w:val="333740"/>
              </w:rPr>
              <w:t>Nello Uccelletti</w:t>
            </w:r>
            <w:r>
              <w:rPr>
                <w:rFonts w:ascii="Arial" w:cs="Arial" w:eastAsia="Arial" w:hAnsi="Arial"/>
                <w:sz w:val="4"/>
                <w:szCs w:val="4"/>
                <w:color w:val="333740"/>
              </w:rPr>
              <w:t>3</w:t>
            </w:r>
          </w:p>
        </w:tc>
        <w:tc>
          <w:tcPr>
            <w:tcW w:w="1580" w:type="dxa"/>
            <w:vAlign w:val="bottom"/>
          </w:tcPr>
          <w:p>
            <w:pPr>
              <w:jc w:val="right"/>
              <w:ind w:right="176"/>
              <w:spacing w:after="0" w:line="72" w:lineRule="exact"/>
              <w:rPr>
                <w:sz w:val="20"/>
                <w:szCs w:val="20"/>
                <w:color w:val="auto"/>
              </w:rPr>
            </w:pPr>
            <w:r>
              <w:rPr>
                <w:rFonts w:ascii="Arial" w:cs="Arial" w:eastAsia="Arial" w:hAnsi="Arial"/>
                <w:sz w:val="8"/>
                <w:szCs w:val="8"/>
                <w:color w:val="333740"/>
              </w:rPr>
              <w:t>1,921,458</w:t>
            </w:r>
          </w:p>
        </w:tc>
        <w:tc>
          <w:tcPr>
            <w:tcW w:w="1380" w:type="dxa"/>
            <w:vAlign w:val="bottom"/>
          </w:tcPr>
          <w:p>
            <w:pPr>
              <w:jc w:val="right"/>
              <w:ind w:right="215"/>
              <w:spacing w:after="0" w:line="72" w:lineRule="exact"/>
              <w:rPr>
                <w:sz w:val="20"/>
                <w:szCs w:val="20"/>
                <w:color w:val="auto"/>
              </w:rPr>
            </w:pPr>
            <w:r>
              <w:rPr>
                <w:rFonts w:ascii="Arial" w:cs="Arial" w:eastAsia="Arial" w:hAnsi="Arial"/>
                <w:sz w:val="8"/>
                <w:szCs w:val="8"/>
                <w:color w:val="333740"/>
              </w:rPr>
              <w:t>561,997</w:t>
            </w:r>
          </w:p>
        </w:tc>
        <w:tc>
          <w:tcPr>
            <w:tcW w:w="1340" w:type="dxa"/>
            <w:vAlign w:val="bottom"/>
          </w:tcPr>
          <w:p>
            <w:pPr>
              <w:ind w:left="980"/>
              <w:spacing w:after="0"/>
              <w:rPr>
                <w:sz w:val="20"/>
                <w:szCs w:val="20"/>
                <w:color w:val="auto"/>
              </w:rPr>
            </w:pPr>
            <w:r>
              <w:rPr>
                <w:rFonts w:ascii="Arial" w:cs="Arial" w:eastAsia="Arial" w:hAnsi="Arial"/>
                <w:sz w:val="6"/>
                <w:szCs w:val="6"/>
                <w:color w:val="333740"/>
              </w:rPr>
              <w:t>—</w:t>
            </w:r>
          </w:p>
        </w:tc>
        <w:tc>
          <w:tcPr>
            <w:tcW w:w="1420" w:type="dxa"/>
            <w:vAlign w:val="bottom"/>
          </w:tcPr>
          <w:p>
            <w:pPr>
              <w:jc w:val="right"/>
              <w:ind w:right="356"/>
              <w:spacing w:after="0" w:line="72" w:lineRule="exact"/>
              <w:rPr>
                <w:sz w:val="20"/>
                <w:szCs w:val="20"/>
                <w:color w:val="auto"/>
              </w:rPr>
            </w:pPr>
            <w:r>
              <w:rPr>
                <w:rFonts w:ascii="Arial" w:cs="Arial" w:eastAsia="Arial" w:hAnsi="Arial"/>
                <w:sz w:val="8"/>
                <w:szCs w:val="8"/>
                <w:color w:val="333740"/>
              </w:rPr>
              <w:t>8,100</w:t>
            </w:r>
          </w:p>
        </w:tc>
        <w:tc>
          <w:tcPr>
            <w:tcW w:w="1700" w:type="dxa"/>
            <w:vAlign w:val="bottom"/>
          </w:tcPr>
          <w:p>
            <w:pPr>
              <w:jc w:val="right"/>
              <w:ind w:right="735"/>
              <w:spacing w:after="0" w:line="72" w:lineRule="exact"/>
              <w:rPr>
                <w:sz w:val="20"/>
                <w:szCs w:val="20"/>
                <w:color w:val="auto"/>
              </w:rPr>
            </w:pPr>
            <w:r>
              <w:rPr>
                <w:rFonts w:ascii="Arial" w:cs="Arial" w:eastAsia="Arial" w:hAnsi="Arial"/>
                <w:sz w:val="8"/>
                <w:szCs w:val="8"/>
                <w:color w:val="333740"/>
              </w:rPr>
              <w:t>2,935</w:t>
            </w:r>
          </w:p>
        </w:tc>
        <w:tc>
          <w:tcPr>
            <w:tcW w:w="1100" w:type="dxa"/>
            <w:vAlign w:val="bottom"/>
          </w:tcPr>
          <w:p>
            <w:pPr>
              <w:jc w:val="right"/>
              <w:ind w:right="496"/>
              <w:spacing w:after="0" w:line="72" w:lineRule="exact"/>
              <w:rPr>
                <w:sz w:val="20"/>
                <w:szCs w:val="20"/>
                <w:color w:val="auto"/>
              </w:rPr>
            </w:pPr>
            <w:r>
              <w:rPr>
                <w:rFonts w:ascii="Arial" w:cs="Arial" w:eastAsia="Arial" w:hAnsi="Arial"/>
                <w:sz w:val="8"/>
                <w:szCs w:val="8"/>
                <w:color w:val="333740"/>
              </w:rPr>
              <w:t>50,000</w:t>
            </w:r>
          </w:p>
        </w:tc>
        <w:tc>
          <w:tcPr>
            <w:tcW w:w="800" w:type="dxa"/>
            <w:vAlign w:val="bottom"/>
          </w:tcPr>
          <w:p>
            <w:pPr>
              <w:jc w:val="right"/>
              <w:ind w:right="16"/>
              <w:spacing w:after="0" w:line="72" w:lineRule="exact"/>
              <w:rPr>
                <w:sz w:val="20"/>
                <w:szCs w:val="20"/>
                <w:color w:val="auto"/>
              </w:rPr>
            </w:pPr>
            <w:r>
              <w:rPr>
                <w:rFonts w:ascii="Arial" w:cs="Arial" w:eastAsia="Arial" w:hAnsi="Arial"/>
                <w:sz w:val="8"/>
                <w:szCs w:val="8"/>
                <w:color w:val="333740"/>
              </w:rPr>
              <w:t>2,544,490</w:t>
            </w:r>
          </w:p>
        </w:tc>
        <w:tc>
          <w:tcPr>
            <w:tcW w:w="0" w:type="dxa"/>
            <w:vAlign w:val="bottom"/>
          </w:tcPr>
          <w:p>
            <w:pPr>
              <w:spacing w:after="0"/>
              <w:rPr>
                <w:sz w:val="1"/>
                <w:szCs w:val="1"/>
                <w:color w:val="auto"/>
              </w:rPr>
            </w:pPr>
          </w:p>
        </w:tc>
      </w:tr>
      <w:tr>
        <w:trPr>
          <w:trHeight w:val="72"/>
        </w:trPr>
        <w:tc>
          <w:tcPr>
            <w:tcW w:w="1940" w:type="dxa"/>
            <w:vAlign w:val="bottom"/>
            <w:tcBorders>
              <w:bottom w:val="single" w:sz="8" w:color="D7D8D6"/>
            </w:tcBorders>
          </w:tcPr>
          <w:p>
            <w:pPr>
              <w:spacing w:after="0"/>
              <w:rPr>
                <w:sz w:val="6"/>
                <w:szCs w:val="6"/>
                <w:color w:val="auto"/>
              </w:rPr>
            </w:pPr>
          </w:p>
        </w:tc>
        <w:tc>
          <w:tcPr>
            <w:tcW w:w="1580" w:type="dxa"/>
            <w:vAlign w:val="bottom"/>
            <w:tcBorders>
              <w:bottom w:val="single" w:sz="8" w:color="D7D8D6"/>
            </w:tcBorders>
          </w:tcPr>
          <w:p>
            <w:pPr>
              <w:spacing w:after="0"/>
              <w:rPr>
                <w:sz w:val="6"/>
                <w:szCs w:val="6"/>
                <w:color w:val="auto"/>
              </w:rPr>
            </w:pPr>
          </w:p>
        </w:tc>
        <w:tc>
          <w:tcPr>
            <w:tcW w:w="1380" w:type="dxa"/>
            <w:vAlign w:val="bottom"/>
            <w:tcBorders>
              <w:bottom w:val="single" w:sz="8" w:color="D7D8D6"/>
            </w:tcBorders>
          </w:tcPr>
          <w:p>
            <w:pPr>
              <w:spacing w:after="0"/>
              <w:rPr>
                <w:sz w:val="6"/>
                <w:szCs w:val="6"/>
                <w:color w:val="auto"/>
              </w:rPr>
            </w:pPr>
          </w:p>
        </w:tc>
        <w:tc>
          <w:tcPr>
            <w:tcW w:w="1340" w:type="dxa"/>
            <w:vAlign w:val="bottom"/>
            <w:tcBorders>
              <w:bottom w:val="single" w:sz="8" w:color="D7D8D6"/>
            </w:tcBorders>
          </w:tcPr>
          <w:p>
            <w:pPr>
              <w:spacing w:after="0"/>
              <w:rPr>
                <w:sz w:val="6"/>
                <w:szCs w:val="6"/>
                <w:color w:val="auto"/>
              </w:rPr>
            </w:pPr>
          </w:p>
        </w:tc>
        <w:tc>
          <w:tcPr>
            <w:tcW w:w="1420" w:type="dxa"/>
            <w:vAlign w:val="bottom"/>
            <w:tcBorders>
              <w:bottom w:val="single" w:sz="8" w:color="D7D8D6"/>
            </w:tcBorders>
          </w:tcPr>
          <w:p>
            <w:pPr>
              <w:spacing w:after="0"/>
              <w:rPr>
                <w:sz w:val="6"/>
                <w:szCs w:val="6"/>
                <w:color w:val="auto"/>
              </w:rPr>
            </w:pPr>
          </w:p>
        </w:tc>
        <w:tc>
          <w:tcPr>
            <w:tcW w:w="1700" w:type="dxa"/>
            <w:vAlign w:val="bottom"/>
            <w:tcBorders>
              <w:bottom w:val="single" w:sz="8" w:color="D7D8D6"/>
            </w:tcBorders>
          </w:tcPr>
          <w:p>
            <w:pPr>
              <w:spacing w:after="0"/>
              <w:rPr>
                <w:sz w:val="6"/>
                <w:szCs w:val="6"/>
                <w:color w:val="auto"/>
              </w:rPr>
            </w:pPr>
          </w:p>
        </w:tc>
        <w:tc>
          <w:tcPr>
            <w:tcW w:w="1100" w:type="dxa"/>
            <w:vAlign w:val="bottom"/>
            <w:tcBorders>
              <w:bottom w:val="single" w:sz="8" w:color="D7D8D6"/>
            </w:tcBorders>
          </w:tcPr>
          <w:p>
            <w:pPr>
              <w:spacing w:after="0"/>
              <w:rPr>
                <w:sz w:val="6"/>
                <w:szCs w:val="6"/>
                <w:color w:val="auto"/>
              </w:rPr>
            </w:pPr>
          </w:p>
        </w:tc>
        <w:tc>
          <w:tcPr>
            <w:tcW w:w="800" w:type="dxa"/>
            <w:vAlign w:val="bottom"/>
            <w:tcBorders>
              <w:bottom w:val="single" w:sz="8" w:color="D7D8D6"/>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284" w:right="120" w:hanging="284"/>
        <w:spacing w:after="0" w:line="226" w:lineRule="auto"/>
        <w:tabs>
          <w:tab w:leader="none" w:pos="284" w:val="left"/>
        </w:tabs>
        <w:numPr>
          <w:ilvl w:val="0"/>
          <w:numId w:val="123"/>
        </w:numPr>
        <w:rPr>
          <w:rFonts w:ascii="Arial" w:cs="Arial" w:eastAsia="Arial" w:hAnsi="Arial"/>
          <w:sz w:val="11"/>
          <w:szCs w:val="11"/>
          <w:color w:val="333740"/>
        </w:rPr>
      </w:pPr>
      <w:r>
        <w:rPr>
          <w:rFonts w:ascii="Arial" w:cs="Arial" w:eastAsia="Arial" w:hAnsi="Arial"/>
          <w:sz w:val="11"/>
          <w:szCs w:val="11"/>
          <w:color w:val="333740"/>
        </w:rPr>
        <w:t>The amount represents 18 months of base salary plus target annual cash incentive bonus. For Mr. Uccelletti, the amount represents 18 months’ salary and bonus paid during the prior 12 months, plus an additional amount equal to 40% of his base salary and annual bonus paid during the prior 12 months, payable in monthly installments for up to 12 months, as payment for a non-compete pursuant to the terms of his employment agreement. The Company may waive the non-compete, in which case no additional non-compete payments would be due.</w:t>
      </w:r>
    </w:p>
    <w:p>
      <w:pPr>
        <w:spacing w:after="0" w:line="1" w:lineRule="exact"/>
        <w:rPr>
          <w:rFonts w:ascii="Arial" w:cs="Arial" w:eastAsia="Arial" w:hAnsi="Arial"/>
          <w:sz w:val="11"/>
          <w:szCs w:val="11"/>
          <w:color w:val="333740"/>
        </w:rPr>
      </w:pPr>
    </w:p>
    <w:p>
      <w:pPr>
        <w:ind w:left="284" w:hanging="284"/>
        <w:spacing w:after="0" w:line="226" w:lineRule="auto"/>
        <w:tabs>
          <w:tab w:leader="none" w:pos="284" w:val="left"/>
        </w:tabs>
        <w:numPr>
          <w:ilvl w:val="0"/>
          <w:numId w:val="123"/>
        </w:numPr>
        <w:rPr>
          <w:rFonts w:ascii="Arial" w:cs="Arial" w:eastAsia="Arial" w:hAnsi="Arial"/>
          <w:sz w:val="11"/>
          <w:szCs w:val="11"/>
          <w:color w:val="333740"/>
        </w:rPr>
      </w:pPr>
      <w:r>
        <w:rPr>
          <w:rFonts w:ascii="Arial" w:cs="Arial" w:eastAsia="Arial" w:hAnsi="Arial"/>
          <w:sz w:val="11"/>
          <w:szCs w:val="11"/>
          <w:color w:val="333740"/>
        </w:rPr>
        <w:t>Assumes no change in the coverage by such NEO for their medical and dental benefits coverage as in effect on December 31, 2019.</w:t>
      </w:r>
    </w:p>
    <w:p>
      <w:pPr>
        <w:ind w:left="284" w:hanging="284"/>
        <w:spacing w:after="0"/>
        <w:tabs>
          <w:tab w:leader="none" w:pos="284" w:val="left"/>
        </w:tabs>
        <w:numPr>
          <w:ilvl w:val="0"/>
          <w:numId w:val="123"/>
        </w:numPr>
        <w:rPr>
          <w:rFonts w:ascii="Arial" w:cs="Arial" w:eastAsia="Arial" w:hAnsi="Arial"/>
          <w:sz w:val="11"/>
          <w:szCs w:val="11"/>
          <w:color w:val="333740"/>
        </w:rPr>
      </w:pPr>
      <w:r>
        <w:rPr>
          <w:rFonts w:ascii="Arial" w:cs="Arial" w:eastAsia="Arial" w:hAnsi="Arial"/>
          <w:sz w:val="11"/>
          <w:szCs w:val="11"/>
          <w:color w:val="333740"/>
        </w:rPr>
        <w:t>All amounts for Mr. Uccelletti were converted to U.S. dollars utilizing an average of the Euro to U.S. dollar exchange rates on the last day of each month during 2019.</w:t>
      </w:r>
    </w:p>
    <w:p>
      <w:pPr>
        <w:spacing w:after="0" w:line="337" w:lineRule="exact"/>
        <w:rPr>
          <w:sz w:val="20"/>
          <w:szCs w:val="20"/>
          <w:color w:val="auto"/>
        </w:rPr>
      </w:pPr>
    </w:p>
    <w:p>
      <w:pPr>
        <w:ind w:left="564" w:hanging="564"/>
        <w:spacing w:after="0"/>
        <w:tabs>
          <w:tab w:leader="none" w:pos="564" w:val="left"/>
        </w:tabs>
        <w:numPr>
          <w:ilvl w:val="0"/>
          <w:numId w:val="12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101" w:name="page102"/>
    <w:bookmarkEnd w:id="101"/>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Payments Made in the Event of a Qualifying Termination upon a Change-in-Control</w:t>
      </w:r>
    </w:p>
    <w:p>
      <w:pPr>
        <w:spacing w:after="0" w:line="51" w:lineRule="exact"/>
        <w:rPr>
          <w:sz w:val="20"/>
          <w:szCs w:val="20"/>
          <w:color w:val="auto"/>
        </w:rPr>
      </w:pPr>
    </w:p>
    <w:p>
      <w:pPr>
        <w:ind w:left="4" w:right="120"/>
        <w:spacing w:after="0" w:line="238" w:lineRule="auto"/>
        <w:rPr>
          <w:sz w:val="20"/>
          <w:szCs w:val="20"/>
          <w:color w:val="auto"/>
        </w:rPr>
      </w:pPr>
      <w:r>
        <w:rPr>
          <w:rFonts w:ascii="Arial" w:cs="Arial" w:eastAsia="Arial" w:hAnsi="Arial"/>
          <w:sz w:val="16"/>
          <w:szCs w:val="16"/>
          <w:color w:val="333740"/>
        </w:rPr>
        <w:t>Under the terms of our NEOs’ executive severance agreements, our NEOs are entitled to receive severance benefits if they experience a Qualifying Termination within 24 months following a change-in-control. A “Qualifying Termination” is an involuntary termination of the NEO’s employment by the Company for reasons other than cause, disability, or death or a voluntary resignation for good reason, in each case during the 24-month period following a change-in-control.</w:t>
      </w:r>
    </w:p>
    <w:p>
      <w:pPr>
        <w:spacing w:after="0" w:line="71" w:lineRule="exact"/>
        <w:rPr>
          <w:sz w:val="20"/>
          <w:szCs w:val="20"/>
          <w:color w:val="auto"/>
        </w:rPr>
      </w:pPr>
    </w:p>
    <w:p>
      <w:pPr>
        <w:ind w:left="4" w:right="60"/>
        <w:spacing w:after="0" w:line="238" w:lineRule="auto"/>
        <w:rPr>
          <w:sz w:val="20"/>
          <w:szCs w:val="20"/>
          <w:color w:val="auto"/>
        </w:rPr>
      </w:pPr>
      <w:r>
        <w:rPr>
          <w:rFonts w:ascii="Arial" w:cs="Arial" w:eastAsia="Arial" w:hAnsi="Arial"/>
          <w:sz w:val="16"/>
          <w:szCs w:val="16"/>
          <w:color w:val="333740"/>
        </w:rPr>
        <w:t>The amounts shown in the table below are calculated using the assumption that each NEO incurred a Qualifying Termination upon a change-in-control that was effective as of December 31, 2019. As a result, such amounts are based on amounts earned through such time and are only estimates of amounts that would be paid out to the NEOs in the event of such a termination. The actual amounts that would be paid if such a termination were to occur can only be determined at the time of such NEO’s actual termination.</w:t>
      </w:r>
    </w:p>
    <w:p>
      <w:pPr>
        <w:spacing w:after="0" w:line="200" w:lineRule="exact"/>
        <w:rPr>
          <w:sz w:val="20"/>
          <w:szCs w:val="20"/>
          <w:color w:val="auto"/>
        </w:rPr>
      </w:pPr>
    </w:p>
    <w:p>
      <w:pPr>
        <w:spacing w:after="0" w:line="23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333740"/>
        </w:rPr>
        <w:t>Executive Benefits and Payments for a Qualifying Termination upon Change-in-Control Occurring on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63500</wp:posOffset>
            </wp:positionV>
            <wp:extent cx="6146165" cy="6223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146165" cy="622300"/>
                    </a:xfrm>
                    <a:prstGeom prst="rect">
                      <a:avLst/>
                    </a:prstGeom>
                    <a:noFill/>
                  </pic:spPr>
                </pic:pic>
              </a:graphicData>
            </a:graphic>
          </wp:anchor>
        </w:drawing>
      </w:r>
    </w:p>
    <w:p>
      <w:pPr>
        <w:spacing w:after="0" w:line="80" w:lineRule="exact"/>
        <w:rPr>
          <w:sz w:val="20"/>
          <w:szCs w:val="20"/>
          <w:color w:val="auto"/>
        </w:rPr>
      </w:pPr>
    </w:p>
    <w:tbl>
      <w:tblPr>
        <w:tblLayout w:type="fixed"/>
        <w:tblInd w:w="4" w:type="dxa"/>
        <w:tblCellMar>
          <w:top w:w="0" w:type="dxa"/>
          <w:left w:w="0" w:type="dxa"/>
          <w:bottom w:w="0" w:type="dxa"/>
          <w:right w:w="0" w:type="dxa"/>
        </w:tblCellMar>
      </w:tblPr>
      <w:tr>
        <w:trPr>
          <w:trHeight w:val="147"/>
        </w:trPr>
        <w:tc>
          <w:tcPr>
            <w:tcW w:w="1580" w:type="dxa"/>
            <w:vAlign w:val="bottom"/>
            <w:shd w:val="clear" w:color="auto" w:fill="481F6E"/>
          </w:tcPr>
          <w:p>
            <w:pPr>
              <w:spacing w:after="0"/>
              <w:rPr>
                <w:sz w:val="12"/>
                <w:szCs w:val="12"/>
                <w:color w:val="auto"/>
              </w:rPr>
            </w:pPr>
          </w:p>
        </w:tc>
        <w:tc>
          <w:tcPr>
            <w:tcW w:w="1300" w:type="dxa"/>
            <w:vAlign w:val="bottom"/>
            <w:shd w:val="clear" w:color="auto" w:fill="481F6E"/>
          </w:tcPr>
          <w:p>
            <w:pPr>
              <w:spacing w:after="0"/>
              <w:rPr>
                <w:sz w:val="12"/>
                <w:szCs w:val="12"/>
                <w:color w:val="auto"/>
              </w:rPr>
            </w:pPr>
          </w:p>
        </w:tc>
        <w:tc>
          <w:tcPr>
            <w:tcW w:w="1040" w:type="dxa"/>
            <w:vAlign w:val="bottom"/>
            <w:shd w:val="clear" w:color="auto" w:fill="481F6E"/>
          </w:tcPr>
          <w:p>
            <w:pPr>
              <w:spacing w:after="0"/>
              <w:rPr>
                <w:sz w:val="12"/>
                <w:szCs w:val="12"/>
                <w:color w:val="auto"/>
              </w:rPr>
            </w:pPr>
          </w:p>
        </w:tc>
        <w:tc>
          <w:tcPr>
            <w:tcW w:w="1220" w:type="dxa"/>
            <w:vAlign w:val="bottom"/>
            <w:shd w:val="clear" w:color="auto" w:fill="481F6E"/>
          </w:tcPr>
          <w:p>
            <w:pPr>
              <w:jc w:val="right"/>
              <w:ind w:right="432"/>
              <w:spacing w:after="0"/>
              <w:rPr>
                <w:sz w:val="20"/>
                <w:szCs w:val="20"/>
                <w:color w:val="auto"/>
              </w:rPr>
            </w:pPr>
            <w:r>
              <w:rPr>
                <w:rFonts w:ascii="Arial" w:cs="Arial" w:eastAsia="Arial" w:hAnsi="Arial"/>
                <w:sz w:val="10"/>
                <w:szCs w:val="10"/>
                <w:b w:val="1"/>
                <w:bCs w:val="1"/>
                <w:color w:val="FFFFFF"/>
              </w:rPr>
              <w:t>Compensation</w:t>
            </w:r>
          </w:p>
        </w:tc>
        <w:tc>
          <w:tcPr>
            <w:tcW w:w="1100" w:type="dxa"/>
            <w:vAlign w:val="bottom"/>
            <w:shd w:val="clear" w:color="auto" w:fill="481F6E"/>
          </w:tcPr>
          <w:p>
            <w:pPr>
              <w:spacing w:after="0"/>
              <w:rPr>
                <w:sz w:val="12"/>
                <w:szCs w:val="12"/>
                <w:color w:val="auto"/>
              </w:rPr>
            </w:pPr>
          </w:p>
        </w:tc>
        <w:tc>
          <w:tcPr>
            <w:tcW w:w="1060" w:type="dxa"/>
            <w:vAlign w:val="bottom"/>
            <w:shd w:val="clear" w:color="auto" w:fill="481F6E"/>
          </w:tcPr>
          <w:p>
            <w:pPr>
              <w:spacing w:after="0"/>
              <w:rPr>
                <w:sz w:val="12"/>
                <w:szCs w:val="12"/>
                <w:color w:val="auto"/>
              </w:rPr>
            </w:pPr>
          </w:p>
        </w:tc>
        <w:tc>
          <w:tcPr>
            <w:tcW w:w="2280" w:type="dxa"/>
            <w:vAlign w:val="bottom"/>
            <w:gridSpan w:val="2"/>
            <w:vMerge w:val="restart"/>
            <w:shd w:val="clear" w:color="auto" w:fill="481F6E"/>
          </w:tcPr>
          <w:p>
            <w:pPr>
              <w:jc w:val="right"/>
              <w:ind w:right="352"/>
              <w:spacing w:after="0"/>
              <w:rPr>
                <w:sz w:val="20"/>
                <w:szCs w:val="20"/>
                <w:color w:val="auto"/>
              </w:rPr>
            </w:pPr>
            <w:r>
              <w:rPr>
                <w:rFonts w:ascii="Arial" w:cs="Arial" w:eastAsia="Arial" w:hAnsi="Arial"/>
                <w:sz w:val="10"/>
                <w:szCs w:val="10"/>
                <w:b w:val="1"/>
                <w:bCs w:val="1"/>
                <w:color w:val="FFFFFF"/>
              </w:rPr>
              <w:t>Benefits and Perquisites</w:t>
            </w:r>
          </w:p>
        </w:tc>
        <w:tc>
          <w:tcPr>
            <w:tcW w:w="960" w:type="dxa"/>
            <w:vAlign w:val="bottom"/>
            <w:shd w:val="clear" w:color="auto" w:fill="481F6E"/>
          </w:tcPr>
          <w:p>
            <w:pPr>
              <w:spacing w:after="0"/>
              <w:rPr>
                <w:sz w:val="12"/>
                <w:szCs w:val="12"/>
                <w:color w:val="auto"/>
              </w:rPr>
            </w:pPr>
          </w:p>
        </w:tc>
        <w:tc>
          <w:tcPr>
            <w:tcW w:w="720" w:type="dxa"/>
            <w:vAlign w:val="bottom"/>
            <w:shd w:val="clear" w:color="auto" w:fill="481F6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580" w:type="dxa"/>
            <w:vAlign w:val="bottom"/>
            <w:shd w:val="clear" w:color="auto" w:fill="481F6E"/>
          </w:tcPr>
          <w:p>
            <w:pPr>
              <w:spacing w:after="0"/>
              <w:rPr>
                <w:sz w:val="3"/>
                <w:szCs w:val="3"/>
                <w:color w:val="auto"/>
              </w:rPr>
            </w:pPr>
          </w:p>
        </w:tc>
        <w:tc>
          <w:tcPr>
            <w:tcW w:w="1300" w:type="dxa"/>
            <w:vAlign w:val="bottom"/>
            <w:shd w:val="clear" w:color="auto" w:fill="481F6E"/>
          </w:tcPr>
          <w:p>
            <w:pPr>
              <w:spacing w:after="0"/>
              <w:rPr>
                <w:sz w:val="3"/>
                <w:szCs w:val="3"/>
                <w:color w:val="auto"/>
              </w:rPr>
            </w:pPr>
          </w:p>
        </w:tc>
        <w:tc>
          <w:tcPr>
            <w:tcW w:w="1040" w:type="dxa"/>
            <w:vAlign w:val="bottom"/>
            <w:shd w:val="clear" w:color="auto" w:fill="481F6E"/>
          </w:tcPr>
          <w:p>
            <w:pPr>
              <w:spacing w:after="0"/>
              <w:rPr>
                <w:sz w:val="3"/>
                <w:szCs w:val="3"/>
                <w:color w:val="auto"/>
              </w:rPr>
            </w:pPr>
          </w:p>
        </w:tc>
        <w:tc>
          <w:tcPr>
            <w:tcW w:w="1220" w:type="dxa"/>
            <w:vAlign w:val="bottom"/>
            <w:shd w:val="clear" w:color="auto" w:fill="481F6E"/>
          </w:tcPr>
          <w:p>
            <w:pPr>
              <w:spacing w:after="0"/>
              <w:rPr>
                <w:sz w:val="3"/>
                <w:szCs w:val="3"/>
                <w:color w:val="auto"/>
              </w:rPr>
            </w:pPr>
          </w:p>
        </w:tc>
        <w:tc>
          <w:tcPr>
            <w:tcW w:w="1100" w:type="dxa"/>
            <w:vAlign w:val="bottom"/>
            <w:shd w:val="clear" w:color="auto" w:fill="481F6E"/>
          </w:tcPr>
          <w:p>
            <w:pPr>
              <w:spacing w:after="0"/>
              <w:rPr>
                <w:sz w:val="3"/>
                <w:szCs w:val="3"/>
                <w:color w:val="auto"/>
              </w:rPr>
            </w:pPr>
          </w:p>
        </w:tc>
        <w:tc>
          <w:tcPr>
            <w:tcW w:w="1060" w:type="dxa"/>
            <w:vAlign w:val="bottom"/>
            <w:shd w:val="clear" w:color="auto" w:fill="481F6E"/>
          </w:tcPr>
          <w:p>
            <w:pPr>
              <w:spacing w:after="0"/>
              <w:rPr>
                <w:sz w:val="3"/>
                <w:szCs w:val="3"/>
                <w:color w:val="auto"/>
              </w:rPr>
            </w:pPr>
          </w:p>
        </w:tc>
        <w:tc>
          <w:tcPr>
            <w:tcW w:w="2280" w:type="dxa"/>
            <w:vAlign w:val="bottom"/>
            <w:gridSpan w:val="2"/>
            <w:vMerge w:val="continue"/>
            <w:shd w:val="clear" w:color="auto" w:fill="481F6E"/>
          </w:tcPr>
          <w:p>
            <w:pPr>
              <w:spacing w:after="0"/>
              <w:rPr>
                <w:sz w:val="3"/>
                <w:szCs w:val="3"/>
                <w:color w:val="auto"/>
              </w:rPr>
            </w:pPr>
          </w:p>
        </w:tc>
        <w:tc>
          <w:tcPr>
            <w:tcW w:w="960" w:type="dxa"/>
            <w:vAlign w:val="bottom"/>
            <w:shd w:val="clear" w:color="auto" w:fill="481F6E"/>
          </w:tcPr>
          <w:p>
            <w:pPr>
              <w:spacing w:after="0"/>
              <w:rPr>
                <w:sz w:val="3"/>
                <w:szCs w:val="3"/>
                <w:color w:val="auto"/>
              </w:rPr>
            </w:pPr>
          </w:p>
        </w:tc>
        <w:tc>
          <w:tcPr>
            <w:tcW w:w="720" w:type="dxa"/>
            <w:vAlign w:val="bottom"/>
            <w:shd w:val="clear" w:color="auto" w:fill="481F6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1580" w:type="dxa"/>
            <w:vAlign w:val="bottom"/>
            <w:shd w:val="clear" w:color="auto" w:fill="481F6E"/>
          </w:tcPr>
          <w:p>
            <w:pPr>
              <w:spacing w:after="0"/>
              <w:rPr>
                <w:sz w:val="19"/>
                <w:szCs w:val="19"/>
                <w:color w:val="auto"/>
              </w:rPr>
            </w:pPr>
          </w:p>
        </w:tc>
        <w:tc>
          <w:tcPr>
            <w:tcW w:w="1300" w:type="dxa"/>
            <w:vAlign w:val="bottom"/>
            <w:shd w:val="clear" w:color="auto" w:fill="481F6E"/>
          </w:tcPr>
          <w:p>
            <w:pPr>
              <w:spacing w:after="0"/>
              <w:rPr>
                <w:sz w:val="19"/>
                <w:szCs w:val="19"/>
                <w:color w:val="auto"/>
              </w:rPr>
            </w:pPr>
          </w:p>
        </w:tc>
        <w:tc>
          <w:tcPr>
            <w:tcW w:w="1040" w:type="dxa"/>
            <w:vAlign w:val="bottom"/>
            <w:shd w:val="clear" w:color="auto" w:fill="481F6E"/>
          </w:tcPr>
          <w:p>
            <w:pPr>
              <w:jc w:val="right"/>
              <w:ind w:right="52"/>
              <w:spacing w:after="0"/>
              <w:rPr>
                <w:sz w:val="20"/>
                <w:szCs w:val="20"/>
                <w:color w:val="auto"/>
              </w:rPr>
            </w:pPr>
            <w:r>
              <w:rPr>
                <w:rFonts w:ascii="Arial" w:cs="Arial" w:eastAsia="Arial" w:hAnsi="Arial"/>
                <w:sz w:val="10"/>
                <w:szCs w:val="10"/>
                <w:b w:val="1"/>
                <w:bCs w:val="1"/>
                <w:color w:val="FFFFFF"/>
              </w:rPr>
              <w:t>Pro-rated Target</w:t>
            </w:r>
          </w:p>
        </w:tc>
        <w:tc>
          <w:tcPr>
            <w:tcW w:w="1220" w:type="dxa"/>
            <w:vAlign w:val="bottom"/>
            <w:shd w:val="clear" w:color="auto" w:fill="481F6E"/>
          </w:tcPr>
          <w:p>
            <w:pPr>
              <w:spacing w:after="0"/>
              <w:rPr>
                <w:sz w:val="19"/>
                <w:szCs w:val="19"/>
                <w:color w:val="auto"/>
              </w:rPr>
            </w:pPr>
          </w:p>
        </w:tc>
        <w:tc>
          <w:tcPr>
            <w:tcW w:w="1100" w:type="dxa"/>
            <w:vAlign w:val="bottom"/>
            <w:shd w:val="clear" w:color="auto" w:fill="481F6E"/>
          </w:tcPr>
          <w:p>
            <w:pPr>
              <w:spacing w:after="0"/>
              <w:rPr>
                <w:sz w:val="19"/>
                <w:szCs w:val="19"/>
                <w:color w:val="auto"/>
              </w:rPr>
            </w:pPr>
          </w:p>
        </w:tc>
        <w:tc>
          <w:tcPr>
            <w:tcW w:w="1060" w:type="dxa"/>
            <w:vAlign w:val="bottom"/>
            <w:shd w:val="clear" w:color="auto" w:fill="481F6E"/>
          </w:tcPr>
          <w:p>
            <w:pPr>
              <w:spacing w:after="0"/>
              <w:rPr>
                <w:sz w:val="19"/>
                <w:szCs w:val="19"/>
                <w:color w:val="auto"/>
              </w:rPr>
            </w:pPr>
          </w:p>
        </w:tc>
        <w:tc>
          <w:tcPr>
            <w:tcW w:w="1120" w:type="dxa"/>
            <w:vAlign w:val="bottom"/>
            <w:shd w:val="clear" w:color="auto" w:fill="481F6E"/>
          </w:tcPr>
          <w:p>
            <w:pPr>
              <w:spacing w:after="0"/>
              <w:rPr>
                <w:sz w:val="19"/>
                <w:szCs w:val="19"/>
                <w:color w:val="auto"/>
              </w:rPr>
            </w:pPr>
          </w:p>
        </w:tc>
        <w:tc>
          <w:tcPr>
            <w:tcW w:w="1160" w:type="dxa"/>
            <w:vAlign w:val="bottom"/>
            <w:shd w:val="clear" w:color="auto" w:fill="481F6E"/>
          </w:tcPr>
          <w:p>
            <w:pPr>
              <w:spacing w:after="0"/>
              <w:rPr>
                <w:sz w:val="19"/>
                <w:szCs w:val="19"/>
                <w:color w:val="auto"/>
              </w:rPr>
            </w:pPr>
          </w:p>
        </w:tc>
        <w:tc>
          <w:tcPr>
            <w:tcW w:w="960" w:type="dxa"/>
            <w:vAlign w:val="bottom"/>
            <w:shd w:val="clear" w:color="auto" w:fill="481F6E"/>
          </w:tcPr>
          <w:p>
            <w:pPr>
              <w:spacing w:after="0"/>
              <w:rPr>
                <w:sz w:val="19"/>
                <w:szCs w:val="19"/>
                <w:color w:val="auto"/>
              </w:rPr>
            </w:pPr>
          </w:p>
        </w:tc>
        <w:tc>
          <w:tcPr>
            <w:tcW w:w="720" w:type="dxa"/>
            <w:vAlign w:val="bottom"/>
            <w:shd w:val="clear" w:color="auto" w:fill="481F6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481F6E"/>
          </w:tcPr>
          <w:p>
            <w:pPr>
              <w:spacing w:after="0"/>
              <w:rPr>
                <w:sz w:val="9"/>
                <w:szCs w:val="9"/>
                <w:color w:val="auto"/>
              </w:rPr>
            </w:pPr>
          </w:p>
        </w:tc>
        <w:tc>
          <w:tcPr>
            <w:tcW w:w="1300" w:type="dxa"/>
            <w:vAlign w:val="bottom"/>
            <w:shd w:val="clear" w:color="auto" w:fill="481F6E"/>
          </w:tcPr>
          <w:p>
            <w:pPr>
              <w:spacing w:after="0"/>
              <w:rPr>
                <w:sz w:val="9"/>
                <w:szCs w:val="9"/>
                <w:color w:val="auto"/>
              </w:rPr>
            </w:pPr>
          </w:p>
        </w:tc>
        <w:tc>
          <w:tcPr>
            <w:tcW w:w="1040" w:type="dxa"/>
            <w:vAlign w:val="bottom"/>
            <w:shd w:val="clear" w:color="auto" w:fill="481F6E"/>
          </w:tcPr>
          <w:p>
            <w:pPr>
              <w:jc w:val="right"/>
              <w:ind w:right="52"/>
              <w:spacing w:after="0" w:line="108" w:lineRule="exact"/>
              <w:rPr>
                <w:sz w:val="20"/>
                <w:szCs w:val="20"/>
                <w:color w:val="auto"/>
              </w:rPr>
            </w:pPr>
            <w:r>
              <w:rPr>
                <w:rFonts w:ascii="Arial" w:cs="Arial" w:eastAsia="Arial" w:hAnsi="Arial"/>
                <w:sz w:val="10"/>
                <w:szCs w:val="10"/>
                <w:b w:val="1"/>
                <w:bCs w:val="1"/>
                <w:color w:val="FFFFFF"/>
              </w:rPr>
              <w:t>Annual</w:t>
            </w:r>
          </w:p>
        </w:tc>
        <w:tc>
          <w:tcPr>
            <w:tcW w:w="1220" w:type="dxa"/>
            <w:vAlign w:val="bottom"/>
            <w:shd w:val="clear" w:color="auto" w:fill="481F6E"/>
          </w:tcPr>
          <w:p>
            <w:pPr>
              <w:jc w:val="right"/>
              <w:ind w:right="192"/>
              <w:spacing w:after="0" w:line="108" w:lineRule="exact"/>
              <w:rPr>
                <w:sz w:val="20"/>
                <w:szCs w:val="20"/>
                <w:color w:val="auto"/>
              </w:rPr>
            </w:pPr>
            <w:r>
              <w:rPr>
                <w:rFonts w:ascii="Arial" w:cs="Arial" w:eastAsia="Arial" w:hAnsi="Arial"/>
                <w:sz w:val="10"/>
                <w:szCs w:val="10"/>
                <w:b w:val="1"/>
                <w:bCs w:val="1"/>
                <w:color w:val="FFFFFF"/>
              </w:rPr>
              <w:t>Equity Award</w:t>
            </w:r>
          </w:p>
        </w:tc>
        <w:tc>
          <w:tcPr>
            <w:tcW w:w="1100" w:type="dxa"/>
            <w:vAlign w:val="bottom"/>
            <w:shd w:val="clear" w:color="auto" w:fill="481F6E"/>
          </w:tcPr>
          <w:p>
            <w:pPr>
              <w:spacing w:after="0"/>
              <w:rPr>
                <w:sz w:val="9"/>
                <w:szCs w:val="9"/>
                <w:color w:val="auto"/>
              </w:rPr>
            </w:pPr>
          </w:p>
        </w:tc>
        <w:tc>
          <w:tcPr>
            <w:tcW w:w="1060" w:type="dxa"/>
            <w:vAlign w:val="bottom"/>
            <w:shd w:val="clear" w:color="auto" w:fill="481F6E"/>
          </w:tcPr>
          <w:p>
            <w:pPr>
              <w:jc w:val="right"/>
              <w:ind w:right="152"/>
              <w:spacing w:after="0" w:line="108" w:lineRule="exact"/>
              <w:rPr>
                <w:sz w:val="20"/>
                <w:szCs w:val="20"/>
                <w:color w:val="auto"/>
              </w:rPr>
            </w:pPr>
            <w:r>
              <w:rPr>
                <w:rFonts w:ascii="Arial" w:cs="Arial" w:eastAsia="Arial" w:hAnsi="Arial"/>
                <w:sz w:val="10"/>
                <w:szCs w:val="10"/>
                <w:b w:val="1"/>
                <w:bCs w:val="1"/>
                <w:color w:val="FFFFFF"/>
              </w:rPr>
              <w:t>Medical,</w:t>
            </w:r>
          </w:p>
        </w:tc>
        <w:tc>
          <w:tcPr>
            <w:tcW w:w="1120" w:type="dxa"/>
            <w:vAlign w:val="bottom"/>
            <w:shd w:val="clear" w:color="auto" w:fill="481F6E"/>
          </w:tcPr>
          <w:p>
            <w:pPr>
              <w:jc w:val="right"/>
              <w:ind w:right="212"/>
              <w:spacing w:after="0" w:line="108" w:lineRule="exact"/>
              <w:rPr>
                <w:sz w:val="20"/>
                <w:szCs w:val="20"/>
                <w:color w:val="auto"/>
              </w:rPr>
            </w:pPr>
            <w:r>
              <w:rPr>
                <w:rFonts w:ascii="Arial" w:cs="Arial" w:eastAsia="Arial" w:hAnsi="Arial"/>
                <w:sz w:val="10"/>
                <w:szCs w:val="10"/>
                <w:b w:val="1"/>
                <w:bCs w:val="1"/>
                <w:color w:val="FFFFFF"/>
              </w:rPr>
              <w:t>Financial</w:t>
            </w:r>
          </w:p>
        </w:tc>
        <w:tc>
          <w:tcPr>
            <w:tcW w:w="1160" w:type="dxa"/>
            <w:vAlign w:val="bottom"/>
            <w:shd w:val="clear" w:color="auto" w:fill="481F6E"/>
          </w:tcPr>
          <w:p>
            <w:pPr>
              <w:spacing w:after="0"/>
              <w:rPr>
                <w:sz w:val="9"/>
                <w:szCs w:val="9"/>
                <w:color w:val="auto"/>
              </w:rPr>
            </w:pPr>
          </w:p>
        </w:tc>
        <w:tc>
          <w:tcPr>
            <w:tcW w:w="960" w:type="dxa"/>
            <w:vAlign w:val="bottom"/>
            <w:shd w:val="clear" w:color="auto" w:fill="481F6E"/>
          </w:tcPr>
          <w:p>
            <w:pPr>
              <w:jc w:val="right"/>
              <w:ind w:right="132"/>
              <w:spacing w:after="0" w:line="108" w:lineRule="exact"/>
              <w:rPr>
                <w:sz w:val="20"/>
                <w:szCs w:val="20"/>
                <w:color w:val="auto"/>
              </w:rPr>
            </w:pPr>
            <w:r>
              <w:rPr>
                <w:rFonts w:ascii="Arial" w:cs="Arial" w:eastAsia="Arial" w:hAnsi="Arial"/>
                <w:sz w:val="10"/>
                <w:szCs w:val="10"/>
                <w:b w:val="1"/>
                <w:bCs w:val="1"/>
                <w:color w:val="FFFFFF"/>
              </w:rPr>
              <w:t>Value of</w:t>
            </w:r>
          </w:p>
        </w:tc>
        <w:tc>
          <w:tcPr>
            <w:tcW w:w="720" w:type="dxa"/>
            <w:vAlign w:val="bottom"/>
            <w:shd w:val="clear" w:color="auto" w:fill="481F6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481F6E"/>
          </w:tcPr>
          <w:p>
            <w:pPr>
              <w:spacing w:after="0"/>
              <w:rPr>
                <w:sz w:val="9"/>
                <w:szCs w:val="9"/>
                <w:color w:val="auto"/>
              </w:rPr>
            </w:pPr>
          </w:p>
        </w:tc>
        <w:tc>
          <w:tcPr>
            <w:tcW w:w="1300" w:type="dxa"/>
            <w:vAlign w:val="bottom"/>
            <w:shd w:val="clear" w:color="auto" w:fill="481F6E"/>
          </w:tcPr>
          <w:p>
            <w:pPr>
              <w:spacing w:after="0"/>
              <w:rPr>
                <w:sz w:val="9"/>
                <w:szCs w:val="9"/>
                <w:color w:val="auto"/>
              </w:rPr>
            </w:pPr>
          </w:p>
        </w:tc>
        <w:tc>
          <w:tcPr>
            <w:tcW w:w="1040" w:type="dxa"/>
            <w:vAlign w:val="bottom"/>
            <w:shd w:val="clear" w:color="auto" w:fill="481F6E"/>
          </w:tcPr>
          <w:p>
            <w:pPr>
              <w:jc w:val="right"/>
              <w:ind w:right="52"/>
              <w:spacing w:after="0" w:line="108" w:lineRule="exact"/>
              <w:rPr>
                <w:sz w:val="20"/>
                <w:szCs w:val="20"/>
                <w:color w:val="auto"/>
              </w:rPr>
            </w:pPr>
            <w:r>
              <w:rPr>
                <w:rFonts w:ascii="Arial" w:cs="Arial" w:eastAsia="Arial" w:hAnsi="Arial"/>
                <w:sz w:val="10"/>
                <w:szCs w:val="10"/>
                <w:b w:val="1"/>
                <w:bCs w:val="1"/>
                <w:color w:val="FFFFFF"/>
              </w:rPr>
              <w:t>Cash Incentive</w:t>
            </w:r>
          </w:p>
        </w:tc>
        <w:tc>
          <w:tcPr>
            <w:tcW w:w="1220" w:type="dxa"/>
            <w:vAlign w:val="bottom"/>
            <w:shd w:val="clear" w:color="auto" w:fill="481F6E"/>
          </w:tcPr>
          <w:p>
            <w:pPr>
              <w:jc w:val="right"/>
              <w:ind w:right="192"/>
              <w:spacing w:after="0" w:line="108" w:lineRule="exact"/>
              <w:rPr>
                <w:sz w:val="20"/>
                <w:szCs w:val="20"/>
                <w:color w:val="auto"/>
              </w:rPr>
            </w:pPr>
            <w:r>
              <w:rPr>
                <w:rFonts w:ascii="Arial" w:cs="Arial" w:eastAsia="Arial" w:hAnsi="Arial"/>
                <w:sz w:val="10"/>
                <w:szCs w:val="10"/>
                <w:b w:val="1"/>
                <w:bCs w:val="1"/>
                <w:color w:val="FFFFFF"/>
              </w:rPr>
              <w:t>and Long-</w:t>
            </w:r>
          </w:p>
        </w:tc>
        <w:tc>
          <w:tcPr>
            <w:tcW w:w="1100" w:type="dxa"/>
            <w:vAlign w:val="bottom"/>
            <w:shd w:val="clear" w:color="auto" w:fill="481F6E"/>
          </w:tcPr>
          <w:p>
            <w:pPr>
              <w:spacing w:after="0"/>
              <w:rPr>
                <w:sz w:val="9"/>
                <w:szCs w:val="9"/>
                <w:color w:val="auto"/>
              </w:rPr>
            </w:pPr>
          </w:p>
        </w:tc>
        <w:tc>
          <w:tcPr>
            <w:tcW w:w="1060" w:type="dxa"/>
            <w:vAlign w:val="bottom"/>
            <w:shd w:val="clear" w:color="auto" w:fill="481F6E"/>
          </w:tcPr>
          <w:p>
            <w:pPr>
              <w:jc w:val="right"/>
              <w:ind w:right="152"/>
              <w:spacing w:after="0" w:line="108" w:lineRule="exact"/>
              <w:rPr>
                <w:sz w:val="20"/>
                <w:szCs w:val="20"/>
                <w:color w:val="auto"/>
              </w:rPr>
            </w:pPr>
            <w:r>
              <w:rPr>
                <w:rFonts w:ascii="Arial" w:cs="Arial" w:eastAsia="Arial" w:hAnsi="Arial"/>
                <w:sz w:val="10"/>
                <w:szCs w:val="10"/>
                <w:b w:val="1"/>
                <w:bCs w:val="1"/>
                <w:color w:val="FFFFFF"/>
              </w:rPr>
              <w:t>Dental, Life</w:t>
            </w:r>
          </w:p>
        </w:tc>
        <w:tc>
          <w:tcPr>
            <w:tcW w:w="1120" w:type="dxa"/>
            <w:vAlign w:val="bottom"/>
            <w:shd w:val="clear" w:color="auto" w:fill="481F6E"/>
          </w:tcPr>
          <w:p>
            <w:pPr>
              <w:jc w:val="right"/>
              <w:ind w:right="212"/>
              <w:spacing w:after="0" w:line="108" w:lineRule="exact"/>
              <w:rPr>
                <w:sz w:val="20"/>
                <w:szCs w:val="20"/>
                <w:color w:val="auto"/>
              </w:rPr>
            </w:pPr>
            <w:r>
              <w:rPr>
                <w:rFonts w:ascii="Arial" w:cs="Arial" w:eastAsia="Arial" w:hAnsi="Arial"/>
                <w:sz w:val="10"/>
                <w:szCs w:val="10"/>
                <w:b w:val="1"/>
                <w:bCs w:val="1"/>
                <w:color w:val="FFFFFF"/>
              </w:rPr>
              <w:t>Planning</w:t>
            </w:r>
          </w:p>
        </w:tc>
        <w:tc>
          <w:tcPr>
            <w:tcW w:w="1160" w:type="dxa"/>
            <w:vAlign w:val="bottom"/>
            <w:shd w:val="clear" w:color="auto" w:fill="481F6E"/>
          </w:tcPr>
          <w:p>
            <w:pPr>
              <w:spacing w:after="0"/>
              <w:rPr>
                <w:sz w:val="9"/>
                <w:szCs w:val="9"/>
                <w:color w:val="auto"/>
              </w:rPr>
            </w:pPr>
          </w:p>
        </w:tc>
        <w:tc>
          <w:tcPr>
            <w:tcW w:w="960" w:type="dxa"/>
            <w:vAlign w:val="bottom"/>
            <w:shd w:val="clear" w:color="auto" w:fill="481F6E"/>
          </w:tcPr>
          <w:p>
            <w:pPr>
              <w:jc w:val="right"/>
              <w:ind w:right="132"/>
              <w:spacing w:after="0" w:line="108" w:lineRule="exact"/>
              <w:rPr>
                <w:sz w:val="20"/>
                <w:szCs w:val="20"/>
                <w:color w:val="auto"/>
              </w:rPr>
            </w:pPr>
            <w:r>
              <w:rPr>
                <w:rFonts w:ascii="Arial" w:cs="Arial" w:eastAsia="Arial" w:hAnsi="Arial"/>
                <w:sz w:val="10"/>
                <w:szCs w:val="10"/>
                <w:b w:val="1"/>
                <w:bCs w:val="1"/>
                <w:color w:val="FFFFFF"/>
              </w:rPr>
              <w:t>Additional</w:t>
            </w:r>
          </w:p>
        </w:tc>
        <w:tc>
          <w:tcPr>
            <w:tcW w:w="720" w:type="dxa"/>
            <w:vAlign w:val="bottom"/>
            <w:shd w:val="clear" w:color="auto" w:fill="481F6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481F6E"/>
          </w:tcPr>
          <w:p>
            <w:pPr>
              <w:spacing w:after="0"/>
              <w:rPr>
                <w:sz w:val="9"/>
                <w:szCs w:val="9"/>
                <w:color w:val="auto"/>
              </w:rPr>
            </w:pPr>
          </w:p>
        </w:tc>
        <w:tc>
          <w:tcPr>
            <w:tcW w:w="1300" w:type="dxa"/>
            <w:vAlign w:val="bottom"/>
            <w:shd w:val="clear" w:color="auto" w:fill="481F6E"/>
          </w:tcPr>
          <w:p>
            <w:pPr>
              <w:spacing w:after="0"/>
              <w:rPr>
                <w:sz w:val="9"/>
                <w:szCs w:val="9"/>
                <w:color w:val="auto"/>
              </w:rPr>
            </w:pPr>
          </w:p>
        </w:tc>
        <w:tc>
          <w:tcPr>
            <w:tcW w:w="1040" w:type="dxa"/>
            <w:vAlign w:val="bottom"/>
            <w:shd w:val="clear" w:color="auto" w:fill="481F6E"/>
          </w:tcPr>
          <w:p>
            <w:pPr>
              <w:jc w:val="right"/>
              <w:ind w:right="52"/>
              <w:spacing w:after="0" w:line="108" w:lineRule="exact"/>
              <w:rPr>
                <w:sz w:val="20"/>
                <w:szCs w:val="20"/>
                <w:color w:val="auto"/>
              </w:rPr>
            </w:pPr>
            <w:r>
              <w:rPr>
                <w:rFonts w:ascii="Arial" w:cs="Arial" w:eastAsia="Arial" w:hAnsi="Arial"/>
                <w:sz w:val="10"/>
                <w:szCs w:val="10"/>
                <w:b w:val="1"/>
                <w:bCs w:val="1"/>
                <w:color w:val="FFFFFF"/>
              </w:rPr>
              <w:t>Bonus or</w:t>
            </w:r>
          </w:p>
        </w:tc>
        <w:tc>
          <w:tcPr>
            <w:tcW w:w="1220" w:type="dxa"/>
            <w:vAlign w:val="bottom"/>
            <w:shd w:val="clear" w:color="auto" w:fill="481F6E"/>
          </w:tcPr>
          <w:p>
            <w:pPr>
              <w:jc w:val="right"/>
              <w:ind w:right="192"/>
              <w:spacing w:after="0" w:line="108" w:lineRule="exact"/>
              <w:rPr>
                <w:sz w:val="20"/>
                <w:szCs w:val="20"/>
                <w:color w:val="auto"/>
              </w:rPr>
            </w:pPr>
            <w:r>
              <w:rPr>
                <w:rFonts w:ascii="Arial" w:cs="Arial" w:eastAsia="Arial" w:hAnsi="Arial"/>
                <w:sz w:val="10"/>
                <w:szCs w:val="10"/>
                <w:b w:val="1"/>
                <w:bCs w:val="1"/>
                <w:color w:val="FFFFFF"/>
              </w:rPr>
              <w:t>Term Incentive</w:t>
            </w:r>
          </w:p>
        </w:tc>
        <w:tc>
          <w:tcPr>
            <w:tcW w:w="1100" w:type="dxa"/>
            <w:vAlign w:val="bottom"/>
            <w:shd w:val="clear" w:color="auto" w:fill="481F6E"/>
          </w:tcPr>
          <w:p>
            <w:pPr>
              <w:spacing w:after="0"/>
              <w:rPr>
                <w:sz w:val="9"/>
                <w:szCs w:val="9"/>
                <w:color w:val="auto"/>
              </w:rPr>
            </w:pPr>
          </w:p>
        </w:tc>
        <w:tc>
          <w:tcPr>
            <w:tcW w:w="1060" w:type="dxa"/>
            <w:vAlign w:val="bottom"/>
            <w:shd w:val="clear" w:color="auto" w:fill="481F6E"/>
          </w:tcPr>
          <w:p>
            <w:pPr>
              <w:jc w:val="right"/>
              <w:ind w:right="152"/>
              <w:spacing w:after="0" w:line="108" w:lineRule="exact"/>
              <w:rPr>
                <w:sz w:val="20"/>
                <w:szCs w:val="20"/>
                <w:color w:val="auto"/>
              </w:rPr>
            </w:pPr>
            <w:r>
              <w:rPr>
                <w:rFonts w:ascii="Arial" w:cs="Arial" w:eastAsia="Arial" w:hAnsi="Arial"/>
                <w:sz w:val="10"/>
                <w:szCs w:val="10"/>
                <w:b w:val="1"/>
                <w:bCs w:val="1"/>
                <w:color w:val="FFFFFF"/>
              </w:rPr>
              <w:t>Insurance</w:t>
            </w:r>
          </w:p>
        </w:tc>
        <w:tc>
          <w:tcPr>
            <w:tcW w:w="1120" w:type="dxa"/>
            <w:vAlign w:val="bottom"/>
            <w:shd w:val="clear" w:color="auto" w:fill="481F6E"/>
          </w:tcPr>
          <w:p>
            <w:pPr>
              <w:jc w:val="right"/>
              <w:ind w:right="212"/>
              <w:spacing w:after="0" w:line="108" w:lineRule="exact"/>
              <w:rPr>
                <w:sz w:val="20"/>
                <w:szCs w:val="20"/>
                <w:color w:val="auto"/>
              </w:rPr>
            </w:pPr>
            <w:r>
              <w:rPr>
                <w:rFonts w:ascii="Arial" w:cs="Arial" w:eastAsia="Arial" w:hAnsi="Arial"/>
                <w:sz w:val="10"/>
                <w:szCs w:val="10"/>
                <w:b w:val="1"/>
                <w:bCs w:val="1"/>
                <w:color w:val="FFFFFF"/>
              </w:rPr>
              <w:t>and Tax</w:t>
            </w:r>
          </w:p>
        </w:tc>
        <w:tc>
          <w:tcPr>
            <w:tcW w:w="1160" w:type="dxa"/>
            <w:vAlign w:val="bottom"/>
            <w:shd w:val="clear" w:color="auto" w:fill="481F6E"/>
          </w:tcPr>
          <w:p>
            <w:pPr>
              <w:jc w:val="right"/>
              <w:ind w:right="212"/>
              <w:spacing w:after="0" w:line="108" w:lineRule="exact"/>
              <w:rPr>
                <w:sz w:val="20"/>
                <w:szCs w:val="20"/>
                <w:color w:val="auto"/>
              </w:rPr>
            </w:pPr>
            <w:r>
              <w:rPr>
                <w:rFonts w:ascii="Arial" w:cs="Arial" w:eastAsia="Arial" w:hAnsi="Arial"/>
                <w:sz w:val="10"/>
                <w:szCs w:val="10"/>
                <w:b w:val="1"/>
                <w:bCs w:val="1"/>
                <w:color w:val="FFFFFF"/>
              </w:rPr>
              <w:t>Outplacement</w:t>
            </w:r>
          </w:p>
        </w:tc>
        <w:tc>
          <w:tcPr>
            <w:tcW w:w="960" w:type="dxa"/>
            <w:vAlign w:val="bottom"/>
            <w:shd w:val="clear" w:color="auto" w:fill="481F6E"/>
          </w:tcPr>
          <w:p>
            <w:pPr>
              <w:jc w:val="right"/>
              <w:ind w:right="132"/>
              <w:spacing w:after="0" w:line="108" w:lineRule="exact"/>
              <w:rPr>
                <w:sz w:val="20"/>
                <w:szCs w:val="20"/>
                <w:color w:val="auto"/>
              </w:rPr>
            </w:pPr>
            <w:r>
              <w:rPr>
                <w:rFonts w:ascii="Arial" w:cs="Arial" w:eastAsia="Arial" w:hAnsi="Arial"/>
                <w:sz w:val="10"/>
                <w:szCs w:val="10"/>
                <w:b w:val="1"/>
                <w:bCs w:val="1"/>
                <w:color w:val="FFFFFF"/>
              </w:rPr>
              <w:t>Pension</w:t>
            </w:r>
          </w:p>
        </w:tc>
        <w:tc>
          <w:tcPr>
            <w:tcW w:w="720" w:type="dxa"/>
            <w:vAlign w:val="bottom"/>
            <w:shd w:val="clear" w:color="auto" w:fill="481F6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481F6E"/>
          </w:tcPr>
          <w:p>
            <w:pPr>
              <w:spacing w:after="0"/>
              <w:rPr>
                <w:sz w:val="9"/>
                <w:szCs w:val="9"/>
                <w:color w:val="auto"/>
              </w:rPr>
            </w:pPr>
          </w:p>
        </w:tc>
        <w:tc>
          <w:tcPr>
            <w:tcW w:w="1300" w:type="dxa"/>
            <w:vAlign w:val="bottom"/>
            <w:shd w:val="clear" w:color="auto" w:fill="481F6E"/>
          </w:tcPr>
          <w:p>
            <w:pPr>
              <w:ind w:left="620"/>
              <w:spacing w:after="0" w:line="108" w:lineRule="exact"/>
              <w:rPr>
                <w:sz w:val="20"/>
                <w:szCs w:val="20"/>
                <w:color w:val="auto"/>
              </w:rPr>
            </w:pPr>
            <w:r>
              <w:rPr>
                <w:rFonts w:ascii="Arial" w:cs="Arial" w:eastAsia="Arial" w:hAnsi="Arial"/>
                <w:sz w:val="10"/>
                <w:szCs w:val="10"/>
                <w:b w:val="1"/>
                <w:bCs w:val="1"/>
                <w:color w:val="FFFFFF"/>
              </w:rPr>
              <w:t>Severance</w:t>
            </w:r>
          </w:p>
        </w:tc>
        <w:tc>
          <w:tcPr>
            <w:tcW w:w="1040" w:type="dxa"/>
            <w:vAlign w:val="bottom"/>
            <w:shd w:val="clear" w:color="auto" w:fill="481F6E"/>
          </w:tcPr>
          <w:p>
            <w:pPr>
              <w:jc w:val="right"/>
              <w:ind w:right="52"/>
              <w:spacing w:after="0" w:line="108" w:lineRule="exact"/>
              <w:rPr>
                <w:sz w:val="20"/>
                <w:szCs w:val="20"/>
                <w:color w:val="auto"/>
              </w:rPr>
            </w:pPr>
            <w:r>
              <w:rPr>
                <w:rFonts w:ascii="Arial" w:cs="Arial" w:eastAsia="Arial" w:hAnsi="Arial"/>
                <w:sz w:val="10"/>
                <w:szCs w:val="10"/>
                <w:b w:val="1"/>
                <w:bCs w:val="1"/>
                <w:color w:val="FFFFFF"/>
              </w:rPr>
              <w:t>Agreed Bonus</w:t>
            </w:r>
          </w:p>
        </w:tc>
        <w:tc>
          <w:tcPr>
            <w:tcW w:w="1220" w:type="dxa"/>
            <w:vAlign w:val="bottom"/>
            <w:shd w:val="clear" w:color="auto" w:fill="481F6E"/>
          </w:tcPr>
          <w:p>
            <w:pPr>
              <w:jc w:val="right"/>
              <w:ind w:right="192"/>
              <w:spacing w:after="0" w:line="108" w:lineRule="exact"/>
              <w:rPr>
                <w:sz w:val="20"/>
                <w:szCs w:val="20"/>
                <w:color w:val="auto"/>
              </w:rPr>
            </w:pPr>
            <w:r>
              <w:rPr>
                <w:rFonts w:ascii="Arial" w:cs="Arial" w:eastAsia="Arial" w:hAnsi="Arial"/>
                <w:sz w:val="10"/>
                <w:szCs w:val="10"/>
                <w:b w:val="1"/>
                <w:bCs w:val="1"/>
                <w:color w:val="FFFFFF"/>
              </w:rPr>
              <w:t>Acceleration</w:t>
            </w:r>
          </w:p>
        </w:tc>
        <w:tc>
          <w:tcPr>
            <w:tcW w:w="1100" w:type="dxa"/>
            <w:vAlign w:val="bottom"/>
            <w:shd w:val="clear" w:color="auto" w:fill="481F6E"/>
          </w:tcPr>
          <w:p>
            <w:pPr>
              <w:jc w:val="right"/>
              <w:ind w:right="212"/>
              <w:spacing w:after="0" w:line="108" w:lineRule="exact"/>
              <w:rPr>
                <w:sz w:val="20"/>
                <w:szCs w:val="20"/>
                <w:color w:val="auto"/>
              </w:rPr>
            </w:pPr>
            <w:r>
              <w:rPr>
                <w:rFonts w:ascii="Arial" w:cs="Arial" w:eastAsia="Arial" w:hAnsi="Arial"/>
                <w:sz w:val="10"/>
                <w:szCs w:val="10"/>
                <w:b w:val="1"/>
                <w:bCs w:val="1"/>
                <w:color w:val="FFFFFF"/>
              </w:rPr>
              <w:t>Non-Compete</w:t>
            </w:r>
          </w:p>
        </w:tc>
        <w:tc>
          <w:tcPr>
            <w:tcW w:w="1060" w:type="dxa"/>
            <w:vAlign w:val="bottom"/>
            <w:shd w:val="clear" w:color="auto" w:fill="481F6E"/>
          </w:tcPr>
          <w:p>
            <w:pPr>
              <w:jc w:val="right"/>
              <w:ind w:right="152"/>
              <w:spacing w:after="0" w:line="108" w:lineRule="exact"/>
              <w:rPr>
                <w:sz w:val="20"/>
                <w:szCs w:val="20"/>
                <w:color w:val="auto"/>
              </w:rPr>
            </w:pPr>
            <w:r>
              <w:rPr>
                <w:rFonts w:ascii="Arial" w:cs="Arial" w:eastAsia="Arial" w:hAnsi="Arial"/>
                <w:sz w:val="10"/>
                <w:szCs w:val="10"/>
                <w:b w:val="1"/>
                <w:bCs w:val="1"/>
                <w:color w:val="FFFFFF"/>
              </w:rPr>
              <w:t>and Disability</w:t>
            </w:r>
          </w:p>
        </w:tc>
        <w:tc>
          <w:tcPr>
            <w:tcW w:w="1120" w:type="dxa"/>
            <w:vAlign w:val="bottom"/>
            <w:shd w:val="clear" w:color="auto" w:fill="481F6E"/>
          </w:tcPr>
          <w:p>
            <w:pPr>
              <w:jc w:val="right"/>
              <w:ind w:right="212"/>
              <w:spacing w:after="0" w:line="108" w:lineRule="exact"/>
              <w:rPr>
                <w:sz w:val="20"/>
                <w:szCs w:val="20"/>
                <w:color w:val="auto"/>
              </w:rPr>
            </w:pPr>
            <w:r>
              <w:rPr>
                <w:rFonts w:ascii="Arial" w:cs="Arial" w:eastAsia="Arial" w:hAnsi="Arial"/>
                <w:sz w:val="10"/>
                <w:szCs w:val="10"/>
                <w:b w:val="1"/>
                <w:bCs w:val="1"/>
                <w:color w:val="FFFFFF"/>
              </w:rPr>
              <w:t>Preparation</w:t>
            </w:r>
          </w:p>
        </w:tc>
        <w:tc>
          <w:tcPr>
            <w:tcW w:w="1160" w:type="dxa"/>
            <w:vAlign w:val="bottom"/>
            <w:shd w:val="clear" w:color="auto" w:fill="481F6E"/>
          </w:tcPr>
          <w:p>
            <w:pPr>
              <w:jc w:val="right"/>
              <w:ind w:right="212"/>
              <w:spacing w:after="0" w:line="108" w:lineRule="exact"/>
              <w:rPr>
                <w:sz w:val="20"/>
                <w:szCs w:val="20"/>
                <w:color w:val="auto"/>
              </w:rPr>
            </w:pPr>
            <w:r>
              <w:rPr>
                <w:rFonts w:ascii="Arial" w:cs="Arial" w:eastAsia="Arial" w:hAnsi="Arial"/>
                <w:sz w:val="10"/>
                <w:szCs w:val="10"/>
                <w:b w:val="1"/>
                <w:bCs w:val="1"/>
                <w:color w:val="FFFFFF"/>
              </w:rPr>
              <w:t>Services</w:t>
            </w:r>
          </w:p>
        </w:tc>
        <w:tc>
          <w:tcPr>
            <w:tcW w:w="960" w:type="dxa"/>
            <w:vAlign w:val="bottom"/>
            <w:shd w:val="clear" w:color="auto" w:fill="481F6E"/>
          </w:tcPr>
          <w:p>
            <w:pPr>
              <w:jc w:val="right"/>
              <w:ind w:right="132"/>
              <w:spacing w:after="0" w:line="108" w:lineRule="exact"/>
              <w:rPr>
                <w:sz w:val="20"/>
                <w:szCs w:val="20"/>
                <w:color w:val="auto"/>
              </w:rPr>
            </w:pPr>
            <w:r>
              <w:rPr>
                <w:rFonts w:ascii="Arial" w:cs="Arial" w:eastAsia="Arial" w:hAnsi="Arial"/>
                <w:sz w:val="10"/>
                <w:szCs w:val="10"/>
                <w:b w:val="1"/>
                <w:bCs w:val="1"/>
                <w:color w:val="FFFFFF"/>
              </w:rPr>
              <w:t>Service</w:t>
            </w:r>
          </w:p>
        </w:tc>
        <w:tc>
          <w:tcPr>
            <w:tcW w:w="720" w:type="dxa"/>
            <w:vAlign w:val="bottom"/>
            <w:shd w:val="clear" w:color="auto" w:fill="481F6E"/>
          </w:tcPr>
          <w:p>
            <w:pPr>
              <w:jc w:val="right"/>
              <w:spacing w:after="0" w:line="108" w:lineRule="exact"/>
              <w:rPr>
                <w:sz w:val="20"/>
                <w:szCs w:val="20"/>
                <w:color w:val="auto"/>
              </w:rPr>
            </w:pPr>
            <w:r>
              <w:rPr>
                <w:rFonts w:ascii="Arial" w:cs="Arial" w:eastAsia="Arial" w:hAnsi="Arial"/>
                <w:sz w:val="10"/>
                <w:szCs w:val="10"/>
                <w:b w:val="1"/>
                <w:bCs w:val="1"/>
                <w:color w:val="FFFFFF"/>
              </w:rPr>
              <w:t>Total</w:t>
            </w:r>
          </w:p>
        </w:tc>
        <w:tc>
          <w:tcPr>
            <w:tcW w:w="0" w:type="dxa"/>
            <w:vAlign w:val="bottom"/>
          </w:tcPr>
          <w:p>
            <w:pPr>
              <w:spacing w:after="0"/>
              <w:rPr>
                <w:sz w:val="1"/>
                <w:szCs w:val="1"/>
                <w:color w:val="auto"/>
              </w:rPr>
            </w:pPr>
          </w:p>
        </w:tc>
      </w:tr>
      <w:tr>
        <w:trPr>
          <w:trHeight w:val="146"/>
        </w:trPr>
        <w:tc>
          <w:tcPr>
            <w:tcW w:w="1580" w:type="dxa"/>
            <w:vAlign w:val="bottom"/>
            <w:shd w:val="clear" w:color="auto" w:fill="481F6E"/>
          </w:tcPr>
          <w:p>
            <w:pPr>
              <w:ind w:left="20"/>
              <w:spacing w:after="0"/>
              <w:rPr>
                <w:sz w:val="20"/>
                <w:szCs w:val="20"/>
                <w:color w:val="auto"/>
              </w:rPr>
            </w:pPr>
            <w:r>
              <w:rPr>
                <w:rFonts w:ascii="Arial" w:cs="Arial" w:eastAsia="Arial" w:hAnsi="Arial"/>
                <w:sz w:val="10"/>
                <w:szCs w:val="10"/>
                <w:color w:val="FFFFFF"/>
              </w:rPr>
              <w:t>Name</w:t>
            </w:r>
          </w:p>
        </w:tc>
        <w:tc>
          <w:tcPr>
            <w:tcW w:w="1300" w:type="dxa"/>
            <w:vAlign w:val="bottom"/>
            <w:shd w:val="clear" w:color="auto" w:fill="481F6E"/>
          </w:tcPr>
          <w:p>
            <w:pPr>
              <w:ind w:left="540"/>
              <w:spacing w:after="0"/>
              <w:rPr>
                <w:sz w:val="20"/>
                <w:szCs w:val="20"/>
                <w:color w:val="auto"/>
              </w:rPr>
            </w:pPr>
            <w:r>
              <w:rPr>
                <w:rFonts w:ascii="Arial" w:cs="Arial" w:eastAsia="Arial" w:hAnsi="Arial"/>
                <w:sz w:val="10"/>
                <w:szCs w:val="10"/>
                <w:b w:val="1"/>
                <w:bCs w:val="1"/>
                <w:color w:val="FFFFFF"/>
              </w:rPr>
              <w:t>Payment ($)</w:t>
            </w:r>
            <w:r>
              <w:rPr>
                <w:rFonts w:ascii="Arial" w:cs="Arial" w:eastAsia="Arial" w:hAnsi="Arial"/>
                <w:sz w:val="5"/>
                <w:szCs w:val="5"/>
                <w:b w:val="1"/>
                <w:bCs w:val="1"/>
                <w:color w:val="FFFFFF"/>
              </w:rPr>
              <w:t>1</w:t>
            </w:r>
          </w:p>
        </w:tc>
        <w:tc>
          <w:tcPr>
            <w:tcW w:w="1040" w:type="dxa"/>
            <w:vAlign w:val="bottom"/>
            <w:shd w:val="clear" w:color="auto" w:fill="481F6E"/>
          </w:tcPr>
          <w:p>
            <w:pPr>
              <w:jc w:val="right"/>
              <w:ind w:right="52"/>
              <w:spacing w:after="0"/>
              <w:rPr>
                <w:sz w:val="20"/>
                <w:szCs w:val="20"/>
                <w:color w:val="auto"/>
              </w:rPr>
            </w:pPr>
            <w:r>
              <w:rPr>
                <w:rFonts w:ascii="Arial" w:cs="Arial" w:eastAsia="Arial" w:hAnsi="Arial"/>
                <w:sz w:val="10"/>
                <w:szCs w:val="10"/>
                <w:b w:val="1"/>
                <w:bCs w:val="1"/>
                <w:color w:val="FFFFFF"/>
              </w:rPr>
              <w:t>($)</w:t>
            </w:r>
          </w:p>
        </w:tc>
        <w:tc>
          <w:tcPr>
            <w:tcW w:w="1220" w:type="dxa"/>
            <w:vAlign w:val="bottom"/>
            <w:shd w:val="clear" w:color="auto" w:fill="481F6E"/>
          </w:tcPr>
          <w:p>
            <w:pPr>
              <w:jc w:val="right"/>
              <w:ind w:right="192"/>
              <w:spacing w:after="0"/>
              <w:rPr>
                <w:sz w:val="20"/>
                <w:szCs w:val="20"/>
                <w:color w:val="auto"/>
              </w:rPr>
            </w:pPr>
            <w:r>
              <w:rPr>
                <w:rFonts w:ascii="Arial" w:cs="Arial" w:eastAsia="Arial" w:hAnsi="Arial"/>
                <w:sz w:val="10"/>
                <w:szCs w:val="10"/>
                <w:b w:val="1"/>
                <w:bCs w:val="1"/>
                <w:color w:val="FFFFFF"/>
              </w:rPr>
              <w:t>($)</w:t>
            </w:r>
            <w:r>
              <w:rPr>
                <w:rFonts w:ascii="Arial" w:cs="Arial" w:eastAsia="Arial" w:hAnsi="Arial"/>
                <w:sz w:val="5"/>
                <w:szCs w:val="5"/>
                <w:b w:val="1"/>
                <w:bCs w:val="1"/>
                <w:color w:val="FFFFFF"/>
              </w:rPr>
              <w:t>2</w:t>
            </w:r>
          </w:p>
        </w:tc>
        <w:tc>
          <w:tcPr>
            <w:tcW w:w="1100" w:type="dxa"/>
            <w:vAlign w:val="bottom"/>
            <w:shd w:val="clear" w:color="auto" w:fill="481F6E"/>
          </w:tcPr>
          <w:p>
            <w:pPr>
              <w:jc w:val="right"/>
              <w:ind w:right="212"/>
              <w:spacing w:after="0"/>
              <w:rPr>
                <w:sz w:val="20"/>
                <w:szCs w:val="20"/>
                <w:color w:val="auto"/>
              </w:rPr>
            </w:pPr>
            <w:r>
              <w:rPr>
                <w:rFonts w:ascii="Arial" w:cs="Arial" w:eastAsia="Arial" w:hAnsi="Arial"/>
                <w:sz w:val="10"/>
                <w:szCs w:val="10"/>
                <w:b w:val="1"/>
                <w:bCs w:val="1"/>
                <w:color w:val="FFFFFF"/>
              </w:rPr>
              <w:t>Payments ($)</w:t>
            </w:r>
          </w:p>
        </w:tc>
        <w:tc>
          <w:tcPr>
            <w:tcW w:w="1060" w:type="dxa"/>
            <w:vAlign w:val="bottom"/>
            <w:shd w:val="clear" w:color="auto" w:fill="481F6E"/>
          </w:tcPr>
          <w:p>
            <w:pPr>
              <w:jc w:val="right"/>
              <w:ind w:right="152"/>
              <w:spacing w:after="0"/>
              <w:rPr>
                <w:sz w:val="20"/>
                <w:szCs w:val="20"/>
                <w:color w:val="auto"/>
              </w:rPr>
            </w:pPr>
            <w:r>
              <w:rPr>
                <w:rFonts w:ascii="Arial" w:cs="Arial" w:eastAsia="Arial" w:hAnsi="Arial"/>
                <w:sz w:val="10"/>
                <w:szCs w:val="10"/>
                <w:b w:val="1"/>
                <w:bCs w:val="1"/>
                <w:color w:val="FFFFFF"/>
              </w:rPr>
              <w:t>Benefits ($)</w:t>
            </w:r>
            <w:r>
              <w:rPr>
                <w:rFonts w:ascii="Arial" w:cs="Arial" w:eastAsia="Arial" w:hAnsi="Arial"/>
                <w:sz w:val="5"/>
                <w:szCs w:val="5"/>
                <w:b w:val="1"/>
                <w:bCs w:val="1"/>
                <w:color w:val="FFFFFF"/>
              </w:rPr>
              <w:t>3</w:t>
            </w:r>
          </w:p>
        </w:tc>
        <w:tc>
          <w:tcPr>
            <w:tcW w:w="1120" w:type="dxa"/>
            <w:vAlign w:val="bottom"/>
            <w:shd w:val="clear" w:color="auto" w:fill="481F6E"/>
          </w:tcPr>
          <w:p>
            <w:pPr>
              <w:jc w:val="right"/>
              <w:ind w:right="212"/>
              <w:spacing w:after="0"/>
              <w:rPr>
                <w:sz w:val="20"/>
                <w:szCs w:val="20"/>
                <w:color w:val="auto"/>
              </w:rPr>
            </w:pPr>
            <w:r>
              <w:rPr>
                <w:rFonts w:ascii="Arial" w:cs="Arial" w:eastAsia="Arial" w:hAnsi="Arial"/>
                <w:sz w:val="10"/>
                <w:szCs w:val="10"/>
                <w:b w:val="1"/>
                <w:bCs w:val="1"/>
                <w:color w:val="FFFFFF"/>
              </w:rPr>
              <w:t>Assistance ($)</w:t>
            </w:r>
          </w:p>
        </w:tc>
        <w:tc>
          <w:tcPr>
            <w:tcW w:w="1160" w:type="dxa"/>
            <w:vAlign w:val="bottom"/>
            <w:shd w:val="clear" w:color="auto" w:fill="481F6E"/>
          </w:tcPr>
          <w:p>
            <w:pPr>
              <w:jc w:val="right"/>
              <w:ind w:right="212"/>
              <w:spacing w:after="0"/>
              <w:rPr>
                <w:sz w:val="20"/>
                <w:szCs w:val="20"/>
                <w:color w:val="auto"/>
              </w:rPr>
            </w:pPr>
            <w:r>
              <w:rPr>
                <w:rFonts w:ascii="Arial" w:cs="Arial" w:eastAsia="Arial" w:hAnsi="Arial"/>
                <w:sz w:val="10"/>
                <w:szCs w:val="10"/>
                <w:b w:val="1"/>
                <w:bCs w:val="1"/>
                <w:color w:val="FFFFFF"/>
              </w:rPr>
              <w:t>($)</w:t>
            </w:r>
          </w:p>
        </w:tc>
        <w:tc>
          <w:tcPr>
            <w:tcW w:w="960" w:type="dxa"/>
            <w:vAlign w:val="bottom"/>
            <w:shd w:val="clear" w:color="auto" w:fill="481F6E"/>
          </w:tcPr>
          <w:p>
            <w:pPr>
              <w:jc w:val="right"/>
              <w:ind w:right="132"/>
              <w:spacing w:after="0"/>
              <w:rPr>
                <w:sz w:val="20"/>
                <w:szCs w:val="20"/>
                <w:color w:val="auto"/>
              </w:rPr>
            </w:pPr>
            <w:r>
              <w:rPr>
                <w:rFonts w:ascii="Arial" w:cs="Arial" w:eastAsia="Arial" w:hAnsi="Arial"/>
                <w:sz w:val="10"/>
                <w:szCs w:val="10"/>
                <w:b w:val="1"/>
                <w:bCs w:val="1"/>
                <w:color w:val="FFFFFF"/>
              </w:rPr>
              <w:t>($)</w:t>
            </w:r>
            <w:r>
              <w:rPr>
                <w:rFonts w:ascii="Arial" w:cs="Arial" w:eastAsia="Arial" w:hAnsi="Arial"/>
                <w:sz w:val="5"/>
                <w:szCs w:val="5"/>
                <w:b w:val="1"/>
                <w:bCs w:val="1"/>
                <w:color w:val="FFFFFF"/>
              </w:rPr>
              <w:t>4</w:t>
            </w:r>
          </w:p>
        </w:tc>
        <w:tc>
          <w:tcPr>
            <w:tcW w:w="720" w:type="dxa"/>
            <w:vAlign w:val="bottom"/>
            <w:shd w:val="clear" w:color="auto" w:fill="481F6E"/>
          </w:tcPr>
          <w:p>
            <w:pPr>
              <w:jc w:val="right"/>
              <w:spacing w:after="0"/>
              <w:rPr>
                <w:sz w:val="20"/>
                <w:szCs w:val="20"/>
                <w:color w:val="auto"/>
              </w:rPr>
            </w:pPr>
            <w:r>
              <w:rPr>
                <w:rFonts w:ascii="Arial" w:cs="Arial" w:eastAsia="Arial" w:hAnsi="Arial"/>
                <w:sz w:val="10"/>
                <w:szCs w:val="10"/>
                <w:b w:val="1"/>
                <w:bCs w:val="1"/>
                <w:color w:val="FFFFFF"/>
              </w:rPr>
              <w:t>($)</w:t>
            </w:r>
          </w:p>
        </w:tc>
        <w:tc>
          <w:tcPr>
            <w:tcW w:w="0" w:type="dxa"/>
            <w:vAlign w:val="bottom"/>
          </w:tcPr>
          <w:p>
            <w:pPr>
              <w:spacing w:after="0"/>
              <w:rPr>
                <w:sz w:val="1"/>
                <w:szCs w:val="1"/>
                <w:color w:val="auto"/>
              </w:rPr>
            </w:pPr>
          </w:p>
        </w:tc>
      </w:tr>
      <w:tr>
        <w:trPr>
          <w:trHeight w:val="159"/>
        </w:trPr>
        <w:tc>
          <w:tcPr>
            <w:tcW w:w="1580" w:type="dxa"/>
            <w:vAlign w:val="bottom"/>
            <w:tcBorders>
              <w:bottom w:val="single" w:sz="8" w:color="D7D8D6"/>
            </w:tcBorders>
          </w:tcPr>
          <w:p>
            <w:pPr>
              <w:ind w:left="20"/>
              <w:spacing w:after="0"/>
              <w:rPr>
                <w:sz w:val="20"/>
                <w:szCs w:val="20"/>
                <w:color w:val="auto"/>
              </w:rPr>
            </w:pPr>
            <w:r>
              <w:rPr>
                <w:rFonts w:ascii="Arial" w:cs="Arial" w:eastAsia="Arial" w:hAnsi="Arial"/>
                <w:sz w:val="10"/>
                <w:szCs w:val="10"/>
                <w:color w:val="333740"/>
              </w:rPr>
              <w:t>Douglas J. Pferdehirt</w:t>
            </w:r>
          </w:p>
        </w:tc>
        <w:tc>
          <w:tcPr>
            <w:tcW w:w="1300" w:type="dxa"/>
            <w:vAlign w:val="bottom"/>
            <w:tcBorders>
              <w:bottom w:val="single" w:sz="8" w:color="D7D8D6"/>
            </w:tcBorders>
          </w:tcPr>
          <w:p>
            <w:pPr>
              <w:ind w:left="640"/>
              <w:spacing w:after="0"/>
              <w:rPr>
                <w:sz w:val="20"/>
                <w:szCs w:val="20"/>
                <w:color w:val="auto"/>
              </w:rPr>
            </w:pPr>
            <w:r>
              <w:rPr>
                <w:rFonts w:ascii="Arial" w:cs="Arial" w:eastAsia="Arial" w:hAnsi="Arial"/>
                <w:sz w:val="10"/>
                <w:szCs w:val="10"/>
                <w:color w:val="333740"/>
              </w:rPr>
              <w:t>6,277,644</w:t>
            </w:r>
          </w:p>
        </w:tc>
        <w:tc>
          <w:tcPr>
            <w:tcW w:w="1040" w:type="dxa"/>
            <w:vAlign w:val="bottom"/>
            <w:tcBorders>
              <w:bottom w:val="single" w:sz="8" w:color="D7D8D6"/>
            </w:tcBorders>
          </w:tcPr>
          <w:p>
            <w:pPr>
              <w:jc w:val="right"/>
              <w:ind w:right="92"/>
              <w:spacing w:after="0"/>
              <w:rPr>
                <w:sz w:val="20"/>
                <w:szCs w:val="20"/>
                <w:color w:val="auto"/>
              </w:rPr>
            </w:pPr>
            <w:r>
              <w:rPr>
                <w:rFonts w:ascii="Arial" w:cs="Arial" w:eastAsia="Arial" w:hAnsi="Arial"/>
                <w:sz w:val="10"/>
                <w:szCs w:val="10"/>
                <w:color w:val="333740"/>
              </w:rPr>
              <w:t>2,569,644</w:t>
            </w:r>
          </w:p>
        </w:tc>
        <w:tc>
          <w:tcPr>
            <w:tcW w:w="1220" w:type="dxa"/>
            <w:vAlign w:val="bottom"/>
            <w:tcBorders>
              <w:bottom w:val="single" w:sz="8" w:color="D7D8D6"/>
            </w:tcBorders>
          </w:tcPr>
          <w:p>
            <w:pPr>
              <w:jc w:val="right"/>
              <w:ind w:right="252"/>
              <w:spacing w:after="0"/>
              <w:rPr>
                <w:sz w:val="20"/>
                <w:szCs w:val="20"/>
                <w:color w:val="auto"/>
              </w:rPr>
            </w:pPr>
            <w:r>
              <w:rPr>
                <w:rFonts w:ascii="Arial" w:cs="Arial" w:eastAsia="Arial" w:hAnsi="Arial"/>
                <w:sz w:val="10"/>
                <w:szCs w:val="10"/>
                <w:color w:val="333740"/>
              </w:rPr>
              <w:t>25,830,098</w:t>
            </w:r>
          </w:p>
        </w:tc>
        <w:tc>
          <w:tcPr>
            <w:tcW w:w="1100" w:type="dxa"/>
            <w:vAlign w:val="bottom"/>
            <w:tcBorders>
              <w:bottom w:val="single" w:sz="8" w:color="D7D8D6"/>
            </w:tcBorders>
          </w:tcPr>
          <w:p>
            <w:pPr>
              <w:ind w:left="680"/>
              <w:spacing w:after="0"/>
              <w:rPr>
                <w:sz w:val="20"/>
                <w:szCs w:val="20"/>
                <w:color w:val="auto"/>
              </w:rPr>
            </w:pPr>
            <w:r>
              <w:rPr>
                <w:rFonts w:ascii="Arial" w:cs="Arial" w:eastAsia="Arial" w:hAnsi="Arial"/>
                <w:sz w:val="10"/>
                <w:szCs w:val="10"/>
                <w:color w:val="333740"/>
              </w:rPr>
              <w:t>—</w:t>
            </w:r>
          </w:p>
        </w:tc>
        <w:tc>
          <w:tcPr>
            <w:tcW w:w="1060" w:type="dxa"/>
            <w:vAlign w:val="bottom"/>
            <w:tcBorders>
              <w:bottom w:val="single" w:sz="8" w:color="D7D8D6"/>
            </w:tcBorders>
          </w:tcPr>
          <w:p>
            <w:pPr>
              <w:jc w:val="right"/>
              <w:ind w:right="212"/>
              <w:spacing w:after="0"/>
              <w:rPr>
                <w:sz w:val="20"/>
                <w:szCs w:val="20"/>
                <w:color w:val="auto"/>
              </w:rPr>
            </w:pPr>
            <w:r>
              <w:rPr>
                <w:rFonts w:ascii="Arial" w:cs="Arial" w:eastAsia="Arial" w:hAnsi="Arial"/>
                <w:sz w:val="10"/>
                <w:szCs w:val="10"/>
                <w:color w:val="333740"/>
              </w:rPr>
              <w:t>74,676</w:t>
            </w:r>
          </w:p>
        </w:tc>
        <w:tc>
          <w:tcPr>
            <w:tcW w:w="1120" w:type="dxa"/>
            <w:vAlign w:val="bottom"/>
            <w:tcBorders>
              <w:bottom w:val="single" w:sz="8" w:color="D7D8D6"/>
            </w:tcBorders>
          </w:tcPr>
          <w:p>
            <w:pPr>
              <w:jc w:val="right"/>
              <w:ind w:right="272"/>
              <w:spacing w:after="0"/>
              <w:rPr>
                <w:sz w:val="20"/>
                <w:szCs w:val="20"/>
                <w:color w:val="auto"/>
              </w:rPr>
            </w:pPr>
            <w:r>
              <w:rPr>
                <w:rFonts w:ascii="Arial" w:cs="Arial" w:eastAsia="Arial" w:hAnsi="Arial"/>
                <w:sz w:val="10"/>
                <w:szCs w:val="10"/>
                <w:color w:val="333740"/>
              </w:rPr>
              <w:t>20,935</w:t>
            </w:r>
          </w:p>
        </w:tc>
        <w:tc>
          <w:tcPr>
            <w:tcW w:w="1160" w:type="dxa"/>
            <w:vAlign w:val="bottom"/>
            <w:tcBorders>
              <w:bottom w:val="single" w:sz="8" w:color="D7D8D6"/>
            </w:tcBorders>
          </w:tcPr>
          <w:p>
            <w:pPr>
              <w:jc w:val="right"/>
              <w:ind w:right="332"/>
              <w:spacing w:after="0"/>
              <w:rPr>
                <w:sz w:val="20"/>
                <w:szCs w:val="20"/>
                <w:color w:val="auto"/>
              </w:rPr>
            </w:pPr>
            <w:r>
              <w:rPr>
                <w:rFonts w:ascii="Arial" w:cs="Arial" w:eastAsia="Arial" w:hAnsi="Arial"/>
                <w:sz w:val="10"/>
                <w:szCs w:val="10"/>
                <w:color w:val="333740"/>
              </w:rPr>
              <w:t>50,000</w:t>
            </w:r>
          </w:p>
        </w:tc>
        <w:tc>
          <w:tcPr>
            <w:tcW w:w="960" w:type="dxa"/>
            <w:vAlign w:val="bottom"/>
            <w:tcBorders>
              <w:bottom w:val="single" w:sz="8" w:color="D7D8D6"/>
            </w:tcBorders>
          </w:tcPr>
          <w:p>
            <w:pPr>
              <w:jc w:val="right"/>
              <w:ind w:right="252"/>
              <w:spacing w:after="0"/>
              <w:rPr>
                <w:sz w:val="20"/>
                <w:szCs w:val="20"/>
                <w:color w:val="auto"/>
              </w:rPr>
            </w:pPr>
            <w:r>
              <w:rPr>
                <w:rFonts w:ascii="Arial" w:cs="Arial" w:eastAsia="Arial" w:hAnsi="Arial"/>
                <w:sz w:val="10"/>
                <w:szCs w:val="10"/>
                <w:color w:val="333740"/>
              </w:rPr>
              <w:t>—</w:t>
            </w:r>
          </w:p>
        </w:tc>
        <w:tc>
          <w:tcPr>
            <w:tcW w:w="720" w:type="dxa"/>
            <w:vAlign w:val="bottom"/>
            <w:tcBorders>
              <w:bottom w:val="single" w:sz="8" w:color="D7D8D6"/>
            </w:tcBorders>
          </w:tcPr>
          <w:p>
            <w:pPr>
              <w:jc w:val="right"/>
              <w:ind w:right="32"/>
              <w:spacing w:after="0"/>
              <w:rPr>
                <w:sz w:val="20"/>
                <w:szCs w:val="20"/>
                <w:color w:val="auto"/>
              </w:rPr>
            </w:pPr>
            <w:r>
              <w:rPr>
                <w:rFonts w:ascii="Arial" w:cs="Arial" w:eastAsia="Arial" w:hAnsi="Arial"/>
                <w:sz w:val="10"/>
                <w:szCs w:val="10"/>
                <w:color w:val="333740"/>
              </w:rPr>
              <w:t>27,611,604</w:t>
            </w:r>
          </w:p>
        </w:tc>
        <w:tc>
          <w:tcPr>
            <w:tcW w:w="0" w:type="dxa"/>
            <w:vAlign w:val="bottom"/>
          </w:tcPr>
          <w:p>
            <w:pPr>
              <w:spacing w:after="0"/>
              <w:rPr>
                <w:sz w:val="1"/>
                <w:szCs w:val="1"/>
                <w:color w:val="auto"/>
              </w:rPr>
            </w:pPr>
          </w:p>
        </w:tc>
      </w:tr>
      <w:tr>
        <w:trPr>
          <w:trHeight w:val="159"/>
        </w:trPr>
        <w:tc>
          <w:tcPr>
            <w:tcW w:w="1580" w:type="dxa"/>
            <w:vAlign w:val="bottom"/>
            <w:tcBorders>
              <w:bottom w:val="single" w:sz="8" w:color="D7D8D6"/>
            </w:tcBorders>
          </w:tcPr>
          <w:p>
            <w:pPr>
              <w:ind w:left="20"/>
              <w:spacing w:after="0"/>
              <w:rPr>
                <w:sz w:val="20"/>
                <w:szCs w:val="20"/>
                <w:color w:val="auto"/>
              </w:rPr>
            </w:pPr>
            <w:r>
              <w:rPr>
                <w:rFonts w:ascii="Arial" w:cs="Arial" w:eastAsia="Arial" w:hAnsi="Arial"/>
                <w:sz w:val="10"/>
                <w:szCs w:val="10"/>
                <w:color w:val="333740"/>
              </w:rPr>
              <w:t>Maryann T. Mannen</w:t>
            </w:r>
          </w:p>
        </w:tc>
        <w:tc>
          <w:tcPr>
            <w:tcW w:w="1300" w:type="dxa"/>
            <w:vAlign w:val="bottom"/>
            <w:tcBorders>
              <w:bottom w:val="single" w:sz="8" w:color="D7D8D6"/>
            </w:tcBorders>
          </w:tcPr>
          <w:p>
            <w:pPr>
              <w:ind w:left="640"/>
              <w:spacing w:after="0"/>
              <w:rPr>
                <w:sz w:val="20"/>
                <w:szCs w:val="20"/>
                <w:color w:val="auto"/>
              </w:rPr>
            </w:pPr>
            <w:r>
              <w:rPr>
                <w:rFonts w:ascii="Arial" w:cs="Arial" w:eastAsia="Arial" w:hAnsi="Arial"/>
                <w:sz w:val="10"/>
                <w:szCs w:val="10"/>
                <w:color w:val="333740"/>
              </w:rPr>
              <w:t>3,637,792</w:t>
            </w:r>
          </w:p>
        </w:tc>
        <w:tc>
          <w:tcPr>
            <w:tcW w:w="1040" w:type="dxa"/>
            <w:vAlign w:val="bottom"/>
            <w:tcBorders>
              <w:bottom w:val="single" w:sz="8" w:color="D7D8D6"/>
            </w:tcBorders>
          </w:tcPr>
          <w:p>
            <w:pPr>
              <w:jc w:val="right"/>
              <w:ind w:right="92"/>
              <w:spacing w:after="0"/>
              <w:rPr>
                <w:sz w:val="20"/>
                <w:szCs w:val="20"/>
                <w:color w:val="auto"/>
              </w:rPr>
            </w:pPr>
            <w:r>
              <w:rPr>
                <w:rFonts w:ascii="Arial" w:cs="Arial" w:eastAsia="Arial" w:hAnsi="Arial"/>
                <w:sz w:val="10"/>
                <w:szCs w:val="10"/>
                <w:color w:val="333740"/>
              </w:rPr>
              <w:t>1,228,792</w:t>
            </w:r>
          </w:p>
        </w:tc>
        <w:tc>
          <w:tcPr>
            <w:tcW w:w="1220" w:type="dxa"/>
            <w:vAlign w:val="bottom"/>
            <w:tcBorders>
              <w:bottom w:val="single" w:sz="8" w:color="D7D8D6"/>
            </w:tcBorders>
          </w:tcPr>
          <w:p>
            <w:pPr>
              <w:jc w:val="right"/>
              <w:ind w:right="252"/>
              <w:spacing w:after="0"/>
              <w:rPr>
                <w:sz w:val="20"/>
                <w:szCs w:val="20"/>
                <w:color w:val="auto"/>
              </w:rPr>
            </w:pPr>
            <w:r>
              <w:rPr>
                <w:rFonts w:ascii="Arial" w:cs="Arial" w:eastAsia="Arial" w:hAnsi="Arial"/>
                <w:sz w:val="10"/>
                <w:szCs w:val="10"/>
                <w:color w:val="333740"/>
              </w:rPr>
              <w:t>8,289,497</w:t>
            </w:r>
          </w:p>
        </w:tc>
        <w:tc>
          <w:tcPr>
            <w:tcW w:w="1100" w:type="dxa"/>
            <w:vAlign w:val="bottom"/>
            <w:tcBorders>
              <w:bottom w:val="single" w:sz="8" w:color="D7D8D6"/>
            </w:tcBorders>
          </w:tcPr>
          <w:p>
            <w:pPr>
              <w:ind w:left="680"/>
              <w:spacing w:after="0"/>
              <w:rPr>
                <w:sz w:val="20"/>
                <w:szCs w:val="20"/>
                <w:color w:val="auto"/>
              </w:rPr>
            </w:pPr>
            <w:r>
              <w:rPr>
                <w:rFonts w:ascii="Arial" w:cs="Arial" w:eastAsia="Arial" w:hAnsi="Arial"/>
                <w:sz w:val="10"/>
                <w:szCs w:val="10"/>
                <w:color w:val="333740"/>
              </w:rPr>
              <w:t>—</w:t>
            </w:r>
          </w:p>
        </w:tc>
        <w:tc>
          <w:tcPr>
            <w:tcW w:w="1060" w:type="dxa"/>
            <w:vAlign w:val="bottom"/>
            <w:tcBorders>
              <w:bottom w:val="single" w:sz="8" w:color="D7D8D6"/>
            </w:tcBorders>
          </w:tcPr>
          <w:p>
            <w:pPr>
              <w:jc w:val="right"/>
              <w:ind w:right="212"/>
              <w:spacing w:after="0"/>
              <w:rPr>
                <w:sz w:val="20"/>
                <w:szCs w:val="20"/>
                <w:color w:val="auto"/>
              </w:rPr>
            </w:pPr>
            <w:r>
              <w:rPr>
                <w:rFonts w:ascii="Arial" w:cs="Arial" w:eastAsia="Arial" w:hAnsi="Arial"/>
                <w:sz w:val="10"/>
                <w:szCs w:val="10"/>
                <w:color w:val="333740"/>
              </w:rPr>
              <w:t>35,731</w:t>
            </w:r>
          </w:p>
        </w:tc>
        <w:tc>
          <w:tcPr>
            <w:tcW w:w="1120" w:type="dxa"/>
            <w:vAlign w:val="bottom"/>
            <w:tcBorders>
              <w:bottom w:val="single" w:sz="8" w:color="D7D8D6"/>
            </w:tcBorders>
          </w:tcPr>
          <w:p>
            <w:pPr>
              <w:jc w:val="right"/>
              <w:ind w:right="272"/>
              <w:spacing w:after="0"/>
              <w:rPr>
                <w:sz w:val="20"/>
                <w:szCs w:val="20"/>
                <w:color w:val="auto"/>
              </w:rPr>
            </w:pPr>
            <w:r>
              <w:rPr>
                <w:rFonts w:ascii="Arial" w:cs="Arial" w:eastAsia="Arial" w:hAnsi="Arial"/>
                <w:sz w:val="10"/>
                <w:szCs w:val="10"/>
                <w:color w:val="333740"/>
              </w:rPr>
              <w:t>20,935</w:t>
            </w:r>
          </w:p>
        </w:tc>
        <w:tc>
          <w:tcPr>
            <w:tcW w:w="1160" w:type="dxa"/>
            <w:vAlign w:val="bottom"/>
            <w:tcBorders>
              <w:bottom w:val="single" w:sz="8" w:color="D7D8D6"/>
            </w:tcBorders>
          </w:tcPr>
          <w:p>
            <w:pPr>
              <w:jc w:val="right"/>
              <w:ind w:right="332"/>
              <w:spacing w:after="0"/>
              <w:rPr>
                <w:sz w:val="20"/>
                <w:szCs w:val="20"/>
                <w:color w:val="auto"/>
              </w:rPr>
            </w:pPr>
            <w:r>
              <w:rPr>
                <w:rFonts w:ascii="Arial" w:cs="Arial" w:eastAsia="Arial" w:hAnsi="Arial"/>
                <w:sz w:val="10"/>
                <w:szCs w:val="10"/>
                <w:color w:val="333740"/>
              </w:rPr>
              <w:t>50,000</w:t>
            </w:r>
          </w:p>
        </w:tc>
        <w:tc>
          <w:tcPr>
            <w:tcW w:w="960" w:type="dxa"/>
            <w:vAlign w:val="bottom"/>
            <w:tcBorders>
              <w:bottom w:val="single" w:sz="8" w:color="D7D8D6"/>
            </w:tcBorders>
          </w:tcPr>
          <w:p>
            <w:pPr>
              <w:jc w:val="right"/>
              <w:ind w:right="252"/>
              <w:spacing w:after="0"/>
              <w:rPr>
                <w:sz w:val="20"/>
                <w:szCs w:val="20"/>
                <w:color w:val="auto"/>
              </w:rPr>
            </w:pPr>
            <w:r>
              <w:rPr>
                <w:rFonts w:ascii="Arial" w:cs="Arial" w:eastAsia="Arial" w:hAnsi="Arial"/>
                <w:sz w:val="10"/>
                <w:szCs w:val="10"/>
                <w:color w:val="333740"/>
              </w:rPr>
              <w:t>1,793,614</w:t>
            </w:r>
          </w:p>
        </w:tc>
        <w:tc>
          <w:tcPr>
            <w:tcW w:w="720" w:type="dxa"/>
            <w:vAlign w:val="bottom"/>
            <w:tcBorders>
              <w:bottom w:val="single" w:sz="8" w:color="D7D8D6"/>
            </w:tcBorders>
          </w:tcPr>
          <w:p>
            <w:pPr>
              <w:jc w:val="right"/>
              <w:ind w:right="32"/>
              <w:spacing w:after="0"/>
              <w:rPr>
                <w:sz w:val="20"/>
                <w:szCs w:val="20"/>
                <w:color w:val="auto"/>
              </w:rPr>
            </w:pPr>
            <w:r>
              <w:rPr>
                <w:rFonts w:ascii="Arial" w:cs="Arial" w:eastAsia="Arial" w:hAnsi="Arial"/>
                <w:sz w:val="10"/>
                <w:szCs w:val="10"/>
                <w:color w:val="333740"/>
              </w:rPr>
              <w:t>12,751,687</w:t>
            </w:r>
          </w:p>
        </w:tc>
        <w:tc>
          <w:tcPr>
            <w:tcW w:w="0" w:type="dxa"/>
            <w:vAlign w:val="bottom"/>
          </w:tcPr>
          <w:p>
            <w:pPr>
              <w:spacing w:after="0"/>
              <w:rPr>
                <w:sz w:val="1"/>
                <w:szCs w:val="1"/>
                <w:color w:val="auto"/>
              </w:rPr>
            </w:pPr>
          </w:p>
        </w:tc>
      </w:tr>
      <w:tr>
        <w:trPr>
          <w:trHeight w:val="159"/>
        </w:trPr>
        <w:tc>
          <w:tcPr>
            <w:tcW w:w="1580" w:type="dxa"/>
            <w:vAlign w:val="bottom"/>
            <w:tcBorders>
              <w:bottom w:val="single" w:sz="8" w:color="D7D8D6"/>
            </w:tcBorders>
          </w:tcPr>
          <w:p>
            <w:pPr>
              <w:ind w:left="20"/>
              <w:spacing w:after="0"/>
              <w:rPr>
                <w:sz w:val="20"/>
                <w:szCs w:val="20"/>
                <w:color w:val="auto"/>
              </w:rPr>
            </w:pPr>
            <w:r>
              <w:rPr>
                <w:rFonts w:ascii="Arial" w:cs="Arial" w:eastAsia="Arial" w:hAnsi="Arial"/>
                <w:sz w:val="10"/>
                <w:szCs w:val="10"/>
                <w:color w:val="333740"/>
              </w:rPr>
              <w:t>Dianne B. Ralston</w:t>
            </w:r>
          </w:p>
        </w:tc>
        <w:tc>
          <w:tcPr>
            <w:tcW w:w="1300" w:type="dxa"/>
            <w:vAlign w:val="bottom"/>
            <w:tcBorders>
              <w:bottom w:val="single" w:sz="8" w:color="D7D8D6"/>
            </w:tcBorders>
          </w:tcPr>
          <w:p>
            <w:pPr>
              <w:ind w:left="640"/>
              <w:spacing w:after="0"/>
              <w:rPr>
                <w:sz w:val="20"/>
                <w:szCs w:val="20"/>
                <w:color w:val="auto"/>
              </w:rPr>
            </w:pPr>
            <w:r>
              <w:rPr>
                <w:rFonts w:ascii="Arial" w:cs="Arial" w:eastAsia="Arial" w:hAnsi="Arial"/>
                <w:sz w:val="10"/>
                <w:szCs w:val="10"/>
                <w:color w:val="333740"/>
              </w:rPr>
              <w:t>2,912,803</w:t>
            </w:r>
          </w:p>
        </w:tc>
        <w:tc>
          <w:tcPr>
            <w:tcW w:w="1040" w:type="dxa"/>
            <w:vAlign w:val="bottom"/>
            <w:tcBorders>
              <w:bottom w:val="single" w:sz="8" w:color="D7D8D6"/>
            </w:tcBorders>
          </w:tcPr>
          <w:p>
            <w:pPr>
              <w:jc w:val="right"/>
              <w:ind w:right="92"/>
              <w:spacing w:after="0"/>
              <w:rPr>
                <w:sz w:val="20"/>
                <w:szCs w:val="20"/>
                <w:color w:val="auto"/>
              </w:rPr>
            </w:pPr>
            <w:r>
              <w:rPr>
                <w:rFonts w:ascii="Arial" w:cs="Arial" w:eastAsia="Arial" w:hAnsi="Arial"/>
                <w:sz w:val="10"/>
                <w:szCs w:val="10"/>
                <w:color w:val="333740"/>
              </w:rPr>
              <w:t>983,803</w:t>
            </w:r>
          </w:p>
        </w:tc>
        <w:tc>
          <w:tcPr>
            <w:tcW w:w="1220" w:type="dxa"/>
            <w:vAlign w:val="bottom"/>
            <w:tcBorders>
              <w:bottom w:val="single" w:sz="8" w:color="D7D8D6"/>
            </w:tcBorders>
          </w:tcPr>
          <w:p>
            <w:pPr>
              <w:jc w:val="right"/>
              <w:ind w:right="252"/>
              <w:spacing w:after="0"/>
              <w:rPr>
                <w:sz w:val="20"/>
                <w:szCs w:val="20"/>
                <w:color w:val="auto"/>
              </w:rPr>
            </w:pPr>
            <w:r>
              <w:rPr>
                <w:rFonts w:ascii="Arial" w:cs="Arial" w:eastAsia="Arial" w:hAnsi="Arial"/>
                <w:sz w:val="10"/>
                <w:szCs w:val="10"/>
                <w:color w:val="333740"/>
              </w:rPr>
              <w:t>5,615,479</w:t>
            </w:r>
          </w:p>
        </w:tc>
        <w:tc>
          <w:tcPr>
            <w:tcW w:w="1100" w:type="dxa"/>
            <w:vAlign w:val="bottom"/>
            <w:tcBorders>
              <w:bottom w:val="single" w:sz="8" w:color="D7D8D6"/>
            </w:tcBorders>
          </w:tcPr>
          <w:p>
            <w:pPr>
              <w:ind w:left="680"/>
              <w:spacing w:after="0"/>
              <w:rPr>
                <w:sz w:val="20"/>
                <w:szCs w:val="20"/>
                <w:color w:val="auto"/>
              </w:rPr>
            </w:pPr>
            <w:r>
              <w:rPr>
                <w:rFonts w:ascii="Arial" w:cs="Arial" w:eastAsia="Arial" w:hAnsi="Arial"/>
                <w:sz w:val="10"/>
                <w:szCs w:val="10"/>
                <w:color w:val="333740"/>
              </w:rPr>
              <w:t>—</w:t>
            </w:r>
          </w:p>
        </w:tc>
        <w:tc>
          <w:tcPr>
            <w:tcW w:w="1060" w:type="dxa"/>
            <w:vAlign w:val="bottom"/>
            <w:tcBorders>
              <w:bottom w:val="single" w:sz="8" w:color="D7D8D6"/>
            </w:tcBorders>
          </w:tcPr>
          <w:p>
            <w:pPr>
              <w:jc w:val="right"/>
              <w:ind w:right="212"/>
              <w:spacing w:after="0"/>
              <w:rPr>
                <w:sz w:val="20"/>
                <w:szCs w:val="20"/>
                <w:color w:val="auto"/>
              </w:rPr>
            </w:pPr>
            <w:r>
              <w:rPr>
                <w:rFonts w:ascii="Arial" w:cs="Arial" w:eastAsia="Arial" w:hAnsi="Arial"/>
                <w:sz w:val="10"/>
                <w:szCs w:val="10"/>
                <w:color w:val="333740"/>
              </w:rPr>
              <w:t>797</w:t>
            </w:r>
          </w:p>
        </w:tc>
        <w:tc>
          <w:tcPr>
            <w:tcW w:w="1120" w:type="dxa"/>
            <w:vAlign w:val="bottom"/>
            <w:tcBorders>
              <w:bottom w:val="single" w:sz="8" w:color="D7D8D6"/>
            </w:tcBorders>
          </w:tcPr>
          <w:p>
            <w:pPr>
              <w:jc w:val="right"/>
              <w:ind w:right="272"/>
              <w:spacing w:after="0"/>
              <w:rPr>
                <w:sz w:val="20"/>
                <w:szCs w:val="20"/>
                <w:color w:val="auto"/>
              </w:rPr>
            </w:pPr>
            <w:r>
              <w:rPr>
                <w:rFonts w:ascii="Arial" w:cs="Arial" w:eastAsia="Arial" w:hAnsi="Arial"/>
                <w:sz w:val="10"/>
                <w:szCs w:val="10"/>
                <w:color w:val="333740"/>
              </w:rPr>
              <w:t>20,935</w:t>
            </w:r>
          </w:p>
        </w:tc>
        <w:tc>
          <w:tcPr>
            <w:tcW w:w="1160" w:type="dxa"/>
            <w:vAlign w:val="bottom"/>
            <w:tcBorders>
              <w:bottom w:val="single" w:sz="8" w:color="D7D8D6"/>
            </w:tcBorders>
          </w:tcPr>
          <w:p>
            <w:pPr>
              <w:jc w:val="right"/>
              <w:ind w:right="332"/>
              <w:spacing w:after="0"/>
              <w:rPr>
                <w:sz w:val="20"/>
                <w:szCs w:val="20"/>
                <w:color w:val="auto"/>
              </w:rPr>
            </w:pPr>
            <w:r>
              <w:rPr>
                <w:rFonts w:ascii="Arial" w:cs="Arial" w:eastAsia="Arial" w:hAnsi="Arial"/>
                <w:sz w:val="10"/>
                <w:szCs w:val="10"/>
                <w:color w:val="333740"/>
              </w:rPr>
              <w:t>50,000</w:t>
            </w:r>
          </w:p>
        </w:tc>
        <w:tc>
          <w:tcPr>
            <w:tcW w:w="960" w:type="dxa"/>
            <w:vAlign w:val="bottom"/>
            <w:tcBorders>
              <w:bottom w:val="single" w:sz="8" w:color="D7D8D6"/>
            </w:tcBorders>
          </w:tcPr>
          <w:p>
            <w:pPr>
              <w:jc w:val="right"/>
              <w:ind w:right="252"/>
              <w:spacing w:after="0"/>
              <w:rPr>
                <w:sz w:val="20"/>
                <w:szCs w:val="20"/>
                <w:color w:val="auto"/>
              </w:rPr>
            </w:pPr>
            <w:r>
              <w:rPr>
                <w:rFonts w:ascii="Arial" w:cs="Arial" w:eastAsia="Arial" w:hAnsi="Arial"/>
                <w:sz w:val="10"/>
                <w:szCs w:val="10"/>
                <w:color w:val="333740"/>
              </w:rPr>
              <w:t>—</w:t>
            </w:r>
          </w:p>
        </w:tc>
        <w:tc>
          <w:tcPr>
            <w:tcW w:w="720" w:type="dxa"/>
            <w:vAlign w:val="bottom"/>
            <w:tcBorders>
              <w:bottom w:val="single" w:sz="8" w:color="D7D8D6"/>
            </w:tcBorders>
          </w:tcPr>
          <w:p>
            <w:pPr>
              <w:jc w:val="right"/>
              <w:ind w:right="32"/>
              <w:spacing w:after="0"/>
              <w:rPr>
                <w:sz w:val="20"/>
                <w:szCs w:val="20"/>
                <w:color w:val="auto"/>
              </w:rPr>
            </w:pPr>
            <w:r>
              <w:rPr>
                <w:rFonts w:ascii="Arial" w:cs="Arial" w:eastAsia="Arial" w:hAnsi="Arial"/>
                <w:sz w:val="10"/>
                <w:szCs w:val="10"/>
                <w:color w:val="333740"/>
              </w:rPr>
              <w:t>8,022,590</w:t>
            </w:r>
          </w:p>
        </w:tc>
        <w:tc>
          <w:tcPr>
            <w:tcW w:w="0" w:type="dxa"/>
            <w:vAlign w:val="bottom"/>
          </w:tcPr>
          <w:p>
            <w:pPr>
              <w:spacing w:after="0"/>
              <w:rPr>
                <w:sz w:val="1"/>
                <w:szCs w:val="1"/>
                <w:color w:val="auto"/>
              </w:rPr>
            </w:pPr>
          </w:p>
        </w:tc>
      </w:tr>
      <w:tr>
        <w:trPr>
          <w:trHeight w:val="159"/>
        </w:trPr>
        <w:tc>
          <w:tcPr>
            <w:tcW w:w="1580" w:type="dxa"/>
            <w:vAlign w:val="bottom"/>
            <w:tcBorders>
              <w:bottom w:val="single" w:sz="8" w:color="D7D8D6"/>
            </w:tcBorders>
          </w:tcPr>
          <w:p>
            <w:pPr>
              <w:ind w:left="20"/>
              <w:spacing w:after="0"/>
              <w:rPr>
                <w:sz w:val="20"/>
                <w:szCs w:val="20"/>
                <w:color w:val="auto"/>
              </w:rPr>
            </w:pPr>
            <w:r>
              <w:rPr>
                <w:rFonts w:ascii="Arial" w:cs="Arial" w:eastAsia="Arial" w:hAnsi="Arial"/>
                <w:sz w:val="10"/>
                <w:szCs w:val="10"/>
                <w:color w:val="333740"/>
              </w:rPr>
              <w:t>Justin Rounce</w:t>
            </w:r>
          </w:p>
        </w:tc>
        <w:tc>
          <w:tcPr>
            <w:tcW w:w="1300" w:type="dxa"/>
            <w:vAlign w:val="bottom"/>
            <w:tcBorders>
              <w:bottom w:val="single" w:sz="8" w:color="D7D8D6"/>
            </w:tcBorders>
          </w:tcPr>
          <w:p>
            <w:pPr>
              <w:ind w:left="640"/>
              <w:spacing w:after="0"/>
              <w:rPr>
                <w:sz w:val="20"/>
                <w:szCs w:val="20"/>
                <w:color w:val="auto"/>
              </w:rPr>
            </w:pPr>
            <w:r>
              <w:rPr>
                <w:rFonts w:ascii="Arial" w:cs="Arial" w:eastAsia="Arial" w:hAnsi="Arial"/>
                <w:sz w:val="10"/>
                <w:szCs w:val="10"/>
                <w:color w:val="333740"/>
              </w:rPr>
              <w:t>2,124,000</w:t>
            </w:r>
          </w:p>
        </w:tc>
        <w:tc>
          <w:tcPr>
            <w:tcW w:w="1040" w:type="dxa"/>
            <w:vAlign w:val="bottom"/>
            <w:tcBorders>
              <w:bottom w:val="single" w:sz="8" w:color="D7D8D6"/>
            </w:tcBorders>
          </w:tcPr>
          <w:p>
            <w:pPr>
              <w:jc w:val="right"/>
              <w:ind w:right="92"/>
              <w:spacing w:after="0"/>
              <w:rPr>
                <w:sz w:val="20"/>
                <w:szCs w:val="20"/>
                <w:color w:val="auto"/>
              </w:rPr>
            </w:pPr>
            <w:r>
              <w:rPr>
                <w:rFonts w:ascii="Arial" w:cs="Arial" w:eastAsia="Arial" w:hAnsi="Arial"/>
                <w:sz w:val="10"/>
                <w:szCs w:val="10"/>
                <w:color w:val="333740"/>
              </w:rPr>
              <w:t>924,000</w:t>
            </w:r>
          </w:p>
        </w:tc>
        <w:tc>
          <w:tcPr>
            <w:tcW w:w="1220" w:type="dxa"/>
            <w:vAlign w:val="bottom"/>
            <w:tcBorders>
              <w:bottom w:val="single" w:sz="8" w:color="D7D8D6"/>
            </w:tcBorders>
          </w:tcPr>
          <w:p>
            <w:pPr>
              <w:jc w:val="right"/>
              <w:ind w:right="252"/>
              <w:spacing w:after="0"/>
              <w:rPr>
                <w:sz w:val="20"/>
                <w:szCs w:val="20"/>
                <w:color w:val="auto"/>
              </w:rPr>
            </w:pPr>
            <w:r>
              <w:rPr>
                <w:rFonts w:ascii="Arial" w:cs="Arial" w:eastAsia="Arial" w:hAnsi="Arial"/>
                <w:sz w:val="10"/>
                <w:szCs w:val="10"/>
                <w:color w:val="333740"/>
              </w:rPr>
              <w:t>3,404,994</w:t>
            </w:r>
          </w:p>
        </w:tc>
        <w:tc>
          <w:tcPr>
            <w:tcW w:w="1100" w:type="dxa"/>
            <w:vAlign w:val="bottom"/>
            <w:tcBorders>
              <w:bottom w:val="single" w:sz="8" w:color="D7D8D6"/>
            </w:tcBorders>
          </w:tcPr>
          <w:p>
            <w:pPr>
              <w:ind w:left="680"/>
              <w:spacing w:after="0"/>
              <w:rPr>
                <w:sz w:val="20"/>
                <w:szCs w:val="20"/>
                <w:color w:val="auto"/>
              </w:rPr>
            </w:pPr>
            <w:r>
              <w:rPr>
                <w:rFonts w:ascii="Arial" w:cs="Arial" w:eastAsia="Arial" w:hAnsi="Arial"/>
                <w:sz w:val="10"/>
                <w:szCs w:val="10"/>
                <w:color w:val="333740"/>
              </w:rPr>
              <w:t>—</w:t>
            </w:r>
          </w:p>
        </w:tc>
        <w:tc>
          <w:tcPr>
            <w:tcW w:w="1060" w:type="dxa"/>
            <w:vAlign w:val="bottom"/>
            <w:tcBorders>
              <w:bottom w:val="single" w:sz="8" w:color="D7D8D6"/>
            </w:tcBorders>
          </w:tcPr>
          <w:p>
            <w:pPr>
              <w:jc w:val="right"/>
              <w:ind w:right="212"/>
              <w:spacing w:after="0"/>
              <w:rPr>
                <w:sz w:val="20"/>
                <w:szCs w:val="20"/>
                <w:color w:val="auto"/>
              </w:rPr>
            </w:pPr>
            <w:r>
              <w:rPr>
                <w:rFonts w:ascii="Arial" w:cs="Arial" w:eastAsia="Arial" w:hAnsi="Arial"/>
                <w:sz w:val="10"/>
                <w:szCs w:val="10"/>
                <w:color w:val="333740"/>
              </w:rPr>
              <w:t>38,503</w:t>
            </w:r>
          </w:p>
        </w:tc>
        <w:tc>
          <w:tcPr>
            <w:tcW w:w="1120" w:type="dxa"/>
            <w:vAlign w:val="bottom"/>
            <w:tcBorders>
              <w:bottom w:val="single" w:sz="8" w:color="D7D8D6"/>
            </w:tcBorders>
          </w:tcPr>
          <w:p>
            <w:pPr>
              <w:jc w:val="right"/>
              <w:ind w:right="272"/>
              <w:spacing w:after="0"/>
              <w:rPr>
                <w:sz w:val="20"/>
                <w:szCs w:val="20"/>
                <w:color w:val="auto"/>
              </w:rPr>
            </w:pPr>
            <w:r>
              <w:rPr>
                <w:rFonts w:ascii="Arial" w:cs="Arial" w:eastAsia="Arial" w:hAnsi="Arial"/>
                <w:sz w:val="10"/>
                <w:szCs w:val="10"/>
                <w:color w:val="333740"/>
              </w:rPr>
              <w:t>2,935</w:t>
            </w:r>
          </w:p>
        </w:tc>
        <w:tc>
          <w:tcPr>
            <w:tcW w:w="1160" w:type="dxa"/>
            <w:vAlign w:val="bottom"/>
            <w:tcBorders>
              <w:bottom w:val="single" w:sz="8" w:color="D7D8D6"/>
            </w:tcBorders>
          </w:tcPr>
          <w:p>
            <w:pPr>
              <w:jc w:val="right"/>
              <w:ind w:right="332"/>
              <w:spacing w:after="0"/>
              <w:rPr>
                <w:sz w:val="20"/>
                <w:szCs w:val="20"/>
                <w:color w:val="auto"/>
              </w:rPr>
            </w:pPr>
            <w:r>
              <w:rPr>
                <w:rFonts w:ascii="Arial" w:cs="Arial" w:eastAsia="Arial" w:hAnsi="Arial"/>
                <w:sz w:val="10"/>
                <w:szCs w:val="10"/>
                <w:color w:val="333740"/>
              </w:rPr>
              <w:t>50,000</w:t>
            </w:r>
          </w:p>
        </w:tc>
        <w:tc>
          <w:tcPr>
            <w:tcW w:w="960" w:type="dxa"/>
            <w:vAlign w:val="bottom"/>
            <w:tcBorders>
              <w:bottom w:val="single" w:sz="8" w:color="D7D8D6"/>
            </w:tcBorders>
          </w:tcPr>
          <w:p>
            <w:pPr>
              <w:jc w:val="right"/>
              <w:ind w:right="252"/>
              <w:spacing w:after="0"/>
              <w:rPr>
                <w:sz w:val="20"/>
                <w:szCs w:val="20"/>
                <w:color w:val="auto"/>
              </w:rPr>
            </w:pPr>
            <w:r>
              <w:rPr>
                <w:rFonts w:ascii="Arial" w:cs="Arial" w:eastAsia="Arial" w:hAnsi="Arial"/>
                <w:sz w:val="10"/>
                <w:szCs w:val="10"/>
                <w:color w:val="333740"/>
              </w:rPr>
              <w:t>—</w:t>
            </w:r>
          </w:p>
        </w:tc>
        <w:tc>
          <w:tcPr>
            <w:tcW w:w="720" w:type="dxa"/>
            <w:vAlign w:val="bottom"/>
            <w:tcBorders>
              <w:bottom w:val="single" w:sz="8" w:color="D7D8D6"/>
            </w:tcBorders>
          </w:tcPr>
          <w:p>
            <w:pPr>
              <w:jc w:val="right"/>
              <w:ind w:right="32"/>
              <w:spacing w:after="0"/>
              <w:rPr>
                <w:sz w:val="20"/>
                <w:szCs w:val="20"/>
                <w:color w:val="auto"/>
              </w:rPr>
            </w:pPr>
            <w:r>
              <w:rPr>
                <w:rFonts w:ascii="Arial" w:cs="Arial" w:eastAsia="Arial" w:hAnsi="Arial"/>
                <w:sz w:val="10"/>
                <w:szCs w:val="10"/>
                <w:color w:val="333740"/>
              </w:rPr>
              <w:t>5,206,244</w:t>
            </w:r>
          </w:p>
        </w:tc>
        <w:tc>
          <w:tcPr>
            <w:tcW w:w="0" w:type="dxa"/>
            <w:vAlign w:val="bottom"/>
          </w:tcPr>
          <w:p>
            <w:pPr>
              <w:spacing w:after="0"/>
              <w:rPr>
                <w:sz w:val="1"/>
                <w:szCs w:val="1"/>
                <w:color w:val="auto"/>
              </w:rPr>
            </w:pPr>
          </w:p>
        </w:tc>
      </w:tr>
      <w:tr>
        <w:trPr>
          <w:trHeight w:val="159"/>
        </w:trPr>
        <w:tc>
          <w:tcPr>
            <w:tcW w:w="1580" w:type="dxa"/>
            <w:vAlign w:val="bottom"/>
            <w:tcBorders>
              <w:bottom w:val="single" w:sz="8" w:color="D7D8D6"/>
            </w:tcBorders>
          </w:tcPr>
          <w:p>
            <w:pPr>
              <w:ind w:left="20"/>
              <w:spacing w:after="0"/>
              <w:rPr>
                <w:sz w:val="20"/>
                <w:szCs w:val="20"/>
                <w:color w:val="auto"/>
              </w:rPr>
            </w:pPr>
            <w:r>
              <w:rPr>
                <w:rFonts w:ascii="Arial" w:cs="Arial" w:eastAsia="Arial" w:hAnsi="Arial"/>
                <w:sz w:val="10"/>
                <w:szCs w:val="10"/>
                <w:color w:val="333740"/>
              </w:rPr>
              <w:t>Nello Uccelletti</w:t>
            </w:r>
            <w:r>
              <w:rPr>
                <w:rFonts w:ascii="Arial" w:cs="Arial" w:eastAsia="Arial" w:hAnsi="Arial"/>
                <w:sz w:val="5"/>
                <w:szCs w:val="5"/>
                <w:color w:val="333740"/>
              </w:rPr>
              <w:t>5</w:t>
            </w:r>
          </w:p>
        </w:tc>
        <w:tc>
          <w:tcPr>
            <w:tcW w:w="1300" w:type="dxa"/>
            <w:vAlign w:val="bottom"/>
            <w:tcBorders>
              <w:bottom w:val="single" w:sz="8" w:color="D7D8D6"/>
            </w:tcBorders>
          </w:tcPr>
          <w:p>
            <w:pPr>
              <w:ind w:left="640"/>
              <w:spacing w:after="0"/>
              <w:rPr>
                <w:sz w:val="20"/>
                <w:szCs w:val="20"/>
                <w:color w:val="auto"/>
              </w:rPr>
            </w:pPr>
            <w:r>
              <w:rPr>
                <w:rFonts w:ascii="Arial" w:cs="Arial" w:eastAsia="Arial" w:hAnsi="Arial"/>
                <w:sz w:val="10"/>
                <w:szCs w:val="10"/>
                <w:color w:val="333740"/>
              </w:rPr>
              <w:t>1,996,865</w:t>
            </w:r>
          </w:p>
        </w:tc>
        <w:tc>
          <w:tcPr>
            <w:tcW w:w="1040" w:type="dxa"/>
            <w:vAlign w:val="bottom"/>
            <w:tcBorders>
              <w:bottom w:val="single" w:sz="8" w:color="D7D8D6"/>
            </w:tcBorders>
          </w:tcPr>
          <w:p>
            <w:pPr>
              <w:jc w:val="right"/>
              <w:ind w:right="92"/>
              <w:spacing w:after="0"/>
              <w:rPr>
                <w:sz w:val="20"/>
                <w:szCs w:val="20"/>
                <w:color w:val="auto"/>
              </w:rPr>
            </w:pPr>
            <w:r>
              <w:rPr>
                <w:rFonts w:ascii="Arial" w:cs="Arial" w:eastAsia="Arial" w:hAnsi="Arial"/>
                <w:sz w:val="10"/>
                <w:szCs w:val="10"/>
                <w:color w:val="333740"/>
              </w:rPr>
              <w:t>865,475</w:t>
            </w:r>
          </w:p>
        </w:tc>
        <w:tc>
          <w:tcPr>
            <w:tcW w:w="1220" w:type="dxa"/>
            <w:vAlign w:val="bottom"/>
            <w:tcBorders>
              <w:bottom w:val="single" w:sz="8" w:color="D7D8D6"/>
            </w:tcBorders>
          </w:tcPr>
          <w:p>
            <w:pPr>
              <w:jc w:val="right"/>
              <w:ind w:right="252"/>
              <w:spacing w:after="0"/>
              <w:rPr>
                <w:sz w:val="20"/>
                <w:szCs w:val="20"/>
                <w:color w:val="auto"/>
              </w:rPr>
            </w:pPr>
            <w:r>
              <w:rPr>
                <w:rFonts w:ascii="Arial" w:cs="Arial" w:eastAsia="Arial" w:hAnsi="Arial"/>
                <w:sz w:val="10"/>
                <w:szCs w:val="10"/>
                <w:color w:val="333740"/>
              </w:rPr>
              <w:t>4,064,552</w:t>
            </w:r>
          </w:p>
        </w:tc>
        <w:tc>
          <w:tcPr>
            <w:tcW w:w="1100" w:type="dxa"/>
            <w:vAlign w:val="bottom"/>
            <w:tcBorders>
              <w:bottom w:val="single" w:sz="8" w:color="D7D8D6"/>
            </w:tcBorders>
          </w:tcPr>
          <w:p>
            <w:pPr>
              <w:ind w:left="680"/>
              <w:spacing w:after="0"/>
              <w:rPr>
                <w:sz w:val="20"/>
                <w:szCs w:val="20"/>
                <w:color w:val="auto"/>
              </w:rPr>
            </w:pPr>
            <w:r>
              <w:rPr>
                <w:rFonts w:ascii="Arial" w:cs="Arial" w:eastAsia="Arial" w:hAnsi="Arial"/>
                <w:sz w:val="10"/>
                <w:szCs w:val="10"/>
                <w:color w:val="333740"/>
              </w:rPr>
              <w:t>—</w:t>
            </w:r>
          </w:p>
        </w:tc>
        <w:tc>
          <w:tcPr>
            <w:tcW w:w="1060" w:type="dxa"/>
            <w:vAlign w:val="bottom"/>
            <w:tcBorders>
              <w:bottom w:val="single" w:sz="8" w:color="D7D8D6"/>
            </w:tcBorders>
          </w:tcPr>
          <w:p>
            <w:pPr>
              <w:jc w:val="right"/>
              <w:ind w:right="212"/>
              <w:spacing w:after="0"/>
              <w:rPr>
                <w:sz w:val="20"/>
                <w:szCs w:val="20"/>
                <w:color w:val="auto"/>
              </w:rPr>
            </w:pPr>
            <w:r>
              <w:rPr>
                <w:rFonts w:ascii="Arial" w:cs="Arial" w:eastAsia="Arial" w:hAnsi="Arial"/>
                <w:sz w:val="10"/>
                <w:szCs w:val="10"/>
                <w:color w:val="333740"/>
              </w:rPr>
              <w:t>31,558</w:t>
            </w:r>
          </w:p>
        </w:tc>
        <w:tc>
          <w:tcPr>
            <w:tcW w:w="1120" w:type="dxa"/>
            <w:vAlign w:val="bottom"/>
            <w:tcBorders>
              <w:bottom w:val="single" w:sz="8" w:color="D7D8D6"/>
            </w:tcBorders>
          </w:tcPr>
          <w:p>
            <w:pPr>
              <w:jc w:val="right"/>
              <w:ind w:right="272"/>
              <w:spacing w:after="0"/>
              <w:rPr>
                <w:sz w:val="20"/>
                <w:szCs w:val="20"/>
                <w:color w:val="auto"/>
              </w:rPr>
            </w:pPr>
            <w:r>
              <w:rPr>
                <w:rFonts w:ascii="Arial" w:cs="Arial" w:eastAsia="Arial" w:hAnsi="Arial"/>
                <w:sz w:val="10"/>
                <w:szCs w:val="10"/>
                <w:color w:val="333740"/>
              </w:rPr>
              <w:t>2,935</w:t>
            </w:r>
          </w:p>
        </w:tc>
        <w:tc>
          <w:tcPr>
            <w:tcW w:w="1160" w:type="dxa"/>
            <w:vAlign w:val="bottom"/>
            <w:tcBorders>
              <w:bottom w:val="single" w:sz="8" w:color="D7D8D6"/>
            </w:tcBorders>
          </w:tcPr>
          <w:p>
            <w:pPr>
              <w:jc w:val="right"/>
              <w:ind w:right="332"/>
              <w:spacing w:after="0"/>
              <w:rPr>
                <w:sz w:val="20"/>
                <w:szCs w:val="20"/>
                <w:color w:val="auto"/>
              </w:rPr>
            </w:pPr>
            <w:r>
              <w:rPr>
                <w:rFonts w:ascii="Arial" w:cs="Arial" w:eastAsia="Arial" w:hAnsi="Arial"/>
                <w:sz w:val="10"/>
                <w:szCs w:val="10"/>
                <w:color w:val="333740"/>
              </w:rPr>
              <w:t>50,000</w:t>
            </w:r>
          </w:p>
        </w:tc>
        <w:tc>
          <w:tcPr>
            <w:tcW w:w="960" w:type="dxa"/>
            <w:vAlign w:val="bottom"/>
            <w:tcBorders>
              <w:bottom w:val="single" w:sz="8" w:color="D7D8D6"/>
            </w:tcBorders>
          </w:tcPr>
          <w:p>
            <w:pPr>
              <w:jc w:val="right"/>
              <w:ind w:right="252"/>
              <w:spacing w:after="0"/>
              <w:rPr>
                <w:sz w:val="20"/>
                <w:szCs w:val="20"/>
                <w:color w:val="auto"/>
              </w:rPr>
            </w:pPr>
            <w:r>
              <w:rPr>
                <w:rFonts w:ascii="Arial" w:cs="Arial" w:eastAsia="Arial" w:hAnsi="Arial"/>
                <w:sz w:val="10"/>
                <w:szCs w:val="10"/>
                <w:color w:val="333740"/>
              </w:rPr>
              <w:t>—</w:t>
            </w:r>
          </w:p>
        </w:tc>
        <w:tc>
          <w:tcPr>
            <w:tcW w:w="720" w:type="dxa"/>
            <w:vAlign w:val="bottom"/>
            <w:tcBorders>
              <w:bottom w:val="single" w:sz="8" w:color="D7D8D6"/>
            </w:tcBorders>
          </w:tcPr>
          <w:p>
            <w:pPr>
              <w:jc w:val="right"/>
              <w:ind w:right="32"/>
              <w:spacing w:after="0"/>
              <w:rPr>
                <w:sz w:val="20"/>
                <w:szCs w:val="20"/>
                <w:color w:val="auto"/>
              </w:rPr>
            </w:pPr>
            <w:r>
              <w:rPr>
                <w:rFonts w:ascii="Arial" w:cs="Arial" w:eastAsia="Arial" w:hAnsi="Arial"/>
                <w:sz w:val="10"/>
                <w:szCs w:val="10"/>
                <w:color w:val="333740"/>
              </w:rPr>
              <w:t>6,044,917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4" w:hanging="304"/>
        <w:spacing w:after="0"/>
        <w:tabs>
          <w:tab w:leader="none" w:pos="304" w:val="left"/>
        </w:tabs>
        <w:numPr>
          <w:ilvl w:val="0"/>
          <w:numId w:val="125"/>
        </w:numPr>
        <w:rPr>
          <w:rFonts w:ascii="Arial" w:cs="Arial" w:eastAsia="Arial" w:hAnsi="Arial"/>
          <w:sz w:val="11"/>
          <w:szCs w:val="11"/>
          <w:color w:val="333740"/>
        </w:rPr>
      </w:pPr>
      <w:r>
        <w:rPr>
          <w:rFonts w:ascii="Arial" w:cs="Arial" w:eastAsia="Arial" w:hAnsi="Arial"/>
          <w:sz w:val="11"/>
          <w:szCs w:val="11"/>
          <w:color w:val="333740"/>
        </w:rPr>
        <w:t>The amount represents base salary and an annual cash incentive bonus based on a BPI rating of 172%, as determined by the Board at its February 2020 meeting.</w:t>
      </w:r>
    </w:p>
    <w:p>
      <w:pPr>
        <w:ind w:left="304" w:hanging="304"/>
        <w:spacing w:after="0" w:line="226" w:lineRule="auto"/>
        <w:tabs>
          <w:tab w:leader="none" w:pos="304" w:val="left"/>
        </w:tabs>
        <w:numPr>
          <w:ilvl w:val="0"/>
          <w:numId w:val="125"/>
        </w:numPr>
        <w:rPr>
          <w:rFonts w:ascii="Arial" w:cs="Arial" w:eastAsia="Arial" w:hAnsi="Arial"/>
          <w:sz w:val="11"/>
          <w:szCs w:val="11"/>
          <w:color w:val="333740"/>
        </w:rPr>
      </w:pPr>
      <w:r>
        <w:rPr>
          <w:rFonts w:ascii="Arial" w:cs="Arial" w:eastAsia="Arial" w:hAnsi="Arial"/>
          <w:sz w:val="11"/>
          <w:szCs w:val="11"/>
          <w:color w:val="333740"/>
        </w:rPr>
        <w:t>Assumes PSUs are paid at target (100%).</w:t>
      </w:r>
    </w:p>
    <w:p>
      <w:pPr>
        <w:ind w:left="304" w:hanging="304"/>
        <w:spacing w:after="0" w:line="226" w:lineRule="auto"/>
        <w:tabs>
          <w:tab w:leader="none" w:pos="304" w:val="left"/>
        </w:tabs>
        <w:numPr>
          <w:ilvl w:val="0"/>
          <w:numId w:val="125"/>
        </w:numPr>
        <w:rPr>
          <w:rFonts w:ascii="Arial" w:cs="Arial" w:eastAsia="Arial" w:hAnsi="Arial"/>
          <w:sz w:val="11"/>
          <w:szCs w:val="11"/>
          <w:color w:val="333740"/>
        </w:rPr>
      </w:pPr>
      <w:r>
        <w:rPr>
          <w:rFonts w:ascii="Arial" w:cs="Arial" w:eastAsia="Arial" w:hAnsi="Arial"/>
          <w:sz w:val="11"/>
          <w:szCs w:val="11"/>
          <w:color w:val="333740"/>
        </w:rPr>
        <w:t>Assumes no change in the coverage by such NEO for their medical and dental benefits coverage as in effect on December 31, 2019.</w:t>
      </w:r>
    </w:p>
    <w:p>
      <w:pPr>
        <w:ind w:left="304" w:hanging="304"/>
        <w:spacing w:after="0" w:line="226" w:lineRule="auto"/>
        <w:tabs>
          <w:tab w:leader="none" w:pos="304" w:val="left"/>
        </w:tabs>
        <w:numPr>
          <w:ilvl w:val="0"/>
          <w:numId w:val="125"/>
        </w:numPr>
        <w:rPr>
          <w:rFonts w:ascii="Arial" w:cs="Arial" w:eastAsia="Arial" w:hAnsi="Arial"/>
          <w:sz w:val="11"/>
          <w:szCs w:val="11"/>
          <w:color w:val="333740"/>
        </w:rPr>
      </w:pPr>
      <w:r>
        <w:rPr>
          <w:rFonts w:ascii="Arial" w:cs="Arial" w:eastAsia="Arial" w:hAnsi="Arial"/>
          <w:sz w:val="11"/>
          <w:szCs w:val="11"/>
          <w:color w:val="333740"/>
        </w:rPr>
        <w:t>For Ms. Mannen, the amount represents the value of three additional years of age and service credits under the U.S. Non-Qualified Pension Plan provided by the terms of her executive severence agreement.</w:t>
      </w:r>
    </w:p>
    <w:p>
      <w:pPr>
        <w:ind w:left="304" w:hanging="304"/>
        <w:spacing w:after="0"/>
        <w:tabs>
          <w:tab w:leader="none" w:pos="304" w:val="left"/>
        </w:tabs>
        <w:numPr>
          <w:ilvl w:val="0"/>
          <w:numId w:val="125"/>
        </w:numPr>
        <w:rPr>
          <w:rFonts w:ascii="Arial" w:cs="Arial" w:eastAsia="Arial" w:hAnsi="Arial"/>
          <w:sz w:val="11"/>
          <w:szCs w:val="11"/>
          <w:color w:val="333740"/>
        </w:rPr>
      </w:pPr>
      <w:r>
        <w:rPr>
          <w:rFonts w:ascii="Arial" w:cs="Arial" w:eastAsia="Arial" w:hAnsi="Arial"/>
          <w:sz w:val="11"/>
          <w:szCs w:val="11"/>
          <w:color w:val="333740"/>
        </w:rPr>
        <w:t>All amounts for Mr. Uccelletti were converted to U.S. dollars utilizing an average of the Euro to U.S. dollar exchange rates on the last day of each month during 2019.</w:t>
      </w:r>
    </w:p>
    <w:p>
      <w:pPr>
        <w:spacing w:after="0" w:line="337" w:lineRule="exact"/>
        <w:rPr>
          <w:sz w:val="20"/>
          <w:szCs w:val="20"/>
          <w:color w:val="auto"/>
        </w:rPr>
      </w:pPr>
    </w:p>
    <w:p>
      <w:pPr>
        <w:ind w:left="564" w:hanging="564"/>
        <w:spacing w:after="0"/>
        <w:tabs>
          <w:tab w:leader="none" w:pos="564" w:val="left"/>
        </w:tabs>
        <w:numPr>
          <w:ilvl w:val="0"/>
          <w:numId w:val="12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102" w:name="page103"/>
    <w:bookmarkEnd w:id="102"/>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3"/>
          <w:szCs w:val="33"/>
          <w:color w:val="481F6E"/>
        </w:rPr>
        <w:t>CEO Pay Ratio</w:t>
      </w:r>
    </w:p>
    <w:p>
      <w:pPr>
        <w:spacing w:after="0" w:line="30" w:lineRule="exact"/>
        <w:rPr>
          <w:sz w:val="20"/>
          <w:szCs w:val="20"/>
          <w:color w:val="auto"/>
        </w:rPr>
      </w:pPr>
    </w:p>
    <w:p>
      <w:pPr>
        <w:ind w:left="4" w:right="60"/>
        <w:spacing w:after="0" w:line="276" w:lineRule="auto"/>
        <w:rPr>
          <w:sz w:val="20"/>
          <w:szCs w:val="20"/>
          <w:color w:val="auto"/>
        </w:rPr>
      </w:pPr>
      <w:r>
        <w:rPr>
          <w:rFonts w:ascii="Arial" w:cs="Arial" w:eastAsia="Arial" w:hAnsi="Arial"/>
          <w:sz w:val="15"/>
          <w:szCs w:val="15"/>
          <w:color w:val="333740"/>
        </w:rPr>
        <w:t>Pursuant to Section 953(b) of the Dodd-Frank Act and Item 402(u) of Regulation S-K as promulgated by the SEC, we are providing the following information about the ratio of the total annual compensation of our CEO to the total annual compensation of our median employee for our last completed fiscal year, 2019.</w:t>
      </w:r>
    </w:p>
    <w:p>
      <w:pPr>
        <w:spacing w:after="0" w:line="57" w:lineRule="exact"/>
        <w:rPr>
          <w:sz w:val="20"/>
          <w:szCs w:val="20"/>
          <w:color w:val="auto"/>
        </w:rPr>
      </w:pPr>
    </w:p>
    <w:p>
      <w:pPr>
        <w:ind w:left="4" w:right="20"/>
        <w:spacing w:after="0" w:line="237" w:lineRule="auto"/>
        <w:rPr>
          <w:sz w:val="20"/>
          <w:szCs w:val="20"/>
          <w:color w:val="auto"/>
        </w:rPr>
      </w:pPr>
      <w:r>
        <w:rPr>
          <w:rFonts w:ascii="Arial" w:cs="Arial" w:eastAsia="Arial" w:hAnsi="Arial"/>
          <w:sz w:val="16"/>
          <w:szCs w:val="16"/>
          <w:color w:val="333740"/>
        </w:rPr>
        <w:t>For 2019, the annual total compensation of our CEO for purposes of determining the pay ratio was $15,351,206, and the annual total compensation of our median employee was $63,294. As a result, for 2019, the ratio of the annual total compensation of our CEO to the total annual compensation of our median employee was approximately 243:1. We identified the median employee in 2018, pursuant to the SEC guidelines referenced above. There were no significant changes to our employee population in 2019 and no significant changes to our pay policies and practices. As such, we kept the same median employee for the second year of three as permitted under Item 402(u) of Regulation S-K.</w:t>
      </w:r>
    </w:p>
    <w:p>
      <w:pPr>
        <w:spacing w:after="0" w:line="83" w:lineRule="exact"/>
        <w:rPr>
          <w:sz w:val="20"/>
          <w:szCs w:val="20"/>
          <w:color w:val="auto"/>
        </w:rPr>
      </w:pPr>
    </w:p>
    <w:p>
      <w:pPr>
        <w:ind w:left="4"/>
        <w:spacing w:after="0" w:line="235" w:lineRule="auto"/>
        <w:rPr>
          <w:sz w:val="20"/>
          <w:szCs w:val="20"/>
          <w:color w:val="auto"/>
        </w:rPr>
      </w:pPr>
      <w:r>
        <w:rPr>
          <w:rFonts w:ascii="Arial" w:cs="Arial" w:eastAsia="Arial" w:hAnsi="Arial"/>
          <w:sz w:val="16"/>
          <w:szCs w:val="16"/>
          <w:color w:val="333740"/>
        </w:rPr>
        <w:t>In 2018, we identified our median employee from our employee population as of December 31, 2018, which consisted of approximately 36,720 individuals globally, with 6,107 employees being in the United States. As permitted under the SEC’s 5% “de minimis exemption,” we excluded employees in Algeria (44), Cameroon (11), China (251), Ghana (83), Kazakhstan (46), Mozambique (9), Poland (197), Saudi Arabia (65), Tunisia (6), Venezuela (96), Vietnam (71), and United Arab Emirates (2). After these exclusions, our employee population used in determining our median employee was 35,839 employees. In identifying the median employee, we first identified a median base salary using full-year 2018 salaries actually earned. This population was further refined into the most represented job classifications. We then excluded certain employees who, based on our employee population and compensation practices, we assumed would not be representative of our median employee. From this subset we computed the total annual compensation of each employee and the median employee was selected from that group.</w:t>
      </w:r>
    </w:p>
    <w:p>
      <w:pPr>
        <w:spacing w:after="0" w:line="88" w:lineRule="exact"/>
        <w:rPr>
          <w:sz w:val="20"/>
          <w:szCs w:val="20"/>
          <w:color w:val="auto"/>
        </w:rPr>
      </w:pPr>
    </w:p>
    <w:p>
      <w:pPr>
        <w:ind w:left="4" w:right="100"/>
        <w:spacing w:after="0" w:line="237" w:lineRule="auto"/>
        <w:rPr>
          <w:sz w:val="20"/>
          <w:szCs w:val="20"/>
          <w:color w:val="auto"/>
        </w:rPr>
      </w:pPr>
      <w:r>
        <w:rPr>
          <w:rFonts w:ascii="Arial" w:cs="Arial" w:eastAsia="Arial" w:hAnsi="Arial"/>
          <w:sz w:val="16"/>
          <w:szCs w:val="16"/>
          <w:color w:val="333740"/>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ratios reported by other companies are likely not comparable to the pay ratio reported above, as other companies have different employee populations and compensation practices and likely utilize different methodologies, exclusions, estimates, and assumptions in calculating their own pay ratios.</w:t>
      </w:r>
    </w:p>
    <w:p>
      <w:pPr>
        <w:spacing w:after="0" w:line="327" w:lineRule="exact"/>
        <w:rPr>
          <w:sz w:val="20"/>
          <w:szCs w:val="20"/>
          <w:color w:val="auto"/>
        </w:rPr>
      </w:pPr>
    </w:p>
    <w:p>
      <w:pPr>
        <w:ind w:left="564" w:hanging="564"/>
        <w:spacing w:after="0"/>
        <w:tabs>
          <w:tab w:leader="none" w:pos="564" w:val="left"/>
        </w:tabs>
        <w:numPr>
          <w:ilvl w:val="0"/>
          <w:numId w:val="127"/>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84"/>
          </w:cols>
          <w:pgMar w:left="316" w:top="128" w:right="399" w:bottom="1440" w:gutter="0" w:footer="0" w:header="0"/>
        </w:sectPr>
      </w:pPr>
    </w:p>
    <w:bookmarkStart w:id="103" w:name="page104"/>
    <w:bookmarkEnd w:id="103"/>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3"/>
          <w:szCs w:val="33"/>
          <w:color w:val="481F6E"/>
        </w:rPr>
        <w:t>Compensation of Former Executive Chairman</w:t>
      </w:r>
    </w:p>
    <w:p>
      <w:pPr>
        <w:spacing w:after="0" w:line="30" w:lineRule="exact"/>
        <w:rPr>
          <w:sz w:val="20"/>
          <w:szCs w:val="20"/>
          <w:color w:val="auto"/>
        </w:rPr>
      </w:pPr>
    </w:p>
    <w:p>
      <w:pPr>
        <w:ind w:left="4" w:right="60"/>
        <w:spacing w:after="0" w:line="244" w:lineRule="auto"/>
        <w:rPr>
          <w:sz w:val="20"/>
          <w:szCs w:val="20"/>
          <w:color w:val="auto"/>
        </w:rPr>
      </w:pPr>
      <w:r>
        <w:rPr>
          <w:rFonts w:ascii="Arial" w:cs="Arial" w:eastAsia="Arial" w:hAnsi="Arial"/>
          <w:sz w:val="16"/>
          <w:szCs w:val="16"/>
          <w:color w:val="333740"/>
        </w:rPr>
        <w:t>On May 1, 2019, Mr. Pilenko retired as Executive Chairman of our Board, and he retired from the Company on December 31, 2019. His 2019 compensation did not qualify him as an NEO during 2019. However, Mr. Pilenko’s compensation is disclosed below due to his service as a director in 2019.</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color w:val="333740"/>
        </w:rPr>
        <w:t>The terms of Mr. Pilenko’s service agreement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148195" cy="2800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8195" cy="2800350"/>
                    </a:xfrm>
                    <a:prstGeom prst="rect">
                      <a:avLst/>
                    </a:prstGeom>
                    <a:noFill/>
                  </pic:spPr>
                </pic:pic>
              </a:graphicData>
            </a:graphic>
          </wp:anchor>
        </w:drawing>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245"/>
        </w:trPr>
        <w:tc>
          <w:tcPr>
            <w:tcW w:w="2450" w:type="dxa"/>
            <w:vAlign w:val="bottom"/>
            <w:shd w:val="clear" w:color="auto" w:fill="D7D8D6"/>
          </w:tcPr>
          <w:p>
            <w:pPr>
              <w:ind w:left="260"/>
              <w:spacing w:after="0"/>
              <w:rPr>
                <w:sz w:val="20"/>
                <w:szCs w:val="20"/>
                <w:color w:val="auto"/>
              </w:rPr>
            </w:pPr>
            <w:r>
              <w:rPr>
                <w:rFonts w:ascii="Arial" w:cs="Arial" w:eastAsia="Arial" w:hAnsi="Arial"/>
                <w:sz w:val="14"/>
                <w:szCs w:val="14"/>
                <w:b w:val="1"/>
                <w:bCs w:val="1"/>
                <w:color w:val="333740"/>
              </w:rPr>
              <w:t>Base Salary</w:t>
            </w:r>
          </w:p>
        </w:tc>
        <w:tc>
          <w:tcPr>
            <w:tcW w:w="8810" w:type="dxa"/>
            <w:vAlign w:val="bottom"/>
            <w:shd w:val="clear" w:color="auto" w:fill="D7D8D6"/>
          </w:tcPr>
          <w:p>
            <w:pPr>
              <w:ind w:left="170"/>
              <w:spacing w:after="0"/>
              <w:rPr>
                <w:sz w:val="20"/>
                <w:szCs w:val="20"/>
                <w:color w:val="auto"/>
              </w:rPr>
            </w:pPr>
            <w:r>
              <w:rPr>
                <w:rFonts w:ascii="Arial" w:cs="Arial" w:eastAsia="Arial" w:hAnsi="Arial"/>
                <w:sz w:val="14"/>
                <w:szCs w:val="14"/>
                <w:color w:val="333740"/>
              </w:rPr>
              <w:t>€900,000 per annum (equivalent of $1,006,174)</w:t>
            </w:r>
          </w:p>
        </w:tc>
      </w:tr>
      <w:tr>
        <w:trPr>
          <w:trHeight w:val="323"/>
        </w:trPr>
        <w:tc>
          <w:tcPr>
            <w:tcW w:w="2450" w:type="dxa"/>
            <w:vAlign w:val="bottom"/>
            <w:shd w:val="clear" w:color="auto" w:fill="D7D8D6"/>
          </w:tcPr>
          <w:p>
            <w:pPr>
              <w:ind w:left="260"/>
              <w:spacing w:after="0"/>
              <w:rPr>
                <w:sz w:val="20"/>
                <w:szCs w:val="20"/>
                <w:color w:val="auto"/>
              </w:rPr>
            </w:pPr>
            <w:r>
              <w:rPr>
                <w:rFonts w:ascii="Arial" w:cs="Arial" w:eastAsia="Arial" w:hAnsi="Arial"/>
                <w:sz w:val="14"/>
                <w:szCs w:val="14"/>
                <w:b w:val="1"/>
                <w:bCs w:val="1"/>
                <w:color w:val="333740"/>
              </w:rPr>
              <w:t>Annual Incentive</w:t>
            </w:r>
          </w:p>
        </w:tc>
        <w:tc>
          <w:tcPr>
            <w:tcW w:w="8810" w:type="dxa"/>
            <w:vAlign w:val="bottom"/>
            <w:shd w:val="clear" w:color="auto" w:fill="D7D8D6"/>
          </w:tcPr>
          <w:p>
            <w:pPr>
              <w:ind w:left="170"/>
              <w:spacing w:after="0"/>
              <w:rPr>
                <w:sz w:val="20"/>
                <w:szCs w:val="20"/>
                <w:color w:val="auto"/>
              </w:rPr>
            </w:pPr>
            <w:r>
              <w:rPr>
                <w:rFonts w:ascii="Arial" w:cs="Arial" w:eastAsia="Arial" w:hAnsi="Arial"/>
                <w:sz w:val="14"/>
                <w:szCs w:val="14"/>
                <w:color w:val="333740"/>
              </w:rPr>
              <w:t>Eligible to participate in the same program as our NEOs</w:t>
            </w:r>
          </w:p>
        </w:tc>
      </w:tr>
      <w:tr>
        <w:trPr>
          <w:trHeight w:val="243"/>
        </w:trPr>
        <w:tc>
          <w:tcPr>
            <w:tcW w:w="2450" w:type="dxa"/>
            <w:vAlign w:val="bottom"/>
            <w:shd w:val="clear" w:color="auto" w:fill="D7D8D6"/>
          </w:tcPr>
          <w:p>
            <w:pPr>
              <w:spacing w:after="0"/>
              <w:rPr>
                <w:sz w:val="21"/>
                <w:szCs w:val="21"/>
                <w:color w:val="auto"/>
              </w:rPr>
            </w:pPr>
          </w:p>
        </w:tc>
        <w:tc>
          <w:tcPr>
            <w:tcW w:w="8810" w:type="dxa"/>
            <w:vAlign w:val="bottom"/>
            <w:shd w:val="clear" w:color="auto" w:fill="D7D8D6"/>
          </w:tcPr>
          <w:p>
            <w:pPr>
              <w:ind w:left="170"/>
              <w:spacing w:after="0"/>
              <w:rPr>
                <w:sz w:val="20"/>
                <w:szCs w:val="20"/>
                <w:color w:val="auto"/>
              </w:rPr>
            </w:pPr>
            <w:r>
              <w:rPr>
                <w:rFonts w:ascii="Arial" w:cs="Arial" w:eastAsia="Arial" w:hAnsi="Arial"/>
                <w:sz w:val="14"/>
                <w:szCs w:val="14"/>
                <w:color w:val="333740"/>
              </w:rPr>
              <w:t>Target opportunity: 120% of salary</w:t>
            </w:r>
          </w:p>
        </w:tc>
      </w:tr>
      <w:tr>
        <w:trPr>
          <w:trHeight w:val="223"/>
        </w:trPr>
        <w:tc>
          <w:tcPr>
            <w:tcW w:w="2450" w:type="dxa"/>
            <w:vAlign w:val="bottom"/>
            <w:shd w:val="clear" w:color="auto" w:fill="D7D8D6"/>
          </w:tcPr>
          <w:p>
            <w:pPr>
              <w:spacing w:after="0"/>
              <w:rPr>
                <w:sz w:val="19"/>
                <w:szCs w:val="19"/>
                <w:color w:val="auto"/>
              </w:rPr>
            </w:pPr>
          </w:p>
        </w:tc>
        <w:tc>
          <w:tcPr>
            <w:tcW w:w="8810" w:type="dxa"/>
            <w:vAlign w:val="bottom"/>
            <w:shd w:val="clear" w:color="auto" w:fill="D7D8D6"/>
          </w:tcPr>
          <w:p>
            <w:pPr>
              <w:ind w:left="170"/>
              <w:spacing w:after="0"/>
              <w:rPr>
                <w:sz w:val="20"/>
                <w:szCs w:val="20"/>
                <w:color w:val="auto"/>
              </w:rPr>
            </w:pPr>
            <w:r>
              <w:rPr>
                <w:rFonts w:ascii="Arial" w:cs="Arial" w:eastAsia="Arial" w:hAnsi="Arial"/>
                <w:sz w:val="14"/>
                <w:szCs w:val="14"/>
                <w:color w:val="333740"/>
              </w:rPr>
              <w:t>Maximum opportunity: 240% of salary</w:t>
            </w:r>
          </w:p>
        </w:tc>
      </w:tr>
      <w:tr>
        <w:trPr>
          <w:trHeight w:val="323"/>
        </w:trPr>
        <w:tc>
          <w:tcPr>
            <w:tcW w:w="2450" w:type="dxa"/>
            <w:vAlign w:val="bottom"/>
            <w:shd w:val="clear" w:color="auto" w:fill="D7D8D6"/>
          </w:tcPr>
          <w:p>
            <w:pPr>
              <w:ind w:left="260"/>
              <w:spacing w:after="0"/>
              <w:rPr>
                <w:sz w:val="20"/>
                <w:szCs w:val="20"/>
                <w:color w:val="auto"/>
              </w:rPr>
            </w:pPr>
            <w:r>
              <w:rPr>
                <w:rFonts w:ascii="Arial" w:cs="Arial" w:eastAsia="Arial" w:hAnsi="Arial"/>
                <w:sz w:val="14"/>
                <w:szCs w:val="14"/>
                <w:b w:val="1"/>
                <w:bCs w:val="1"/>
                <w:color w:val="333740"/>
              </w:rPr>
              <w:t>Long-Term Equity</w:t>
            </w:r>
          </w:p>
        </w:tc>
        <w:tc>
          <w:tcPr>
            <w:tcW w:w="8810" w:type="dxa"/>
            <w:vAlign w:val="bottom"/>
            <w:shd w:val="clear" w:color="auto" w:fill="D7D8D6"/>
          </w:tcPr>
          <w:p>
            <w:pPr>
              <w:ind w:left="170"/>
              <w:spacing w:after="0"/>
              <w:rPr>
                <w:sz w:val="20"/>
                <w:szCs w:val="20"/>
                <w:color w:val="auto"/>
              </w:rPr>
            </w:pPr>
            <w:r>
              <w:rPr>
                <w:rFonts w:ascii="Arial" w:cs="Arial" w:eastAsia="Arial" w:hAnsi="Arial"/>
                <w:sz w:val="14"/>
                <w:szCs w:val="14"/>
                <w:color w:val="333740"/>
              </w:rPr>
              <w:t>Eligible to participate in the same program as our NEOs</w:t>
            </w:r>
          </w:p>
        </w:tc>
      </w:tr>
      <w:tr>
        <w:trPr>
          <w:trHeight w:val="311"/>
        </w:trPr>
        <w:tc>
          <w:tcPr>
            <w:tcW w:w="2450" w:type="dxa"/>
            <w:vAlign w:val="bottom"/>
            <w:shd w:val="clear" w:color="auto" w:fill="D7D8D6"/>
          </w:tcPr>
          <w:p>
            <w:pPr>
              <w:spacing w:after="0"/>
              <w:rPr>
                <w:sz w:val="24"/>
                <w:szCs w:val="24"/>
                <w:color w:val="auto"/>
              </w:rPr>
            </w:pPr>
          </w:p>
        </w:tc>
        <w:tc>
          <w:tcPr>
            <w:tcW w:w="8810" w:type="dxa"/>
            <w:vAlign w:val="bottom"/>
            <w:shd w:val="clear" w:color="auto" w:fill="D7D8D6"/>
          </w:tcPr>
          <w:p>
            <w:pPr>
              <w:ind w:left="170"/>
              <w:spacing w:after="0"/>
              <w:rPr>
                <w:sz w:val="20"/>
                <w:szCs w:val="20"/>
                <w:color w:val="auto"/>
              </w:rPr>
            </w:pPr>
            <w:r>
              <w:rPr>
                <w:rFonts w:ascii="Arial" w:cs="Arial" w:eastAsia="Arial" w:hAnsi="Arial"/>
                <w:sz w:val="14"/>
                <w:szCs w:val="14"/>
                <w:color w:val="333740"/>
              </w:rPr>
              <w:t>No awards received during 2018 or 2019 in anticipation of Mr. Pilenko’s retirement</w:t>
            </w:r>
          </w:p>
        </w:tc>
      </w:tr>
      <w:tr>
        <w:trPr>
          <w:trHeight w:val="323"/>
        </w:trPr>
        <w:tc>
          <w:tcPr>
            <w:tcW w:w="2450" w:type="dxa"/>
            <w:vAlign w:val="bottom"/>
            <w:shd w:val="clear" w:color="auto" w:fill="D7D8D6"/>
          </w:tcPr>
          <w:p>
            <w:pPr>
              <w:ind w:left="260"/>
              <w:spacing w:after="0"/>
              <w:rPr>
                <w:sz w:val="20"/>
                <w:szCs w:val="20"/>
                <w:color w:val="auto"/>
              </w:rPr>
            </w:pPr>
            <w:r>
              <w:rPr>
                <w:rFonts w:ascii="Arial" w:cs="Arial" w:eastAsia="Arial" w:hAnsi="Arial"/>
                <w:sz w:val="14"/>
                <w:szCs w:val="14"/>
                <w:b w:val="1"/>
                <w:bCs w:val="1"/>
                <w:color w:val="333740"/>
              </w:rPr>
              <w:t>Benefits</w:t>
            </w:r>
          </w:p>
        </w:tc>
        <w:tc>
          <w:tcPr>
            <w:tcW w:w="8810" w:type="dxa"/>
            <w:vAlign w:val="bottom"/>
            <w:shd w:val="clear" w:color="auto" w:fill="D7D8D6"/>
          </w:tcPr>
          <w:p>
            <w:pPr>
              <w:ind w:left="170"/>
              <w:spacing w:after="0"/>
              <w:rPr>
                <w:sz w:val="20"/>
                <w:szCs w:val="20"/>
                <w:color w:val="auto"/>
              </w:rPr>
            </w:pPr>
            <w:r>
              <w:rPr>
                <w:rFonts w:ascii="Arial" w:cs="Arial" w:eastAsia="Arial" w:hAnsi="Arial"/>
                <w:sz w:val="14"/>
                <w:szCs w:val="14"/>
                <w:color w:val="333740"/>
              </w:rPr>
              <w:t>Continuation of supplementary health coverage for him and his spouse</w:t>
            </w:r>
          </w:p>
        </w:tc>
      </w:tr>
      <w:tr>
        <w:trPr>
          <w:trHeight w:val="311"/>
        </w:trPr>
        <w:tc>
          <w:tcPr>
            <w:tcW w:w="2450" w:type="dxa"/>
            <w:vAlign w:val="bottom"/>
            <w:shd w:val="clear" w:color="auto" w:fill="D7D8D6"/>
          </w:tcPr>
          <w:p>
            <w:pPr>
              <w:spacing w:after="0"/>
              <w:rPr>
                <w:sz w:val="24"/>
                <w:szCs w:val="24"/>
                <w:color w:val="auto"/>
              </w:rPr>
            </w:pPr>
          </w:p>
        </w:tc>
        <w:tc>
          <w:tcPr>
            <w:tcW w:w="8810" w:type="dxa"/>
            <w:vAlign w:val="bottom"/>
            <w:shd w:val="clear" w:color="auto" w:fill="D7D8D6"/>
          </w:tcPr>
          <w:p>
            <w:pPr>
              <w:ind w:left="170"/>
              <w:spacing w:after="0"/>
              <w:rPr>
                <w:sz w:val="20"/>
                <w:szCs w:val="20"/>
                <w:color w:val="auto"/>
              </w:rPr>
            </w:pPr>
            <w:r>
              <w:rPr>
                <w:rFonts w:ascii="Arial" w:cs="Arial" w:eastAsia="Arial" w:hAnsi="Arial"/>
                <w:sz w:val="14"/>
                <w:szCs w:val="14"/>
                <w:color w:val="333740"/>
              </w:rPr>
              <w:t>Reimbursement of the cost of up to 12 intercontinental flights per year for his spouse</w:t>
            </w:r>
          </w:p>
        </w:tc>
      </w:tr>
      <w:tr>
        <w:trPr>
          <w:trHeight w:val="311"/>
        </w:trPr>
        <w:tc>
          <w:tcPr>
            <w:tcW w:w="2450" w:type="dxa"/>
            <w:vAlign w:val="bottom"/>
            <w:shd w:val="clear" w:color="auto" w:fill="D7D8D6"/>
          </w:tcPr>
          <w:p>
            <w:pPr>
              <w:spacing w:after="0"/>
              <w:rPr>
                <w:sz w:val="24"/>
                <w:szCs w:val="24"/>
                <w:color w:val="auto"/>
              </w:rPr>
            </w:pPr>
          </w:p>
        </w:tc>
        <w:tc>
          <w:tcPr>
            <w:tcW w:w="8810" w:type="dxa"/>
            <w:vAlign w:val="bottom"/>
            <w:shd w:val="clear" w:color="auto" w:fill="D7D8D6"/>
          </w:tcPr>
          <w:p>
            <w:pPr>
              <w:ind w:left="170"/>
              <w:spacing w:after="0"/>
              <w:rPr>
                <w:sz w:val="20"/>
                <w:szCs w:val="20"/>
                <w:color w:val="auto"/>
              </w:rPr>
            </w:pPr>
            <w:r>
              <w:rPr>
                <w:rFonts w:ascii="Arial" w:cs="Arial" w:eastAsia="Arial" w:hAnsi="Arial"/>
                <w:sz w:val="14"/>
                <w:szCs w:val="14"/>
                <w:color w:val="333740"/>
              </w:rPr>
              <w:t>Reimbursement of reasonable expenses relating to preparing and filing his tax returns in France,</w:t>
            </w:r>
          </w:p>
        </w:tc>
      </w:tr>
      <w:tr>
        <w:trPr>
          <w:trHeight w:val="311"/>
        </w:trPr>
        <w:tc>
          <w:tcPr>
            <w:tcW w:w="2450" w:type="dxa"/>
            <w:vAlign w:val="bottom"/>
            <w:shd w:val="clear" w:color="auto" w:fill="D7D8D6"/>
          </w:tcPr>
          <w:p>
            <w:pPr>
              <w:spacing w:after="0"/>
              <w:rPr>
                <w:sz w:val="24"/>
                <w:szCs w:val="24"/>
                <w:color w:val="auto"/>
              </w:rPr>
            </w:pPr>
          </w:p>
        </w:tc>
        <w:tc>
          <w:tcPr>
            <w:tcW w:w="8810" w:type="dxa"/>
            <w:vAlign w:val="bottom"/>
            <w:shd w:val="clear" w:color="auto" w:fill="D7D8D6"/>
          </w:tcPr>
          <w:p>
            <w:pPr>
              <w:ind w:left="170"/>
              <w:spacing w:after="0"/>
              <w:rPr>
                <w:sz w:val="20"/>
                <w:szCs w:val="20"/>
                <w:color w:val="auto"/>
              </w:rPr>
            </w:pPr>
            <w:r>
              <w:rPr>
                <w:rFonts w:ascii="Arial" w:cs="Arial" w:eastAsia="Arial" w:hAnsi="Arial"/>
                <w:sz w:val="14"/>
                <w:szCs w:val="14"/>
                <w:color w:val="333740"/>
              </w:rPr>
              <w:t>the United Kingdom, and the United States</w:t>
            </w:r>
          </w:p>
        </w:tc>
      </w:tr>
      <w:tr>
        <w:trPr>
          <w:trHeight w:val="311"/>
        </w:trPr>
        <w:tc>
          <w:tcPr>
            <w:tcW w:w="2450" w:type="dxa"/>
            <w:vAlign w:val="bottom"/>
            <w:shd w:val="clear" w:color="auto" w:fill="D7D8D6"/>
          </w:tcPr>
          <w:p>
            <w:pPr>
              <w:spacing w:after="0"/>
              <w:rPr>
                <w:sz w:val="24"/>
                <w:szCs w:val="24"/>
                <w:color w:val="auto"/>
              </w:rPr>
            </w:pPr>
          </w:p>
        </w:tc>
        <w:tc>
          <w:tcPr>
            <w:tcW w:w="8810" w:type="dxa"/>
            <w:vAlign w:val="bottom"/>
            <w:shd w:val="clear" w:color="auto" w:fill="D7D8D6"/>
          </w:tcPr>
          <w:p>
            <w:pPr>
              <w:ind w:left="170"/>
              <w:spacing w:after="0"/>
              <w:rPr>
                <w:sz w:val="20"/>
                <w:szCs w:val="20"/>
                <w:color w:val="auto"/>
              </w:rPr>
            </w:pPr>
            <w:r>
              <w:rPr>
                <w:rFonts w:ascii="Arial" w:cs="Arial" w:eastAsia="Arial" w:hAnsi="Arial"/>
                <w:sz w:val="14"/>
                <w:szCs w:val="14"/>
                <w:color w:val="333740"/>
              </w:rPr>
              <w:t>Participation in the supplementary retirement plan for executives working in France</w:t>
            </w:r>
          </w:p>
        </w:tc>
      </w:tr>
      <w:tr>
        <w:trPr>
          <w:trHeight w:val="311"/>
        </w:trPr>
        <w:tc>
          <w:tcPr>
            <w:tcW w:w="2450" w:type="dxa"/>
            <w:vAlign w:val="bottom"/>
            <w:shd w:val="clear" w:color="auto" w:fill="D7D8D6"/>
          </w:tcPr>
          <w:p>
            <w:pPr>
              <w:spacing w:after="0"/>
              <w:rPr>
                <w:sz w:val="24"/>
                <w:szCs w:val="24"/>
                <w:color w:val="auto"/>
              </w:rPr>
            </w:pPr>
          </w:p>
        </w:tc>
        <w:tc>
          <w:tcPr>
            <w:tcW w:w="8810" w:type="dxa"/>
            <w:vAlign w:val="bottom"/>
            <w:shd w:val="clear" w:color="auto" w:fill="D7D8D6"/>
          </w:tcPr>
          <w:p>
            <w:pPr>
              <w:ind w:left="170"/>
              <w:spacing w:after="0"/>
              <w:rPr>
                <w:sz w:val="20"/>
                <w:szCs w:val="20"/>
                <w:color w:val="auto"/>
              </w:rPr>
            </w:pPr>
            <w:r>
              <w:rPr>
                <w:rFonts w:ascii="Arial" w:cs="Arial" w:eastAsia="Arial" w:hAnsi="Arial"/>
                <w:sz w:val="14"/>
                <w:szCs w:val="14"/>
                <w:color w:val="333740"/>
              </w:rPr>
              <w:t>25 days paid holiday each year; and</w:t>
            </w:r>
          </w:p>
        </w:tc>
      </w:tr>
      <w:tr>
        <w:trPr>
          <w:trHeight w:val="311"/>
        </w:trPr>
        <w:tc>
          <w:tcPr>
            <w:tcW w:w="2450" w:type="dxa"/>
            <w:vAlign w:val="bottom"/>
            <w:shd w:val="clear" w:color="auto" w:fill="D7D8D6"/>
          </w:tcPr>
          <w:p>
            <w:pPr>
              <w:spacing w:after="0"/>
              <w:rPr>
                <w:sz w:val="24"/>
                <w:szCs w:val="24"/>
                <w:color w:val="auto"/>
              </w:rPr>
            </w:pPr>
          </w:p>
        </w:tc>
        <w:tc>
          <w:tcPr>
            <w:tcW w:w="8810" w:type="dxa"/>
            <w:vAlign w:val="bottom"/>
            <w:shd w:val="clear" w:color="auto" w:fill="D7D8D6"/>
          </w:tcPr>
          <w:p>
            <w:pPr>
              <w:ind w:left="170"/>
              <w:spacing w:after="0"/>
              <w:rPr>
                <w:sz w:val="20"/>
                <w:szCs w:val="20"/>
                <w:color w:val="auto"/>
              </w:rPr>
            </w:pPr>
            <w:r>
              <w:rPr>
                <w:rFonts w:ascii="Arial" w:cs="Arial" w:eastAsia="Arial" w:hAnsi="Arial"/>
                <w:sz w:val="14"/>
                <w:szCs w:val="14"/>
                <w:color w:val="333740"/>
              </w:rPr>
              <w:t>Reimbursement of various expenses related to immigration</w:t>
            </w:r>
          </w:p>
        </w:tc>
      </w:tr>
      <w:tr>
        <w:trPr>
          <w:trHeight w:val="300"/>
        </w:trPr>
        <w:tc>
          <w:tcPr>
            <w:tcW w:w="2450" w:type="dxa"/>
            <w:vAlign w:val="bottom"/>
            <w:shd w:val="clear" w:color="auto" w:fill="D7D8D6"/>
          </w:tcPr>
          <w:p>
            <w:pPr>
              <w:ind w:left="260"/>
              <w:spacing w:after="0"/>
              <w:rPr>
                <w:sz w:val="20"/>
                <w:szCs w:val="20"/>
                <w:color w:val="auto"/>
              </w:rPr>
            </w:pPr>
            <w:r>
              <w:rPr>
                <w:rFonts w:ascii="Arial" w:cs="Arial" w:eastAsia="Arial" w:hAnsi="Arial"/>
                <w:sz w:val="14"/>
                <w:szCs w:val="14"/>
                <w:b w:val="1"/>
                <w:bCs w:val="1"/>
                <w:color w:val="333740"/>
              </w:rPr>
              <w:t>Share Ownership</w:t>
            </w:r>
          </w:p>
        </w:tc>
        <w:tc>
          <w:tcPr>
            <w:tcW w:w="8810" w:type="dxa"/>
            <w:vAlign w:val="bottom"/>
            <w:shd w:val="clear" w:color="auto" w:fill="D7D8D6"/>
          </w:tcPr>
          <w:p>
            <w:pPr>
              <w:ind w:left="170"/>
              <w:spacing w:after="0"/>
              <w:rPr>
                <w:sz w:val="20"/>
                <w:szCs w:val="20"/>
                <w:color w:val="auto"/>
              </w:rPr>
            </w:pPr>
            <w:r>
              <w:rPr>
                <w:rFonts w:ascii="Arial" w:cs="Arial" w:eastAsia="Arial" w:hAnsi="Arial"/>
                <w:sz w:val="14"/>
                <w:szCs w:val="14"/>
                <w:color w:val="333740"/>
              </w:rPr>
              <w:t>6x annual base salary</w:t>
            </w:r>
          </w:p>
        </w:tc>
      </w:tr>
      <w:tr>
        <w:trPr>
          <w:trHeight w:val="190"/>
        </w:trPr>
        <w:tc>
          <w:tcPr>
            <w:tcW w:w="2450" w:type="dxa"/>
            <w:vAlign w:val="bottom"/>
            <w:shd w:val="clear" w:color="auto" w:fill="D7D8D6"/>
          </w:tcPr>
          <w:p>
            <w:pPr>
              <w:ind w:left="260"/>
              <w:spacing w:after="0"/>
              <w:rPr>
                <w:sz w:val="20"/>
                <w:szCs w:val="20"/>
                <w:color w:val="auto"/>
              </w:rPr>
            </w:pPr>
            <w:r>
              <w:rPr>
                <w:rFonts w:ascii="Arial" w:cs="Arial" w:eastAsia="Arial" w:hAnsi="Arial"/>
                <w:sz w:val="14"/>
                <w:szCs w:val="14"/>
                <w:b w:val="1"/>
                <w:bCs w:val="1"/>
                <w:color w:val="333740"/>
              </w:rPr>
              <w:t>Requirement</w:t>
            </w:r>
          </w:p>
        </w:tc>
        <w:tc>
          <w:tcPr>
            <w:tcW w:w="8810" w:type="dxa"/>
            <w:vAlign w:val="bottom"/>
            <w:shd w:val="clear" w:color="auto" w:fill="D7D8D6"/>
          </w:tcPr>
          <w:p>
            <w:pPr>
              <w:spacing w:after="0"/>
              <w:rPr>
                <w:sz w:val="16"/>
                <w:szCs w:val="16"/>
                <w:color w:val="auto"/>
              </w:rPr>
            </w:pPr>
          </w:p>
        </w:tc>
      </w:tr>
      <w:tr>
        <w:trPr>
          <w:trHeight w:val="66"/>
        </w:trPr>
        <w:tc>
          <w:tcPr>
            <w:tcW w:w="2450" w:type="dxa"/>
            <w:vAlign w:val="bottom"/>
            <w:shd w:val="clear" w:color="auto" w:fill="D7D8D6"/>
          </w:tcPr>
          <w:p>
            <w:pPr>
              <w:spacing w:after="0"/>
              <w:rPr>
                <w:sz w:val="5"/>
                <w:szCs w:val="5"/>
                <w:color w:val="auto"/>
              </w:rPr>
            </w:pPr>
          </w:p>
        </w:tc>
        <w:tc>
          <w:tcPr>
            <w:tcW w:w="8810" w:type="dxa"/>
            <w:vAlign w:val="bottom"/>
            <w:shd w:val="clear" w:color="auto" w:fill="D7D8D6"/>
          </w:tcPr>
          <w:p>
            <w:pPr>
              <w:spacing w:after="0"/>
              <w:rPr>
                <w:sz w:val="5"/>
                <w:szCs w:val="5"/>
                <w:color w:val="auto"/>
              </w:rPr>
            </w:pPr>
          </w:p>
        </w:tc>
      </w:tr>
    </w:tbl>
    <w:p>
      <w:pPr>
        <w:spacing w:after="0" w:line="310" w:lineRule="exact"/>
        <w:rPr>
          <w:sz w:val="20"/>
          <w:szCs w:val="20"/>
          <w:color w:val="auto"/>
        </w:rPr>
      </w:pPr>
    </w:p>
    <w:p>
      <w:pPr>
        <w:ind w:left="9564"/>
        <w:spacing w:after="0"/>
        <w:rPr>
          <w:sz w:val="20"/>
          <w:szCs w:val="20"/>
          <w:color w:val="auto"/>
        </w:rPr>
      </w:pPr>
      <w:r>
        <w:rPr>
          <w:rFonts w:ascii="Arial" w:cs="Arial" w:eastAsia="Arial" w:hAnsi="Arial"/>
          <w:sz w:val="16"/>
          <w:szCs w:val="16"/>
          <w:color w:val="333740"/>
        </w:rPr>
        <w:t>Continued overleaf &gt;</w:t>
      </w:r>
    </w:p>
    <w:p>
      <w:pPr>
        <w:spacing w:after="0" w:line="323" w:lineRule="exact"/>
        <w:rPr>
          <w:sz w:val="20"/>
          <w:szCs w:val="20"/>
          <w:color w:val="auto"/>
        </w:rPr>
      </w:pPr>
    </w:p>
    <w:p>
      <w:pPr>
        <w:ind w:left="564" w:hanging="564"/>
        <w:spacing w:after="0"/>
        <w:tabs>
          <w:tab w:leader="none" w:pos="564" w:val="left"/>
        </w:tabs>
        <w:numPr>
          <w:ilvl w:val="0"/>
          <w:numId w:val="128"/>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104" w:name="page105"/>
    <w:bookmarkEnd w:id="104"/>
    <w:tbl>
      <w:tblPr>
        <w:tblLayout w:type="fixed"/>
        <w:tblInd w:w="4" w:type="dxa"/>
        <w:tblCellMar>
          <w:top w:w="0" w:type="dxa"/>
          <w:left w:w="0" w:type="dxa"/>
          <w:bottom w:w="0" w:type="dxa"/>
          <w:right w:w="0" w:type="dxa"/>
        </w:tblCellMar>
      </w:tblPr>
      <w:tr>
        <w:trPr>
          <w:trHeight w:val="169"/>
        </w:trPr>
        <w:tc>
          <w:tcPr>
            <w:tcW w:w="2500" w:type="dxa"/>
            <w:vAlign w:val="bottom"/>
            <w:gridSpan w:val="3"/>
          </w:tcPr>
          <w:p>
            <w:pPr>
              <w:ind w:left="20"/>
              <w:spacing w:after="0"/>
              <w:rPr>
                <w:sz w:val="20"/>
                <w:szCs w:val="20"/>
                <w:color w:val="auto"/>
              </w:rPr>
            </w:pPr>
            <w:r>
              <w:rPr>
                <w:rFonts w:ascii="Arial" w:cs="Arial" w:eastAsia="Arial" w:hAnsi="Arial"/>
                <w:sz w:val="13"/>
                <w:szCs w:val="13"/>
                <w:b w:val="1"/>
                <w:bCs w:val="1"/>
                <w:color w:val="481F6E"/>
              </w:rPr>
              <w:t>TechnipFMC Proxy Statement 2020</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80" w:type="dxa"/>
            <w:vAlign w:val="bottom"/>
            <w:shd w:val="clear" w:color="auto" w:fill="D7D8D6"/>
          </w:tcPr>
          <w:p>
            <w:pPr>
              <w:spacing w:after="0"/>
              <w:rPr>
                <w:sz w:val="17"/>
                <w:szCs w:val="17"/>
                <w:color w:val="auto"/>
              </w:rPr>
            </w:pPr>
          </w:p>
        </w:tc>
        <w:tc>
          <w:tcPr>
            <w:tcW w:w="2320" w:type="dxa"/>
            <w:vAlign w:val="bottom"/>
            <w:gridSpan w:val="2"/>
            <w:shd w:val="clear" w:color="auto" w:fill="D7D8D6"/>
          </w:tcPr>
          <w:p>
            <w:pPr>
              <w:ind w:left="80"/>
              <w:spacing w:after="0"/>
              <w:rPr>
                <w:sz w:val="20"/>
                <w:szCs w:val="20"/>
                <w:color w:val="auto"/>
              </w:rPr>
            </w:pPr>
            <w:r>
              <w:rPr>
                <w:rFonts w:ascii="Arial" w:cs="Arial" w:eastAsia="Arial" w:hAnsi="Arial"/>
                <w:sz w:val="14"/>
                <w:szCs w:val="14"/>
                <w:b w:val="1"/>
                <w:bCs w:val="1"/>
                <w:color w:val="333740"/>
              </w:rPr>
              <w:t>End-of-Service</w:t>
            </w:r>
          </w:p>
        </w:tc>
        <w:tc>
          <w:tcPr>
            <w:tcW w:w="6740" w:type="dxa"/>
            <w:vAlign w:val="bottom"/>
            <w:gridSpan w:val="7"/>
            <w:vMerge w:val="restart"/>
            <w:shd w:val="clear" w:color="auto" w:fill="D7D8D6"/>
          </w:tcPr>
          <w:p>
            <w:pPr>
              <w:ind w:left="60"/>
              <w:spacing w:after="0"/>
              <w:rPr>
                <w:sz w:val="20"/>
                <w:szCs w:val="20"/>
                <w:color w:val="auto"/>
              </w:rPr>
            </w:pPr>
            <w:r>
              <w:rPr>
                <w:rFonts w:ascii="Arial" w:cs="Arial" w:eastAsia="Arial" w:hAnsi="Arial"/>
                <w:sz w:val="14"/>
                <w:szCs w:val="14"/>
                <w:color w:val="333740"/>
              </w:rPr>
              <w:t>On May 1, 2019, Mr. Pilenko retired from the Board of Directors.</w:t>
            </w:r>
          </w:p>
        </w:tc>
        <w:tc>
          <w:tcPr>
            <w:tcW w:w="100" w:type="dxa"/>
            <w:vAlign w:val="bottom"/>
            <w:shd w:val="clear" w:color="auto" w:fill="D7D8D6"/>
          </w:tcPr>
          <w:p>
            <w:pPr>
              <w:spacing w:after="0"/>
              <w:rPr>
                <w:sz w:val="17"/>
                <w:szCs w:val="17"/>
                <w:color w:val="auto"/>
              </w:rPr>
            </w:pPr>
          </w:p>
        </w:tc>
        <w:tc>
          <w:tcPr>
            <w:tcW w:w="660" w:type="dxa"/>
            <w:vAlign w:val="bottom"/>
            <w:shd w:val="clear" w:color="auto" w:fill="D7D8D6"/>
          </w:tcPr>
          <w:p>
            <w:pPr>
              <w:spacing w:after="0"/>
              <w:rPr>
                <w:sz w:val="17"/>
                <w:szCs w:val="17"/>
                <w:color w:val="auto"/>
              </w:rPr>
            </w:pPr>
          </w:p>
        </w:tc>
        <w:tc>
          <w:tcPr>
            <w:tcW w:w="160" w:type="dxa"/>
            <w:vAlign w:val="bottom"/>
            <w:shd w:val="clear" w:color="auto" w:fill="D7D8D6"/>
          </w:tcPr>
          <w:p>
            <w:pPr>
              <w:spacing w:after="0"/>
              <w:rPr>
                <w:sz w:val="17"/>
                <w:szCs w:val="17"/>
                <w:color w:val="auto"/>
              </w:rPr>
            </w:pPr>
          </w:p>
        </w:tc>
        <w:tc>
          <w:tcPr>
            <w:tcW w:w="1100" w:type="dxa"/>
            <w:vAlign w:val="bottom"/>
            <w:shd w:val="clear" w:color="auto" w:fill="D7D8D6"/>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80" w:type="dxa"/>
            <w:vAlign w:val="bottom"/>
            <w:shd w:val="clear" w:color="auto" w:fill="D7D8D6"/>
          </w:tcPr>
          <w:p>
            <w:pPr>
              <w:spacing w:after="0"/>
              <w:rPr>
                <w:sz w:val="12"/>
                <w:szCs w:val="12"/>
                <w:color w:val="auto"/>
              </w:rPr>
            </w:pPr>
          </w:p>
        </w:tc>
        <w:tc>
          <w:tcPr>
            <w:tcW w:w="2320" w:type="dxa"/>
            <w:vAlign w:val="bottom"/>
            <w:gridSpan w:val="2"/>
            <w:vMerge w:val="restart"/>
            <w:shd w:val="clear" w:color="auto" w:fill="D7D8D6"/>
          </w:tcPr>
          <w:p>
            <w:pPr>
              <w:ind w:left="80"/>
              <w:spacing w:after="0"/>
              <w:rPr>
                <w:sz w:val="20"/>
                <w:szCs w:val="20"/>
                <w:color w:val="auto"/>
              </w:rPr>
            </w:pPr>
            <w:r>
              <w:rPr>
                <w:rFonts w:ascii="Arial" w:cs="Arial" w:eastAsia="Arial" w:hAnsi="Arial"/>
                <w:sz w:val="14"/>
                <w:szCs w:val="14"/>
                <w:b w:val="1"/>
                <w:bCs w:val="1"/>
                <w:color w:val="333740"/>
              </w:rPr>
              <w:t>Agreement</w:t>
            </w:r>
          </w:p>
        </w:tc>
        <w:tc>
          <w:tcPr>
            <w:tcW w:w="6740" w:type="dxa"/>
            <w:vAlign w:val="bottom"/>
            <w:gridSpan w:val="7"/>
            <w:vMerge w:val="continue"/>
            <w:shd w:val="clear" w:color="auto" w:fill="D7D8D6"/>
          </w:tcPr>
          <w:p>
            <w:pPr>
              <w:spacing w:after="0"/>
              <w:rPr>
                <w:sz w:val="12"/>
                <w:szCs w:val="12"/>
                <w:color w:val="auto"/>
              </w:rPr>
            </w:pPr>
          </w:p>
        </w:tc>
        <w:tc>
          <w:tcPr>
            <w:tcW w:w="100" w:type="dxa"/>
            <w:vAlign w:val="bottom"/>
            <w:shd w:val="clear" w:color="auto" w:fill="D7D8D6"/>
          </w:tcPr>
          <w:p>
            <w:pPr>
              <w:spacing w:after="0"/>
              <w:rPr>
                <w:sz w:val="12"/>
                <w:szCs w:val="12"/>
                <w:color w:val="auto"/>
              </w:rPr>
            </w:pPr>
          </w:p>
        </w:tc>
        <w:tc>
          <w:tcPr>
            <w:tcW w:w="660" w:type="dxa"/>
            <w:vAlign w:val="bottom"/>
            <w:shd w:val="clear" w:color="auto" w:fill="D7D8D6"/>
          </w:tcPr>
          <w:p>
            <w:pPr>
              <w:spacing w:after="0"/>
              <w:rPr>
                <w:sz w:val="12"/>
                <w:szCs w:val="12"/>
                <w:color w:val="auto"/>
              </w:rPr>
            </w:pPr>
          </w:p>
        </w:tc>
        <w:tc>
          <w:tcPr>
            <w:tcW w:w="160" w:type="dxa"/>
            <w:vAlign w:val="bottom"/>
            <w:shd w:val="clear" w:color="auto" w:fill="D7D8D6"/>
          </w:tcPr>
          <w:p>
            <w:pPr>
              <w:spacing w:after="0"/>
              <w:rPr>
                <w:sz w:val="12"/>
                <w:szCs w:val="12"/>
                <w:color w:val="auto"/>
              </w:rPr>
            </w:pPr>
          </w:p>
        </w:tc>
        <w:tc>
          <w:tcPr>
            <w:tcW w:w="1100" w:type="dxa"/>
            <w:vAlign w:val="bottom"/>
            <w:shd w:val="clear" w:color="auto" w:fill="D7D8D6"/>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80" w:type="dxa"/>
            <w:vAlign w:val="bottom"/>
            <w:tcBorders>
              <w:bottom w:val="single" w:sz="8" w:color="D7D8D6"/>
            </w:tcBorders>
            <w:shd w:val="clear" w:color="auto" w:fill="D7D8D6"/>
          </w:tcPr>
          <w:p>
            <w:pPr>
              <w:spacing w:after="0"/>
              <w:rPr>
                <w:sz w:val="9"/>
                <w:szCs w:val="9"/>
                <w:color w:val="auto"/>
              </w:rPr>
            </w:pPr>
          </w:p>
        </w:tc>
        <w:tc>
          <w:tcPr>
            <w:tcW w:w="2320" w:type="dxa"/>
            <w:vAlign w:val="bottom"/>
            <w:tcBorders>
              <w:bottom w:val="single" w:sz="8" w:color="D7D8D6"/>
            </w:tcBorders>
            <w:gridSpan w:val="2"/>
            <w:vMerge w:val="continue"/>
            <w:shd w:val="clear" w:color="auto" w:fill="D7D8D6"/>
          </w:tcPr>
          <w:p>
            <w:pPr>
              <w:spacing w:after="0"/>
              <w:rPr>
                <w:sz w:val="9"/>
                <w:szCs w:val="9"/>
                <w:color w:val="auto"/>
              </w:rPr>
            </w:pPr>
          </w:p>
        </w:tc>
        <w:tc>
          <w:tcPr>
            <w:tcW w:w="720" w:type="dxa"/>
            <w:vAlign w:val="bottom"/>
            <w:tcBorders>
              <w:bottom w:val="single" w:sz="8" w:color="D7D8D6"/>
            </w:tcBorders>
            <w:shd w:val="clear" w:color="auto" w:fill="D7D8D6"/>
          </w:tcPr>
          <w:p>
            <w:pPr>
              <w:spacing w:after="0"/>
              <w:rPr>
                <w:sz w:val="9"/>
                <w:szCs w:val="9"/>
                <w:color w:val="auto"/>
              </w:rPr>
            </w:pPr>
          </w:p>
        </w:tc>
        <w:tc>
          <w:tcPr>
            <w:tcW w:w="60" w:type="dxa"/>
            <w:vAlign w:val="bottom"/>
            <w:tcBorders>
              <w:bottom w:val="single" w:sz="8" w:color="D7D8D6"/>
            </w:tcBorders>
            <w:shd w:val="clear" w:color="auto" w:fill="D7D8D6"/>
          </w:tcPr>
          <w:p>
            <w:pPr>
              <w:spacing w:after="0"/>
              <w:rPr>
                <w:sz w:val="9"/>
                <w:szCs w:val="9"/>
                <w:color w:val="auto"/>
              </w:rPr>
            </w:pPr>
          </w:p>
        </w:tc>
        <w:tc>
          <w:tcPr>
            <w:tcW w:w="1620" w:type="dxa"/>
            <w:vAlign w:val="bottom"/>
            <w:tcBorders>
              <w:bottom w:val="single" w:sz="8" w:color="D7D8D6"/>
            </w:tcBorders>
            <w:shd w:val="clear" w:color="auto" w:fill="D7D8D6"/>
          </w:tcPr>
          <w:p>
            <w:pPr>
              <w:spacing w:after="0"/>
              <w:rPr>
                <w:sz w:val="9"/>
                <w:szCs w:val="9"/>
                <w:color w:val="auto"/>
              </w:rPr>
            </w:pPr>
          </w:p>
        </w:tc>
        <w:tc>
          <w:tcPr>
            <w:tcW w:w="2000" w:type="dxa"/>
            <w:vAlign w:val="bottom"/>
            <w:tcBorders>
              <w:bottom w:val="single" w:sz="8" w:color="D7D8D6"/>
            </w:tcBorders>
            <w:shd w:val="clear" w:color="auto" w:fill="D7D8D6"/>
          </w:tcPr>
          <w:p>
            <w:pPr>
              <w:spacing w:after="0"/>
              <w:rPr>
                <w:sz w:val="9"/>
                <w:szCs w:val="9"/>
                <w:color w:val="auto"/>
              </w:rPr>
            </w:pPr>
          </w:p>
        </w:tc>
        <w:tc>
          <w:tcPr>
            <w:tcW w:w="220" w:type="dxa"/>
            <w:vAlign w:val="bottom"/>
            <w:tcBorders>
              <w:bottom w:val="single" w:sz="8" w:color="D7D8D6"/>
            </w:tcBorders>
            <w:shd w:val="clear" w:color="auto" w:fill="D7D8D6"/>
          </w:tcPr>
          <w:p>
            <w:pPr>
              <w:spacing w:after="0"/>
              <w:rPr>
                <w:sz w:val="9"/>
                <w:szCs w:val="9"/>
                <w:color w:val="auto"/>
              </w:rPr>
            </w:pPr>
          </w:p>
        </w:tc>
        <w:tc>
          <w:tcPr>
            <w:tcW w:w="240" w:type="dxa"/>
            <w:vAlign w:val="bottom"/>
            <w:tcBorders>
              <w:bottom w:val="single" w:sz="8" w:color="D7D8D6"/>
            </w:tcBorders>
            <w:shd w:val="clear" w:color="auto" w:fill="D7D8D6"/>
          </w:tcPr>
          <w:p>
            <w:pPr>
              <w:spacing w:after="0"/>
              <w:rPr>
                <w:sz w:val="9"/>
                <w:szCs w:val="9"/>
                <w:color w:val="auto"/>
              </w:rPr>
            </w:pPr>
          </w:p>
        </w:tc>
        <w:tc>
          <w:tcPr>
            <w:tcW w:w="1880" w:type="dxa"/>
            <w:vAlign w:val="bottom"/>
            <w:tcBorders>
              <w:bottom w:val="single" w:sz="8" w:color="D7D8D6"/>
            </w:tcBorders>
            <w:shd w:val="clear" w:color="auto" w:fill="D7D8D6"/>
          </w:tcPr>
          <w:p>
            <w:pPr>
              <w:spacing w:after="0"/>
              <w:rPr>
                <w:sz w:val="9"/>
                <w:szCs w:val="9"/>
                <w:color w:val="auto"/>
              </w:rPr>
            </w:pPr>
          </w:p>
        </w:tc>
        <w:tc>
          <w:tcPr>
            <w:tcW w:w="100" w:type="dxa"/>
            <w:vAlign w:val="bottom"/>
            <w:tcBorders>
              <w:bottom w:val="single" w:sz="8" w:color="D7D8D6"/>
            </w:tcBorders>
            <w:shd w:val="clear" w:color="auto" w:fill="D7D8D6"/>
          </w:tcPr>
          <w:p>
            <w:pPr>
              <w:spacing w:after="0"/>
              <w:rPr>
                <w:sz w:val="9"/>
                <w:szCs w:val="9"/>
                <w:color w:val="auto"/>
              </w:rPr>
            </w:pPr>
          </w:p>
        </w:tc>
        <w:tc>
          <w:tcPr>
            <w:tcW w:w="660" w:type="dxa"/>
            <w:vAlign w:val="bottom"/>
            <w:tcBorders>
              <w:bottom w:val="single" w:sz="8" w:color="D7D8D6"/>
            </w:tcBorders>
            <w:shd w:val="clear" w:color="auto" w:fill="D7D8D6"/>
          </w:tcPr>
          <w:p>
            <w:pPr>
              <w:spacing w:after="0"/>
              <w:rPr>
                <w:sz w:val="9"/>
                <w:szCs w:val="9"/>
                <w:color w:val="auto"/>
              </w:rPr>
            </w:pPr>
          </w:p>
        </w:tc>
        <w:tc>
          <w:tcPr>
            <w:tcW w:w="160" w:type="dxa"/>
            <w:vAlign w:val="bottom"/>
            <w:tcBorders>
              <w:bottom w:val="single" w:sz="8" w:color="D7D8D6"/>
            </w:tcBorders>
            <w:shd w:val="clear" w:color="auto" w:fill="D7D8D6"/>
          </w:tcPr>
          <w:p>
            <w:pPr>
              <w:spacing w:after="0"/>
              <w:rPr>
                <w:sz w:val="9"/>
                <w:szCs w:val="9"/>
                <w:color w:val="auto"/>
              </w:rPr>
            </w:pPr>
          </w:p>
        </w:tc>
        <w:tc>
          <w:tcPr>
            <w:tcW w:w="1100" w:type="dxa"/>
            <w:vAlign w:val="bottom"/>
            <w:tcBorders>
              <w:bottom w:val="single" w:sz="8" w:color="D7D8D6"/>
            </w:tcBorders>
            <w:shd w:val="clear" w:color="auto" w:fill="D7D8D6"/>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100" w:type="dxa"/>
            <w:vAlign w:val="bottom"/>
            <w:shd w:val="clear" w:color="auto" w:fill="D7D8D6"/>
          </w:tcPr>
          <w:p>
            <w:pPr>
              <w:spacing w:after="0"/>
              <w:rPr>
                <w:sz w:val="17"/>
                <w:szCs w:val="17"/>
                <w:color w:val="auto"/>
              </w:rPr>
            </w:pPr>
          </w:p>
        </w:tc>
        <w:tc>
          <w:tcPr>
            <w:tcW w:w="220" w:type="dxa"/>
            <w:vAlign w:val="bottom"/>
            <w:shd w:val="clear" w:color="auto" w:fill="D7D8D6"/>
          </w:tcPr>
          <w:p>
            <w:pPr>
              <w:spacing w:after="0"/>
              <w:rPr>
                <w:sz w:val="17"/>
                <w:szCs w:val="17"/>
                <w:color w:val="auto"/>
              </w:rPr>
            </w:pPr>
          </w:p>
        </w:tc>
        <w:tc>
          <w:tcPr>
            <w:tcW w:w="8760" w:type="dxa"/>
            <w:vAlign w:val="bottom"/>
            <w:gridSpan w:val="11"/>
            <w:shd w:val="clear" w:color="auto" w:fill="D7D8D6"/>
          </w:tcPr>
          <w:p>
            <w:pPr>
              <w:ind w:left="60"/>
              <w:spacing w:after="0"/>
              <w:rPr>
                <w:sz w:val="20"/>
                <w:szCs w:val="20"/>
                <w:color w:val="auto"/>
              </w:rPr>
            </w:pPr>
            <w:r>
              <w:rPr>
                <w:rFonts w:ascii="Arial" w:cs="Arial" w:eastAsia="Arial" w:hAnsi="Arial"/>
                <w:sz w:val="14"/>
                <w:szCs w:val="14"/>
                <w:color w:val="333740"/>
              </w:rPr>
              <w:t>He received end-of-service payments in line with his service agreement previously disclosed. The detailed payments</w:t>
            </w:r>
          </w:p>
        </w:tc>
        <w:tc>
          <w:tcPr>
            <w:tcW w:w="0" w:type="dxa"/>
            <w:vAlign w:val="bottom"/>
          </w:tcPr>
          <w:p>
            <w:pPr>
              <w:spacing w:after="0"/>
              <w:rPr>
                <w:sz w:val="1"/>
                <w:szCs w:val="1"/>
                <w:color w:val="auto"/>
              </w:rPr>
            </w:pPr>
          </w:p>
        </w:tc>
      </w:tr>
      <w:tr>
        <w:trPr>
          <w:trHeight w:val="255"/>
        </w:trPr>
        <w:tc>
          <w:tcPr>
            <w:tcW w:w="180" w:type="dxa"/>
            <w:vAlign w:val="bottom"/>
          </w:tcPr>
          <w:p>
            <w:pPr>
              <w:spacing w:after="0"/>
              <w:rPr>
                <w:sz w:val="22"/>
                <w:szCs w:val="22"/>
                <w:color w:val="auto"/>
              </w:rPr>
            </w:pPr>
          </w:p>
        </w:tc>
        <w:tc>
          <w:tcPr>
            <w:tcW w:w="2100" w:type="dxa"/>
            <w:vAlign w:val="bottom"/>
            <w:tcBorders>
              <w:bottom w:val="single" w:sz="8" w:color="D7D8D6"/>
            </w:tcBorders>
            <w:shd w:val="clear" w:color="auto" w:fill="D7D8D6"/>
          </w:tcPr>
          <w:p>
            <w:pPr>
              <w:spacing w:after="0"/>
              <w:rPr>
                <w:sz w:val="22"/>
                <w:szCs w:val="22"/>
                <w:color w:val="auto"/>
              </w:rPr>
            </w:pPr>
          </w:p>
        </w:tc>
        <w:tc>
          <w:tcPr>
            <w:tcW w:w="220" w:type="dxa"/>
            <w:vAlign w:val="bottom"/>
            <w:tcBorders>
              <w:bottom w:val="single" w:sz="8" w:color="D7D8D6"/>
            </w:tcBorders>
            <w:shd w:val="clear" w:color="auto" w:fill="D7D8D6"/>
          </w:tcPr>
          <w:p>
            <w:pPr>
              <w:spacing w:after="0"/>
              <w:rPr>
                <w:sz w:val="22"/>
                <w:szCs w:val="22"/>
                <w:color w:val="auto"/>
              </w:rPr>
            </w:pPr>
          </w:p>
        </w:tc>
        <w:tc>
          <w:tcPr>
            <w:tcW w:w="6740" w:type="dxa"/>
            <w:vAlign w:val="bottom"/>
            <w:tcBorders>
              <w:bottom w:val="single" w:sz="8" w:color="D7D8D6"/>
            </w:tcBorders>
            <w:gridSpan w:val="7"/>
            <w:shd w:val="clear" w:color="auto" w:fill="D7D8D6"/>
          </w:tcPr>
          <w:p>
            <w:pPr>
              <w:ind w:left="60"/>
              <w:spacing w:after="0"/>
              <w:rPr>
                <w:sz w:val="20"/>
                <w:szCs w:val="20"/>
                <w:color w:val="auto"/>
              </w:rPr>
            </w:pPr>
            <w:r>
              <w:rPr>
                <w:rFonts w:ascii="Arial" w:cs="Arial" w:eastAsia="Arial" w:hAnsi="Arial"/>
                <w:sz w:val="14"/>
                <w:szCs w:val="14"/>
                <w:color w:val="333740"/>
              </w:rPr>
              <w:t>are as follows:</w:t>
            </w:r>
          </w:p>
        </w:tc>
        <w:tc>
          <w:tcPr>
            <w:tcW w:w="100" w:type="dxa"/>
            <w:vAlign w:val="bottom"/>
            <w:tcBorders>
              <w:bottom w:val="single" w:sz="8" w:color="D7D8D6"/>
            </w:tcBorders>
            <w:shd w:val="clear" w:color="auto" w:fill="D7D8D6"/>
          </w:tcPr>
          <w:p>
            <w:pPr>
              <w:spacing w:after="0"/>
              <w:rPr>
                <w:sz w:val="22"/>
                <w:szCs w:val="22"/>
                <w:color w:val="auto"/>
              </w:rPr>
            </w:pPr>
          </w:p>
        </w:tc>
        <w:tc>
          <w:tcPr>
            <w:tcW w:w="660" w:type="dxa"/>
            <w:vAlign w:val="bottom"/>
            <w:tcBorders>
              <w:bottom w:val="single" w:sz="8" w:color="D7D8D6"/>
            </w:tcBorders>
            <w:shd w:val="clear" w:color="auto" w:fill="D7D8D6"/>
          </w:tcPr>
          <w:p>
            <w:pPr>
              <w:spacing w:after="0"/>
              <w:rPr>
                <w:sz w:val="22"/>
                <w:szCs w:val="22"/>
                <w:color w:val="auto"/>
              </w:rPr>
            </w:pPr>
          </w:p>
        </w:tc>
        <w:tc>
          <w:tcPr>
            <w:tcW w:w="160" w:type="dxa"/>
            <w:vAlign w:val="bottom"/>
            <w:tcBorders>
              <w:bottom w:val="single" w:sz="8" w:color="D7D8D6"/>
            </w:tcBorders>
            <w:shd w:val="clear" w:color="auto" w:fill="D7D8D6"/>
          </w:tcPr>
          <w:p>
            <w:pPr>
              <w:spacing w:after="0"/>
              <w:rPr>
                <w:sz w:val="22"/>
                <w:szCs w:val="22"/>
                <w:color w:val="auto"/>
              </w:rPr>
            </w:pPr>
          </w:p>
        </w:tc>
        <w:tc>
          <w:tcPr>
            <w:tcW w:w="1100" w:type="dxa"/>
            <w:vAlign w:val="bottom"/>
            <w:tcBorders>
              <w:bottom w:val="single" w:sz="8" w:color="D7D8D6"/>
            </w:tcBorders>
            <w:shd w:val="clear" w:color="auto" w:fill="D7D8D6"/>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shd w:val="clear" w:color="auto" w:fill="D7D8D6"/>
          </w:tcPr>
          <w:p>
            <w:pPr>
              <w:spacing w:after="0"/>
              <w:rPr>
                <w:sz w:val="17"/>
                <w:szCs w:val="17"/>
                <w:color w:val="auto"/>
              </w:rPr>
            </w:pPr>
          </w:p>
        </w:tc>
        <w:tc>
          <w:tcPr>
            <w:tcW w:w="720" w:type="dxa"/>
            <w:vAlign w:val="bottom"/>
            <w:vMerge w:val="restart"/>
            <w:shd w:val="clear" w:color="auto" w:fill="D7D8D6"/>
          </w:tcPr>
          <w:p>
            <w:pPr>
              <w:ind w:left="60"/>
              <w:spacing w:after="0"/>
              <w:rPr>
                <w:sz w:val="20"/>
                <w:szCs w:val="20"/>
                <w:color w:val="auto"/>
              </w:rPr>
            </w:pPr>
            <w:r>
              <w:rPr>
                <w:rFonts w:ascii="Arial" w:cs="Arial" w:eastAsia="Arial" w:hAnsi="Arial"/>
                <w:sz w:val="14"/>
                <w:szCs w:val="14"/>
                <w:color w:val="333740"/>
              </w:rPr>
              <w:t>(a)</w:t>
            </w:r>
          </w:p>
        </w:tc>
        <w:tc>
          <w:tcPr>
            <w:tcW w:w="6020" w:type="dxa"/>
            <w:vAlign w:val="bottom"/>
            <w:gridSpan w:val="6"/>
            <w:shd w:val="clear" w:color="auto" w:fill="D7D8D6"/>
          </w:tcPr>
          <w:p>
            <w:pPr>
              <w:ind w:left="60"/>
              <w:spacing w:after="0"/>
              <w:rPr>
                <w:sz w:val="20"/>
                <w:szCs w:val="20"/>
                <w:color w:val="auto"/>
              </w:rPr>
            </w:pPr>
            <w:r>
              <w:rPr>
                <w:rFonts w:ascii="Arial" w:cs="Arial" w:eastAsia="Arial" w:hAnsi="Arial"/>
                <w:sz w:val="14"/>
                <w:szCs w:val="14"/>
                <w:color w:val="333740"/>
              </w:rPr>
              <w:t>a lump sum payment equal to his annual base salary and target</w:t>
            </w:r>
          </w:p>
        </w:tc>
        <w:tc>
          <w:tcPr>
            <w:tcW w:w="100" w:type="dxa"/>
            <w:vAlign w:val="bottom"/>
            <w:shd w:val="clear" w:color="auto" w:fill="D7D8D6"/>
          </w:tcPr>
          <w:p>
            <w:pPr>
              <w:spacing w:after="0"/>
              <w:rPr>
                <w:sz w:val="17"/>
                <w:szCs w:val="17"/>
                <w:color w:val="auto"/>
              </w:rPr>
            </w:pPr>
          </w:p>
        </w:tc>
        <w:tc>
          <w:tcPr>
            <w:tcW w:w="820" w:type="dxa"/>
            <w:vAlign w:val="bottom"/>
            <w:gridSpan w:val="2"/>
            <w:vMerge w:val="restart"/>
            <w:shd w:val="clear" w:color="auto" w:fill="D7D8D6"/>
          </w:tcPr>
          <w:p>
            <w:pPr>
              <w:spacing w:after="0"/>
              <w:rPr>
                <w:sz w:val="20"/>
                <w:szCs w:val="20"/>
                <w:color w:val="auto"/>
              </w:rPr>
            </w:pPr>
            <w:r>
              <w:rPr>
                <w:rFonts w:ascii="Arial" w:cs="Arial" w:eastAsia="Arial" w:hAnsi="Arial"/>
                <w:sz w:val="14"/>
                <w:szCs w:val="14"/>
                <w:color w:val="333740"/>
                <w:highlight w:val="lightGray"/>
              </w:rPr>
              <w:t>$2,213,582</w:t>
            </w:r>
          </w:p>
        </w:tc>
        <w:tc>
          <w:tcPr>
            <w:tcW w:w="1100" w:type="dxa"/>
            <w:vAlign w:val="bottom"/>
            <w:shd w:val="clear" w:color="auto" w:fill="D7D8D6"/>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20" w:type="dxa"/>
            <w:vAlign w:val="bottom"/>
            <w:shd w:val="clear" w:color="auto" w:fill="D7D8D6"/>
          </w:tcPr>
          <w:p>
            <w:pPr>
              <w:spacing w:after="0"/>
              <w:rPr>
                <w:sz w:val="10"/>
                <w:szCs w:val="10"/>
                <w:color w:val="auto"/>
              </w:rPr>
            </w:pPr>
          </w:p>
        </w:tc>
        <w:tc>
          <w:tcPr>
            <w:tcW w:w="720" w:type="dxa"/>
            <w:vAlign w:val="bottom"/>
            <w:vMerge w:val="continue"/>
            <w:shd w:val="clear" w:color="auto" w:fill="D7D8D6"/>
          </w:tcPr>
          <w:p>
            <w:pPr>
              <w:spacing w:after="0"/>
              <w:rPr>
                <w:sz w:val="10"/>
                <w:szCs w:val="10"/>
                <w:color w:val="auto"/>
              </w:rPr>
            </w:pPr>
          </w:p>
        </w:tc>
        <w:tc>
          <w:tcPr>
            <w:tcW w:w="3680" w:type="dxa"/>
            <w:vAlign w:val="bottom"/>
            <w:gridSpan w:val="3"/>
            <w:vMerge w:val="restart"/>
            <w:shd w:val="clear" w:color="auto" w:fill="D7D8D6"/>
          </w:tcPr>
          <w:p>
            <w:pPr>
              <w:ind w:left="60"/>
              <w:spacing w:after="0"/>
              <w:rPr>
                <w:sz w:val="20"/>
                <w:szCs w:val="20"/>
                <w:color w:val="auto"/>
              </w:rPr>
            </w:pPr>
            <w:r>
              <w:rPr>
                <w:rFonts w:ascii="Arial" w:cs="Arial" w:eastAsia="Arial" w:hAnsi="Arial"/>
                <w:sz w:val="14"/>
                <w:szCs w:val="14"/>
                <w:color w:val="333740"/>
              </w:rPr>
              <w:t>annual cash incentive, subject to his signing a release of</w:t>
            </w:r>
          </w:p>
        </w:tc>
        <w:tc>
          <w:tcPr>
            <w:tcW w:w="460" w:type="dxa"/>
            <w:vAlign w:val="bottom"/>
            <w:gridSpan w:val="2"/>
            <w:vMerge w:val="restart"/>
            <w:shd w:val="clear" w:color="auto" w:fill="D7D8D6"/>
          </w:tcPr>
          <w:p>
            <w:pPr>
              <w:spacing w:after="0"/>
              <w:rPr>
                <w:sz w:val="20"/>
                <w:szCs w:val="20"/>
                <w:color w:val="auto"/>
              </w:rPr>
            </w:pPr>
            <w:r>
              <w:rPr>
                <w:rFonts w:ascii="Arial" w:cs="Arial" w:eastAsia="Arial" w:hAnsi="Arial"/>
                <w:sz w:val="14"/>
                <w:szCs w:val="14"/>
                <w:color w:val="333740"/>
                <w:highlight w:val="lightGray"/>
              </w:rPr>
              <w:t>claims</w:t>
            </w:r>
          </w:p>
        </w:tc>
        <w:tc>
          <w:tcPr>
            <w:tcW w:w="1880" w:type="dxa"/>
            <w:vAlign w:val="bottom"/>
            <w:shd w:val="clear" w:color="auto" w:fill="D7D8D6"/>
          </w:tcPr>
          <w:p>
            <w:pPr>
              <w:spacing w:after="0"/>
              <w:rPr>
                <w:sz w:val="10"/>
                <w:szCs w:val="10"/>
                <w:color w:val="auto"/>
              </w:rPr>
            </w:pPr>
          </w:p>
        </w:tc>
        <w:tc>
          <w:tcPr>
            <w:tcW w:w="100" w:type="dxa"/>
            <w:vAlign w:val="bottom"/>
            <w:shd w:val="clear" w:color="auto" w:fill="D7D8D6"/>
          </w:tcPr>
          <w:p>
            <w:pPr>
              <w:spacing w:after="0"/>
              <w:rPr>
                <w:sz w:val="10"/>
                <w:szCs w:val="10"/>
                <w:color w:val="auto"/>
              </w:rPr>
            </w:pPr>
          </w:p>
        </w:tc>
        <w:tc>
          <w:tcPr>
            <w:tcW w:w="820" w:type="dxa"/>
            <w:vAlign w:val="bottom"/>
            <w:gridSpan w:val="2"/>
            <w:vMerge w:val="continue"/>
            <w:shd w:val="clear" w:color="auto" w:fill="D7D8D6"/>
          </w:tcPr>
          <w:p>
            <w:pPr>
              <w:spacing w:after="0"/>
              <w:rPr>
                <w:sz w:val="10"/>
                <w:szCs w:val="10"/>
                <w:color w:val="auto"/>
              </w:rPr>
            </w:pPr>
          </w:p>
        </w:tc>
        <w:tc>
          <w:tcPr>
            <w:tcW w:w="1100" w:type="dxa"/>
            <w:vAlign w:val="bottom"/>
            <w:shd w:val="clear" w:color="auto" w:fill="D7D8D6"/>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8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20" w:type="dxa"/>
            <w:vAlign w:val="bottom"/>
            <w:shd w:val="clear" w:color="auto" w:fill="D7D8D6"/>
          </w:tcPr>
          <w:p>
            <w:pPr>
              <w:spacing w:after="0"/>
              <w:rPr>
                <w:sz w:val="7"/>
                <w:szCs w:val="7"/>
                <w:color w:val="auto"/>
              </w:rPr>
            </w:pPr>
          </w:p>
        </w:tc>
        <w:tc>
          <w:tcPr>
            <w:tcW w:w="720" w:type="dxa"/>
            <w:vAlign w:val="bottom"/>
            <w:shd w:val="clear" w:color="auto" w:fill="D7D8D6"/>
          </w:tcPr>
          <w:p>
            <w:pPr>
              <w:spacing w:after="0"/>
              <w:rPr>
                <w:sz w:val="7"/>
                <w:szCs w:val="7"/>
                <w:color w:val="auto"/>
              </w:rPr>
            </w:pPr>
          </w:p>
        </w:tc>
        <w:tc>
          <w:tcPr>
            <w:tcW w:w="3680" w:type="dxa"/>
            <w:vAlign w:val="bottom"/>
            <w:gridSpan w:val="3"/>
            <w:vMerge w:val="continue"/>
            <w:shd w:val="clear" w:color="auto" w:fill="D7D8D6"/>
          </w:tcPr>
          <w:p>
            <w:pPr>
              <w:spacing w:after="0"/>
              <w:rPr>
                <w:sz w:val="7"/>
                <w:szCs w:val="7"/>
                <w:color w:val="auto"/>
              </w:rPr>
            </w:pPr>
          </w:p>
        </w:tc>
        <w:tc>
          <w:tcPr>
            <w:tcW w:w="460" w:type="dxa"/>
            <w:vAlign w:val="bottom"/>
            <w:gridSpan w:val="2"/>
            <w:vMerge w:val="continue"/>
            <w:shd w:val="clear" w:color="auto" w:fill="D7D8D6"/>
          </w:tcPr>
          <w:p>
            <w:pPr>
              <w:spacing w:after="0"/>
              <w:rPr>
                <w:sz w:val="7"/>
                <w:szCs w:val="7"/>
                <w:color w:val="auto"/>
              </w:rPr>
            </w:pPr>
          </w:p>
        </w:tc>
        <w:tc>
          <w:tcPr>
            <w:tcW w:w="1880" w:type="dxa"/>
            <w:vAlign w:val="bottom"/>
            <w:shd w:val="clear" w:color="auto" w:fill="D7D8D6"/>
          </w:tcPr>
          <w:p>
            <w:pPr>
              <w:spacing w:after="0"/>
              <w:rPr>
                <w:sz w:val="7"/>
                <w:szCs w:val="7"/>
                <w:color w:val="auto"/>
              </w:rPr>
            </w:pPr>
          </w:p>
        </w:tc>
        <w:tc>
          <w:tcPr>
            <w:tcW w:w="100" w:type="dxa"/>
            <w:vAlign w:val="bottom"/>
            <w:shd w:val="clear" w:color="auto" w:fill="D7D8D6"/>
          </w:tcPr>
          <w:p>
            <w:pPr>
              <w:spacing w:after="0"/>
              <w:rPr>
                <w:sz w:val="7"/>
                <w:szCs w:val="7"/>
                <w:color w:val="auto"/>
              </w:rPr>
            </w:pPr>
          </w:p>
        </w:tc>
        <w:tc>
          <w:tcPr>
            <w:tcW w:w="660" w:type="dxa"/>
            <w:vAlign w:val="bottom"/>
            <w:shd w:val="clear" w:color="auto" w:fill="D7D8D6"/>
          </w:tcPr>
          <w:p>
            <w:pPr>
              <w:spacing w:after="0"/>
              <w:rPr>
                <w:sz w:val="7"/>
                <w:szCs w:val="7"/>
                <w:color w:val="auto"/>
              </w:rPr>
            </w:pPr>
          </w:p>
        </w:tc>
        <w:tc>
          <w:tcPr>
            <w:tcW w:w="160" w:type="dxa"/>
            <w:vAlign w:val="bottom"/>
            <w:shd w:val="clear" w:color="auto" w:fill="D7D8D6"/>
          </w:tcPr>
          <w:p>
            <w:pPr>
              <w:spacing w:after="0"/>
              <w:rPr>
                <w:sz w:val="7"/>
                <w:szCs w:val="7"/>
                <w:color w:val="auto"/>
              </w:rPr>
            </w:pPr>
          </w:p>
        </w:tc>
        <w:tc>
          <w:tcPr>
            <w:tcW w:w="1100" w:type="dxa"/>
            <w:vAlign w:val="bottom"/>
            <w:shd w:val="clear" w:color="auto" w:fill="D7D8D6"/>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220" w:type="dxa"/>
            <w:vAlign w:val="bottom"/>
            <w:shd w:val="clear" w:color="auto" w:fill="D7D8D6"/>
          </w:tcPr>
          <w:p>
            <w:pPr>
              <w:spacing w:after="0"/>
              <w:rPr>
                <w:sz w:val="6"/>
                <w:szCs w:val="6"/>
                <w:color w:val="auto"/>
              </w:rPr>
            </w:pPr>
          </w:p>
        </w:tc>
        <w:tc>
          <w:tcPr>
            <w:tcW w:w="720" w:type="dxa"/>
            <w:vAlign w:val="bottom"/>
            <w:vMerge w:val="restart"/>
            <w:shd w:val="clear" w:color="auto" w:fill="D7D8D6"/>
          </w:tcPr>
          <w:p>
            <w:pPr>
              <w:ind w:left="60"/>
              <w:spacing w:after="0"/>
              <w:rPr>
                <w:sz w:val="20"/>
                <w:szCs w:val="20"/>
                <w:color w:val="auto"/>
              </w:rPr>
            </w:pPr>
            <w:r>
              <w:rPr>
                <w:rFonts w:ascii="Arial" w:cs="Arial" w:eastAsia="Arial" w:hAnsi="Arial"/>
                <w:sz w:val="14"/>
                <w:szCs w:val="14"/>
                <w:color w:val="333740"/>
              </w:rPr>
              <w:t>(b)</w:t>
            </w:r>
          </w:p>
        </w:tc>
        <w:tc>
          <w:tcPr>
            <w:tcW w:w="6020" w:type="dxa"/>
            <w:vAlign w:val="bottom"/>
            <w:gridSpan w:val="6"/>
            <w:vMerge w:val="restart"/>
            <w:shd w:val="clear" w:color="auto" w:fill="D7D8D6"/>
          </w:tcPr>
          <w:p>
            <w:pPr>
              <w:ind w:left="60"/>
              <w:spacing w:after="0"/>
              <w:rPr>
                <w:sz w:val="20"/>
                <w:szCs w:val="20"/>
                <w:color w:val="auto"/>
              </w:rPr>
            </w:pPr>
            <w:r>
              <w:rPr>
                <w:rFonts w:ascii="Arial" w:cs="Arial" w:eastAsia="Arial" w:hAnsi="Arial"/>
                <w:sz w:val="14"/>
                <w:szCs w:val="14"/>
                <w:color w:val="333740"/>
              </w:rPr>
              <w:t>payment for all accrued but unused vacation days</w:t>
            </w:r>
          </w:p>
        </w:tc>
        <w:tc>
          <w:tcPr>
            <w:tcW w:w="760" w:type="dxa"/>
            <w:vAlign w:val="bottom"/>
            <w:gridSpan w:val="2"/>
            <w:vMerge w:val="restart"/>
            <w:shd w:val="clear" w:color="auto" w:fill="D7D8D6"/>
          </w:tcPr>
          <w:p>
            <w:pPr>
              <w:ind w:left="100"/>
              <w:spacing w:after="0"/>
              <w:rPr>
                <w:sz w:val="20"/>
                <w:szCs w:val="20"/>
                <w:color w:val="auto"/>
              </w:rPr>
            </w:pPr>
            <w:r>
              <w:rPr>
                <w:rFonts w:ascii="Arial" w:cs="Arial" w:eastAsia="Arial" w:hAnsi="Arial"/>
                <w:sz w:val="14"/>
                <w:szCs w:val="14"/>
                <w:color w:val="333740"/>
              </w:rPr>
              <w:t>$73,551</w:t>
            </w:r>
          </w:p>
        </w:tc>
        <w:tc>
          <w:tcPr>
            <w:tcW w:w="160" w:type="dxa"/>
            <w:vAlign w:val="bottom"/>
            <w:shd w:val="clear" w:color="auto" w:fill="D7D8D6"/>
          </w:tcPr>
          <w:p>
            <w:pPr>
              <w:spacing w:after="0"/>
              <w:rPr>
                <w:sz w:val="6"/>
                <w:szCs w:val="6"/>
                <w:color w:val="auto"/>
              </w:rPr>
            </w:pPr>
          </w:p>
        </w:tc>
        <w:tc>
          <w:tcPr>
            <w:tcW w:w="1100" w:type="dxa"/>
            <w:vAlign w:val="bottom"/>
            <w:shd w:val="clear" w:color="auto" w:fill="D7D8D6"/>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vMerge w:val="continue"/>
            <w:shd w:val="clear" w:color="auto" w:fill="D7D8D6"/>
          </w:tcPr>
          <w:p>
            <w:pPr>
              <w:spacing w:after="0"/>
              <w:rPr>
                <w:sz w:val="21"/>
                <w:szCs w:val="21"/>
                <w:color w:val="auto"/>
              </w:rPr>
            </w:pPr>
          </w:p>
        </w:tc>
        <w:tc>
          <w:tcPr>
            <w:tcW w:w="6020" w:type="dxa"/>
            <w:vAlign w:val="bottom"/>
            <w:gridSpan w:val="6"/>
            <w:vMerge w:val="continue"/>
            <w:shd w:val="clear" w:color="auto" w:fill="D7D8D6"/>
          </w:tcPr>
          <w:p>
            <w:pPr>
              <w:spacing w:after="0"/>
              <w:rPr>
                <w:sz w:val="21"/>
                <w:szCs w:val="21"/>
                <w:color w:val="auto"/>
              </w:rPr>
            </w:pPr>
          </w:p>
        </w:tc>
        <w:tc>
          <w:tcPr>
            <w:tcW w:w="760" w:type="dxa"/>
            <w:vAlign w:val="bottom"/>
            <w:gridSpan w:val="2"/>
            <w:vMerge w:val="continue"/>
            <w:shd w:val="clear" w:color="auto" w:fill="D7D8D6"/>
          </w:tcPr>
          <w:p>
            <w:pPr>
              <w:spacing w:after="0"/>
              <w:rPr>
                <w:sz w:val="21"/>
                <w:szCs w:val="21"/>
                <w:color w:val="auto"/>
              </w:rPr>
            </w:pPr>
          </w:p>
        </w:tc>
        <w:tc>
          <w:tcPr>
            <w:tcW w:w="160" w:type="dxa"/>
            <w:vAlign w:val="bottom"/>
            <w:shd w:val="clear" w:color="auto" w:fill="D7D8D6"/>
          </w:tcPr>
          <w:p>
            <w:pPr>
              <w:spacing w:after="0"/>
              <w:rPr>
                <w:sz w:val="21"/>
                <w:szCs w:val="21"/>
                <w:color w:val="auto"/>
              </w:rPr>
            </w:pPr>
          </w:p>
        </w:tc>
        <w:tc>
          <w:tcPr>
            <w:tcW w:w="1100" w:type="dxa"/>
            <w:vAlign w:val="bottom"/>
            <w:shd w:val="clear" w:color="auto" w:fill="D7D8D6"/>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vMerge w:val="restart"/>
            <w:shd w:val="clear" w:color="auto" w:fill="D7D8D6"/>
          </w:tcPr>
          <w:p>
            <w:pPr>
              <w:ind w:left="60"/>
              <w:spacing w:after="0"/>
              <w:rPr>
                <w:sz w:val="20"/>
                <w:szCs w:val="20"/>
                <w:color w:val="auto"/>
              </w:rPr>
            </w:pPr>
            <w:r>
              <w:rPr>
                <w:rFonts w:ascii="Arial" w:cs="Arial" w:eastAsia="Arial" w:hAnsi="Arial"/>
                <w:sz w:val="14"/>
                <w:szCs w:val="14"/>
                <w:color w:val="333740"/>
              </w:rPr>
              <w:t>(c)</w:t>
            </w:r>
          </w:p>
        </w:tc>
        <w:tc>
          <w:tcPr>
            <w:tcW w:w="3900" w:type="dxa"/>
            <w:vAlign w:val="bottom"/>
            <w:gridSpan w:val="4"/>
            <w:shd w:val="clear" w:color="auto" w:fill="D7D8D6"/>
          </w:tcPr>
          <w:p>
            <w:pPr>
              <w:ind w:left="60"/>
              <w:spacing w:after="0"/>
              <w:rPr>
                <w:sz w:val="20"/>
                <w:szCs w:val="20"/>
                <w:color w:val="auto"/>
              </w:rPr>
            </w:pPr>
            <w:r>
              <w:rPr>
                <w:rFonts w:ascii="Arial" w:cs="Arial" w:eastAsia="Arial" w:hAnsi="Arial"/>
                <w:sz w:val="14"/>
                <w:szCs w:val="14"/>
                <w:color w:val="333740"/>
              </w:rPr>
              <w:t>continuation of his supplementary health and tax preparation</w:t>
            </w:r>
          </w:p>
        </w:tc>
        <w:tc>
          <w:tcPr>
            <w:tcW w:w="2120" w:type="dxa"/>
            <w:vAlign w:val="bottom"/>
            <w:gridSpan w:val="2"/>
            <w:shd w:val="clear" w:color="auto" w:fill="D7D8D6"/>
          </w:tcPr>
          <w:p>
            <w:pPr>
              <w:ind w:left="40"/>
              <w:spacing w:after="0"/>
              <w:rPr>
                <w:sz w:val="20"/>
                <w:szCs w:val="20"/>
                <w:color w:val="auto"/>
              </w:rPr>
            </w:pPr>
            <w:r>
              <w:rPr>
                <w:rFonts w:ascii="Arial" w:cs="Arial" w:eastAsia="Arial" w:hAnsi="Arial"/>
                <w:sz w:val="14"/>
                <w:szCs w:val="14"/>
                <w:color w:val="333740"/>
                <w:highlight w:val="lightGray"/>
              </w:rPr>
              <w:t>reimbursement</w:t>
            </w:r>
          </w:p>
        </w:tc>
        <w:tc>
          <w:tcPr>
            <w:tcW w:w="100" w:type="dxa"/>
            <w:vAlign w:val="bottom"/>
            <w:shd w:val="clear" w:color="auto" w:fill="D7D8D6"/>
          </w:tcPr>
          <w:p>
            <w:pPr>
              <w:spacing w:after="0"/>
              <w:rPr>
                <w:sz w:val="23"/>
                <w:szCs w:val="23"/>
                <w:color w:val="auto"/>
              </w:rPr>
            </w:pPr>
          </w:p>
        </w:tc>
        <w:tc>
          <w:tcPr>
            <w:tcW w:w="660" w:type="dxa"/>
            <w:vAlign w:val="bottom"/>
            <w:vMerge w:val="restart"/>
            <w:shd w:val="clear" w:color="auto" w:fill="D7D8D6"/>
          </w:tcPr>
          <w:p>
            <w:pPr>
              <w:spacing w:after="0"/>
              <w:rPr>
                <w:sz w:val="20"/>
                <w:szCs w:val="20"/>
                <w:color w:val="auto"/>
              </w:rPr>
            </w:pPr>
            <w:r>
              <w:rPr>
                <w:rFonts w:ascii="Arial" w:cs="Arial" w:eastAsia="Arial" w:hAnsi="Arial"/>
                <w:sz w:val="14"/>
                <w:szCs w:val="14"/>
                <w:color w:val="333740"/>
                <w:highlight w:val="lightGray"/>
              </w:rPr>
              <w:t>$72,337</w:t>
            </w:r>
            <w:r>
              <w:rPr>
                <w:rFonts w:ascii="Arial" w:cs="Arial" w:eastAsia="Arial" w:hAnsi="Arial"/>
                <w:sz w:val="23"/>
                <w:szCs w:val="23"/>
                <w:color w:val="333740"/>
                <w:highlight w:val="lightGray"/>
                <w:vertAlign w:val="superscript"/>
              </w:rPr>
              <w:t>1</w:t>
            </w:r>
          </w:p>
        </w:tc>
        <w:tc>
          <w:tcPr>
            <w:tcW w:w="160" w:type="dxa"/>
            <w:vAlign w:val="bottom"/>
            <w:shd w:val="clear" w:color="auto" w:fill="D7D8D6"/>
          </w:tcPr>
          <w:p>
            <w:pPr>
              <w:spacing w:after="0"/>
              <w:rPr>
                <w:sz w:val="23"/>
                <w:szCs w:val="23"/>
                <w:color w:val="auto"/>
              </w:rPr>
            </w:pPr>
          </w:p>
        </w:tc>
        <w:tc>
          <w:tcPr>
            <w:tcW w:w="1100" w:type="dxa"/>
            <w:vAlign w:val="bottom"/>
            <w:shd w:val="clear" w:color="auto" w:fill="D7D8D6"/>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continue"/>
            <w:shd w:val="clear" w:color="auto" w:fill="D7D8D6"/>
          </w:tcPr>
          <w:p>
            <w:pPr>
              <w:spacing w:after="0"/>
              <w:rPr>
                <w:sz w:val="10"/>
                <w:szCs w:val="10"/>
                <w:color w:val="auto"/>
              </w:rPr>
            </w:pPr>
          </w:p>
        </w:tc>
        <w:tc>
          <w:tcPr>
            <w:tcW w:w="60" w:type="dxa"/>
            <w:vAlign w:val="bottom"/>
            <w:shd w:val="clear" w:color="auto" w:fill="D7D8D6"/>
          </w:tcPr>
          <w:p>
            <w:pPr>
              <w:spacing w:after="0"/>
              <w:rPr>
                <w:sz w:val="10"/>
                <w:szCs w:val="10"/>
                <w:color w:val="auto"/>
              </w:rPr>
            </w:pPr>
          </w:p>
        </w:tc>
        <w:tc>
          <w:tcPr>
            <w:tcW w:w="1620" w:type="dxa"/>
            <w:vAlign w:val="bottom"/>
            <w:vMerge w:val="restart"/>
            <w:shd w:val="clear" w:color="auto" w:fill="D7D8D6"/>
          </w:tcPr>
          <w:p>
            <w:pPr>
              <w:spacing w:after="0"/>
              <w:rPr>
                <w:sz w:val="20"/>
                <w:szCs w:val="20"/>
                <w:color w:val="auto"/>
              </w:rPr>
            </w:pPr>
            <w:r>
              <w:rPr>
                <w:rFonts w:ascii="Arial" w:cs="Arial" w:eastAsia="Arial" w:hAnsi="Arial"/>
                <w:sz w:val="14"/>
                <w:szCs w:val="14"/>
                <w:color w:val="333740"/>
                <w:highlight w:val="lightGray"/>
              </w:rPr>
              <w:t>benefits for two years</w:t>
            </w:r>
          </w:p>
        </w:tc>
        <w:tc>
          <w:tcPr>
            <w:tcW w:w="2000" w:type="dxa"/>
            <w:vAlign w:val="bottom"/>
            <w:shd w:val="clear" w:color="auto" w:fill="D7D8D6"/>
          </w:tcPr>
          <w:p>
            <w:pPr>
              <w:spacing w:after="0"/>
              <w:rPr>
                <w:sz w:val="10"/>
                <w:szCs w:val="10"/>
                <w:color w:val="auto"/>
              </w:rPr>
            </w:pPr>
          </w:p>
        </w:tc>
        <w:tc>
          <w:tcPr>
            <w:tcW w:w="220" w:type="dxa"/>
            <w:vAlign w:val="bottom"/>
            <w:shd w:val="clear" w:color="auto" w:fill="D7D8D6"/>
          </w:tcPr>
          <w:p>
            <w:pPr>
              <w:spacing w:after="0"/>
              <w:rPr>
                <w:sz w:val="10"/>
                <w:szCs w:val="10"/>
                <w:color w:val="auto"/>
              </w:rPr>
            </w:pPr>
          </w:p>
        </w:tc>
        <w:tc>
          <w:tcPr>
            <w:tcW w:w="240" w:type="dxa"/>
            <w:vAlign w:val="bottom"/>
            <w:shd w:val="clear" w:color="auto" w:fill="D7D8D6"/>
          </w:tcPr>
          <w:p>
            <w:pPr>
              <w:spacing w:after="0"/>
              <w:rPr>
                <w:sz w:val="10"/>
                <w:szCs w:val="10"/>
                <w:color w:val="auto"/>
              </w:rPr>
            </w:pPr>
          </w:p>
        </w:tc>
        <w:tc>
          <w:tcPr>
            <w:tcW w:w="1880" w:type="dxa"/>
            <w:vAlign w:val="bottom"/>
            <w:shd w:val="clear" w:color="auto" w:fill="D7D8D6"/>
          </w:tcPr>
          <w:p>
            <w:pPr>
              <w:spacing w:after="0"/>
              <w:rPr>
                <w:sz w:val="10"/>
                <w:szCs w:val="10"/>
                <w:color w:val="auto"/>
              </w:rPr>
            </w:pPr>
          </w:p>
        </w:tc>
        <w:tc>
          <w:tcPr>
            <w:tcW w:w="100" w:type="dxa"/>
            <w:vAlign w:val="bottom"/>
            <w:shd w:val="clear" w:color="auto" w:fill="D7D8D6"/>
          </w:tcPr>
          <w:p>
            <w:pPr>
              <w:spacing w:after="0"/>
              <w:rPr>
                <w:sz w:val="10"/>
                <w:szCs w:val="10"/>
                <w:color w:val="auto"/>
              </w:rPr>
            </w:pPr>
          </w:p>
        </w:tc>
        <w:tc>
          <w:tcPr>
            <w:tcW w:w="660" w:type="dxa"/>
            <w:vAlign w:val="bottom"/>
            <w:vMerge w:val="continue"/>
            <w:shd w:val="clear" w:color="auto" w:fill="D7D8D6"/>
          </w:tcPr>
          <w:p>
            <w:pPr>
              <w:spacing w:after="0"/>
              <w:rPr>
                <w:sz w:val="10"/>
                <w:szCs w:val="10"/>
                <w:color w:val="auto"/>
              </w:rPr>
            </w:pPr>
          </w:p>
        </w:tc>
        <w:tc>
          <w:tcPr>
            <w:tcW w:w="160" w:type="dxa"/>
            <w:vAlign w:val="bottom"/>
            <w:shd w:val="clear" w:color="auto" w:fill="D7D8D6"/>
          </w:tcPr>
          <w:p>
            <w:pPr>
              <w:spacing w:after="0"/>
              <w:rPr>
                <w:sz w:val="10"/>
                <w:szCs w:val="10"/>
                <w:color w:val="auto"/>
              </w:rPr>
            </w:pPr>
          </w:p>
        </w:tc>
        <w:tc>
          <w:tcPr>
            <w:tcW w:w="1100" w:type="dxa"/>
            <w:vAlign w:val="bottom"/>
            <w:shd w:val="clear" w:color="auto" w:fill="D7D8D6"/>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8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shd w:val="clear" w:color="auto" w:fill="D7D8D6"/>
          </w:tcPr>
          <w:p>
            <w:pPr>
              <w:spacing w:after="0"/>
              <w:rPr>
                <w:sz w:val="7"/>
                <w:szCs w:val="7"/>
                <w:color w:val="auto"/>
              </w:rPr>
            </w:pPr>
          </w:p>
        </w:tc>
        <w:tc>
          <w:tcPr>
            <w:tcW w:w="60" w:type="dxa"/>
            <w:vAlign w:val="bottom"/>
            <w:shd w:val="clear" w:color="auto" w:fill="D7D8D6"/>
          </w:tcPr>
          <w:p>
            <w:pPr>
              <w:spacing w:after="0"/>
              <w:rPr>
                <w:sz w:val="7"/>
                <w:szCs w:val="7"/>
                <w:color w:val="auto"/>
              </w:rPr>
            </w:pPr>
          </w:p>
        </w:tc>
        <w:tc>
          <w:tcPr>
            <w:tcW w:w="1620" w:type="dxa"/>
            <w:vAlign w:val="bottom"/>
            <w:vMerge w:val="continue"/>
            <w:shd w:val="clear" w:color="auto" w:fill="D7D8D6"/>
          </w:tcPr>
          <w:p>
            <w:pPr>
              <w:spacing w:after="0"/>
              <w:rPr>
                <w:sz w:val="7"/>
                <w:szCs w:val="7"/>
                <w:color w:val="auto"/>
              </w:rPr>
            </w:pPr>
          </w:p>
        </w:tc>
        <w:tc>
          <w:tcPr>
            <w:tcW w:w="2000" w:type="dxa"/>
            <w:vAlign w:val="bottom"/>
            <w:shd w:val="clear" w:color="auto" w:fill="D7D8D6"/>
          </w:tcPr>
          <w:p>
            <w:pPr>
              <w:spacing w:after="0"/>
              <w:rPr>
                <w:sz w:val="7"/>
                <w:szCs w:val="7"/>
                <w:color w:val="auto"/>
              </w:rPr>
            </w:pPr>
          </w:p>
        </w:tc>
        <w:tc>
          <w:tcPr>
            <w:tcW w:w="220" w:type="dxa"/>
            <w:vAlign w:val="bottom"/>
            <w:shd w:val="clear" w:color="auto" w:fill="D7D8D6"/>
          </w:tcPr>
          <w:p>
            <w:pPr>
              <w:spacing w:after="0"/>
              <w:rPr>
                <w:sz w:val="7"/>
                <w:szCs w:val="7"/>
                <w:color w:val="auto"/>
              </w:rPr>
            </w:pPr>
          </w:p>
        </w:tc>
        <w:tc>
          <w:tcPr>
            <w:tcW w:w="240" w:type="dxa"/>
            <w:vAlign w:val="bottom"/>
            <w:shd w:val="clear" w:color="auto" w:fill="D7D8D6"/>
          </w:tcPr>
          <w:p>
            <w:pPr>
              <w:spacing w:after="0"/>
              <w:rPr>
                <w:sz w:val="7"/>
                <w:szCs w:val="7"/>
                <w:color w:val="auto"/>
              </w:rPr>
            </w:pPr>
          </w:p>
        </w:tc>
        <w:tc>
          <w:tcPr>
            <w:tcW w:w="1880" w:type="dxa"/>
            <w:vAlign w:val="bottom"/>
            <w:shd w:val="clear" w:color="auto" w:fill="D7D8D6"/>
          </w:tcPr>
          <w:p>
            <w:pPr>
              <w:spacing w:after="0"/>
              <w:rPr>
                <w:sz w:val="7"/>
                <w:szCs w:val="7"/>
                <w:color w:val="auto"/>
              </w:rPr>
            </w:pPr>
          </w:p>
        </w:tc>
        <w:tc>
          <w:tcPr>
            <w:tcW w:w="100" w:type="dxa"/>
            <w:vAlign w:val="bottom"/>
            <w:shd w:val="clear" w:color="auto" w:fill="D7D8D6"/>
          </w:tcPr>
          <w:p>
            <w:pPr>
              <w:spacing w:after="0"/>
              <w:rPr>
                <w:sz w:val="7"/>
                <w:szCs w:val="7"/>
                <w:color w:val="auto"/>
              </w:rPr>
            </w:pPr>
          </w:p>
        </w:tc>
        <w:tc>
          <w:tcPr>
            <w:tcW w:w="660" w:type="dxa"/>
            <w:vAlign w:val="bottom"/>
            <w:shd w:val="clear" w:color="auto" w:fill="D7D8D6"/>
          </w:tcPr>
          <w:p>
            <w:pPr>
              <w:spacing w:after="0"/>
              <w:rPr>
                <w:sz w:val="7"/>
                <w:szCs w:val="7"/>
                <w:color w:val="auto"/>
              </w:rPr>
            </w:pPr>
          </w:p>
        </w:tc>
        <w:tc>
          <w:tcPr>
            <w:tcW w:w="160" w:type="dxa"/>
            <w:vAlign w:val="bottom"/>
            <w:shd w:val="clear" w:color="auto" w:fill="D7D8D6"/>
          </w:tcPr>
          <w:p>
            <w:pPr>
              <w:spacing w:after="0"/>
              <w:rPr>
                <w:sz w:val="7"/>
                <w:szCs w:val="7"/>
                <w:color w:val="auto"/>
              </w:rPr>
            </w:pPr>
          </w:p>
        </w:tc>
        <w:tc>
          <w:tcPr>
            <w:tcW w:w="1100" w:type="dxa"/>
            <w:vAlign w:val="bottom"/>
            <w:shd w:val="clear" w:color="auto" w:fill="D7D8D6"/>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shd w:val="clear" w:color="auto" w:fill="D7D8D6"/>
          </w:tcPr>
          <w:p>
            <w:pPr>
              <w:spacing w:after="0"/>
              <w:rPr>
                <w:sz w:val="6"/>
                <w:szCs w:val="6"/>
                <w:color w:val="auto"/>
              </w:rPr>
            </w:pPr>
          </w:p>
        </w:tc>
        <w:tc>
          <w:tcPr>
            <w:tcW w:w="60" w:type="dxa"/>
            <w:vAlign w:val="bottom"/>
            <w:shd w:val="clear" w:color="auto" w:fill="D7D8D6"/>
          </w:tcPr>
          <w:p>
            <w:pPr>
              <w:spacing w:after="0"/>
              <w:rPr>
                <w:sz w:val="6"/>
                <w:szCs w:val="6"/>
                <w:color w:val="auto"/>
              </w:rPr>
            </w:pPr>
          </w:p>
        </w:tc>
        <w:tc>
          <w:tcPr>
            <w:tcW w:w="1620" w:type="dxa"/>
            <w:vAlign w:val="bottom"/>
            <w:shd w:val="clear" w:color="auto" w:fill="D7D8D6"/>
          </w:tcPr>
          <w:p>
            <w:pPr>
              <w:spacing w:after="0"/>
              <w:rPr>
                <w:sz w:val="6"/>
                <w:szCs w:val="6"/>
                <w:color w:val="auto"/>
              </w:rPr>
            </w:pPr>
          </w:p>
        </w:tc>
        <w:tc>
          <w:tcPr>
            <w:tcW w:w="2000" w:type="dxa"/>
            <w:vAlign w:val="bottom"/>
            <w:shd w:val="clear" w:color="auto" w:fill="D7D8D6"/>
          </w:tcPr>
          <w:p>
            <w:pPr>
              <w:spacing w:after="0"/>
              <w:rPr>
                <w:sz w:val="6"/>
                <w:szCs w:val="6"/>
                <w:color w:val="auto"/>
              </w:rPr>
            </w:pPr>
          </w:p>
        </w:tc>
        <w:tc>
          <w:tcPr>
            <w:tcW w:w="220" w:type="dxa"/>
            <w:vAlign w:val="bottom"/>
            <w:shd w:val="clear" w:color="auto" w:fill="D7D8D6"/>
          </w:tcPr>
          <w:p>
            <w:pPr>
              <w:spacing w:after="0"/>
              <w:rPr>
                <w:sz w:val="6"/>
                <w:szCs w:val="6"/>
                <w:color w:val="auto"/>
              </w:rPr>
            </w:pPr>
          </w:p>
        </w:tc>
        <w:tc>
          <w:tcPr>
            <w:tcW w:w="240" w:type="dxa"/>
            <w:vAlign w:val="bottom"/>
            <w:shd w:val="clear" w:color="auto" w:fill="D7D8D6"/>
          </w:tcPr>
          <w:p>
            <w:pPr>
              <w:spacing w:after="0"/>
              <w:rPr>
                <w:sz w:val="6"/>
                <w:szCs w:val="6"/>
                <w:color w:val="auto"/>
              </w:rPr>
            </w:pPr>
          </w:p>
        </w:tc>
        <w:tc>
          <w:tcPr>
            <w:tcW w:w="1880" w:type="dxa"/>
            <w:vAlign w:val="bottom"/>
            <w:shd w:val="clear" w:color="auto" w:fill="D7D8D6"/>
          </w:tcPr>
          <w:p>
            <w:pPr>
              <w:spacing w:after="0"/>
              <w:rPr>
                <w:sz w:val="6"/>
                <w:szCs w:val="6"/>
                <w:color w:val="auto"/>
              </w:rPr>
            </w:pPr>
          </w:p>
        </w:tc>
        <w:tc>
          <w:tcPr>
            <w:tcW w:w="100" w:type="dxa"/>
            <w:vAlign w:val="bottom"/>
            <w:shd w:val="clear" w:color="auto" w:fill="D7D8D6"/>
          </w:tcPr>
          <w:p>
            <w:pPr>
              <w:spacing w:after="0"/>
              <w:rPr>
                <w:sz w:val="6"/>
                <w:szCs w:val="6"/>
                <w:color w:val="auto"/>
              </w:rPr>
            </w:pPr>
          </w:p>
        </w:tc>
        <w:tc>
          <w:tcPr>
            <w:tcW w:w="660" w:type="dxa"/>
            <w:vAlign w:val="bottom"/>
            <w:shd w:val="clear" w:color="auto" w:fill="D7D8D6"/>
          </w:tcPr>
          <w:p>
            <w:pPr>
              <w:spacing w:after="0"/>
              <w:rPr>
                <w:sz w:val="6"/>
                <w:szCs w:val="6"/>
                <w:color w:val="auto"/>
              </w:rPr>
            </w:pPr>
          </w:p>
        </w:tc>
        <w:tc>
          <w:tcPr>
            <w:tcW w:w="160" w:type="dxa"/>
            <w:vAlign w:val="bottom"/>
            <w:shd w:val="clear" w:color="auto" w:fill="D7D8D6"/>
          </w:tcPr>
          <w:p>
            <w:pPr>
              <w:spacing w:after="0"/>
              <w:rPr>
                <w:sz w:val="6"/>
                <w:szCs w:val="6"/>
                <w:color w:val="auto"/>
              </w:rPr>
            </w:pPr>
          </w:p>
        </w:tc>
        <w:tc>
          <w:tcPr>
            <w:tcW w:w="1100" w:type="dxa"/>
            <w:vAlign w:val="bottom"/>
            <w:shd w:val="clear" w:color="auto" w:fill="D7D8D6"/>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-1410970</wp:posOffset>
            </wp:positionV>
            <wp:extent cx="7148195" cy="38550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8195" cy="3855085"/>
                    </a:xfrm>
                    <a:prstGeom prst="rect">
                      <a:avLst/>
                    </a:prstGeom>
                    <a:noFill/>
                  </pic:spPr>
                </pic:pic>
              </a:graphicData>
            </a:graphic>
          </wp:anchor>
        </w:drawing>
      </w:r>
    </w:p>
    <w:p>
      <w:pPr>
        <w:spacing w:after="0" w:line="42" w:lineRule="exact"/>
        <w:rPr>
          <w:sz w:val="20"/>
          <w:szCs w:val="20"/>
          <w:color w:val="auto"/>
        </w:rPr>
      </w:pPr>
    </w:p>
    <w:p>
      <w:pPr>
        <w:ind w:left="2564"/>
        <w:spacing w:after="0"/>
        <w:rPr>
          <w:sz w:val="20"/>
          <w:szCs w:val="20"/>
          <w:color w:val="auto"/>
        </w:rPr>
      </w:pPr>
      <w:r>
        <w:rPr>
          <w:rFonts w:ascii="Arial" w:cs="Arial" w:eastAsia="Arial" w:hAnsi="Arial"/>
          <w:sz w:val="11"/>
          <w:szCs w:val="11"/>
          <w:color w:val="333740"/>
        </w:rPr>
        <w:t>(1) The cost for continuation of supplementary health is $21,176. The cost for tax preparation of $51,161 has been estimated based on 2019 actual cost.</w:t>
      </w:r>
    </w:p>
    <w:p>
      <w:pPr>
        <w:spacing w:after="0" w:line="291" w:lineRule="exact"/>
        <w:rPr>
          <w:sz w:val="20"/>
          <w:szCs w:val="20"/>
          <w:color w:val="auto"/>
        </w:rPr>
      </w:pPr>
    </w:p>
    <w:p>
      <w:pPr>
        <w:ind w:left="2564" w:right="160"/>
        <w:spacing w:after="0" w:line="265" w:lineRule="auto"/>
        <w:rPr>
          <w:sz w:val="20"/>
          <w:szCs w:val="20"/>
          <w:color w:val="auto"/>
        </w:rPr>
      </w:pPr>
      <w:r>
        <w:rPr>
          <w:rFonts w:ascii="Arial" w:cs="Arial" w:eastAsia="Arial" w:hAnsi="Arial"/>
          <w:sz w:val="14"/>
          <w:szCs w:val="14"/>
          <w:color w:val="333740"/>
        </w:rPr>
        <w:t>He also received payment of his annual cash incentive bonus, pro-rated for the duration of his service as Executive Chairman, i.e., four months, amounting to $402,470.</w:t>
      </w:r>
    </w:p>
    <w:p>
      <w:pPr>
        <w:spacing w:after="0" w:line="63" w:lineRule="exact"/>
        <w:rPr>
          <w:sz w:val="20"/>
          <w:szCs w:val="20"/>
          <w:color w:val="auto"/>
        </w:rPr>
      </w:pPr>
    </w:p>
    <w:p>
      <w:pPr>
        <w:ind w:left="2564" w:right="160"/>
        <w:spacing w:after="0" w:line="257" w:lineRule="auto"/>
        <w:rPr>
          <w:sz w:val="20"/>
          <w:szCs w:val="20"/>
          <w:color w:val="auto"/>
        </w:rPr>
      </w:pPr>
      <w:r>
        <w:rPr>
          <w:rFonts w:ascii="Arial" w:cs="Arial" w:eastAsia="Arial" w:hAnsi="Arial"/>
          <w:sz w:val="14"/>
          <w:szCs w:val="14"/>
          <w:color w:val="333740"/>
        </w:rPr>
        <w:t>After May 1, 2019, Mr. Pilenko remained as an employee through December 31, 2019, using up his paid time off accrued under French law. He did not receive any annual cash incentive bonus for this period. The reimbursement of intercontinental flights for his spouse ceased on May 1, 2019.</w:t>
      </w:r>
    </w:p>
    <w:p>
      <w:pPr>
        <w:spacing w:after="0" w:line="80" w:lineRule="exact"/>
        <w:rPr>
          <w:sz w:val="20"/>
          <w:szCs w:val="20"/>
          <w:color w:val="auto"/>
        </w:rPr>
      </w:pPr>
    </w:p>
    <w:p>
      <w:pPr>
        <w:ind w:left="2564" w:right="600"/>
        <w:spacing w:after="0" w:line="265" w:lineRule="auto"/>
        <w:rPr>
          <w:sz w:val="20"/>
          <w:szCs w:val="20"/>
          <w:color w:val="auto"/>
        </w:rPr>
      </w:pPr>
      <w:r>
        <w:rPr>
          <w:rFonts w:ascii="Arial" w:cs="Arial" w:eastAsia="Arial" w:hAnsi="Arial"/>
          <w:sz w:val="14"/>
          <w:szCs w:val="14"/>
          <w:color w:val="333740"/>
        </w:rPr>
        <w:t>As a retirement-eligible employee based on the TechnipFMC Incentive Award Plan, he will not forfeit his awards upon his end of service.</w:t>
      </w:r>
    </w:p>
    <w:p>
      <w:pPr>
        <w:spacing w:after="0" w:line="75" w:lineRule="exact"/>
        <w:rPr>
          <w:sz w:val="20"/>
          <w:szCs w:val="20"/>
          <w:color w:val="auto"/>
        </w:rPr>
      </w:pPr>
    </w:p>
    <w:p>
      <w:pPr>
        <w:ind w:left="2564"/>
        <w:spacing w:after="0"/>
        <w:rPr>
          <w:sz w:val="20"/>
          <w:szCs w:val="20"/>
          <w:color w:val="auto"/>
        </w:rPr>
      </w:pPr>
      <w:r>
        <w:rPr>
          <w:rFonts w:ascii="Arial" w:cs="Arial" w:eastAsia="Arial" w:hAnsi="Arial"/>
          <w:sz w:val="14"/>
          <w:szCs w:val="14"/>
          <w:color w:val="333740"/>
        </w:rPr>
        <w:t>He was not awarded any long-term incentive as part of his end of service. His last long-term incentive grant was awarded in 2017.</w:t>
      </w:r>
    </w:p>
    <w:p>
      <w:pPr>
        <w:spacing w:after="0" w:line="90" w:lineRule="exact"/>
        <w:rPr>
          <w:sz w:val="20"/>
          <w:szCs w:val="20"/>
          <w:color w:val="auto"/>
        </w:rPr>
      </w:pPr>
    </w:p>
    <w:p>
      <w:pPr>
        <w:ind w:left="2564" w:right="160"/>
        <w:spacing w:after="0" w:line="257" w:lineRule="auto"/>
        <w:rPr>
          <w:sz w:val="20"/>
          <w:szCs w:val="20"/>
          <w:color w:val="auto"/>
        </w:rPr>
      </w:pPr>
      <w:r>
        <w:rPr>
          <w:rFonts w:ascii="Arial" w:cs="Arial" w:eastAsia="Arial" w:hAnsi="Arial"/>
          <w:sz w:val="14"/>
          <w:szCs w:val="14"/>
          <w:color w:val="333740"/>
        </w:rPr>
        <w:t>The equity reflected in the tables below are related to grants made in prior years. All stock options granted under legacy Technip plans, RSU and PSU awards, and other awards granted prior to the Merger will continue on their existing terms, including performance assessment, when applicable, and were not forfeited for discontinued presence or upon his termination of employment.</w:t>
      </w:r>
    </w:p>
    <w:p>
      <w:pPr>
        <w:spacing w:after="0" w:line="80" w:lineRule="exact"/>
        <w:rPr>
          <w:sz w:val="20"/>
          <w:szCs w:val="20"/>
          <w:color w:val="auto"/>
        </w:rPr>
      </w:pPr>
    </w:p>
    <w:p>
      <w:pPr>
        <w:ind w:left="2564" w:right="120"/>
        <w:spacing w:after="0" w:line="252" w:lineRule="auto"/>
        <w:rPr>
          <w:sz w:val="20"/>
          <w:szCs w:val="20"/>
          <w:color w:val="auto"/>
        </w:rPr>
      </w:pPr>
      <w:r>
        <w:rPr>
          <w:rFonts w:ascii="Arial" w:cs="Arial" w:eastAsia="Arial" w:hAnsi="Arial"/>
          <w:sz w:val="14"/>
          <w:szCs w:val="14"/>
          <w:color w:val="333740"/>
        </w:rPr>
        <w:t>Our Board of Directors confirmed that a non-compete agreement was in the best interest of the Company and shareholders given Mr. Pilenko’s deep knowledge of the Company’s strategy, markets, and operations, his 35 years of industry expertise, and the overall competitive nature of the oil and gas industry. This non-compete, which will be paid in 2020, includes a required payment to ensure enforceability of the agreement in the key markets in which the Company operates, including the United States, France, and the United Kingdom. Mr. Pilenko will receive an annual cash incentive of $2,213,582 payable monthly over January to December 2020 as payment for this non-compete.</w:t>
      </w:r>
    </w:p>
    <w:p>
      <w:pPr>
        <w:spacing w:after="0" w:line="224" w:lineRule="exact"/>
        <w:rPr>
          <w:sz w:val="20"/>
          <w:szCs w:val="20"/>
          <w:color w:val="auto"/>
        </w:rPr>
      </w:pPr>
    </w:p>
    <w:p>
      <w:pPr>
        <w:ind w:left="4" w:right="420"/>
        <w:spacing w:after="0" w:line="277" w:lineRule="auto"/>
        <w:rPr>
          <w:sz w:val="20"/>
          <w:szCs w:val="20"/>
          <w:color w:val="auto"/>
        </w:rPr>
      </w:pPr>
      <w:r>
        <w:rPr>
          <w:rFonts w:ascii="Arial" w:cs="Arial" w:eastAsia="Arial" w:hAnsi="Arial"/>
          <w:sz w:val="16"/>
          <w:szCs w:val="16"/>
          <w:color w:val="333740"/>
        </w:rPr>
        <w:t xml:space="preserve">The terms of the annual cash and long-term equity incentive programs are as described in </w:t>
      </w:r>
      <w:r>
        <w:rPr>
          <w:rFonts w:ascii="Arial" w:cs="Arial" w:eastAsia="Arial" w:hAnsi="Arial"/>
          <w:sz w:val="16"/>
          <w:szCs w:val="16"/>
          <w:i w:val="1"/>
          <w:iCs w:val="1"/>
          <w:color w:val="333740"/>
        </w:rPr>
        <w:t>“—Annual Cash Incentive Bonus”</w:t>
      </w:r>
      <w:r>
        <w:rPr>
          <w:rFonts w:ascii="Arial" w:cs="Arial" w:eastAsia="Arial" w:hAnsi="Arial"/>
          <w:sz w:val="16"/>
          <w:szCs w:val="16"/>
          <w:color w:val="333740"/>
        </w:rPr>
        <w:t xml:space="preserve"> and </w:t>
      </w:r>
      <w:r>
        <w:rPr>
          <w:rFonts w:ascii="Arial" w:cs="Arial" w:eastAsia="Arial" w:hAnsi="Arial"/>
          <w:sz w:val="16"/>
          <w:szCs w:val="16"/>
          <w:i w:val="1"/>
          <w:iCs w:val="1"/>
          <w:color w:val="333740"/>
        </w:rPr>
        <w:t>“—Long-Term Equity</w:t>
      </w:r>
      <w:r>
        <w:rPr>
          <w:rFonts w:ascii="Arial" w:cs="Arial" w:eastAsia="Arial" w:hAnsi="Arial"/>
          <w:sz w:val="16"/>
          <w:szCs w:val="16"/>
          <w:color w:val="333740"/>
        </w:rPr>
        <w:t xml:space="preserve"> </w:t>
      </w:r>
      <w:r>
        <w:rPr>
          <w:rFonts w:ascii="Arial" w:cs="Arial" w:eastAsia="Arial" w:hAnsi="Arial"/>
          <w:sz w:val="16"/>
          <w:szCs w:val="16"/>
          <w:i w:val="1"/>
          <w:iCs w:val="1"/>
          <w:color w:val="333740"/>
        </w:rPr>
        <w:t>Incentives</w:t>
      </w:r>
      <w:r>
        <w:rPr>
          <w:rFonts w:ascii="Arial" w:cs="Arial" w:eastAsia="Arial" w:hAnsi="Arial"/>
          <w:sz w:val="16"/>
          <w:szCs w:val="16"/>
          <w:color w:val="333740"/>
        </w:rPr>
        <w:t>.”</w:t>
      </w:r>
    </w:p>
    <w:p>
      <w:pPr>
        <w:spacing w:after="0" w:line="299" w:lineRule="exact"/>
        <w:rPr>
          <w:sz w:val="20"/>
          <w:szCs w:val="20"/>
          <w:color w:val="auto"/>
        </w:rPr>
      </w:pPr>
    </w:p>
    <w:p>
      <w:pPr>
        <w:ind w:left="564" w:hanging="564"/>
        <w:spacing w:after="0"/>
        <w:tabs>
          <w:tab w:leader="none" w:pos="564" w:val="left"/>
        </w:tabs>
        <w:numPr>
          <w:ilvl w:val="0"/>
          <w:numId w:val="129"/>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105" w:name="page106"/>
    <w:bookmarkEnd w:id="105"/>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Benefits</w:t>
      </w:r>
    </w:p>
    <w:p>
      <w:pPr>
        <w:spacing w:after="0" w:line="91" w:lineRule="exact"/>
        <w:rPr>
          <w:sz w:val="20"/>
          <w:szCs w:val="20"/>
          <w:color w:val="auto"/>
        </w:rPr>
      </w:pPr>
    </w:p>
    <w:p>
      <w:pPr>
        <w:ind w:left="4" w:right="880"/>
        <w:spacing w:after="0" w:line="276" w:lineRule="auto"/>
        <w:rPr>
          <w:sz w:val="20"/>
          <w:szCs w:val="20"/>
          <w:color w:val="auto"/>
        </w:rPr>
      </w:pPr>
      <w:r>
        <w:rPr>
          <w:rFonts w:ascii="Arial" w:cs="Arial" w:eastAsia="Arial" w:hAnsi="Arial"/>
          <w:sz w:val="15"/>
          <w:szCs w:val="15"/>
          <w:color w:val="333740"/>
        </w:rPr>
        <w:t>As a French employee, Mr. Pilenko participated in a supplementary retirement plan for executives, with fixed contributions of 8% of his annual gross compensation up to a statutory limit capped at eight times the annual French social security (Sécurité sociale) limit (€25,935, or $28,995, for 2019).</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Executive Chairman Compensation Table</w:t>
      </w:r>
    </w:p>
    <w:p>
      <w:pPr>
        <w:spacing w:after="0" w:line="91" w:lineRule="exact"/>
        <w:rPr>
          <w:sz w:val="20"/>
          <w:szCs w:val="20"/>
          <w:color w:val="auto"/>
        </w:rPr>
      </w:pPr>
    </w:p>
    <w:p>
      <w:pPr>
        <w:ind w:left="4" w:right="200"/>
        <w:spacing w:after="0" w:line="233" w:lineRule="auto"/>
        <w:rPr>
          <w:sz w:val="20"/>
          <w:szCs w:val="20"/>
          <w:color w:val="auto"/>
        </w:rPr>
      </w:pPr>
      <w:r>
        <w:rPr>
          <w:rFonts w:ascii="Arial" w:cs="Arial" w:eastAsia="Arial" w:hAnsi="Arial"/>
          <w:sz w:val="16"/>
          <w:szCs w:val="16"/>
          <w:color w:val="333740"/>
        </w:rPr>
        <w:t>Mr. Pilenko’s compensation for 2019 was in accordance with our Directors’ Remuneration Policy that was approved at our 2018 Annual Meeting, and his end-of-service payments are in accordance with the terms of his service agreement.</w:t>
      </w:r>
    </w:p>
    <w:p>
      <w:pPr>
        <w:spacing w:after="0" w:line="1" w:lineRule="exact"/>
        <w:rPr>
          <w:sz w:val="20"/>
          <w:szCs w:val="20"/>
          <w:color w:val="auto"/>
        </w:rPr>
      </w:pPr>
    </w:p>
    <w:p>
      <w:pPr>
        <w:ind w:left="4" w:right="420"/>
        <w:spacing w:after="0" w:line="244" w:lineRule="auto"/>
        <w:rPr>
          <w:sz w:val="20"/>
          <w:szCs w:val="20"/>
          <w:color w:val="auto"/>
        </w:rPr>
      </w:pPr>
      <w:r>
        <w:rPr>
          <w:rFonts w:ascii="Arial" w:cs="Arial" w:eastAsia="Arial" w:hAnsi="Arial"/>
          <w:sz w:val="16"/>
          <w:szCs w:val="16"/>
          <w:color w:val="333740"/>
        </w:rPr>
        <w:t>The following table summarizes the compensation earned by Mr. Pilenko for his services as Executive Chairman from January 1 to May 1, 2019 and as an employee on paid time off from May 2 to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6389370</wp:posOffset>
            </wp:positionH>
            <wp:positionV relativeFrom="paragraph">
              <wp:posOffset>127000</wp:posOffset>
            </wp:positionV>
            <wp:extent cx="7620" cy="3721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620" cy="372110"/>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127000</wp:posOffset>
            </wp:positionV>
            <wp:extent cx="7620" cy="3721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620" cy="372110"/>
                    </a:xfrm>
                    <a:prstGeom prst="rect">
                      <a:avLst/>
                    </a:prstGeom>
                    <a:noFill/>
                  </pic:spPr>
                </pic:pic>
              </a:graphicData>
            </a:graphic>
          </wp:anchor>
        </w:drawing>
        <w:drawing>
          <wp:anchor simplePos="0" relativeHeight="251657728" behindDoc="1" locked="0" layoutInCell="0" allowOverlap="1">
            <wp:simplePos x="0" y="0"/>
            <wp:positionH relativeFrom="column">
              <wp:posOffset>3179445</wp:posOffset>
            </wp:positionH>
            <wp:positionV relativeFrom="paragraph">
              <wp:posOffset>127000</wp:posOffset>
            </wp:positionV>
            <wp:extent cx="7620" cy="3721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20" cy="37211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127000</wp:posOffset>
            </wp:positionV>
            <wp:extent cx="7620" cy="3721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20" cy="372110"/>
                    </a:xfrm>
                    <a:prstGeom prst="rect">
                      <a:avLst/>
                    </a:prstGeom>
                    <a:noFill/>
                  </pic:spPr>
                </pic:pic>
              </a:graphicData>
            </a:graphic>
          </wp:anchor>
        </w:drawing>
        <w:drawing>
          <wp:anchor simplePos="0" relativeHeight="251657728" behindDoc="1" locked="0" layoutInCell="0" allowOverlap="1">
            <wp:simplePos x="0" y="0"/>
            <wp:positionH relativeFrom="column">
              <wp:posOffset>804545</wp:posOffset>
            </wp:positionH>
            <wp:positionV relativeFrom="paragraph">
              <wp:posOffset>127000</wp:posOffset>
            </wp:positionV>
            <wp:extent cx="7620" cy="3721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20" cy="372110"/>
                    </a:xfrm>
                    <a:prstGeom prst="rect">
                      <a:avLst/>
                    </a:prstGeom>
                    <a:noFill/>
                  </pic:spPr>
                </pic:pic>
              </a:graphicData>
            </a:graphic>
          </wp:anchor>
        </w:drawing>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251"/>
        </w:trPr>
        <w:tc>
          <w:tcPr>
            <w:tcW w:w="1480" w:type="dxa"/>
            <w:vAlign w:val="bottom"/>
            <w:shd w:val="clear" w:color="auto" w:fill="481F6E"/>
          </w:tcPr>
          <w:p>
            <w:pPr>
              <w:jc w:val="right"/>
              <w:ind w:right="586"/>
              <w:spacing w:after="0"/>
              <w:rPr>
                <w:sz w:val="20"/>
                <w:szCs w:val="20"/>
                <w:color w:val="auto"/>
              </w:rPr>
            </w:pPr>
            <w:r>
              <w:rPr>
                <w:rFonts w:ascii="Arial" w:cs="Arial" w:eastAsia="Arial" w:hAnsi="Arial"/>
                <w:sz w:val="16"/>
                <w:szCs w:val="16"/>
                <w:b w:val="1"/>
                <w:bCs w:val="1"/>
                <w:color w:val="FFFFFF"/>
              </w:rPr>
              <w:t>Year</w:t>
            </w:r>
          </w:p>
        </w:tc>
        <w:tc>
          <w:tcPr>
            <w:tcW w:w="1920" w:type="dxa"/>
            <w:vAlign w:val="bottom"/>
            <w:shd w:val="clear" w:color="auto" w:fill="481F6E"/>
          </w:tcPr>
          <w:p>
            <w:pPr>
              <w:jc w:val="right"/>
              <w:ind w:right="285"/>
              <w:spacing w:after="0"/>
              <w:rPr>
                <w:sz w:val="20"/>
                <w:szCs w:val="20"/>
                <w:color w:val="auto"/>
              </w:rPr>
            </w:pPr>
            <w:r>
              <w:rPr>
                <w:rFonts w:ascii="Arial" w:cs="Arial" w:eastAsia="Arial" w:hAnsi="Arial"/>
                <w:sz w:val="16"/>
                <w:szCs w:val="16"/>
                <w:b w:val="1"/>
                <w:bCs w:val="1"/>
                <w:color w:val="FFFFFF"/>
              </w:rPr>
              <w:t>Salary</w:t>
            </w:r>
          </w:p>
        </w:tc>
        <w:tc>
          <w:tcPr>
            <w:tcW w:w="2000" w:type="dxa"/>
            <w:vAlign w:val="bottom"/>
            <w:shd w:val="clear" w:color="auto" w:fill="481F6E"/>
          </w:tcPr>
          <w:p>
            <w:pPr>
              <w:jc w:val="right"/>
              <w:ind w:right="345"/>
              <w:spacing w:after="0"/>
              <w:rPr>
                <w:sz w:val="20"/>
                <w:szCs w:val="20"/>
                <w:color w:val="auto"/>
              </w:rPr>
            </w:pPr>
            <w:r>
              <w:rPr>
                <w:rFonts w:ascii="Arial" w:cs="Arial" w:eastAsia="Arial" w:hAnsi="Arial"/>
                <w:sz w:val="16"/>
                <w:szCs w:val="16"/>
                <w:b w:val="1"/>
                <w:bCs w:val="1"/>
                <w:color w:val="FFFFFF"/>
              </w:rPr>
              <w:t>Stock Awards</w:t>
            </w:r>
          </w:p>
        </w:tc>
        <w:tc>
          <w:tcPr>
            <w:tcW w:w="2760" w:type="dxa"/>
            <w:vAlign w:val="bottom"/>
            <w:shd w:val="clear" w:color="auto" w:fill="481F6E"/>
          </w:tcPr>
          <w:p>
            <w:pPr>
              <w:jc w:val="right"/>
              <w:ind w:right="365"/>
              <w:spacing w:after="0"/>
              <w:rPr>
                <w:sz w:val="20"/>
                <w:szCs w:val="20"/>
                <w:color w:val="auto"/>
              </w:rPr>
            </w:pPr>
            <w:r>
              <w:rPr>
                <w:rFonts w:ascii="Arial" w:cs="Arial" w:eastAsia="Arial" w:hAnsi="Arial"/>
                <w:sz w:val="16"/>
                <w:szCs w:val="16"/>
                <w:b w:val="1"/>
                <w:bCs w:val="1"/>
                <w:color w:val="FFFFFF"/>
              </w:rPr>
              <w:t>Non-Equity Incentive</w:t>
            </w:r>
          </w:p>
        </w:tc>
        <w:tc>
          <w:tcPr>
            <w:tcW w:w="2120" w:type="dxa"/>
            <w:vAlign w:val="bottom"/>
            <w:shd w:val="clear" w:color="auto" w:fill="481F6E"/>
          </w:tcPr>
          <w:p>
            <w:pPr>
              <w:jc w:val="right"/>
              <w:ind w:right="165"/>
              <w:spacing w:after="0"/>
              <w:rPr>
                <w:sz w:val="20"/>
                <w:szCs w:val="20"/>
                <w:color w:val="auto"/>
              </w:rPr>
            </w:pPr>
            <w:r>
              <w:rPr>
                <w:rFonts w:ascii="Arial" w:cs="Arial" w:eastAsia="Arial" w:hAnsi="Arial"/>
                <w:sz w:val="16"/>
                <w:szCs w:val="16"/>
                <w:b w:val="1"/>
                <w:bCs w:val="1"/>
                <w:color w:val="FFFFFF"/>
              </w:rPr>
              <w:t>All Other</w:t>
            </w:r>
          </w:p>
        </w:tc>
        <w:tc>
          <w:tcPr>
            <w:tcW w:w="980" w:type="dxa"/>
            <w:vAlign w:val="bottom"/>
            <w:shd w:val="clear" w:color="auto" w:fill="481F6E"/>
          </w:tcPr>
          <w:p>
            <w:pPr>
              <w:jc w:val="right"/>
              <w:spacing w:after="0"/>
              <w:rPr>
                <w:sz w:val="20"/>
                <w:szCs w:val="20"/>
                <w:color w:val="auto"/>
              </w:rPr>
            </w:pPr>
            <w:r>
              <w:rPr>
                <w:rFonts w:ascii="Arial" w:cs="Arial" w:eastAsia="Arial" w:hAnsi="Arial"/>
                <w:sz w:val="16"/>
                <w:szCs w:val="16"/>
                <w:b w:val="1"/>
                <w:bCs w:val="1"/>
                <w:color w:val="FFFFFF"/>
              </w:rPr>
              <w:t>Total</w:t>
            </w:r>
          </w:p>
        </w:tc>
      </w:tr>
      <w:tr>
        <w:trPr>
          <w:trHeight w:val="335"/>
        </w:trPr>
        <w:tc>
          <w:tcPr>
            <w:tcW w:w="1480" w:type="dxa"/>
            <w:vAlign w:val="bottom"/>
            <w:shd w:val="clear" w:color="auto" w:fill="481F6E"/>
          </w:tcPr>
          <w:p>
            <w:pPr>
              <w:spacing w:after="0"/>
              <w:rPr>
                <w:sz w:val="24"/>
                <w:szCs w:val="24"/>
                <w:color w:val="auto"/>
              </w:rPr>
            </w:pPr>
          </w:p>
        </w:tc>
        <w:tc>
          <w:tcPr>
            <w:tcW w:w="1920" w:type="dxa"/>
            <w:vAlign w:val="bottom"/>
            <w:shd w:val="clear" w:color="auto" w:fill="481F6E"/>
          </w:tcPr>
          <w:p>
            <w:pPr>
              <w:jc w:val="right"/>
              <w:ind w:right="285"/>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1</w:t>
            </w:r>
          </w:p>
        </w:tc>
        <w:tc>
          <w:tcPr>
            <w:tcW w:w="2000" w:type="dxa"/>
            <w:vAlign w:val="bottom"/>
            <w:shd w:val="clear" w:color="auto" w:fill="481F6E"/>
          </w:tcPr>
          <w:p>
            <w:pPr>
              <w:jc w:val="right"/>
              <w:ind w:right="345"/>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2</w:t>
            </w:r>
          </w:p>
        </w:tc>
        <w:tc>
          <w:tcPr>
            <w:tcW w:w="2760" w:type="dxa"/>
            <w:vAlign w:val="bottom"/>
            <w:shd w:val="clear" w:color="auto" w:fill="481F6E"/>
          </w:tcPr>
          <w:p>
            <w:pPr>
              <w:jc w:val="right"/>
              <w:ind w:right="365"/>
              <w:spacing w:after="0"/>
              <w:rPr>
                <w:sz w:val="20"/>
                <w:szCs w:val="20"/>
                <w:color w:val="auto"/>
              </w:rPr>
            </w:pPr>
            <w:r>
              <w:rPr>
                <w:rFonts w:ascii="Arial" w:cs="Arial" w:eastAsia="Arial" w:hAnsi="Arial"/>
                <w:sz w:val="16"/>
                <w:szCs w:val="16"/>
                <w:b w:val="1"/>
                <w:bCs w:val="1"/>
                <w:color w:val="FFFFFF"/>
              </w:rPr>
              <w:t>Plan Compensation ($)</w:t>
            </w:r>
            <w:r>
              <w:rPr>
                <w:rFonts w:ascii="Arial" w:cs="Arial" w:eastAsia="Arial" w:hAnsi="Arial"/>
                <w:sz w:val="26"/>
                <w:szCs w:val="26"/>
                <w:b w:val="1"/>
                <w:bCs w:val="1"/>
                <w:color w:val="FFFFFF"/>
                <w:vertAlign w:val="superscript"/>
              </w:rPr>
              <w:t>3</w:t>
            </w:r>
          </w:p>
        </w:tc>
        <w:tc>
          <w:tcPr>
            <w:tcW w:w="2120" w:type="dxa"/>
            <w:vAlign w:val="bottom"/>
            <w:shd w:val="clear" w:color="auto" w:fill="481F6E"/>
          </w:tcPr>
          <w:p>
            <w:pPr>
              <w:jc w:val="right"/>
              <w:ind w:right="165"/>
              <w:spacing w:after="0"/>
              <w:rPr>
                <w:sz w:val="20"/>
                <w:szCs w:val="20"/>
                <w:color w:val="auto"/>
              </w:rPr>
            </w:pPr>
            <w:r>
              <w:rPr>
                <w:rFonts w:ascii="Arial" w:cs="Arial" w:eastAsia="Arial" w:hAnsi="Arial"/>
                <w:sz w:val="16"/>
                <w:szCs w:val="16"/>
                <w:b w:val="1"/>
                <w:bCs w:val="1"/>
                <w:color w:val="FFFFFF"/>
              </w:rPr>
              <w:t>Compensation ($)</w:t>
            </w:r>
            <w:r>
              <w:rPr>
                <w:rFonts w:ascii="Arial" w:cs="Arial" w:eastAsia="Arial" w:hAnsi="Arial"/>
                <w:sz w:val="26"/>
                <w:szCs w:val="26"/>
                <w:b w:val="1"/>
                <w:bCs w:val="1"/>
                <w:color w:val="FFFFFF"/>
                <w:vertAlign w:val="superscript"/>
              </w:rPr>
              <w:t>4</w:t>
            </w:r>
          </w:p>
        </w:tc>
        <w:tc>
          <w:tcPr>
            <w:tcW w:w="980" w:type="dxa"/>
            <w:vAlign w:val="bottom"/>
            <w:shd w:val="clear" w:color="auto" w:fill="481F6E"/>
          </w:tcPr>
          <w:p>
            <w:pPr>
              <w:jc w:val="right"/>
              <w:spacing w:after="0"/>
              <w:rPr>
                <w:sz w:val="20"/>
                <w:szCs w:val="20"/>
                <w:color w:val="auto"/>
              </w:rPr>
            </w:pPr>
            <w:r>
              <w:rPr>
                <w:rFonts w:ascii="Arial" w:cs="Arial" w:eastAsia="Arial" w:hAnsi="Arial"/>
                <w:sz w:val="16"/>
                <w:szCs w:val="16"/>
                <w:b w:val="1"/>
                <w:bCs w:val="1"/>
                <w:color w:val="FFFFFF"/>
              </w:rPr>
              <w:t>($)</w:t>
            </w:r>
          </w:p>
        </w:tc>
      </w:tr>
      <w:tr>
        <w:trPr>
          <w:trHeight w:val="197"/>
        </w:trPr>
        <w:tc>
          <w:tcPr>
            <w:tcW w:w="1480" w:type="dxa"/>
            <w:vAlign w:val="bottom"/>
          </w:tcPr>
          <w:p>
            <w:pPr>
              <w:jc w:val="right"/>
              <w:ind w:right="806"/>
              <w:spacing w:after="0"/>
              <w:rPr>
                <w:sz w:val="20"/>
                <w:szCs w:val="20"/>
                <w:color w:val="auto"/>
              </w:rPr>
            </w:pPr>
            <w:r>
              <w:rPr>
                <w:rFonts w:ascii="Arial" w:cs="Arial" w:eastAsia="Arial" w:hAnsi="Arial"/>
                <w:sz w:val="14"/>
                <w:szCs w:val="14"/>
                <w:color w:val="333740"/>
              </w:rPr>
              <w:t>2019</w:t>
            </w:r>
          </w:p>
        </w:tc>
        <w:tc>
          <w:tcPr>
            <w:tcW w:w="1920" w:type="dxa"/>
            <w:vAlign w:val="bottom"/>
          </w:tcPr>
          <w:p>
            <w:pPr>
              <w:jc w:val="right"/>
              <w:ind w:right="565"/>
              <w:spacing w:after="0"/>
              <w:rPr>
                <w:sz w:val="20"/>
                <w:szCs w:val="20"/>
                <w:color w:val="auto"/>
              </w:rPr>
            </w:pPr>
            <w:r>
              <w:rPr>
                <w:rFonts w:ascii="Arial" w:cs="Arial" w:eastAsia="Arial" w:hAnsi="Arial"/>
                <w:sz w:val="14"/>
                <w:szCs w:val="14"/>
                <w:color w:val="333740"/>
              </w:rPr>
              <w:t>1,006,174</w:t>
            </w:r>
          </w:p>
        </w:tc>
        <w:tc>
          <w:tcPr>
            <w:tcW w:w="2000" w:type="dxa"/>
            <w:vAlign w:val="bottom"/>
          </w:tcPr>
          <w:p>
            <w:pPr>
              <w:jc w:val="right"/>
              <w:ind w:right="505"/>
              <w:spacing w:after="0"/>
              <w:rPr>
                <w:sz w:val="20"/>
                <w:szCs w:val="20"/>
                <w:color w:val="auto"/>
              </w:rPr>
            </w:pPr>
            <w:r>
              <w:rPr>
                <w:rFonts w:ascii="Arial" w:cs="Arial" w:eastAsia="Arial" w:hAnsi="Arial"/>
                <w:sz w:val="14"/>
                <w:szCs w:val="14"/>
                <w:color w:val="333740"/>
              </w:rPr>
              <w:t>0</w:t>
            </w:r>
          </w:p>
        </w:tc>
        <w:tc>
          <w:tcPr>
            <w:tcW w:w="2760" w:type="dxa"/>
            <w:vAlign w:val="bottom"/>
          </w:tcPr>
          <w:p>
            <w:pPr>
              <w:jc w:val="right"/>
              <w:ind w:right="565"/>
              <w:spacing w:after="0"/>
              <w:rPr>
                <w:sz w:val="20"/>
                <w:szCs w:val="20"/>
                <w:color w:val="auto"/>
              </w:rPr>
            </w:pPr>
            <w:r>
              <w:rPr>
                <w:rFonts w:ascii="Arial" w:cs="Arial" w:eastAsia="Arial" w:hAnsi="Arial"/>
                <w:sz w:val="14"/>
                <w:szCs w:val="14"/>
                <w:color w:val="333740"/>
              </w:rPr>
              <w:t>402,470</w:t>
            </w:r>
          </w:p>
        </w:tc>
        <w:tc>
          <w:tcPr>
            <w:tcW w:w="2120" w:type="dxa"/>
            <w:vAlign w:val="bottom"/>
          </w:tcPr>
          <w:p>
            <w:pPr>
              <w:jc w:val="right"/>
              <w:ind w:right="365"/>
              <w:spacing w:after="0"/>
              <w:rPr>
                <w:sz w:val="20"/>
                <w:szCs w:val="20"/>
                <w:color w:val="auto"/>
              </w:rPr>
            </w:pPr>
            <w:r>
              <w:rPr>
                <w:rFonts w:ascii="Arial" w:cs="Arial" w:eastAsia="Arial" w:hAnsi="Arial"/>
                <w:sz w:val="14"/>
                <w:szCs w:val="14"/>
                <w:color w:val="333740"/>
              </w:rPr>
              <w:t>2,390,411</w:t>
            </w:r>
          </w:p>
        </w:tc>
        <w:tc>
          <w:tcPr>
            <w:tcW w:w="980" w:type="dxa"/>
            <w:vAlign w:val="bottom"/>
          </w:tcPr>
          <w:p>
            <w:pPr>
              <w:jc w:val="right"/>
              <w:ind w:right="5"/>
              <w:spacing w:after="0"/>
              <w:rPr>
                <w:sz w:val="20"/>
                <w:szCs w:val="20"/>
                <w:color w:val="auto"/>
              </w:rPr>
            </w:pPr>
            <w:r>
              <w:rPr>
                <w:rFonts w:ascii="Arial" w:cs="Arial" w:eastAsia="Arial" w:hAnsi="Arial"/>
                <w:sz w:val="14"/>
                <w:szCs w:val="14"/>
                <w:color w:val="333740"/>
              </w:rPr>
              <w:t>3,799,055</w:t>
            </w:r>
          </w:p>
        </w:tc>
      </w:tr>
      <w:tr>
        <w:trPr>
          <w:trHeight w:val="34"/>
        </w:trPr>
        <w:tc>
          <w:tcPr>
            <w:tcW w:w="1480" w:type="dxa"/>
            <w:vAlign w:val="bottom"/>
            <w:tcBorders>
              <w:bottom w:val="single" w:sz="8" w:color="D7D8D6"/>
            </w:tcBorders>
          </w:tcPr>
          <w:p>
            <w:pPr>
              <w:spacing w:after="0"/>
              <w:rPr>
                <w:sz w:val="2"/>
                <w:szCs w:val="2"/>
                <w:color w:val="auto"/>
              </w:rPr>
            </w:pPr>
          </w:p>
        </w:tc>
        <w:tc>
          <w:tcPr>
            <w:tcW w:w="1920" w:type="dxa"/>
            <w:vAlign w:val="bottom"/>
            <w:tcBorders>
              <w:bottom w:val="single" w:sz="8" w:color="D7D8D6"/>
            </w:tcBorders>
          </w:tcPr>
          <w:p>
            <w:pPr>
              <w:spacing w:after="0"/>
              <w:rPr>
                <w:sz w:val="2"/>
                <w:szCs w:val="2"/>
                <w:color w:val="auto"/>
              </w:rPr>
            </w:pPr>
          </w:p>
        </w:tc>
        <w:tc>
          <w:tcPr>
            <w:tcW w:w="2000" w:type="dxa"/>
            <w:vAlign w:val="bottom"/>
            <w:tcBorders>
              <w:bottom w:val="single" w:sz="8" w:color="D7D8D6"/>
            </w:tcBorders>
          </w:tcPr>
          <w:p>
            <w:pPr>
              <w:spacing w:after="0"/>
              <w:rPr>
                <w:sz w:val="2"/>
                <w:szCs w:val="2"/>
                <w:color w:val="auto"/>
              </w:rPr>
            </w:pPr>
          </w:p>
        </w:tc>
        <w:tc>
          <w:tcPr>
            <w:tcW w:w="2760" w:type="dxa"/>
            <w:vAlign w:val="bottom"/>
            <w:tcBorders>
              <w:bottom w:val="single" w:sz="8" w:color="D7D8D6"/>
            </w:tcBorders>
          </w:tcPr>
          <w:p>
            <w:pPr>
              <w:spacing w:after="0"/>
              <w:rPr>
                <w:sz w:val="2"/>
                <w:szCs w:val="2"/>
                <w:color w:val="auto"/>
              </w:rPr>
            </w:pPr>
          </w:p>
        </w:tc>
        <w:tc>
          <w:tcPr>
            <w:tcW w:w="2120" w:type="dxa"/>
            <w:vAlign w:val="bottom"/>
            <w:tcBorders>
              <w:bottom w:val="single" w:sz="8" w:color="D7D8D6"/>
            </w:tcBorders>
          </w:tcPr>
          <w:p>
            <w:pPr>
              <w:spacing w:after="0"/>
              <w:rPr>
                <w:sz w:val="2"/>
                <w:szCs w:val="2"/>
                <w:color w:val="auto"/>
              </w:rPr>
            </w:pPr>
          </w:p>
        </w:tc>
        <w:tc>
          <w:tcPr>
            <w:tcW w:w="980" w:type="dxa"/>
            <w:vAlign w:val="bottom"/>
            <w:tcBorders>
              <w:bottom w:val="single" w:sz="8" w:color="D7D8D6"/>
            </w:tcBorders>
          </w:tcPr>
          <w:p>
            <w:pPr>
              <w:spacing w:after="0"/>
              <w:rPr>
                <w:sz w:val="2"/>
                <w:szCs w:val="2"/>
                <w:color w:val="auto"/>
              </w:rPr>
            </w:pPr>
          </w:p>
        </w:tc>
      </w:tr>
      <w:tr>
        <w:trPr>
          <w:trHeight w:val="197"/>
        </w:trPr>
        <w:tc>
          <w:tcPr>
            <w:tcW w:w="1480" w:type="dxa"/>
            <w:vAlign w:val="bottom"/>
          </w:tcPr>
          <w:p>
            <w:pPr>
              <w:jc w:val="right"/>
              <w:ind w:right="806"/>
              <w:spacing w:after="0"/>
              <w:rPr>
                <w:sz w:val="20"/>
                <w:szCs w:val="20"/>
                <w:color w:val="auto"/>
              </w:rPr>
            </w:pPr>
            <w:r>
              <w:rPr>
                <w:rFonts w:ascii="Arial" w:cs="Arial" w:eastAsia="Arial" w:hAnsi="Arial"/>
                <w:sz w:val="14"/>
                <w:szCs w:val="14"/>
                <w:color w:val="333740"/>
              </w:rPr>
              <w:t>2018</w:t>
            </w:r>
          </w:p>
        </w:tc>
        <w:tc>
          <w:tcPr>
            <w:tcW w:w="1920" w:type="dxa"/>
            <w:vAlign w:val="bottom"/>
          </w:tcPr>
          <w:p>
            <w:pPr>
              <w:jc w:val="right"/>
              <w:ind w:right="545"/>
              <w:spacing w:after="0"/>
              <w:rPr>
                <w:sz w:val="20"/>
                <w:szCs w:val="20"/>
                <w:color w:val="auto"/>
              </w:rPr>
            </w:pPr>
            <w:r>
              <w:rPr>
                <w:rFonts w:ascii="Arial" w:cs="Arial" w:eastAsia="Arial" w:hAnsi="Arial"/>
                <w:sz w:val="14"/>
                <w:szCs w:val="14"/>
                <w:color w:val="333740"/>
              </w:rPr>
              <w:t>1,061,194</w:t>
            </w:r>
          </w:p>
        </w:tc>
        <w:tc>
          <w:tcPr>
            <w:tcW w:w="2000" w:type="dxa"/>
            <w:vAlign w:val="bottom"/>
          </w:tcPr>
          <w:p>
            <w:pPr>
              <w:jc w:val="right"/>
              <w:ind w:right="505"/>
              <w:spacing w:after="0"/>
              <w:rPr>
                <w:sz w:val="20"/>
                <w:szCs w:val="20"/>
                <w:color w:val="auto"/>
              </w:rPr>
            </w:pPr>
            <w:r>
              <w:rPr>
                <w:rFonts w:ascii="Arial" w:cs="Arial" w:eastAsia="Arial" w:hAnsi="Arial"/>
                <w:sz w:val="14"/>
                <w:szCs w:val="14"/>
                <w:color w:val="333740"/>
              </w:rPr>
              <w:t>0</w:t>
            </w:r>
          </w:p>
        </w:tc>
        <w:tc>
          <w:tcPr>
            <w:tcW w:w="2760" w:type="dxa"/>
            <w:vAlign w:val="bottom"/>
          </w:tcPr>
          <w:p>
            <w:pPr>
              <w:jc w:val="right"/>
              <w:ind w:right="565"/>
              <w:spacing w:after="0"/>
              <w:rPr>
                <w:sz w:val="20"/>
                <w:szCs w:val="20"/>
                <w:color w:val="auto"/>
              </w:rPr>
            </w:pPr>
            <w:r>
              <w:rPr>
                <w:rFonts w:ascii="Arial" w:cs="Arial" w:eastAsia="Arial" w:hAnsi="Arial"/>
                <w:sz w:val="14"/>
                <w:szCs w:val="14"/>
                <w:color w:val="333740"/>
              </w:rPr>
              <w:t>1,758,397</w:t>
            </w:r>
          </w:p>
        </w:tc>
        <w:tc>
          <w:tcPr>
            <w:tcW w:w="2120" w:type="dxa"/>
            <w:vAlign w:val="bottom"/>
          </w:tcPr>
          <w:p>
            <w:pPr>
              <w:jc w:val="right"/>
              <w:ind w:right="365"/>
              <w:spacing w:after="0"/>
              <w:rPr>
                <w:sz w:val="20"/>
                <w:szCs w:val="20"/>
                <w:color w:val="auto"/>
              </w:rPr>
            </w:pPr>
            <w:r>
              <w:rPr>
                <w:rFonts w:ascii="Arial" w:cs="Arial" w:eastAsia="Arial" w:hAnsi="Arial"/>
                <w:sz w:val="14"/>
                <w:szCs w:val="14"/>
                <w:color w:val="333740"/>
              </w:rPr>
              <w:t>132,894</w:t>
            </w:r>
          </w:p>
        </w:tc>
        <w:tc>
          <w:tcPr>
            <w:tcW w:w="980" w:type="dxa"/>
            <w:vAlign w:val="bottom"/>
          </w:tcPr>
          <w:p>
            <w:pPr>
              <w:jc w:val="right"/>
              <w:ind w:right="5"/>
              <w:spacing w:after="0"/>
              <w:rPr>
                <w:sz w:val="20"/>
                <w:szCs w:val="20"/>
                <w:color w:val="auto"/>
              </w:rPr>
            </w:pPr>
            <w:r>
              <w:rPr>
                <w:rFonts w:ascii="Arial" w:cs="Arial" w:eastAsia="Arial" w:hAnsi="Arial"/>
                <w:sz w:val="14"/>
                <w:szCs w:val="14"/>
                <w:color w:val="333740"/>
              </w:rPr>
              <w:t>2,952,485</w:t>
            </w:r>
          </w:p>
        </w:tc>
      </w:tr>
      <w:tr>
        <w:trPr>
          <w:trHeight w:val="34"/>
        </w:trPr>
        <w:tc>
          <w:tcPr>
            <w:tcW w:w="1480" w:type="dxa"/>
            <w:vAlign w:val="bottom"/>
            <w:tcBorders>
              <w:bottom w:val="single" w:sz="8" w:color="D7D8D6"/>
            </w:tcBorders>
          </w:tcPr>
          <w:p>
            <w:pPr>
              <w:spacing w:after="0"/>
              <w:rPr>
                <w:sz w:val="2"/>
                <w:szCs w:val="2"/>
                <w:color w:val="auto"/>
              </w:rPr>
            </w:pPr>
          </w:p>
        </w:tc>
        <w:tc>
          <w:tcPr>
            <w:tcW w:w="1920" w:type="dxa"/>
            <w:vAlign w:val="bottom"/>
            <w:tcBorders>
              <w:bottom w:val="single" w:sz="8" w:color="D7D8D6"/>
            </w:tcBorders>
          </w:tcPr>
          <w:p>
            <w:pPr>
              <w:spacing w:after="0"/>
              <w:rPr>
                <w:sz w:val="2"/>
                <w:szCs w:val="2"/>
                <w:color w:val="auto"/>
              </w:rPr>
            </w:pPr>
          </w:p>
        </w:tc>
        <w:tc>
          <w:tcPr>
            <w:tcW w:w="2000" w:type="dxa"/>
            <w:vAlign w:val="bottom"/>
            <w:tcBorders>
              <w:bottom w:val="single" w:sz="8" w:color="D7D8D6"/>
            </w:tcBorders>
          </w:tcPr>
          <w:p>
            <w:pPr>
              <w:spacing w:after="0"/>
              <w:rPr>
                <w:sz w:val="2"/>
                <w:szCs w:val="2"/>
                <w:color w:val="auto"/>
              </w:rPr>
            </w:pPr>
          </w:p>
        </w:tc>
        <w:tc>
          <w:tcPr>
            <w:tcW w:w="2760" w:type="dxa"/>
            <w:vAlign w:val="bottom"/>
            <w:tcBorders>
              <w:bottom w:val="single" w:sz="8" w:color="D7D8D6"/>
            </w:tcBorders>
          </w:tcPr>
          <w:p>
            <w:pPr>
              <w:spacing w:after="0"/>
              <w:rPr>
                <w:sz w:val="2"/>
                <w:szCs w:val="2"/>
                <w:color w:val="auto"/>
              </w:rPr>
            </w:pPr>
          </w:p>
        </w:tc>
        <w:tc>
          <w:tcPr>
            <w:tcW w:w="2120" w:type="dxa"/>
            <w:vAlign w:val="bottom"/>
            <w:tcBorders>
              <w:bottom w:val="single" w:sz="8" w:color="D7D8D6"/>
            </w:tcBorders>
          </w:tcPr>
          <w:p>
            <w:pPr>
              <w:spacing w:after="0"/>
              <w:rPr>
                <w:sz w:val="2"/>
                <w:szCs w:val="2"/>
                <w:color w:val="auto"/>
              </w:rPr>
            </w:pPr>
          </w:p>
        </w:tc>
        <w:tc>
          <w:tcPr>
            <w:tcW w:w="980" w:type="dxa"/>
            <w:vAlign w:val="bottom"/>
            <w:tcBorders>
              <w:bottom w:val="single" w:sz="8" w:color="D7D8D6"/>
            </w:tcBorders>
          </w:tcPr>
          <w:p>
            <w:pPr>
              <w:spacing w:after="0"/>
              <w:rPr>
                <w:sz w:val="2"/>
                <w:szCs w:val="2"/>
                <w:color w:val="auto"/>
              </w:rPr>
            </w:pPr>
          </w:p>
        </w:tc>
      </w:tr>
      <w:tr>
        <w:trPr>
          <w:trHeight w:val="219"/>
        </w:trPr>
        <w:tc>
          <w:tcPr>
            <w:tcW w:w="1480" w:type="dxa"/>
            <w:vAlign w:val="bottom"/>
            <w:tcBorders>
              <w:bottom w:val="single" w:sz="8" w:color="D7D8D6"/>
            </w:tcBorders>
          </w:tcPr>
          <w:p>
            <w:pPr>
              <w:jc w:val="right"/>
              <w:ind w:right="806"/>
              <w:spacing w:after="0"/>
              <w:rPr>
                <w:sz w:val="20"/>
                <w:szCs w:val="20"/>
                <w:color w:val="auto"/>
              </w:rPr>
            </w:pPr>
            <w:r>
              <w:rPr>
                <w:rFonts w:ascii="Arial" w:cs="Arial" w:eastAsia="Arial" w:hAnsi="Arial"/>
                <w:sz w:val="14"/>
                <w:szCs w:val="14"/>
                <w:color w:val="333740"/>
              </w:rPr>
              <w:t>2017</w:t>
            </w:r>
          </w:p>
        </w:tc>
        <w:tc>
          <w:tcPr>
            <w:tcW w:w="1920" w:type="dxa"/>
            <w:vAlign w:val="bottom"/>
            <w:tcBorders>
              <w:bottom w:val="single" w:sz="8" w:color="D7D8D6"/>
            </w:tcBorders>
          </w:tcPr>
          <w:p>
            <w:pPr>
              <w:jc w:val="right"/>
              <w:ind w:right="545"/>
              <w:spacing w:after="0"/>
              <w:rPr>
                <w:sz w:val="20"/>
                <w:szCs w:val="20"/>
                <w:color w:val="auto"/>
              </w:rPr>
            </w:pPr>
            <w:r>
              <w:rPr>
                <w:rFonts w:ascii="Arial" w:cs="Arial" w:eastAsia="Arial" w:hAnsi="Arial"/>
                <w:sz w:val="14"/>
                <w:szCs w:val="14"/>
                <w:color w:val="333740"/>
              </w:rPr>
              <w:t>1,023,929</w:t>
            </w:r>
          </w:p>
        </w:tc>
        <w:tc>
          <w:tcPr>
            <w:tcW w:w="2000" w:type="dxa"/>
            <w:vAlign w:val="bottom"/>
            <w:tcBorders>
              <w:bottom w:val="single" w:sz="8" w:color="D7D8D6"/>
            </w:tcBorders>
          </w:tcPr>
          <w:p>
            <w:pPr>
              <w:jc w:val="right"/>
              <w:ind w:right="505"/>
              <w:spacing w:after="0"/>
              <w:rPr>
                <w:sz w:val="20"/>
                <w:szCs w:val="20"/>
                <w:color w:val="auto"/>
              </w:rPr>
            </w:pPr>
            <w:r>
              <w:rPr>
                <w:rFonts w:ascii="Arial" w:cs="Arial" w:eastAsia="Arial" w:hAnsi="Arial"/>
                <w:sz w:val="14"/>
                <w:szCs w:val="14"/>
                <w:color w:val="333740"/>
              </w:rPr>
              <w:t>5,937,996</w:t>
            </w:r>
          </w:p>
        </w:tc>
        <w:tc>
          <w:tcPr>
            <w:tcW w:w="2760" w:type="dxa"/>
            <w:vAlign w:val="bottom"/>
            <w:tcBorders>
              <w:bottom w:val="single" w:sz="8" w:color="D7D8D6"/>
            </w:tcBorders>
          </w:tcPr>
          <w:p>
            <w:pPr>
              <w:jc w:val="right"/>
              <w:ind w:right="565"/>
              <w:spacing w:after="0"/>
              <w:rPr>
                <w:sz w:val="20"/>
                <w:szCs w:val="20"/>
                <w:color w:val="auto"/>
              </w:rPr>
            </w:pPr>
            <w:r>
              <w:rPr>
                <w:rFonts w:ascii="Arial" w:cs="Arial" w:eastAsia="Arial" w:hAnsi="Arial"/>
                <w:sz w:val="14"/>
                <w:szCs w:val="14"/>
                <w:color w:val="333740"/>
              </w:rPr>
              <w:t>1,954,680</w:t>
            </w:r>
          </w:p>
        </w:tc>
        <w:tc>
          <w:tcPr>
            <w:tcW w:w="2120" w:type="dxa"/>
            <w:vAlign w:val="bottom"/>
            <w:tcBorders>
              <w:bottom w:val="single" w:sz="8" w:color="D7D8D6"/>
            </w:tcBorders>
          </w:tcPr>
          <w:p>
            <w:pPr>
              <w:jc w:val="right"/>
              <w:ind w:right="365"/>
              <w:spacing w:after="0"/>
              <w:rPr>
                <w:sz w:val="20"/>
                <w:szCs w:val="20"/>
                <w:color w:val="auto"/>
              </w:rPr>
            </w:pPr>
            <w:r>
              <w:rPr>
                <w:rFonts w:ascii="Arial" w:cs="Arial" w:eastAsia="Arial" w:hAnsi="Arial"/>
                <w:sz w:val="14"/>
                <w:szCs w:val="14"/>
                <w:color w:val="333740"/>
              </w:rPr>
              <w:t>159,466</w:t>
            </w:r>
          </w:p>
        </w:tc>
        <w:tc>
          <w:tcPr>
            <w:tcW w:w="980" w:type="dxa"/>
            <w:vAlign w:val="bottom"/>
            <w:tcBorders>
              <w:bottom w:val="single" w:sz="8" w:color="D7D8D6"/>
            </w:tcBorders>
          </w:tcPr>
          <w:p>
            <w:pPr>
              <w:jc w:val="right"/>
              <w:ind w:right="5"/>
              <w:spacing w:after="0"/>
              <w:rPr>
                <w:sz w:val="20"/>
                <w:szCs w:val="20"/>
                <w:color w:val="auto"/>
              </w:rPr>
            </w:pPr>
            <w:r>
              <w:rPr>
                <w:rFonts w:ascii="Arial" w:cs="Arial" w:eastAsia="Arial" w:hAnsi="Arial"/>
                <w:sz w:val="14"/>
                <w:szCs w:val="14"/>
                <w:color w:val="333740"/>
              </w:rPr>
              <w:t>9,076,071</w:t>
            </w:r>
          </w:p>
        </w:tc>
      </w:tr>
    </w:tbl>
    <w:p>
      <w:pPr>
        <w:spacing w:after="0" w:line="126" w:lineRule="exact"/>
        <w:rPr>
          <w:sz w:val="20"/>
          <w:szCs w:val="20"/>
          <w:color w:val="auto"/>
        </w:rPr>
      </w:pPr>
    </w:p>
    <w:p>
      <w:pPr>
        <w:ind w:left="564" w:right="60" w:hanging="313"/>
        <w:spacing w:after="0" w:line="226" w:lineRule="auto"/>
        <w:tabs>
          <w:tab w:leader="none" w:pos="564" w:val="left"/>
        </w:tabs>
        <w:numPr>
          <w:ilvl w:val="0"/>
          <w:numId w:val="130"/>
        </w:numPr>
        <w:rPr>
          <w:rFonts w:ascii="Arial" w:cs="Arial" w:eastAsia="Arial" w:hAnsi="Arial"/>
          <w:sz w:val="11"/>
          <w:szCs w:val="11"/>
          <w:color w:val="333740"/>
        </w:rPr>
      </w:pPr>
      <w:r>
        <w:rPr>
          <w:rFonts w:ascii="Arial" w:cs="Arial" w:eastAsia="Arial" w:hAnsi="Arial"/>
          <w:sz w:val="11"/>
          <w:szCs w:val="11"/>
          <w:color w:val="333740"/>
        </w:rPr>
        <w:t>The amounts reported as Salary, Non-Equity Incentive Compensation, and All Other Compensation for Mr. Pilenko were paid in Euros. Mr. Pilenko’s salary remained unchanged since our Company’s formation in 2017 (i.e., a salary of €900,000). The amounts in this column vary from year to year due to the applicable Euro to U.S. dollar conversion on the last day of each month during each reporting year.</w:t>
      </w:r>
    </w:p>
    <w:p>
      <w:pPr>
        <w:ind w:left="564" w:hanging="313"/>
        <w:spacing w:after="0" w:line="226" w:lineRule="auto"/>
        <w:tabs>
          <w:tab w:leader="none" w:pos="564" w:val="left"/>
        </w:tabs>
        <w:numPr>
          <w:ilvl w:val="0"/>
          <w:numId w:val="130"/>
        </w:numPr>
        <w:rPr>
          <w:rFonts w:ascii="Arial" w:cs="Arial" w:eastAsia="Arial" w:hAnsi="Arial"/>
          <w:sz w:val="11"/>
          <w:szCs w:val="11"/>
          <w:color w:val="333740"/>
        </w:rPr>
      </w:pPr>
      <w:r>
        <w:rPr>
          <w:rFonts w:ascii="Arial" w:cs="Arial" w:eastAsia="Arial" w:hAnsi="Arial"/>
          <w:sz w:val="11"/>
          <w:szCs w:val="11"/>
          <w:color w:val="333740"/>
        </w:rPr>
        <w:t>The amounts represent the sum of the aggregate grant date fair value of options, RSUs, and PSUs. They are based on an assumption that target performance would be achieved. The actual value of the award may</w:t>
      </w:r>
    </w:p>
    <w:p>
      <w:pPr>
        <w:ind w:left="564"/>
        <w:spacing w:after="0" w:line="226" w:lineRule="auto"/>
        <w:rPr>
          <w:sz w:val="20"/>
          <w:szCs w:val="20"/>
          <w:color w:val="auto"/>
        </w:rPr>
      </w:pPr>
      <w:r>
        <w:rPr>
          <w:rFonts w:ascii="Arial" w:cs="Arial" w:eastAsia="Arial" w:hAnsi="Arial"/>
          <w:sz w:val="11"/>
          <w:szCs w:val="11"/>
          <w:color w:val="333740"/>
        </w:rPr>
        <w:t>increase or decrease if actual performance is above or below target. The maximum award value of PSUs subject to both performance conditions and market-based conditions is $ 7,476,018 for the 2017 grant. The methodology used to determine this value is the same as that described in the Summary Compensation Table for the NEOs’ PSUs. The actual value of the 2017 grant that vested on February 28, 2020 was $2,103,599.</w:t>
      </w:r>
    </w:p>
    <w:p>
      <w:pPr>
        <w:spacing w:after="0" w:line="1" w:lineRule="exact"/>
        <w:rPr>
          <w:sz w:val="20"/>
          <w:szCs w:val="20"/>
          <w:color w:val="auto"/>
        </w:rPr>
      </w:pPr>
    </w:p>
    <w:p>
      <w:pPr>
        <w:ind w:left="564" w:right="160" w:hanging="319"/>
        <w:spacing w:after="0" w:line="226" w:lineRule="auto"/>
        <w:tabs>
          <w:tab w:leader="none" w:pos="544" w:val="left"/>
        </w:tabs>
        <w:rPr>
          <w:sz w:val="20"/>
          <w:szCs w:val="20"/>
          <w:color w:val="auto"/>
        </w:rPr>
      </w:pPr>
      <w:r>
        <w:rPr>
          <w:rFonts w:ascii="Arial" w:cs="Arial" w:eastAsia="Arial" w:hAnsi="Arial"/>
          <w:sz w:val="11"/>
          <w:szCs w:val="11"/>
          <w:color w:val="333740"/>
        </w:rPr>
        <w:t>(3)</w:t>
        <w:tab/>
        <w:t>Mr. Pilenko’s 2019 annual cash incentive bonus was paid at its target value, pro-rated to his time of service as Executive Chairman, from January 1 to May 1, 2019. He did not earn any bonus relative to the period from May 2, 2019 to December 31, 2019 when he was employed but paid using accrued time off.</w:t>
      </w:r>
    </w:p>
    <w:p>
      <w:pPr>
        <w:ind w:left="584"/>
        <w:spacing w:after="0" w:line="228" w:lineRule="auto"/>
        <w:rPr>
          <w:sz w:val="20"/>
          <w:szCs w:val="20"/>
          <w:color w:val="auto"/>
        </w:rPr>
      </w:pPr>
      <w:r>
        <w:rPr>
          <w:rFonts w:ascii="Arial" w:cs="Arial" w:eastAsia="Arial" w:hAnsi="Arial"/>
          <w:sz w:val="11"/>
          <w:szCs w:val="11"/>
          <w:color w:val="333740"/>
        </w:rPr>
        <w:t>For 2017 and 2018, the amounts also include the payment of the last two installments of the 2014 legacy Technip Long-Term Cash Incentive Plan of $102,393 and $106,119, respectively.</w:t>
      </w:r>
    </w:p>
    <w:p>
      <w:pPr>
        <w:ind w:left="564" w:right="80" w:hanging="313"/>
        <w:spacing w:after="0" w:line="235" w:lineRule="auto"/>
        <w:tabs>
          <w:tab w:leader="none" w:pos="564" w:val="left"/>
        </w:tabs>
        <w:numPr>
          <w:ilvl w:val="0"/>
          <w:numId w:val="131"/>
        </w:numPr>
        <w:rPr>
          <w:rFonts w:ascii="Arial" w:cs="Arial" w:eastAsia="Arial" w:hAnsi="Arial"/>
          <w:sz w:val="11"/>
          <w:szCs w:val="11"/>
          <w:color w:val="333740"/>
        </w:rPr>
      </w:pPr>
      <w:r>
        <w:rPr>
          <w:rFonts w:ascii="Arial" w:cs="Arial" w:eastAsia="Arial" w:hAnsi="Arial"/>
          <w:sz w:val="11"/>
          <w:szCs w:val="11"/>
          <w:color w:val="333740"/>
        </w:rPr>
        <w:t>The 2019 amount represents Mr. Pilenko’s severance pay of $2,213,582, payment of accrued but unused vacation days of $73,551, premiums for medical, life, and disability insurance of $31,547 (for 2019, 2020, and 2021 as part of his severance agreement), contributions to the French supplementary retirement plan of $28,995, financial planning and personal tax assistance of $25,581, and spouse travel related to Company business functions of $17,155.</w:t>
      </w:r>
    </w:p>
    <w:p>
      <w:pPr>
        <w:spacing w:after="0" w:line="331" w:lineRule="exact"/>
        <w:rPr>
          <w:sz w:val="20"/>
          <w:szCs w:val="20"/>
          <w:color w:val="auto"/>
        </w:rPr>
      </w:pPr>
    </w:p>
    <w:p>
      <w:pPr>
        <w:ind w:left="564" w:hanging="564"/>
        <w:spacing w:after="0"/>
        <w:tabs>
          <w:tab w:leader="none" w:pos="564" w:val="left"/>
        </w:tabs>
        <w:numPr>
          <w:ilvl w:val="0"/>
          <w:numId w:val="132"/>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106" w:name="page107"/>
    <w:bookmarkEnd w:id="106"/>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56"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Executive Chairman’s Outstanding Equity Awards at Fiscal Year End Table</w:t>
      </w:r>
      <w:r>
        <w:rPr>
          <w:rFonts w:ascii="Arial" w:cs="Arial" w:eastAsia="Arial" w:hAnsi="Arial"/>
          <w:sz w:val="34"/>
          <w:szCs w:val="34"/>
          <w:b w:val="1"/>
          <w:bCs w:val="1"/>
          <w:color w:val="481F6E"/>
          <w:vertAlign w:val="superscript"/>
        </w:rPr>
        <w:t>1</w:t>
      </w:r>
    </w:p>
    <w:p>
      <w:pPr>
        <w:ind w:left="4"/>
        <w:spacing w:after="0"/>
        <w:rPr>
          <w:sz w:val="20"/>
          <w:szCs w:val="20"/>
          <w:color w:val="auto"/>
        </w:rPr>
      </w:pPr>
      <w:r>
        <w:rPr>
          <w:rFonts w:ascii="Arial" w:cs="Arial" w:eastAsia="Arial" w:hAnsi="Arial"/>
          <w:sz w:val="16"/>
          <w:szCs w:val="16"/>
          <w:color w:val="333740"/>
        </w:rPr>
        <w:t>Shown below are the outstanding equity awards for our Executive Chairman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48195" cy="10090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8195" cy="1009015"/>
                    </a:xfrm>
                    <a:prstGeom prst="rect">
                      <a:avLst/>
                    </a:prstGeom>
                    <a:noFill/>
                  </pic:spPr>
                </pic:pic>
              </a:graphicData>
            </a:graphic>
          </wp:anchor>
        </w:drawing>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1620" w:type="dxa"/>
            <w:vAlign w:val="bottom"/>
            <w:shd w:val="clear" w:color="auto" w:fill="481F6E"/>
          </w:tcPr>
          <w:p>
            <w:pPr>
              <w:spacing w:after="0"/>
              <w:rPr>
                <w:sz w:val="18"/>
                <w:szCs w:val="18"/>
                <w:color w:val="auto"/>
              </w:rPr>
            </w:pPr>
          </w:p>
        </w:tc>
        <w:tc>
          <w:tcPr>
            <w:tcW w:w="2080" w:type="dxa"/>
            <w:vAlign w:val="bottom"/>
            <w:gridSpan w:val="2"/>
            <w:shd w:val="clear" w:color="auto" w:fill="481F6E"/>
          </w:tcPr>
          <w:p>
            <w:pPr>
              <w:jc w:val="right"/>
              <w:ind w:right="260"/>
              <w:spacing w:after="0"/>
              <w:rPr>
                <w:sz w:val="20"/>
                <w:szCs w:val="20"/>
                <w:color w:val="auto"/>
              </w:rPr>
            </w:pPr>
            <w:r>
              <w:rPr>
                <w:rFonts w:ascii="Arial" w:cs="Arial" w:eastAsia="Arial" w:hAnsi="Arial"/>
                <w:sz w:val="14"/>
                <w:szCs w:val="14"/>
                <w:b w:val="1"/>
                <w:bCs w:val="1"/>
                <w:color w:val="FFFFFF"/>
              </w:rPr>
              <w:t>Option Awards</w:t>
            </w:r>
          </w:p>
        </w:tc>
        <w:tc>
          <w:tcPr>
            <w:tcW w:w="1040" w:type="dxa"/>
            <w:vAlign w:val="bottom"/>
            <w:shd w:val="clear" w:color="auto" w:fill="481F6E"/>
          </w:tcPr>
          <w:p>
            <w:pPr>
              <w:spacing w:after="0"/>
              <w:rPr>
                <w:sz w:val="18"/>
                <w:szCs w:val="18"/>
                <w:color w:val="auto"/>
              </w:rPr>
            </w:pPr>
          </w:p>
        </w:tc>
        <w:tc>
          <w:tcPr>
            <w:tcW w:w="1200" w:type="dxa"/>
            <w:vAlign w:val="bottom"/>
            <w:shd w:val="clear" w:color="auto" w:fill="481F6E"/>
          </w:tcPr>
          <w:p>
            <w:pPr>
              <w:spacing w:after="0"/>
              <w:rPr>
                <w:sz w:val="18"/>
                <w:szCs w:val="18"/>
                <w:color w:val="auto"/>
              </w:rPr>
            </w:pPr>
          </w:p>
        </w:tc>
        <w:tc>
          <w:tcPr>
            <w:tcW w:w="1040" w:type="dxa"/>
            <w:vAlign w:val="bottom"/>
            <w:shd w:val="clear" w:color="auto" w:fill="481F6E"/>
          </w:tcPr>
          <w:p>
            <w:pPr>
              <w:spacing w:after="0"/>
              <w:rPr>
                <w:sz w:val="18"/>
                <w:szCs w:val="18"/>
                <w:color w:val="auto"/>
              </w:rPr>
            </w:pPr>
          </w:p>
        </w:tc>
        <w:tc>
          <w:tcPr>
            <w:tcW w:w="1020" w:type="dxa"/>
            <w:vAlign w:val="bottom"/>
            <w:shd w:val="clear" w:color="auto" w:fill="481F6E"/>
          </w:tcPr>
          <w:p>
            <w:pPr>
              <w:spacing w:after="0"/>
              <w:rPr>
                <w:sz w:val="18"/>
                <w:szCs w:val="18"/>
                <w:color w:val="auto"/>
              </w:rPr>
            </w:pPr>
          </w:p>
        </w:tc>
        <w:tc>
          <w:tcPr>
            <w:tcW w:w="1120" w:type="dxa"/>
            <w:vAlign w:val="bottom"/>
            <w:shd w:val="clear" w:color="auto" w:fill="481F6E"/>
          </w:tcPr>
          <w:p>
            <w:pPr>
              <w:jc w:val="right"/>
              <w:ind w:right="58"/>
              <w:spacing w:after="0"/>
              <w:rPr>
                <w:sz w:val="20"/>
                <w:szCs w:val="20"/>
                <w:color w:val="auto"/>
              </w:rPr>
            </w:pPr>
            <w:r>
              <w:rPr>
                <w:rFonts w:ascii="Arial" w:cs="Arial" w:eastAsia="Arial" w:hAnsi="Arial"/>
                <w:sz w:val="14"/>
                <w:szCs w:val="14"/>
                <w:b w:val="1"/>
                <w:bCs w:val="1"/>
                <w:color w:val="FFFFFF"/>
              </w:rPr>
              <w:t>Stock Awards</w:t>
            </w:r>
          </w:p>
        </w:tc>
        <w:tc>
          <w:tcPr>
            <w:tcW w:w="1120" w:type="dxa"/>
            <w:vAlign w:val="bottom"/>
            <w:shd w:val="clear" w:color="auto" w:fill="481F6E"/>
          </w:tcPr>
          <w:p>
            <w:pPr>
              <w:spacing w:after="0"/>
              <w:rPr>
                <w:sz w:val="18"/>
                <w:szCs w:val="18"/>
                <w:color w:val="auto"/>
              </w:rPr>
            </w:pPr>
          </w:p>
        </w:tc>
        <w:tc>
          <w:tcPr>
            <w:tcW w:w="1020" w:type="dxa"/>
            <w:vAlign w:val="bottom"/>
            <w:shd w:val="clear" w:color="auto" w:fill="481F6E"/>
          </w:tcPr>
          <w:p>
            <w:pPr>
              <w:spacing w:after="0"/>
              <w:rPr>
                <w:sz w:val="18"/>
                <w:szCs w:val="18"/>
                <w:color w:val="auto"/>
              </w:rPr>
            </w:pPr>
          </w:p>
        </w:tc>
      </w:tr>
      <w:tr>
        <w:trPr>
          <w:trHeight w:val="158"/>
        </w:trPr>
        <w:tc>
          <w:tcPr>
            <w:tcW w:w="1620" w:type="dxa"/>
            <w:vAlign w:val="bottom"/>
            <w:shd w:val="clear" w:color="auto" w:fill="481F6E"/>
          </w:tcPr>
          <w:p>
            <w:pPr>
              <w:spacing w:after="0"/>
              <w:rPr>
                <w:sz w:val="13"/>
                <w:szCs w:val="13"/>
                <w:color w:val="auto"/>
              </w:rPr>
            </w:pPr>
          </w:p>
        </w:tc>
        <w:tc>
          <w:tcPr>
            <w:tcW w:w="1000" w:type="dxa"/>
            <w:vAlign w:val="bottom"/>
            <w:shd w:val="clear" w:color="auto" w:fill="481F6E"/>
          </w:tcPr>
          <w:p>
            <w:pPr>
              <w:spacing w:after="0"/>
              <w:rPr>
                <w:sz w:val="13"/>
                <w:szCs w:val="13"/>
                <w:color w:val="auto"/>
              </w:rPr>
            </w:pPr>
          </w:p>
        </w:tc>
        <w:tc>
          <w:tcPr>
            <w:tcW w:w="1080" w:type="dxa"/>
            <w:vAlign w:val="bottom"/>
            <w:shd w:val="clear" w:color="auto" w:fill="481F6E"/>
          </w:tcPr>
          <w:p>
            <w:pPr>
              <w:spacing w:after="0"/>
              <w:rPr>
                <w:sz w:val="13"/>
                <w:szCs w:val="13"/>
                <w:color w:val="auto"/>
              </w:rPr>
            </w:pPr>
          </w:p>
        </w:tc>
        <w:tc>
          <w:tcPr>
            <w:tcW w:w="1040" w:type="dxa"/>
            <w:vAlign w:val="bottom"/>
            <w:shd w:val="clear" w:color="auto" w:fill="481F6E"/>
          </w:tcPr>
          <w:p>
            <w:pPr>
              <w:spacing w:after="0"/>
              <w:rPr>
                <w:sz w:val="13"/>
                <w:szCs w:val="13"/>
                <w:color w:val="auto"/>
              </w:rPr>
            </w:pPr>
          </w:p>
        </w:tc>
        <w:tc>
          <w:tcPr>
            <w:tcW w:w="1200" w:type="dxa"/>
            <w:vAlign w:val="bottom"/>
            <w:shd w:val="clear" w:color="auto" w:fill="481F6E"/>
          </w:tcPr>
          <w:p>
            <w:pPr>
              <w:spacing w:after="0"/>
              <w:rPr>
                <w:sz w:val="13"/>
                <w:szCs w:val="13"/>
                <w:color w:val="auto"/>
              </w:rPr>
            </w:pPr>
          </w:p>
        </w:tc>
        <w:tc>
          <w:tcPr>
            <w:tcW w:w="1040" w:type="dxa"/>
            <w:vAlign w:val="bottom"/>
            <w:shd w:val="clear" w:color="auto" w:fill="481F6E"/>
          </w:tcPr>
          <w:p>
            <w:pPr>
              <w:spacing w:after="0"/>
              <w:rPr>
                <w:sz w:val="13"/>
                <w:szCs w:val="13"/>
                <w:color w:val="auto"/>
              </w:rPr>
            </w:pPr>
          </w:p>
        </w:tc>
        <w:tc>
          <w:tcPr>
            <w:tcW w:w="1020" w:type="dxa"/>
            <w:vAlign w:val="bottom"/>
            <w:shd w:val="clear" w:color="auto" w:fill="481F6E"/>
          </w:tcPr>
          <w:p>
            <w:pPr>
              <w:spacing w:after="0"/>
              <w:rPr>
                <w:sz w:val="13"/>
                <w:szCs w:val="13"/>
                <w:color w:val="auto"/>
              </w:rPr>
            </w:pPr>
          </w:p>
        </w:tc>
        <w:tc>
          <w:tcPr>
            <w:tcW w:w="1120" w:type="dxa"/>
            <w:vAlign w:val="bottom"/>
            <w:shd w:val="clear" w:color="auto" w:fill="481F6E"/>
          </w:tcPr>
          <w:p>
            <w:pPr>
              <w:spacing w:after="0"/>
              <w:rPr>
                <w:sz w:val="13"/>
                <w:szCs w:val="13"/>
                <w:color w:val="auto"/>
              </w:rPr>
            </w:pPr>
          </w:p>
        </w:tc>
        <w:tc>
          <w:tcPr>
            <w:tcW w:w="1120" w:type="dxa"/>
            <w:vAlign w:val="bottom"/>
            <w:shd w:val="clear" w:color="auto" w:fill="481F6E"/>
          </w:tcPr>
          <w:p>
            <w:pPr>
              <w:spacing w:after="0"/>
              <w:rPr>
                <w:sz w:val="13"/>
                <w:szCs w:val="13"/>
                <w:color w:val="auto"/>
              </w:rPr>
            </w:pPr>
          </w:p>
        </w:tc>
        <w:tc>
          <w:tcPr>
            <w:tcW w:w="1020" w:type="dxa"/>
            <w:vAlign w:val="bottom"/>
            <w:shd w:val="clear" w:color="auto" w:fill="481F6E"/>
          </w:tcPr>
          <w:p>
            <w:pPr>
              <w:jc w:val="right"/>
              <w:spacing w:after="0"/>
              <w:rPr>
                <w:sz w:val="20"/>
                <w:szCs w:val="20"/>
                <w:color w:val="auto"/>
              </w:rPr>
            </w:pPr>
            <w:r>
              <w:rPr>
                <w:rFonts w:ascii="Arial" w:cs="Arial" w:eastAsia="Arial" w:hAnsi="Arial"/>
                <w:sz w:val="12"/>
                <w:szCs w:val="12"/>
                <w:b w:val="1"/>
                <w:bCs w:val="1"/>
                <w:color w:val="FFFFFF"/>
              </w:rPr>
              <w:t>Incentive</w:t>
            </w:r>
          </w:p>
        </w:tc>
      </w:tr>
      <w:tr>
        <w:trPr>
          <w:trHeight w:val="131"/>
        </w:trPr>
        <w:tc>
          <w:tcPr>
            <w:tcW w:w="1620" w:type="dxa"/>
            <w:vAlign w:val="bottom"/>
            <w:shd w:val="clear" w:color="auto" w:fill="481F6E"/>
          </w:tcPr>
          <w:p>
            <w:pPr>
              <w:spacing w:after="0"/>
              <w:rPr>
                <w:sz w:val="11"/>
                <w:szCs w:val="11"/>
                <w:color w:val="auto"/>
              </w:rPr>
            </w:pPr>
          </w:p>
        </w:tc>
        <w:tc>
          <w:tcPr>
            <w:tcW w:w="1000" w:type="dxa"/>
            <w:vAlign w:val="bottom"/>
            <w:shd w:val="clear" w:color="auto" w:fill="481F6E"/>
          </w:tcPr>
          <w:p>
            <w:pPr>
              <w:spacing w:after="0"/>
              <w:rPr>
                <w:sz w:val="11"/>
                <w:szCs w:val="11"/>
                <w:color w:val="auto"/>
              </w:rPr>
            </w:pPr>
          </w:p>
        </w:tc>
        <w:tc>
          <w:tcPr>
            <w:tcW w:w="1080" w:type="dxa"/>
            <w:vAlign w:val="bottom"/>
            <w:shd w:val="clear" w:color="auto" w:fill="481F6E"/>
          </w:tcPr>
          <w:p>
            <w:pPr>
              <w:spacing w:after="0"/>
              <w:rPr>
                <w:sz w:val="11"/>
                <w:szCs w:val="11"/>
                <w:color w:val="auto"/>
              </w:rPr>
            </w:pPr>
          </w:p>
        </w:tc>
        <w:tc>
          <w:tcPr>
            <w:tcW w:w="1040" w:type="dxa"/>
            <w:vAlign w:val="bottom"/>
            <w:shd w:val="clear" w:color="auto" w:fill="481F6E"/>
          </w:tcPr>
          <w:p>
            <w:pPr>
              <w:jc w:val="right"/>
              <w:ind w:right="100"/>
              <w:spacing w:after="0" w:line="132" w:lineRule="exact"/>
              <w:rPr>
                <w:sz w:val="20"/>
                <w:szCs w:val="20"/>
                <w:color w:val="auto"/>
              </w:rPr>
            </w:pPr>
            <w:r>
              <w:rPr>
                <w:rFonts w:ascii="Arial" w:cs="Arial" w:eastAsia="Arial" w:hAnsi="Arial"/>
                <w:sz w:val="12"/>
                <w:szCs w:val="12"/>
                <w:b w:val="1"/>
                <w:bCs w:val="1"/>
                <w:color w:val="FFFFFF"/>
              </w:rPr>
              <w:t>Incentive</w:t>
            </w:r>
          </w:p>
        </w:tc>
        <w:tc>
          <w:tcPr>
            <w:tcW w:w="1200" w:type="dxa"/>
            <w:vAlign w:val="bottom"/>
            <w:shd w:val="clear" w:color="auto" w:fill="481F6E"/>
          </w:tcPr>
          <w:p>
            <w:pPr>
              <w:spacing w:after="0"/>
              <w:rPr>
                <w:sz w:val="11"/>
                <w:szCs w:val="11"/>
                <w:color w:val="auto"/>
              </w:rPr>
            </w:pPr>
          </w:p>
        </w:tc>
        <w:tc>
          <w:tcPr>
            <w:tcW w:w="1040" w:type="dxa"/>
            <w:vAlign w:val="bottom"/>
            <w:shd w:val="clear" w:color="auto" w:fill="481F6E"/>
          </w:tcPr>
          <w:p>
            <w:pPr>
              <w:spacing w:after="0"/>
              <w:rPr>
                <w:sz w:val="11"/>
                <w:szCs w:val="11"/>
                <w:color w:val="auto"/>
              </w:rPr>
            </w:pPr>
          </w:p>
        </w:tc>
        <w:tc>
          <w:tcPr>
            <w:tcW w:w="1020" w:type="dxa"/>
            <w:vAlign w:val="bottom"/>
            <w:shd w:val="clear" w:color="auto" w:fill="481F6E"/>
          </w:tcPr>
          <w:p>
            <w:pPr>
              <w:spacing w:after="0"/>
              <w:rPr>
                <w:sz w:val="11"/>
                <w:szCs w:val="11"/>
                <w:color w:val="auto"/>
              </w:rPr>
            </w:pPr>
          </w:p>
        </w:tc>
        <w:tc>
          <w:tcPr>
            <w:tcW w:w="1120" w:type="dxa"/>
            <w:vAlign w:val="bottom"/>
            <w:shd w:val="clear" w:color="auto" w:fill="481F6E"/>
          </w:tcPr>
          <w:p>
            <w:pPr>
              <w:spacing w:after="0"/>
              <w:rPr>
                <w:sz w:val="11"/>
                <w:szCs w:val="11"/>
                <w:color w:val="auto"/>
              </w:rPr>
            </w:pPr>
          </w:p>
        </w:tc>
        <w:tc>
          <w:tcPr>
            <w:tcW w:w="1120" w:type="dxa"/>
            <w:vAlign w:val="bottom"/>
            <w:shd w:val="clear" w:color="auto" w:fill="481F6E"/>
          </w:tcPr>
          <w:p>
            <w:pPr>
              <w:jc w:val="right"/>
              <w:ind w:right="60"/>
              <w:spacing w:after="0" w:line="132" w:lineRule="exact"/>
              <w:rPr>
                <w:sz w:val="20"/>
                <w:szCs w:val="20"/>
                <w:color w:val="auto"/>
              </w:rPr>
            </w:pPr>
            <w:r>
              <w:rPr>
                <w:rFonts w:ascii="Arial" w:cs="Arial" w:eastAsia="Arial" w:hAnsi="Arial"/>
                <w:sz w:val="12"/>
                <w:szCs w:val="12"/>
                <w:b w:val="1"/>
                <w:bCs w:val="1"/>
                <w:color w:val="FFFFFF"/>
              </w:rPr>
              <w:t>Incentive</w:t>
            </w:r>
          </w:p>
        </w:tc>
        <w:tc>
          <w:tcPr>
            <w:tcW w:w="1020" w:type="dxa"/>
            <w:vAlign w:val="bottom"/>
            <w:shd w:val="clear" w:color="auto" w:fill="481F6E"/>
          </w:tcPr>
          <w:p>
            <w:pPr>
              <w:jc w:val="right"/>
              <w:spacing w:after="0" w:line="132" w:lineRule="exact"/>
              <w:rPr>
                <w:sz w:val="20"/>
                <w:szCs w:val="20"/>
                <w:color w:val="auto"/>
              </w:rPr>
            </w:pPr>
            <w:r>
              <w:rPr>
                <w:rFonts w:ascii="Arial" w:cs="Arial" w:eastAsia="Arial" w:hAnsi="Arial"/>
                <w:sz w:val="12"/>
                <w:szCs w:val="12"/>
                <w:b w:val="1"/>
                <w:bCs w:val="1"/>
                <w:color w:val="FFFFFF"/>
              </w:rPr>
              <w:t>Award Plan</w:t>
            </w:r>
          </w:p>
        </w:tc>
      </w:tr>
      <w:tr>
        <w:trPr>
          <w:trHeight w:val="131"/>
        </w:trPr>
        <w:tc>
          <w:tcPr>
            <w:tcW w:w="1620" w:type="dxa"/>
            <w:vAlign w:val="bottom"/>
            <w:shd w:val="clear" w:color="auto" w:fill="481F6E"/>
          </w:tcPr>
          <w:p>
            <w:pPr>
              <w:spacing w:after="0"/>
              <w:rPr>
                <w:sz w:val="11"/>
                <w:szCs w:val="11"/>
                <w:color w:val="auto"/>
              </w:rPr>
            </w:pPr>
          </w:p>
        </w:tc>
        <w:tc>
          <w:tcPr>
            <w:tcW w:w="1000" w:type="dxa"/>
            <w:vAlign w:val="bottom"/>
            <w:shd w:val="clear" w:color="auto" w:fill="481F6E"/>
          </w:tcPr>
          <w:p>
            <w:pPr>
              <w:spacing w:after="0"/>
              <w:rPr>
                <w:sz w:val="11"/>
                <w:szCs w:val="11"/>
                <w:color w:val="auto"/>
              </w:rPr>
            </w:pPr>
          </w:p>
        </w:tc>
        <w:tc>
          <w:tcPr>
            <w:tcW w:w="1080" w:type="dxa"/>
            <w:vAlign w:val="bottom"/>
            <w:shd w:val="clear" w:color="auto" w:fill="481F6E"/>
          </w:tcPr>
          <w:p>
            <w:pPr>
              <w:spacing w:after="0"/>
              <w:rPr>
                <w:sz w:val="11"/>
                <w:szCs w:val="11"/>
                <w:color w:val="auto"/>
              </w:rPr>
            </w:pPr>
          </w:p>
        </w:tc>
        <w:tc>
          <w:tcPr>
            <w:tcW w:w="1040" w:type="dxa"/>
            <w:vAlign w:val="bottom"/>
            <w:shd w:val="clear" w:color="auto" w:fill="481F6E"/>
          </w:tcPr>
          <w:p>
            <w:pPr>
              <w:jc w:val="right"/>
              <w:ind w:right="100"/>
              <w:spacing w:after="0" w:line="132" w:lineRule="exact"/>
              <w:rPr>
                <w:sz w:val="20"/>
                <w:szCs w:val="20"/>
                <w:color w:val="auto"/>
              </w:rPr>
            </w:pPr>
            <w:r>
              <w:rPr>
                <w:rFonts w:ascii="Arial" w:cs="Arial" w:eastAsia="Arial" w:hAnsi="Arial"/>
                <w:sz w:val="12"/>
                <w:szCs w:val="12"/>
                <w:b w:val="1"/>
                <w:bCs w:val="1"/>
                <w:color w:val="FFFFFF"/>
              </w:rPr>
              <w:t>Award Plan</w:t>
            </w:r>
          </w:p>
        </w:tc>
        <w:tc>
          <w:tcPr>
            <w:tcW w:w="1200" w:type="dxa"/>
            <w:vAlign w:val="bottom"/>
            <w:shd w:val="clear" w:color="auto" w:fill="481F6E"/>
          </w:tcPr>
          <w:p>
            <w:pPr>
              <w:spacing w:after="0"/>
              <w:rPr>
                <w:sz w:val="11"/>
                <w:szCs w:val="11"/>
                <w:color w:val="auto"/>
              </w:rPr>
            </w:pPr>
          </w:p>
        </w:tc>
        <w:tc>
          <w:tcPr>
            <w:tcW w:w="1040" w:type="dxa"/>
            <w:vAlign w:val="bottom"/>
            <w:shd w:val="clear" w:color="auto" w:fill="481F6E"/>
          </w:tcPr>
          <w:p>
            <w:pPr>
              <w:spacing w:after="0"/>
              <w:rPr>
                <w:sz w:val="11"/>
                <w:szCs w:val="11"/>
                <w:color w:val="auto"/>
              </w:rPr>
            </w:pPr>
          </w:p>
        </w:tc>
        <w:tc>
          <w:tcPr>
            <w:tcW w:w="1020" w:type="dxa"/>
            <w:vAlign w:val="bottom"/>
            <w:shd w:val="clear" w:color="auto" w:fill="481F6E"/>
          </w:tcPr>
          <w:p>
            <w:pPr>
              <w:spacing w:after="0"/>
              <w:rPr>
                <w:sz w:val="11"/>
                <w:szCs w:val="11"/>
                <w:color w:val="auto"/>
              </w:rPr>
            </w:pPr>
          </w:p>
        </w:tc>
        <w:tc>
          <w:tcPr>
            <w:tcW w:w="1120" w:type="dxa"/>
            <w:vAlign w:val="bottom"/>
            <w:shd w:val="clear" w:color="auto" w:fill="481F6E"/>
          </w:tcPr>
          <w:p>
            <w:pPr>
              <w:spacing w:after="0"/>
              <w:rPr>
                <w:sz w:val="11"/>
                <w:szCs w:val="11"/>
                <w:color w:val="auto"/>
              </w:rPr>
            </w:pPr>
          </w:p>
        </w:tc>
        <w:tc>
          <w:tcPr>
            <w:tcW w:w="1120" w:type="dxa"/>
            <w:vAlign w:val="bottom"/>
            <w:shd w:val="clear" w:color="auto" w:fill="481F6E"/>
          </w:tcPr>
          <w:p>
            <w:pPr>
              <w:jc w:val="right"/>
              <w:ind w:right="60"/>
              <w:spacing w:after="0" w:line="132" w:lineRule="exact"/>
              <w:rPr>
                <w:sz w:val="20"/>
                <w:szCs w:val="20"/>
                <w:color w:val="auto"/>
              </w:rPr>
            </w:pPr>
            <w:r>
              <w:rPr>
                <w:rFonts w:ascii="Arial" w:cs="Arial" w:eastAsia="Arial" w:hAnsi="Arial"/>
                <w:sz w:val="12"/>
                <w:szCs w:val="12"/>
                <w:b w:val="1"/>
                <w:bCs w:val="1"/>
                <w:color w:val="FFFFFF"/>
              </w:rPr>
              <w:t>Award Plan</w:t>
            </w:r>
          </w:p>
        </w:tc>
        <w:tc>
          <w:tcPr>
            <w:tcW w:w="1020" w:type="dxa"/>
            <w:vAlign w:val="bottom"/>
            <w:shd w:val="clear" w:color="auto" w:fill="481F6E"/>
          </w:tcPr>
          <w:p>
            <w:pPr>
              <w:jc w:val="right"/>
              <w:spacing w:after="0" w:line="132" w:lineRule="exact"/>
              <w:rPr>
                <w:sz w:val="20"/>
                <w:szCs w:val="20"/>
                <w:color w:val="auto"/>
              </w:rPr>
            </w:pPr>
            <w:r>
              <w:rPr>
                <w:rFonts w:ascii="Arial" w:cs="Arial" w:eastAsia="Arial" w:hAnsi="Arial"/>
                <w:sz w:val="12"/>
                <w:szCs w:val="12"/>
                <w:b w:val="1"/>
                <w:bCs w:val="1"/>
                <w:color w:val="FFFFFF"/>
              </w:rPr>
              <w:t>Awards:</w:t>
            </w:r>
          </w:p>
        </w:tc>
      </w:tr>
      <w:tr>
        <w:trPr>
          <w:trHeight w:val="131"/>
        </w:trPr>
        <w:tc>
          <w:tcPr>
            <w:tcW w:w="1620" w:type="dxa"/>
            <w:vAlign w:val="bottom"/>
            <w:shd w:val="clear" w:color="auto" w:fill="481F6E"/>
          </w:tcPr>
          <w:p>
            <w:pPr>
              <w:spacing w:after="0"/>
              <w:rPr>
                <w:sz w:val="11"/>
                <w:szCs w:val="11"/>
                <w:color w:val="auto"/>
              </w:rPr>
            </w:pPr>
          </w:p>
        </w:tc>
        <w:tc>
          <w:tcPr>
            <w:tcW w:w="1000" w:type="dxa"/>
            <w:vAlign w:val="bottom"/>
            <w:shd w:val="clear" w:color="auto" w:fill="481F6E"/>
          </w:tcPr>
          <w:p>
            <w:pPr>
              <w:spacing w:after="0"/>
              <w:rPr>
                <w:sz w:val="11"/>
                <w:szCs w:val="11"/>
                <w:color w:val="auto"/>
              </w:rPr>
            </w:pPr>
          </w:p>
        </w:tc>
        <w:tc>
          <w:tcPr>
            <w:tcW w:w="1080" w:type="dxa"/>
            <w:vAlign w:val="bottom"/>
            <w:shd w:val="clear" w:color="auto" w:fill="481F6E"/>
          </w:tcPr>
          <w:p>
            <w:pPr>
              <w:spacing w:after="0"/>
              <w:rPr>
                <w:sz w:val="11"/>
                <w:szCs w:val="11"/>
                <w:color w:val="auto"/>
              </w:rPr>
            </w:pPr>
          </w:p>
        </w:tc>
        <w:tc>
          <w:tcPr>
            <w:tcW w:w="1040" w:type="dxa"/>
            <w:vAlign w:val="bottom"/>
            <w:shd w:val="clear" w:color="auto" w:fill="481F6E"/>
          </w:tcPr>
          <w:p>
            <w:pPr>
              <w:jc w:val="right"/>
              <w:ind w:right="100"/>
              <w:spacing w:after="0" w:line="132" w:lineRule="exact"/>
              <w:rPr>
                <w:sz w:val="20"/>
                <w:szCs w:val="20"/>
                <w:color w:val="auto"/>
              </w:rPr>
            </w:pPr>
            <w:r>
              <w:rPr>
                <w:rFonts w:ascii="Arial" w:cs="Arial" w:eastAsia="Arial" w:hAnsi="Arial"/>
                <w:sz w:val="12"/>
                <w:szCs w:val="12"/>
                <w:b w:val="1"/>
                <w:bCs w:val="1"/>
                <w:color w:val="FFFFFF"/>
              </w:rPr>
              <w:t>Awards:</w:t>
            </w:r>
          </w:p>
        </w:tc>
        <w:tc>
          <w:tcPr>
            <w:tcW w:w="1200" w:type="dxa"/>
            <w:vAlign w:val="bottom"/>
            <w:shd w:val="clear" w:color="auto" w:fill="481F6E"/>
          </w:tcPr>
          <w:p>
            <w:pPr>
              <w:spacing w:after="0"/>
              <w:rPr>
                <w:sz w:val="11"/>
                <w:szCs w:val="11"/>
                <w:color w:val="auto"/>
              </w:rPr>
            </w:pPr>
          </w:p>
        </w:tc>
        <w:tc>
          <w:tcPr>
            <w:tcW w:w="1040" w:type="dxa"/>
            <w:vAlign w:val="bottom"/>
            <w:shd w:val="clear" w:color="auto" w:fill="481F6E"/>
          </w:tcPr>
          <w:p>
            <w:pPr>
              <w:spacing w:after="0"/>
              <w:rPr>
                <w:sz w:val="11"/>
                <w:szCs w:val="11"/>
                <w:color w:val="auto"/>
              </w:rPr>
            </w:pPr>
          </w:p>
        </w:tc>
        <w:tc>
          <w:tcPr>
            <w:tcW w:w="1020" w:type="dxa"/>
            <w:vAlign w:val="bottom"/>
            <w:shd w:val="clear" w:color="auto" w:fill="481F6E"/>
          </w:tcPr>
          <w:p>
            <w:pPr>
              <w:spacing w:after="0"/>
              <w:rPr>
                <w:sz w:val="11"/>
                <w:szCs w:val="11"/>
                <w:color w:val="auto"/>
              </w:rPr>
            </w:pPr>
          </w:p>
        </w:tc>
        <w:tc>
          <w:tcPr>
            <w:tcW w:w="1120" w:type="dxa"/>
            <w:vAlign w:val="bottom"/>
            <w:shd w:val="clear" w:color="auto" w:fill="481F6E"/>
          </w:tcPr>
          <w:p>
            <w:pPr>
              <w:spacing w:after="0"/>
              <w:rPr>
                <w:sz w:val="11"/>
                <w:szCs w:val="11"/>
                <w:color w:val="auto"/>
              </w:rPr>
            </w:pPr>
          </w:p>
        </w:tc>
        <w:tc>
          <w:tcPr>
            <w:tcW w:w="1120" w:type="dxa"/>
            <w:vAlign w:val="bottom"/>
            <w:shd w:val="clear" w:color="auto" w:fill="481F6E"/>
          </w:tcPr>
          <w:p>
            <w:pPr>
              <w:jc w:val="right"/>
              <w:ind w:right="60"/>
              <w:spacing w:after="0" w:line="132" w:lineRule="exact"/>
              <w:rPr>
                <w:sz w:val="20"/>
                <w:szCs w:val="20"/>
                <w:color w:val="auto"/>
              </w:rPr>
            </w:pPr>
            <w:r>
              <w:rPr>
                <w:rFonts w:ascii="Arial" w:cs="Arial" w:eastAsia="Arial" w:hAnsi="Arial"/>
                <w:sz w:val="12"/>
                <w:szCs w:val="12"/>
                <w:b w:val="1"/>
                <w:bCs w:val="1"/>
                <w:color w:val="FFFFFF"/>
              </w:rPr>
              <w:t>Awards:</w:t>
            </w:r>
          </w:p>
        </w:tc>
        <w:tc>
          <w:tcPr>
            <w:tcW w:w="1020" w:type="dxa"/>
            <w:vAlign w:val="bottom"/>
            <w:shd w:val="clear" w:color="auto" w:fill="481F6E"/>
          </w:tcPr>
          <w:p>
            <w:pPr>
              <w:jc w:val="right"/>
              <w:spacing w:after="0" w:line="132" w:lineRule="exact"/>
              <w:rPr>
                <w:sz w:val="20"/>
                <w:szCs w:val="20"/>
                <w:color w:val="auto"/>
              </w:rPr>
            </w:pPr>
            <w:r>
              <w:rPr>
                <w:rFonts w:ascii="Arial" w:cs="Arial" w:eastAsia="Arial" w:hAnsi="Arial"/>
                <w:sz w:val="12"/>
                <w:szCs w:val="12"/>
                <w:b w:val="1"/>
                <w:bCs w:val="1"/>
                <w:color w:val="FFFFFF"/>
              </w:rPr>
              <w:t>Market or</w:t>
            </w:r>
          </w:p>
        </w:tc>
      </w:tr>
      <w:tr>
        <w:trPr>
          <w:trHeight w:val="131"/>
        </w:trPr>
        <w:tc>
          <w:tcPr>
            <w:tcW w:w="1620" w:type="dxa"/>
            <w:vAlign w:val="bottom"/>
            <w:shd w:val="clear" w:color="auto" w:fill="481F6E"/>
          </w:tcPr>
          <w:p>
            <w:pPr>
              <w:spacing w:after="0"/>
              <w:rPr>
                <w:sz w:val="11"/>
                <w:szCs w:val="11"/>
                <w:color w:val="auto"/>
              </w:rPr>
            </w:pPr>
          </w:p>
        </w:tc>
        <w:tc>
          <w:tcPr>
            <w:tcW w:w="1000" w:type="dxa"/>
            <w:vAlign w:val="bottom"/>
            <w:shd w:val="clear" w:color="auto" w:fill="481F6E"/>
          </w:tcPr>
          <w:p>
            <w:pPr>
              <w:jc w:val="right"/>
              <w:ind w:right="38"/>
              <w:spacing w:after="0" w:line="132" w:lineRule="exact"/>
              <w:rPr>
                <w:sz w:val="20"/>
                <w:szCs w:val="20"/>
                <w:color w:val="auto"/>
              </w:rPr>
            </w:pPr>
            <w:r>
              <w:rPr>
                <w:rFonts w:ascii="Arial" w:cs="Arial" w:eastAsia="Arial" w:hAnsi="Arial"/>
                <w:sz w:val="12"/>
                <w:szCs w:val="12"/>
                <w:b w:val="1"/>
                <w:bCs w:val="1"/>
                <w:color w:val="FFFFFF"/>
              </w:rPr>
              <w:t>Number of</w:t>
            </w:r>
          </w:p>
        </w:tc>
        <w:tc>
          <w:tcPr>
            <w:tcW w:w="1080" w:type="dxa"/>
            <w:vAlign w:val="bottom"/>
            <w:shd w:val="clear" w:color="auto" w:fill="481F6E"/>
          </w:tcPr>
          <w:p>
            <w:pPr>
              <w:jc w:val="right"/>
              <w:ind w:right="100"/>
              <w:spacing w:after="0" w:line="132" w:lineRule="exact"/>
              <w:rPr>
                <w:sz w:val="20"/>
                <w:szCs w:val="20"/>
                <w:color w:val="auto"/>
              </w:rPr>
            </w:pPr>
            <w:r>
              <w:rPr>
                <w:rFonts w:ascii="Arial" w:cs="Arial" w:eastAsia="Arial" w:hAnsi="Arial"/>
                <w:sz w:val="12"/>
                <w:szCs w:val="12"/>
                <w:b w:val="1"/>
                <w:bCs w:val="1"/>
                <w:color w:val="FFFFFF"/>
              </w:rPr>
              <w:t>Number of</w:t>
            </w:r>
          </w:p>
        </w:tc>
        <w:tc>
          <w:tcPr>
            <w:tcW w:w="1040" w:type="dxa"/>
            <w:vAlign w:val="bottom"/>
            <w:shd w:val="clear" w:color="auto" w:fill="481F6E"/>
          </w:tcPr>
          <w:p>
            <w:pPr>
              <w:jc w:val="right"/>
              <w:ind w:right="100"/>
              <w:spacing w:after="0" w:line="132" w:lineRule="exact"/>
              <w:rPr>
                <w:sz w:val="20"/>
                <w:szCs w:val="20"/>
                <w:color w:val="auto"/>
              </w:rPr>
            </w:pPr>
            <w:r>
              <w:rPr>
                <w:rFonts w:ascii="Arial" w:cs="Arial" w:eastAsia="Arial" w:hAnsi="Arial"/>
                <w:sz w:val="12"/>
                <w:szCs w:val="12"/>
                <w:b w:val="1"/>
                <w:bCs w:val="1"/>
                <w:color w:val="FFFFFF"/>
              </w:rPr>
              <w:t>Number of</w:t>
            </w:r>
          </w:p>
        </w:tc>
        <w:tc>
          <w:tcPr>
            <w:tcW w:w="1200" w:type="dxa"/>
            <w:vAlign w:val="bottom"/>
            <w:shd w:val="clear" w:color="auto" w:fill="481F6E"/>
          </w:tcPr>
          <w:p>
            <w:pPr>
              <w:spacing w:after="0"/>
              <w:rPr>
                <w:sz w:val="11"/>
                <w:szCs w:val="11"/>
                <w:color w:val="auto"/>
              </w:rPr>
            </w:pPr>
          </w:p>
        </w:tc>
        <w:tc>
          <w:tcPr>
            <w:tcW w:w="1040" w:type="dxa"/>
            <w:vAlign w:val="bottom"/>
            <w:shd w:val="clear" w:color="auto" w:fill="481F6E"/>
          </w:tcPr>
          <w:p>
            <w:pPr>
              <w:spacing w:after="0"/>
              <w:rPr>
                <w:sz w:val="11"/>
                <w:szCs w:val="11"/>
                <w:color w:val="auto"/>
              </w:rPr>
            </w:pPr>
          </w:p>
        </w:tc>
        <w:tc>
          <w:tcPr>
            <w:tcW w:w="1020" w:type="dxa"/>
            <w:vAlign w:val="bottom"/>
            <w:shd w:val="clear" w:color="auto" w:fill="481F6E"/>
          </w:tcPr>
          <w:p>
            <w:pPr>
              <w:spacing w:after="0"/>
              <w:rPr>
                <w:sz w:val="11"/>
                <w:szCs w:val="11"/>
                <w:color w:val="auto"/>
              </w:rPr>
            </w:pPr>
          </w:p>
        </w:tc>
        <w:tc>
          <w:tcPr>
            <w:tcW w:w="1120" w:type="dxa"/>
            <w:vAlign w:val="bottom"/>
            <w:shd w:val="clear" w:color="auto" w:fill="481F6E"/>
          </w:tcPr>
          <w:p>
            <w:pPr>
              <w:spacing w:after="0"/>
              <w:rPr>
                <w:sz w:val="11"/>
                <w:szCs w:val="11"/>
                <w:color w:val="auto"/>
              </w:rPr>
            </w:pPr>
          </w:p>
        </w:tc>
        <w:tc>
          <w:tcPr>
            <w:tcW w:w="1120" w:type="dxa"/>
            <w:vAlign w:val="bottom"/>
            <w:shd w:val="clear" w:color="auto" w:fill="481F6E"/>
          </w:tcPr>
          <w:p>
            <w:pPr>
              <w:jc w:val="right"/>
              <w:ind w:right="60"/>
              <w:spacing w:after="0" w:line="132" w:lineRule="exact"/>
              <w:rPr>
                <w:sz w:val="20"/>
                <w:szCs w:val="20"/>
                <w:color w:val="auto"/>
              </w:rPr>
            </w:pPr>
            <w:r>
              <w:rPr>
                <w:rFonts w:ascii="Arial" w:cs="Arial" w:eastAsia="Arial" w:hAnsi="Arial"/>
                <w:sz w:val="12"/>
                <w:szCs w:val="12"/>
                <w:b w:val="1"/>
                <w:bCs w:val="1"/>
                <w:color w:val="FFFFFF"/>
              </w:rPr>
              <w:t>Number of</w:t>
            </w:r>
          </w:p>
        </w:tc>
        <w:tc>
          <w:tcPr>
            <w:tcW w:w="1020" w:type="dxa"/>
            <w:vAlign w:val="bottom"/>
            <w:shd w:val="clear" w:color="auto" w:fill="481F6E"/>
          </w:tcPr>
          <w:p>
            <w:pPr>
              <w:jc w:val="right"/>
              <w:spacing w:after="0" w:line="132" w:lineRule="exact"/>
              <w:rPr>
                <w:sz w:val="20"/>
                <w:szCs w:val="20"/>
                <w:color w:val="auto"/>
              </w:rPr>
            </w:pPr>
            <w:r>
              <w:rPr>
                <w:rFonts w:ascii="Arial" w:cs="Arial" w:eastAsia="Arial" w:hAnsi="Arial"/>
                <w:sz w:val="12"/>
                <w:szCs w:val="12"/>
                <w:b w:val="1"/>
                <w:bCs w:val="1"/>
                <w:color w:val="FFFFFF"/>
              </w:rPr>
              <w:t>Payout Value</w:t>
            </w:r>
          </w:p>
        </w:tc>
      </w:tr>
      <w:tr>
        <w:trPr>
          <w:trHeight w:val="131"/>
        </w:trPr>
        <w:tc>
          <w:tcPr>
            <w:tcW w:w="1620" w:type="dxa"/>
            <w:vAlign w:val="bottom"/>
            <w:shd w:val="clear" w:color="auto" w:fill="481F6E"/>
          </w:tcPr>
          <w:p>
            <w:pPr>
              <w:spacing w:after="0"/>
              <w:rPr>
                <w:sz w:val="11"/>
                <w:szCs w:val="11"/>
                <w:color w:val="auto"/>
              </w:rPr>
            </w:pPr>
          </w:p>
        </w:tc>
        <w:tc>
          <w:tcPr>
            <w:tcW w:w="1000" w:type="dxa"/>
            <w:vAlign w:val="bottom"/>
            <w:shd w:val="clear" w:color="auto" w:fill="481F6E"/>
          </w:tcPr>
          <w:p>
            <w:pPr>
              <w:jc w:val="right"/>
              <w:ind w:right="38"/>
              <w:spacing w:after="0" w:line="132" w:lineRule="exact"/>
              <w:rPr>
                <w:sz w:val="20"/>
                <w:szCs w:val="20"/>
                <w:color w:val="auto"/>
              </w:rPr>
            </w:pPr>
            <w:r>
              <w:rPr>
                <w:rFonts w:ascii="Arial" w:cs="Arial" w:eastAsia="Arial" w:hAnsi="Arial"/>
                <w:sz w:val="12"/>
                <w:szCs w:val="12"/>
                <w:b w:val="1"/>
                <w:bCs w:val="1"/>
                <w:color w:val="FFFFFF"/>
              </w:rPr>
              <w:t>Securities</w:t>
            </w:r>
          </w:p>
        </w:tc>
        <w:tc>
          <w:tcPr>
            <w:tcW w:w="1080" w:type="dxa"/>
            <w:vAlign w:val="bottom"/>
            <w:shd w:val="clear" w:color="auto" w:fill="481F6E"/>
          </w:tcPr>
          <w:p>
            <w:pPr>
              <w:jc w:val="right"/>
              <w:ind w:right="100"/>
              <w:spacing w:after="0" w:line="132" w:lineRule="exact"/>
              <w:rPr>
                <w:sz w:val="20"/>
                <w:szCs w:val="20"/>
                <w:color w:val="auto"/>
              </w:rPr>
            </w:pPr>
            <w:r>
              <w:rPr>
                <w:rFonts w:ascii="Arial" w:cs="Arial" w:eastAsia="Arial" w:hAnsi="Arial"/>
                <w:sz w:val="12"/>
                <w:szCs w:val="12"/>
                <w:b w:val="1"/>
                <w:bCs w:val="1"/>
                <w:color w:val="FFFFFF"/>
              </w:rPr>
              <w:t>Securities</w:t>
            </w:r>
          </w:p>
        </w:tc>
        <w:tc>
          <w:tcPr>
            <w:tcW w:w="1040" w:type="dxa"/>
            <w:vAlign w:val="bottom"/>
            <w:shd w:val="clear" w:color="auto" w:fill="481F6E"/>
          </w:tcPr>
          <w:p>
            <w:pPr>
              <w:jc w:val="right"/>
              <w:ind w:right="100"/>
              <w:spacing w:after="0" w:line="132" w:lineRule="exact"/>
              <w:rPr>
                <w:sz w:val="20"/>
                <w:szCs w:val="20"/>
                <w:color w:val="auto"/>
              </w:rPr>
            </w:pPr>
            <w:r>
              <w:rPr>
                <w:rFonts w:ascii="Arial" w:cs="Arial" w:eastAsia="Arial" w:hAnsi="Arial"/>
                <w:sz w:val="12"/>
                <w:szCs w:val="12"/>
                <w:b w:val="1"/>
                <w:bCs w:val="1"/>
                <w:color w:val="FFFFFF"/>
              </w:rPr>
              <w:t>Securities</w:t>
            </w:r>
          </w:p>
        </w:tc>
        <w:tc>
          <w:tcPr>
            <w:tcW w:w="1200" w:type="dxa"/>
            <w:vAlign w:val="bottom"/>
            <w:shd w:val="clear" w:color="auto" w:fill="481F6E"/>
          </w:tcPr>
          <w:p>
            <w:pPr>
              <w:spacing w:after="0"/>
              <w:rPr>
                <w:sz w:val="11"/>
                <w:szCs w:val="11"/>
                <w:color w:val="auto"/>
              </w:rPr>
            </w:pPr>
          </w:p>
        </w:tc>
        <w:tc>
          <w:tcPr>
            <w:tcW w:w="1040" w:type="dxa"/>
            <w:vAlign w:val="bottom"/>
            <w:shd w:val="clear" w:color="auto" w:fill="481F6E"/>
          </w:tcPr>
          <w:p>
            <w:pPr>
              <w:spacing w:after="0"/>
              <w:rPr>
                <w:sz w:val="11"/>
                <w:szCs w:val="11"/>
                <w:color w:val="auto"/>
              </w:rPr>
            </w:pPr>
          </w:p>
        </w:tc>
        <w:tc>
          <w:tcPr>
            <w:tcW w:w="1020" w:type="dxa"/>
            <w:vAlign w:val="bottom"/>
            <w:shd w:val="clear" w:color="auto" w:fill="481F6E"/>
          </w:tcPr>
          <w:p>
            <w:pPr>
              <w:jc w:val="right"/>
              <w:spacing w:after="0" w:line="132" w:lineRule="exact"/>
              <w:rPr>
                <w:sz w:val="20"/>
                <w:szCs w:val="20"/>
                <w:color w:val="auto"/>
              </w:rPr>
            </w:pPr>
            <w:r>
              <w:rPr>
                <w:rFonts w:ascii="Arial" w:cs="Arial" w:eastAsia="Arial" w:hAnsi="Arial"/>
                <w:sz w:val="12"/>
                <w:szCs w:val="12"/>
                <w:b w:val="1"/>
                <w:bCs w:val="1"/>
                <w:color w:val="FFFFFF"/>
              </w:rPr>
              <w:t>Number of</w:t>
            </w:r>
          </w:p>
        </w:tc>
        <w:tc>
          <w:tcPr>
            <w:tcW w:w="1120" w:type="dxa"/>
            <w:vAlign w:val="bottom"/>
            <w:shd w:val="clear" w:color="auto" w:fill="481F6E"/>
          </w:tcPr>
          <w:p>
            <w:pPr>
              <w:jc w:val="right"/>
              <w:ind w:right="58"/>
              <w:spacing w:after="0" w:line="132" w:lineRule="exact"/>
              <w:rPr>
                <w:sz w:val="20"/>
                <w:szCs w:val="20"/>
                <w:color w:val="auto"/>
              </w:rPr>
            </w:pPr>
            <w:r>
              <w:rPr>
                <w:rFonts w:ascii="Arial" w:cs="Arial" w:eastAsia="Arial" w:hAnsi="Arial"/>
                <w:sz w:val="12"/>
                <w:szCs w:val="12"/>
                <w:b w:val="1"/>
                <w:bCs w:val="1"/>
                <w:color w:val="FFFFFF"/>
              </w:rPr>
              <w:t>Market Value</w:t>
            </w:r>
          </w:p>
        </w:tc>
        <w:tc>
          <w:tcPr>
            <w:tcW w:w="1120" w:type="dxa"/>
            <w:vAlign w:val="bottom"/>
            <w:shd w:val="clear" w:color="auto" w:fill="481F6E"/>
          </w:tcPr>
          <w:p>
            <w:pPr>
              <w:jc w:val="right"/>
              <w:ind w:right="60"/>
              <w:spacing w:after="0" w:line="132" w:lineRule="exact"/>
              <w:rPr>
                <w:sz w:val="20"/>
                <w:szCs w:val="20"/>
                <w:color w:val="auto"/>
              </w:rPr>
            </w:pPr>
            <w:r>
              <w:rPr>
                <w:rFonts w:ascii="Arial" w:cs="Arial" w:eastAsia="Arial" w:hAnsi="Arial"/>
                <w:sz w:val="12"/>
                <w:szCs w:val="12"/>
                <w:b w:val="1"/>
                <w:bCs w:val="1"/>
                <w:color w:val="FFFFFF"/>
              </w:rPr>
              <w:t>Unearned</w:t>
            </w:r>
          </w:p>
        </w:tc>
        <w:tc>
          <w:tcPr>
            <w:tcW w:w="1020" w:type="dxa"/>
            <w:vAlign w:val="bottom"/>
            <w:shd w:val="clear" w:color="auto" w:fill="481F6E"/>
          </w:tcPr>
          <w:p>
            <w:pPr>
              <w:jc w:val="right"/>
              <w:spacing w:after="0" w:line="132" w:lineRule="exact"/>
              <w:rPr>
                <w:sz w:val="20"/>
                <w:szCs w:val="20"/>
                <w:color w:val="auto"/>
              </w:rPr>
            </w:pPr>
            <w:r>
              <w:rPr>
                <w:rFonts w:ascii="Arial" w:cs="Arial" w:eastAsia="Arial" w:hAnsi="Arial"/>
                <w:sz w:val="12"/>
                <w:szCs w:val="12"/>
                <w:b w:val="1"/>
                <w:bCs w:val="1"/>
                <w:color w:val="FFFFFF"/>
              </w:rPr>
              <w:t>of Unearned</w:t>
            </w:r>
          </w:p>
        </w:tc>
      </w:tr>
      <w:tr>
        <w:trPr>
          <w:trHeight w:val="131"/>
        </w:trPr>
        <w:tc>
          <w:tcPr>
            <w:tcW w:w="1620" w:type="dxa"/>
            <w:vAlign w:val="bottom"/>
            <w:shd w:val="clear" w:color="auto" w:fill="481F6E"/>
          </w:tcPr>
          <w:p>
            <w:pPr>
              <w:spacing w:after="0"/>
              <w:rPr>
                <w:sz w:val="11"/>
                <w:szCs w:val="11"/>
                <w:color w:val="auto"/>
              </w:rPr>
            </w:pPr>
          </w:p>
        </w:tc>
        <w:tc>
          <w:tcPr>
            <w:tcW w:w="1000" w:type="dxa"/>
            <w:vAlign w:val="bottom"/>
            <w:shd w:val="clear" w:color="auto" w:fill="481F6E"/>
          </w:tcPr>
          <w:p>
            <w:pPr>
              <w:jc w:val="right"/>
              <w:ind w:right="38"/>
              <w:spacing w:after="0" w:line="132" w:lineRule="exact"/>
              <w:rPr>
                <w:sz w:val="20"/>
                <w:szCs w:val="20"/>
                <w:color w:val="auto"/>
              </w:rPr>
            </w:pPr>
            <w:r>
              <w:rPr>
                <w:rFonts w:ascii="Arial" w:cs="Arial" w:eastAsia="Arial" w:hAnsi="Arial"/>
                <w:sz w:val="12"/>
                <w:szCs w:val="12"/>
                <w:b w:val="1"/>
                <w:bCs w:val="1"/>
                <w:color w:val="FFFFFF"/>
              </w:rPr>
              <w:t>Underlying</w:t>
            </w:r>
          </w:p>
        </w:tc>
        <w:tc>
          <w:tcPr>
            <w:tcW w:w="1080" w:type="dxa"/>
            <w:vAlign w:val="bottom"/>
            <w:shd w:val="clear" w:color="auto" w:fill="481F6E"/>
          </w:tcPr>
          <w:p>
            <w:pPr>
              <w:jc w:val="right"/>
              <w:ind w:right="100"/>
              <w:spacing w:after="0" w:line="132" w:lineRule="exact"/>
              <w:rPr>
                <w:sz w:val="20"/>
                <w:szCs w:val="20"/>
                <w:color w:val="auto"/>
              </w:rPr>
            </w:pPr>
            <w:r>
              <w:rPr>
                <w:rFonts w:ascii="Arial" w:cs="Arial" w:eastAsia="Arial" w:hAnsi="Arial"/>
                <w:sz w:val="12"/>
                <w:szCs w:val="12"/>
                <w:b w:val="1"/>
                <w:bCs w:val="1"/>
                <w:color w:val="FFFFFF"/>
              </w:rPr>
              <w:t>Underlying</w:t>
            </w:r>
          </w:p>
        </w:tc>
        <w:tc>
          <w:tcPr>
            <w:tcW w:w="1040" w:type="dxa"/>
            <w:vAlign w:val="bottom"/>
            <w:shd w:val="clear" w:color="auto" w:fill="481F6E"/>
          </w:tcPr>
          <w:p>
            <w:pPr>
              <w:jc w:val="right"/>
              <w:ind w:right="100"/>
              <w:spacing w:after="0" w:line="132" w:lineRule="exact"/>
              <w:rPr>
                <w:sz w:val="20"/>
                <w:szCs w:val="20"/>
                <w:color w:val="auto"/>
              </w:rPr>
            </w:pPr>
            <w:r>
              <w:rPr>
                <w:rFonts w:ascii="Arial" w:cs="Arial" w:eastAsia="Arial" w:hAnsi="Arial"/>
                <w:sz w:val="12"/>
                <w:szCs w:val="12"/>
                <w:b w:val="1"/>
                <w:bCs w:val="1"/>
                <w:color w:val="FFFFFF"/>
              </w:rPr>
              <w:t>Underlying</w:t>
            </w:r>
          </w:p>
        </w:tc>
        <w:tc>
          <w:tcPr>
            <w:tcW w:w="1200" w:type="dxa"/>
            <w:vAlign w:val="bottom"/>
            <w:shd w:val="clear" w:color="auto" w:fill="481F6E"/>
          </w:tcPr>
          <w:p>
            <w:pPr>
              <w:spacing w:after="0"/>
              <w:rPr>
                <w:sz w:val="11"/>
                <w:szCs w:val="11"/>
                <w:color w:val="auto"/>
              </w:rPr>
            </w:pPr>
          </w:p>
        </w:tc>
        <w:tc>
          <w:tcPr>
            <w:tcW w:w="1040" w:type="dxa"/>
            <w:vAlign w:val="bottom"/>
            <w:shd w:val="clear" w:color="auto" w:fill="481F6E"/>
          </w:tcPr>
          <w:p>
            <w:pPr>
              <w:spacing w:after="0"/>
              <w:rPr>
                <w:sz w:val="11"/>
                <w:szCs w:val="11"/>
                <w:color w:val="auto"/>
              </w:rPr>
            </w:pPr>
          </w:p>
        </w:tc>
        <w:tc>
          <w:tcPr>
            <w:tcW w:w="1020" w:type="dxa"/>
            <w:vAlign w:val="bottom"/>
            <w:shd w:val="clear" w:color="auto" w:fill="481F6E"/>
          </w:tcPr>
          <w:p>
            <w:pPr>
              <w:jc w:val="right"/>
              <w:spacing w:after="0" w:line="132" w:lineRule="exact"/>
              <w:rPr>
                <w:sz w:val="20"/>
                <w:szCs w:val="20"/>
                <w:color w:val="auto"/>
              </w:rPr>
            </w:pPr>
            <w:r>
              <w:rPr>
                <w:rFonts w:ascii="Arial" w:cs="Arial" w:eastAsia="Arial" w:hAnsi="Arial"/>
                <w:sz w:val="12"/>
                <w:szCs w:val="12"/>
                <w:b w:val="1"/>
                <w:bCs w:val="1"/>
                <w:color w:val="FFFFFF"/>
              </w:rPr>
              <w:t>Shares or</w:t>
            </w:r>
          </w:p>
        </w:tc>
        <w:tc>
          <w:tcPr>
            <w:tcW w:w="1120" w:type="dxa"/>
            <w:vAlign w:val="bottom"/>
            <w:shd w:val="clear" w:color="auto" w:fill="481F6E"/>
          </w:tcPr>
          <w:p>
            <w:pPr>
              <w:jc w:val="right"/>
              <w:ind w:right="58"/>
              <w:spacing w:after="0" w:line="132" w:lineRule="exact"/>
              <w:rPr>
                <w:sz w:val="20"/>
                <w:szCs w:val="20"/>
                <w:color w:val="auto"/>
              </w:rPr>
            </w:pPr>
            <w:r>
              <w:rPr>
                <w:rFonts w:ascii="Arial" w:cs="Arial" w:eastAsia="Arial" w:hAnsi="Arial"/>
                <w:sz w:val="12"/>
                <w:szCs w:val="12"/>
                <w:b w:val="1"/>
                <w:bCs w:val="1"/>
                <w:color w:val="FFFFFF"/>
              </w:rPr>
              <w:t>of Shares or</w:t>
            </w:r>
          </w:p>
        </w:tc>
        <w:tc>
          <w:tcPr>
            <w:tcW w:w="1120" w:type="dxa"/>
            <w:vAlign w:val="bottom"/>
            <w:shd w:val="clear" w:color="auto" w:fill="481F6E"/>
          </w:tcPr>
          <w:p>
            <w:pPr>
              <w:jc w:val="right"/>
              <w:ind w:right="60"/>
              <w:spacing w:after="0" w:line="132" w:lineRule="exact"/>
              <w:rPr>
                <w:sz w:val="20"/>
                <w:szCs w:val="20"/>
                <w:color w:val="auto"/>
              </w:rPr>
            </w:pPr>
            <w:r>
              <w:rPr>
                <w:rFonts w:ascii="Arial" w:cs="Arial" w:eastAsia="Arial" w:hAnsi="Arial"/>
                <w:sz w:val="12"/>
                <w:szCs w:val="12"/>
                <w:b w:val="1"/>
                <w:bCs w:val="1"/>
                <w:color w:val="FFFFFF"/>
              </w:rPr>
              <w:t>Shares, Units,</w:t>
            </w:r>
          </w:p>
        </w:tc>
        <w:tc>
          <w:tcPr>
            <w:tcW w:w="1020" w:type="dxa"/>
            <w:vAlign w:val="bottom"/>
            <w:shd w:val="clear" w:color="auto" w:fill="481F6E"/>
          </w:tcPr>
          <w:p>
            <w:pPr>
              <w:jc w:val="right"/>
              <w:spacing w:after="0" w:line="132" w:lineRule="exact"/>
              <w:rPr>
                <w:sz w:val="20"/>
                <w:szCs w:val="20"/>
                <w:color w:val="auto"/>
              </w:rPr>
            </w:pPr>
            <w:r>
              <w:rPr>
                <w:rFonts w:ascii="Arial" w:cs="Arial" w:eastAsia="Arial" w:hAnsi="Arial"/>
                <w:sz w:val="12"/>
                <w:szCs w:val="12"/>
                <w:b w:val="1"/>
                <w:bCs w:val="1"/>
                <w:color w:val="FFFFFF"/>
              </w:rPr>
              <w:t>Shares, Units,</w:t>
            </w:r>
          </w:p>
        </w:tc>
      </w:tr>
      <w:tr>
        <w:trPr>
          <w:trHeight w:val="131"/>
        </w:trPr>
        <w:tc>
          <w:tcPr>
            <w:tcW w:w="1620" w:type="dxa"/>
            <w:vAlign w:val="bottom"/>
            <w:shd w:val="clear" w:color="auto" w:fill="481F6E"/>
          </w:tcPr>
          <w:p>
            <w:pPr>
              <w:spacing w:after="0"/>
              <w:rPr>
                <w:sz w:val="11"/>
                <w:szCs w:val="11"/>
                <w:color w:val="auto"/>
              </w:rPr>
            </w:pPr>
          </w:p>
        </w:tc>
        <w:tc>
          <w:tcPr>
            <w:tcW w:w="1000" w:type="dxa"/>
            <w:vAlign w:val="bottom"/>
            <w:shd w:val="clear" w:color="auto" w:fill="481F6E"/>
          </w:tcPr>
          <w:p>
            <w:pPr>
              <w:jc w:val="right"/>
              <w:ind w:right="38"/>
              <w:spacing w:after="0" w:line="132" w:lineRule="exact"/>
              <w:rPr>
                <w:sz w:val="20"/>
                <w:szCs w:val="20"/>
                <w:color w:val="auto"/>
              </w:rPr>
            </w:pPr>
            <w:r>
              <w:rPr>
                <w:rFonts w:ascii="Arial" w:cs="Arial" w:eastAsia="Arial" w:hAnsi="Arial"/>
                <w:sz w:val="12"/>
                <w:szCs w:val="12"/>
                <w:b w:val="1"/>
                <w:bCs w:val="1"/>
                <w:color w:val="FFFFFF"/>
              </w:rPr>
              <w:t>Unexercised</w:t>
            </w:r>
          </w:p>
        </w:tc>
        <w:tc>
          <w:tcPr>
            <w:tcW w:w="1080" w:type="dxa"/>
            <w:vAlign w:val="bottom"/>
            <w:shd w:val="clear" w:color="auto" w:fill="481F6E"/>
          </w:tcPr>
          <w:p>
            <w:pPr>
              <w:jc w:val="right"/>
              <w:ind w:right="100"/>
              <w:spacing w:after="0" w:line="132" w:lineRule="exact"/>
              <w:rPr>
                <w:sz w:val="20"/>
                <w:szCs w:val="20"/>
                <w:color w:val="auto"/>
              </w:rPr>
            </w:pPr>
            <w:r>
              <w:rPr>
                <w:rFonts w:ascii="Arial" w:cs="Arial" w:eastAsia="Arial" w:hAnsi="Arial"/>
                <w:sz w:val="12"/>
                <w:szCs w:val="12"/>
                <w:b w:val="1"/>
                <w:bCs w:val="1"/>
                <w:color w:val="FFFFFF"/>
              </w:rPr>
              <w:t>Unexercised</w:t>
            </w:r>
          </w:p>
        </w:tc>
        <w:tc>
          <w:tcPr>
            <w:tcW w:w="1040" w:type="dxa"/>
            <w:vAlign w:val="bottom"/>
            <w:shd w:val="clear" w:color="auto" w:fill="481F6E"/>
          </w:tcPr>
          <w:p>
            <w:pPr>
              <w:jc w:val="right"/>
              <w:ind w:right="100"/>
              <w:spacing w:after="0" w:line="132" w:lineRule="exact"/>
              <w:rPr>
                <w:sz w:val="20"/>
                <w:szCs w:val="20"/>
                <w:color w:val="auto"/>
              </w:rPr>
            </w:pPr>
            <w:r>
              <w:rPr>
                <w:rFonts w:ascii="Arial" w:cs="Arial" w:eastAsia="Arial" w:hAnsi="Arial"/>
                <w:sz w:val="12"/>
                <w:szCs w:val="12"/>
                <w:b w:val="1"/>
                <w:bCs w:val="1"/>
                <w:color w:val="FFFFFF"/>
              </w:rPr>
              <w:t>Unexercised</w:t>
            </w:r>
          </w:p>
        </w:tc>
        <w:tc>
          <w:tcPr>
            <w:tcW w:w="1200" w:type="dxa"/>
            <w:vAlign w:val="bottom"/>
            <w:shd w:val="clear" w:color="auto" w:fill="481F6E"/>
          </w:tcPr>
          <w:p>
            <w:pPr>
              <w:jc w:val="right"/>
              <w:ind w:right="178"/>
              <w:spacing w:after="0" w:line="132" w:lineRule="exact"/>
              <w:rPr>
                <w:sz w:val="20"/>
                <w:szCs w:val="20"/>
                <w:color w:val="auto"/>
              </w:rPr>
            </w:pPr>
            <w:r>
              <w:rPr>
                <w:rFonts w:ascii="Arial" w:cs="Arial" w:eastAsia="Arial" w:hAnsi="Arial"/>
                <w:sz w:val="12"/>
                <w:szCs w:val="12"/>
                <w:b w:val="1"/>
                <w:bCs w:val="1"/>
                <w:color w:val="FFFFFF"/>
              </w:rPr>
              <w:t>Option</w:t>
            </w:r>
          </w:p>
        </w:tc>
        <w:tc>
          <w:tcPr>
            <w:tcW w:w="1040" w:type="dxa"/>
            <w:vAlign w:val="bottom"/>
            <w:shd w:val="clear" w:color="auto" w:fill="481F6E"/>
          </w:tcPr>
          <w:p>
            <w:pPr>
              <w:jc w:val="right"/>
              <w:ind w:right="98"/>
              <w:spacing w:after="0" w:line="132" w:lineRule="exact"/>
              <w:rPr>
                <w:sz w:val="20"/>
                <w:szCs w:val="20"/>
                <w:color w:val="auto"/>
              </w:rPr>
            </w:pPr>
            <w:r>
              <w:rPr>
                <w:rFonts w:ascii="Arial" w:cs="Arial" w:eastAsia="Arial" w:hAnsi="Arial"/>
                <w:sz w:val="12"/>
                <w:szCs w:val="12"/>
                <w:b w:val="1"/>
                <w:bCs w:val="1"/>
                <w:color w:val="FFFFFF"/>
              </w:rPr>
              <w:t>Option</w:t>
            </w:r>
          </w:p>
        </w:tc>
        <w:tc>
          <w:tcPr>
            <w:tcW w:w="1020" w:type="dxa"/>
            <w:vAlign w:val="bottom"/>
            <w:shd w:val="clear" w:color="auto" w:fill="481F6E"/>
          </w:tcPr>
          <w:p>
            <w:pPr>
              <w:jc w:val="right"/>
              <w:spacing w:after="0" w:line="132" w:lineRule="exact"/>
              <w:rPr>
                <w:sz w:val="20"/>
                <w:szCs w:val="20"/>
                <w:color w:val="auto"/>
              </w:rPr>
            </w:pPr>
            <w:r>
              <w:rPr>
                <w:rFonts w:ascii="Arial" w:cs="Arial" w:eastAsia="Arial" w:hAnsi="Arial"/>
                <w:sz w:val="12"/>
                <w:szCs w:val="12"/>
                <w:b w:val="1"/>
                <w:bCs w:val="1"/>
                <w:color w:val="FFFFFF"/>
              </w:rPr>
              <w:t>Units of Stock</w:t>
            </w:r>
          </w:p>
        </w:tc>
        <w:tc>
          <w:tcPr>
            <w:tcW w:w="1120" w:type="dxa"/>
            <w:vAlign w:val="bottom"/>
            <w:shd w:val="clear" w:color="auto" w:fill="481F6E"/>
          </w:tcPr>
          <w:p>
            <w:pPr>
              <w:jc w:val="right"/>
              <w:ind w:right="58"/>
              <w:spacing w:after="0" w:line="132" w:lineRule="exact"/>
              <w:rPr>
                <w:sz w:val="20"/>
                <w:szCs w:val="20"/>
                <w:color w:val="auto"/>
              </w:rPr>
            </w:pPr>
            <w:r>
              <w:rPr>
                <w:rFonts w:ascii="Arial" w:cs="Arial" w:eastAsia="Arial" w:hAnsi="Arial"/>
                <w:sz w:val="12"/>
                <w:szCs w:val="12"/>
                <w:b w:val="1"/>
                <w:bCs w:val="1"/>
                <w:color w:val="FFFFFF"/>
              </w:rPr>
              <w:t>Units of Stock</w:t>
            </w:r>
          </w:p>
        </w:tc>
        <w:tc>
          <w:tcPr>
            <w:tcW w:w="1120" w:type="dxa"/>
            <w:vAlign w:val="bottom"/>
            <w:shd w:val="clear" w:color="auto" w:fill="481F6E"/>
          </w:tcPr>
          <w:p>
            <w:pPr>
              <w:jc w:val="right"/>
              <w:ind w:right="60"/>
              <w:spacing w:after="0" w:line="132" w:lineRule="exact"/>
              <w:rPr>
                <w:sz w:val="20"/>
                <w:szCs w:val="20"/>
                <w:color w:val="auto"/>
              </w:rPr>
            </w:pPr>
            <w:r>
              <w:rPr>
                <w:rFonts w:ascii="Arial" w:cs="Arial" w:eastAsia="Arial" w:hAnsi="Arial"/>
                <w:sz w:val="12"/>
                <w:szCs w:val="12"/>
                <w:b w:val="1"/>
                <w:bCs w:val="1"/>
                <w:color w:val="FFFFFF"/>
              </w:rPr>
              <w:t>or Other Rights</w:t>
            </w:r>
          </w:p>
        </w:tc>
        <w:tc>
          <w:tcPr>
            <w:tcW w:w="1020" w:type="dxa"/>
            <w:vAlign w:val="bottom"/>
            <w:shd w:val="clear" w:color="auto" w:fill="481F6E"/>
          </w:tcPr>
          <w:p>
            <w:pPr>
              <w:jc w:val="right"/>
              <w:spacing w:after="0" w:line="132" w:lineRule="exact"/>
              <w:rPr>
                <w:sz w:val="20"/>
                <w:szCs w:val="20"/>
                <w:color w:val="auto"/>
              </w:rPr>
            </w:pPr>
            <w:r>
              <w:rPr>
                <w:rFonts w:ascii="Arial" w:cs="Arial" w:eastAsia="Arial" w:hAnsi="Arial"/>
                <w:sz w:val="12"/>
                <w:szCs w:val="12"/>
                <w:b w:val="1"/>
                <w:bCs w:val="1"/>
                <w:color w:val="FFFFFF"/>
              </w:rPr>
              <w:t>or Other Rights</w:t>
            </w:r>
          </w:p>
        </w:tc>
      </w:tr>
      <w:tr>
        <w:trPr>
          <w:trHeight w:val="128"/>
        </w:trPr>
        <w:tc>
          <w:tcPr>
            <w:tcW w:w="1620" w:type="dxa"/>
            <w:vAlign w:val="bottom"/>
            <w:shd w:val="clear" w:color="auto" w:fill="481F6E"/>
          </w:tcPr>
          <w:p>
            <w:pPr>
              <w:spacing w:after="0"/>
              <w:rPr>
                <w:sz w:val="11"/>
                <w:szCs w:val="11"/>
                <w:color w:val="auto"/>
              </w:rPr>
            </w:pPr>
          </w:p>
        </w:tc>
        <w:tc>
          <w:tcPr>
            <w:tcW w:w="1000" w:type="dxa"/>
            <w:vAlign w:val="bottom"/>
            <w:shd w:val="clear" w:color="auto" w:fill="481F6E"/>
          </w:tcPr>
          <w:p>
            <w:pPr>
              <w:jc w:val="right"/>
              <w:ind w:right="38"/>
              <w:spacing w:after="0" w:line="128" w:lineRule="exact"/>
              <w:rPr>
                <w:sz w:val="20"/>
                <w:szCs w:val="20"/>
                <w:color w:val="auto"/>
              </w:rPr>
            </w:pPr>
            <w:r>
              <w:rPr>
                <w:rFonts w:ascii="Arial" w:cs="Arial" w:eastAsia="Arial" w:hAnsi="Arial"/>
                <w:sz w:val="12"/>
                <w:szCs w:val="12"/>
                <w:b w:val="1"/>
                <w:bCs w:val="1"/>
                <w:color w:val="FFFFFF"/>
              </w:rPr>
              <w:t>Options (#)</w:t>
            </w:r>
          </w:p>
        </w:tc>
        <w:tc>
          <w:tcPr>
            <w:tcW w:w="1080" w:type="dxa"/>
            <w:vAlign w:val="bottom"/>
            <w:shd w:val="clear" w:color="auto" w:fill="481F6E"/>
          </w:tcPr>
          <w:p>
            <w:pPr>
              <w:jc w:val="right"/>
              <w:ind w:right="100"/>
              <w:spacing w:after="0" w:line="128" w:lineRule="exact"/>
              <w:rPr>
                <w:sz w:val="20"/>
                <w:szCs w:val="20"/>
                <w:color w:val="auto"/>
              </w:rPr>
            </w:pPr>
            <w:r>
              <w:rPr>
                <w:rFonts w:ascii="Arial" w:cs="Arial" w:eastAsia="Arial" w:hAnsi="Arial"/>
                <w:sz w:val="12"/>
                <w:szCs w:val="12"/>
                <w:b w:val="1"/>
                <w:bCs w:val="1"/>
                <w:color w:val="FFFFFF"/>
              </w:rPr>
              <w:t>Options (#)</w:t>
            </w:r>
          </w:p>
        </w:tc>
        <w:tc>
          <w:tcPr>
            <w:tcW w:w="1040" w:type="dxa"/>
            <w:vAlign w:val="bottom"/>
            <w:shd w:val="clear" w:color="auto" w:fill="481F6E"/>
          </w:tcPr>
          <w:p>
            <w:pPr>
              <w:jc w:val="right"/>
              <w:ind w:right="100"/>
              <w:spacing w:after="0" w:line="128" w:lineRule="exact"/>
              <w:rPr>
                <w:sz w:val="20"/>
                <w:szCs w:val="20"/>
                <w:color w:val="auto"/>
              </w:rPr>
            </w:pPr>
            <w:r>
              <w:rPr>
                <w:rFonts w:ascii="Arial" w:cs="Arial" w:eastAsia="Arial" w:hAnsi="Arial"/>
                <w:sz w:val="12"/>
                <w:szCs w:val="12"/>
                <w:b w:val="1"/>
                <w:bCs w:val="1"/>
                <w:color w:val="FFFFFF"/>
              </w:rPr>
              <w:t>Unearned</w:t>
            </w:r>
          </w:p>
        </w:tc>
        <w:tc>
          <w:tcPr>
            <w:tcW w:w="1200" w:type="dxa"/>
            <w:vAlign w:val="bottom"/>
            <w:shd w:val="clear" w:color="auto" w:fill="481F6E"/>
          </w:tcPr>
          <w:p>
            <w:pPr>
              <w:jc w:val="right"/>
              <w:ind w:right="178"/>
              <w:spacing w:after="0" w:line="128" w:lineRule="exact"/>
              <w:rPr>
                <w:sz w:val="20"/>
                <w:szCs w:val="20"/>
                <w:color w:val="auto"/>
              </w:rPr>
            </w:pPr>
            <w:r>
              <w:rPr>
                <w:rFonts w:ascii="Arial" w:cs="Arial" w:eastAsia="Arial" w:hAnsi="Arial"/>
                <w:sz w:val="12"/>
                <w:szCs w:val="12"/>
                <w:b w:val="1"/>
                <w:bCs w:val="1"/>
                <w:color w:val="FFFFFF"/>
              </w:rPr>
              <w:t>Exercise Price</w:t>
            </w:r>
          </w:p>
        </w:tc>
        <w:tc>
          <w:tcPr>
            <w:tcW w:w="1040" w:type="dxa"/>
            <w:vAlign w:val="bottom"/>
            <w:shd w:val="clear" w:color="auto" w:fill="481F6E"/>
          </w:tcPr>
          <w:p>
            <w:pPr>
              <w:jc w:val="right"/>
              <w:ind w:right="98"/>
              <w:spacing w:after="0" w:line="128" w:lineRule="exact"/>
              <w:rPr>
                <w:sz w:val="20"/>
                <w:szCs w:val="20"/>
                <w:color w:val="auto"/>
              </w:rPr>
            </w:pPr>
            <w:r>
              <w:rPr>
                <w:rFonts w:ascii="Arial" w:cs="Arial" w:eastAsia="Arial" w:hAnsi="Arial"/>
                <w:sz w:val="12"/>
                <w:szCs w:val="12"/>
                <w:b w:val="1"/>
                <w:bCs w:val="1"/>
                <w:color w:val="FFFFFF"/>
              </w:rPr>
              <w:t>Expiration</w:t>
            </w:r>
          </w:p>
        </w:tc>
        <w:tc>
          <w:tcPr>
            <w:tcW w:w="1020" w:type="dxa"/>
            <w:vAlign w:val="bottom"/>
            <w:shd w:val="clear" w:color="auto" w:fill="481F6E"/>
          </w:tcPr>
          <w:p>
            <w:pPr>
              <w:jc w:val="right"/>
              <w:spacing w:after="0" w:line="128" w:lineRule="exact"/>
              <w:rPr>
                <w:sz w:val="20"/>
                <w:szCs w:val="20"/>
                <w:color w:val="auto"/>
              </w:rPr>
            </w:pPr>
            <w:r>
              <w:rPr>
                <w:rFonts w:ascii="Arial" w:cs="Arial" w:eastAsia="Arial" w:hAnsi="Arial"/>
                <w:sz w:val="12"/>
                <w:szCs w:val="12"/>
                <w:b w:val="1"/>
                <w:bCs w:val="1"/>
                <w:color w:val="FFFFFF"/>
              </w:rPr>
              <w:t>that have Not</w:t>
            </w:r>
          </w:p>
        </w:tc>
        <w:tc>
          <w:tcPr>
            <w:tcW w:w="1120" w:type="dxa"/>
            <w:vAlign w:val="bottom"/>
            <w:shd w:val="clear" w:color="auto" w:fill="481F6E"/>
          </w:tcPr>
          <w:p>
            <w:pPr>
              <w:jc w:val="right"/>
              <w:ind w:right="58"/>
              <w:spacing w:after="0" w:line="128" w:lineRule="exact"/>
              <w:rPr>
                <w:sz w:val="20"/>
                <w:szCs w:val="20"/>
                <w:color w:val="auto"/>
              </w:rPr>
            </w:pPr>
            <w:r>
              <w:rPr>
                <w:rFonts w:ascii="Arial" w:cs="Arial" w:eastAsia="Arial" w:hAnsi="Arial"/>
                <w:sz w:val="12"/>
                <w:szCs w:val="12"/>
                <w:b w:val="1"/>
                <w:bCs w:val="1"/>
                <w:color w:val="FFFFFF"/>
              </w:rPr>
              <w:t>that have Not</w:t>
            </w:r>
          </w:p>
        </w:tc>
        <w:tc>
          <w:tcPr>
            <w:tcW w:w="1120" w:type="dxa"/>
            <w:vAlign w:val="bottom"/>
            <w:shd w:val="clear" w:color="auto" w:fill="481F6E"/>
          </w:tcPr>
          <w:p>
            <w:pPr>
              <w:jc w:val="right"/>
              <w:ind w:right="60"/>
              <w:spacing w:after="0" w:line="128" w:lineRule="exact"/>
              <w:rPr>
                <w:sz w:val="20"/>
                <w:szCs w:val="20"/>
                <w:color w:val="auto"/>
              </w:rPr>
            </w:pPr>
            <w:r>
              <w:rPr>
                <w:rFonts w:ascii="Arial" w:cs="Arial" w:eastAsia="Arial" w:hAnsi="Arial"/>
                <w:sz w:val="12"/>
                <w:szCs w:val="12"/>
                <w:b w:val="1"/>
                <w:bCs w:val="1"/>
                <w:color w:val="FFFFFF"/>
              </w:rPr>
              <w:t>that have Not</w:t>
            </w:r>
          </w:p>
        </w:tc>
        <w:tc>
          <w:tcPr>
            <w:tcW w:w="1020" w:type="dxa"/>
            <w:vAlign w:val="bottom"/>
            <w:shd w:val="clear" w:color="auto" w:fill="481F6E"/>
          </w:tcPr>
          <w:p>
            <w:pPr>
              <w:jc w:val="right"/>
              <w:spacing w:after="0" w:line="128" w:lineRule="exact"/>
              <w:rPr>
                <w:sz w:val="20"/>
                <w:szCs w:val="20"/>
                <w:color w:val="auto"/>
              </w:rPr>
            </w:pPr>
            <w:r>
              <w:rPr>
                <w:rFonts w:ascii="Arial" w:cs="Arial" w:eastAsia="Arial" w:hAnsi="Arial"/>
                <w:sz w:val="12"/>
                <w:szCs w:val="12"/>
                <w:b w:val="1"/>
                <w:bCs w:val="1"/>
                <w:color w:val="FFFFFF"/>
              </w:rPr>
              <w:t>that have Not</w:t>
            </w:r>
          </w:p>
        </w:tc>
      </w:tr>
      <w:tr>
        <w:trPr>
          <w:trHeight w:val="174"/>
        </w:trPr>
        <w:tc>
          <w:tcPr>
            <w:tcW w:w="1620" w:type="dxa"/>
            <w:vAlign w:val="bottom"/>
            <w:shd w:val="clear" w:color="auto" w:fill="481F6E"/>
          </w:tcPr>
          <w:p>
            <w:pPr>
              <w:jc w:val="right"/>
              <w:ind w:right="137"/>
              <w:spacing w:after="0"/>
              <w:rPr>
                <w:sz w:val="20"/>
                <w:szCs w:val="20"/>
                <w:color w:val="auto"/>
              </w:rPr>
            </w:pPr>
            <w:r>
              <w:rPr>
                <w:rFonts w:ascii="Arial" w:cs="Arial" w:eastAsia="Arial" w:hAnsi="Arial"/>
                <w:sz w:val="12"/>
                <w:szCs w:val="12"/>
                <w:b w:val="1"/>
                <w:bCs w:val="1"/>
                <w:color w:val="FFFFFF"/>
              </w:rPr>
              <w:t>Grant Date</w:t>
            </w:r>
          </w:p>
        </w:tc>
        <w:tc>
          <w:tcPr>
            <w:tcW w:w="1000" w:type="dxa"/>
            <w:vAlign w:val="bottom"/>
            <w:shd w:val="clear" w:color="auto" w:fill="481F6E"/>
          </w:tcPr>
          <w:p>
            <w:pPr>
              <w:jc w:val="right"/>
              <w:ind w:right="38"/>
              <w:spacing w:after="0"/>
              <w:rPr>
                <w:sz w:val="20"/>
                <w:szCs w:val="20"/>
                <w:color w:val="auto"/>
              </w:rPr>
            </w:pPr>
            <w:r>
              <w:rPr>
                <w:rFonts w:ascii="Arial" w:cs="Arial" w:eastAsia="Arial" w:hAnsi="Arial"/>
                <w:sz w:val="12"/>
                <w:szCs w:val="12"/>
                <w:b w:val="1"/>
                <w:bCs w:val="1"/>
                <w:color w:val="FFFFFF"/>
              </w:rPr>
              <w:t>Exercisable</w:t>
            </w:r>
          </w:p>
        </w:tc>
        <w:tc>
          <w:tcPr>
            <w:tcW w:w="1080" w:type="dxa"/>
            <w:vAlign w:val="bottom"/>
            <w:shd w:val="clear" w:color="auto" w:fill="481F6E"/>
          </w:tcPr>
          <w:p>
            <w:pPr>
              <w:jc w:val="right"/>
              <w:ind w:right="100"/>
              <w:spacing w:after="0"/>
              <w:rPr>
                <w:sz w:val="20"/>
                <w:szCs w:val="20"/>
                <w:color w:val="auto"/>
              </w:rPr>
            </w:pPr>
            <w:r>
              <w:rPr>
                <w:rFonts w:ascii="Arial" w:cs="Arial" w:eastAsia="Arial" w:hAnsi="Arial"/>
                <w:sz w:val="12"/>
                <w:szCs w:val="12"/>
                <w:b w:val="1"/>
                <w:bCs w:val="1"/>
                <w:color w:val="FFFFFF"/>
              </w:rPr>
              <w:t>Unexercisable</w:t>
            </w:r>
          </w:p>
        </w:tc>
        <w:tc>
          <w:tcPr>
            <w:tcW w:w="1040" w:type="dxa"/>
            <w:vAlign w:val="bottom"/>
            <w:shd w:val="clear" w:color="auto" w:fill="481F6E"/>
          </w:tcPr>
          <w:p>
            <w:pPr>
              <w:jc w:val="right"/>
              <w:ind w:right="100"/>
              <w:spacing w:after="0"/>
              <w:rPr>
                <w:sz w:val="20"/>
                <w:szCs w:val="20"/>
                <w:color w:val="auto"/>
              </w:rPr>
            </w:pPr>
            <w:r>
              <w:rPr>
                <w:rFonts w:ascii="Arial" w:cs="Arial" w:eastAsia="Arial" w:hAnsi="Arial"/>
                <w:sz w:val="12"/>
                <w:szCs w:val="12"/>
                <w:b w:val="1"/>
                <w:bCs w:val="1"/>
                <w:color w:val="FFFFFF"/>
              </w:rPr>
              <w:t>Options (#)</w:t>
            </w:r>
          </w:p>
        </w:tc>
        <w:tc>
          <w:tcPr>
            <w:tcW w:w="1200" w:type="dxa"/>
            <w:vAlign w:val="bottom"/>
            <w:shd w:val="clear" w:color="auto" w:fill="481F6E"/>
          </w:tcPr>
          <w:p>
            <w:pPr>
              <w:jc w:val="right"/>
              <w:ind w:right="178"/>
              <w:spacing w:after="0"/>
              <w:rPr>
                <w:sz w:val="20"/>
                <w:szCs w:val="20"/>
                <w:color w:val="auto"/>
              </w:rPr>
            </w:pPr>
            <w:r>
              <w:rPr>
                <w:rFonts w:ascii="Arial" w:cs="Arial" w:eastAsia="Arial" w:hAnsi="Arial"/>
                <w:sz w:val="12"/>
                <w:szCs w:val="12"/>
                <w:b w:val="1"/>
                <w:bCs w:val="1"/>
                <w:color w:val="FFFFFF"/>
              </w:rPr>
              <w:t>($/€)</w:t>
            </w:r>
          </w:p>
        </w:tc>
        <w:tc>
          <w:tcPr>
            <w:tcW w:w="1040" w:type="dxa"/>
            <w:vAlign w:val="bottom"/>
            <w:shd w:val="clear" w:color="auto" w:fill="481F6E"/>
          </w:tcPr>
          <w:p>
            <w:pPr>
              <w:jc w:val="right"/>
              <w:ind w:right="98"/>
              <w:spacing w:after="0"/>
              <w:rPr>
                <w:sz w:val="20"/>
                <w:szCs w:val="20"/>
                <w:color w:val="auto"/>
              </w:rPr>
            </w:pPr>
            <w:r>
              <w:rPr>
                <w:rFonts w:ascii="Arial" w:cs="Arial" w:eastAsia="Arial" w:hAnsi="Arial"/>
                <w:sz w:val="12"/>
                <w:szCs w:val="12"/>
                <w:b w:val="1"/>
                <w:bCs w:val="1"/>
                <w:color w:val="FFFFFF"/>
              </w:rPr>
              <w:t>Date</w:t>
            </w:r>
          </w:p>
        </w:tc>
        <w:tc>
          <w:tcPr>
            <w:tcW w:w="1020" w:type="dxa"/>
            <w:vAlign w:val="bottom"/>
            <w:shd w:val="clear" w:color="auto" w:fill="481F6E"/>
          </w:tcPr>
          <w:p>
            <w:pPr>
              <w:jc w:val="right"/>
              <w:spacing w:after="0"/>
              <w:rPr>
                <w:sz w:val="20"/>
                <w:szCs w:val="20"/>
                <w:color w:val="auto"/>
              </w:rPr>
            </w:pPr>
            <w:r>
              <w:rPr>
                <w:rFonts w:ascii="Arial" w:cs="Arial" w:eastAsia="Arial" w:hAnsi="Arial"/>
                <w:sz w:val="12"/>
                <w:szCs w:val="12"/>
                <w:b w:val="1"/>
                <w:bCs w:val="1"/>
                <w:color w:val="FFFFFF"/>
              </w:rPr>
              <w:t>Vested (#)</w:t>
            </w:r>
          </w:p>
        </w:tc>
        <w:tc>
          <w:tcPr>
            <w:tcW w:w="1120" w:type="dxa"/>
            <w:vAlign w:val="bottom"/>
            <w:shd w:val="clear" w:color="auto" w:fill="481F6E"/>
          </w:tcPr>
          <w:p>
            <w:pPr>
              <w:jc w:val="right"/>
              <w:ind w:right="58"/>
              <w:spacing w:after="0" w:line="173" w:lineRule="exact"/>
              <w:rPr>
                <w:sz w:val="20"/>
                <w:szCs w:val="20"/>
                <w:color w:val="auto"/>
              </w:rPr>
            </w:pPr>
            <w:r>
              <w:rPr>
                <w:rFonts w:ascii="Arial" w:cs="Arial" w:eastAsia="Arial" w:hAnsi="Arial"/>
                <w:sz w:val="12"/>
                <w:szCs w:val="12"/>
                <w:b w:val="1"/>
                <w:bCs w:val="1"/>
                <w:color w:val="FFFFFF"/>
              </w:rPr>
              <w:t>Vested ($)</w:t>
            </w:r>
            <w:r>
              <w:rPr>
                <w:rFonts w:ascii="Arial" w:cs="Arial" w:eastAsia="Arial" w:hAnsi="Arial"/>
                <w:sz w:val="19"/>
                <w:szCs w:val="19"/>
                <w:b w:val="1"/>
                <w:bCs w:val="1"/>
                <w:color w:val="FFFFFF"/>
                <w:vertAlign w:val="superscript"/>
              </w:rPr>
              <w:t>1</w:t>
            </w:r>
          </w:p>
        </w:tc>
        <w:tc>
          <w:tcPr>
            <w:tcW w:w="1120" w:type="dxa"/>
            <w:vAlign w:val="bottom"/>
            <w:shd w:val="clear" w:color="auto" w:fill="481F6E"/>
          </w:tcPr>
          <w:p>
            <w:pPr>
              <w:jc w:val="right"/>
              <w:ind w:right="60"/>
              <w:spacing w:after="0"/>
              <w:rPr>
                <w:sz w:val="20"/>
                <w:szCs w:val="20"/>
                <w:color w:val="auto"/>
              </w:rPr>
            </w:pPr>
            <w:r>
              <w:rPr>
                <w:rFonts w:ascii="Arial" w:cs="Arial" w:eastAsia="Arial" w:hAnsi="Arial"/>
                <w:sz w:val="12"/>
                <w:szCs w:val="12"/>
                <w:b w:val="1"/>
                <w:bCs w:val="1"/>
                <w:color w:val="FFFFFF"/>
              </w:rPr>
              <w:t>Vested (#)</w:t>
            </w:r>
          </w:p>
        </w:tc>
        <w:tc>
          <w:tcPr>
            <w:tcW w:w="1020" w:type="dxa"/>
            <w:vAlign w:val="bottom"/>
            <w:shd w:val="clear" w:color="auto" w:fill="481F6E"/>
          </w:tcPr>
          <w:p>
            <w:pPr>
              <w:jc w:val="right"/>
              <w:spacing w:after="0" w:line="173" w:lineRule="exact"/>
              <w:rPr>
                <w:sz w:val="20"/>
                <w:szCs w:val="20"/>
                <w:color w:val="auto"/>
              </w:rPr>
            </w:pPr>
            <w:r>
              <w:rPr>
                <w:rFonts w:ascii="Arial" w:cs="Arial" w:eastAsia="Arial" w:hAnsi="Arial"/>
                <w:sz w:val="12"/>
                <w:szCs w:val="12"/>
                <w:b w:val="1"/>
                <w:bCs w:val="1"/>
                <w:color w:val="FFFFFF"/>
              </w:rPr>
              <w:t>Vested ($)</w:t>
            </w:r>
            <w:r>
              <w:rPr>
                <w:rFonts w:ascii="Arial" w:cs="Arial" w:eastAsia="Arial" w:hAnsi="Arial"/>
                <w:sz w:val="19"/>
                <w:szCs w:val="19"/>
                <w:b w:val="1"/>
                <w:bCs w:val="1"/>
                <w:color w:val="FFFFFF"/>
                <w:vertAlign w:val="superscript"/>
              </w:rPr>
              <w:t>2</w:t>
            </w:r>
          </w:p>
        </w:tc>
      </w:tr>
      <w:tr>
        <w:trPr>
          <w:trHeight w:val="181"/>
        </w:trPr>
        <w:tc>
          <w:tcPr>
            <w:tcW w:w="1620" w:type="dxa"/>
            <w:vAlign w:val="bottom"/>
          </w:tcPr>
          <w:p>
            <w:pPr>
              <w:jc w:val="right"/>
              <w:ind w:right="277"/>
              <w:spacing w:after="0"/>
              <w:rPr>
                <w:sz w:val="20"/>
                <w:szCs w:val="20"/>
                <w:color w:val="auto"/>
              </w:rPr>
            </w:pPr>
            <w:r>
              <w:rPr>
                <w:rFonts w:ascii="Arial" w:cs="Arial" w:eastAsia="Arial" w:hAnsi="Arial"/>
                <w:sz w:val="13"/>
                <w:szCs w:val="13"/>
                <w:color w:val="333740"/>
              </w:rPr>
              <w:t>6/14/2013</w:t>
            </w:r>
          </w:p>
        </w:tc>
        <w:tc>
          <w:tcPr>
            <w:tcW w:w="1000" w:type="dxa"/>
            <w:vAlign w:val="bottom"/>
          </w:tcPr>
          <w:p>
            <w:pPr>
              <w:jc w:val="right"/>
              <w:ind w:right="98"/>
              <w:spacing w:after="0"/>
              <w:rPr>
                <w:sz w:val="20"/>
                <w:szCs w:val="20"/>
                <w:color w:val="auto"/>
              </w:rPr>
            </w:pPr>
            <w:r>
              <w:rPr>
                <w:rFonts w:ascii="Arial" w:cs="Arial" w:eastAsia="Arial" w:hAnsi="Arial"/>
                <w:sz w:val="13"/>
                <w:szCs w:val="13"/>
                <w:color w:val="333740"/>
              </w:rPr>
              <w:t>77,300</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jc w:val="right"/>
              <w:ind w:right="258"/>
              <w:spacing w:after="0"/>
              <w:rPr>
                <w:sz w:val="20"/>
                <w:szCs w:val="20"/>
                <w:color w:val="auto"/>
              </w:rPr>
            </w:pPr>
            <w:r>
              <w:rPr>
                <w:rFonts w:ascii="Arial" w:cs="Arial" w:eastAsia="Arial" w:hAnsi="Arial"/>
                <w:sz w:val="13"/>
                <w:szCs w:val="13"/>
                <w:color w:val="333740"/>
              </w:rPr>
              <w:t>€42.87</w:t>
            </w:r>
          </w:p>
        </w:tc>
        <w:tc>
          <w:tcPr>
            <w:tcW w:w="1040" w:type="dxa"/>
            <w:vAlign w:val="bottom"/>
          </w:tcPr>
          <w:p>
            <w:pPr>
              <w:jc w:val="right"/>
              <w:ind w:right="178"/>
              <w:spacing w:after="0"/>
              <w:rPr>
                <w:sz w:val="20"/>
                <w:szCs w:val="20"/>
                <w:color w:val="auto"/>
              </w:rPr>
            </w:pPr>
            <w:r>
              <w:rPr>
                <w:rFonts w:ascii="Arial" w:cs="Arial" w:eastAsia="Arial" w:hAnsi="Arial"/>
                <w:sz w:val="13"/>
                <w:szCs w:val="13"/>
                <w:color w:val="333740"/>
              </w:rPr>
              <w:t>6/14/2021</w:t>
            </w: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8"/>
        </w:trPr>
        <w:tc>
          <w:tcPr>
            <w:tcW w:w="1620" w:type="dxa"/>
            <w:vAlign w:val="bottom"/>
            <w:tcBorders>
              <w:bottom w:val="single" w:sz="8" w:color="D7D8D6"/>
            </w:tcBorders>
          </w:tcPr>
          <w:p>
            <w:pPr>
              <w:spacing w:after="0"/>
              <w:rPr>
                <w:sz w:val="3"/>
                <w:szCs w:val="3"/>
                <w:color w:val="auto"/>
              </w:rPr>
            </w:pPr>
          </w:p>
        </w:tc>
        <w:tc>
          <w:tcPr>
            <w:tcW w:w="1000" w:type="dxa"/>
            <w:vAlign w:val="bottom"/>
            <w:tcBorders>
              <w:bottom w:val="single" w:sz="8" w:color="D7D8D6"/>
            </w:tcBorders>
          </w:tcPr>
          <w:p>
            <w:pPr>
              <w:spacing w:after="0"/>
              <w:rPr>
                <w:sz w:val="3"/>
                <w:szCs w:val="3"/>
                <w:color w:val="auto"/>
              </w:rPr>
            </w:pPr>
          </w:p>
        </w:tc>
        <w:tc>
          <w:tcPr>
            <w:tcW w:w="1080" w:type="dxa"/>
            <w:vAlign w:val="bottom"/>
            <w:tcBorders>
              <w:bottom w:val="single" w:sz="8" w:color="D7D8D6"/>
            </w:tcBorders>
          </w:tcPr>
          <w:p>
            <w:pPr>
              <w:spacing w:after="0"/>
              <w:rPr>
                <w:sz w:val="3"/>
                <w:szCs w:val="3"/>
                <w:color w:val="auto"/>
              </w:rPr>
            </w:pPr>
          </w:p>
        </w:tc>
        <w:tc>
          <w:tcPr>
            <w:tcW w:w="1040" w:type="dxa"/>
            <w:vAlign w:val="bottom"/>
            <w:tcBorders>
              <w:bottom w:val="single" w:sz="8" w:color="D7D8D6"/>
            </w:tcBorders>
          </w:tcPr>
          <w:p>
            <w:pPr>
              <w:spacing w:after="0"/>
              <w:rPr>
                <w:sz w:val="3"/>
                <w:szCs w:val="3"/>
                <w:color w:val="auto"/>
              </w:rPr>
            </w:pPr>
          </w:p>
        </w:tc>
        <w:tc>
          <w:tcPr>
            <w:tcW w:w="1200" w:type="dxa"/>
            <w:vAlign w:val="bottom"/>
            <w:tcBorders>
              <w:bottom w:val="single" w:sz="8" w:color="D7D8D6"/>
            </w:tcBorders>
          </w:tcPr>
          <w:p>
            <w:pPr>
              <w:spacing w:after="0"/>
              <w:rPr>
                <w:sz w:val="3"/>
                <w:szCs w:val="3"/>
                <w:color w:val="auto"/>
              </w:rPr>
            </w:pPr>
          </w:p>
        </w:tc>
        <w:tc>
          <w:tcPr>
            <w:tcW w:w="1040" w:type="dxa"/>
            <w:vAlign w:val="bottom"/>
            <w:tcBorders>
              <w:bottom w:val="single" w:sz="8" w:color="D7D8D6"/>
            </w:tcBorders>
          </w:tcPr>
          <w:p>
            <w:pPr>
              <w:spacing w:after="0"/>
              <w:rPr>
                <w:sz w:val="3"/>
                <w:szCs w:val="3"/>
                <w:color w:val="auto"/>
              </w:rPr>
            </w:pPr>
          </w:p>
        </w:tc>
        <w:tc>
          <w:tcPr>
            <w:tcW w:w="1020" w:type="dxa"/>
            <w:vAlign w:val="bottom"/>
            <w:tcBorders>
              <w:bottom w:val="single" w:sz="8" w:color="D7D8D6"/>
            </w:tcBorders>
          </w:tcPr>
          <w:p>
            <w:pPr>
              <w:spacing w:after="0"/>
              <w:rPr>
                <w:sz w:val="3"/>
                <w:szCs w:val="3"/>
                <w:color w:val="auto"/>
              </w:rPr>
            </w:pPr>
          </w:p>
        </w:tc>
        <w:tc>
          <w:tcPr>
            <w:tcW w:w="1120" w:type="dxa"/>
            <w:vAlign w:val="bottom"/>
            <w:tcBorders>
              <w:bottom w:val="single" w:sz="8" w:color="D7D8D6"/>
            </w:tcBorders>
          </w:tcPr>
          <w:p>
            <w:pPr>
              <w:spacing w:after="0"/>
              <w:rPr>
                <w:sz w:val="3"/>
                <w:szCs w:val="3"/>
                <w:color w:val="auto"/>
              </w:rPr>
            </w:pPr>
          </w:p>
        </w:tc>
        <w:tc>
          <w:tcPr>
            <w:tcW w:w="1120" w:type="dxa"/>
            <w:vAlign w:val="bottom"/>
            <w:tcBorders>
              <w:bottom w:val="single" w:sz="8" w:color="D7D8D6"/>
            </w:tcBorders>
          </w:tcPr>
          <w:p>
            <w:pPr>
              <w:spacing w:after="0"/>
              <w:rPr>
                <w:sz w:val="3"/>
                <w:szCs w:val="3"/>
                <w:color w:val="auto"/>
              </w:rPr>
            </w:pPr>
          </w:p>
        </w:tc>
        <w:tc>
          <w:tcPr>
            <w:tcW w:w="1020" w:type="dxa"/>
            <w:vAlign w:val="bottom"/>
            <w:tcBorders>
              <w:bottom w:val="single" w:sz="8" w:color="D7D8D6"/>
            </w:tcBorders>
          </w:tcPr>
          <w:p>
            <w:pPr>
              <w:spacing w:after="0"/>
              <w:rPr>
                <w:sz w:val="3"/>
                <w:szCs w:val="3"/>
                <w:color w:val="auto"/>
              </w:rPr>
            </w:pPr>
          </w:p>
        </w:tc>
      </w:tr>
      <w:tr>
        <w:trPr>
          <w:trHeight w:val="181"/>
        </w:trPr>
        <w:tc>
          <w:tcPr>
            <w:tcW w:w="1620" w:type="dxa"/>
            <w:vAlign w:val="bottom"/>
          </w:tcPr>
          <w:p>
            <w:pPr>
              <w:jc w:val="right"/>
              <w:ind w:right="277"/>
              <w:spacing w:after="0"/>
              <w:rPr>
                <w:sz w:val="20"/>
                <w:szCs w:val="20"/>
                <w:color w:val="auto"/>
              </w:rPr>
            </w:pPr>
            <w:r>
              <w:rPr>
                <w:rFonts w:ascii="Arial" w:cs="Arial" w:eastAsia="Arial" w:hAnsi="Arial"/>
                <w:sz w:val="13"/>
                <w:szCs w:val="13"/>
                <w:color w:val="333740"/>
              </w:rPr>
              <w:t>9/7/2015</w:t>
            </w:r>
          </w:p>
        </w:tc>
        <w:tc>
          <w:tcPr>
            <w:tcW w:w="1000" w:type="dxa"/>
            <w:vAlign w:val="bottom"/>
          </w:tcPr>
          <w:p>
            <w:pPr>
              <w:jc w:val="right"/>
              <w:ind w:right="98"/>
              <w:spacing w:after="0"/>
              <w:rPr>
                <w:sz w:val="20"/>
                <w:szCs w:val="20"/>
                <w:color w:val="auto"/>
              </w:rPr>
            </w:pPr>
            <w:r>
              <w:rPr>
                <w:rFonts w:ascii="Arial" w:cs="Arial" w:eastAsia="Arial" w:hAnsi="Arial"/>
                <w:sz w:val="13"/>
                <w:szCs w:val="13"/>
                <w:color w:val="333740"/>
              </w:rPr>
              <w:t>220,000</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jc w:val="right"/>
              <w:ind w:right="258"/>
              <w:spacing w:after="0"/>
              <w:rPr>
                <w:sz w:val="20"/>
                <w:szCs w:val="20"/>
                <w:color w:val="auto"/>
              </w:rPr>
            </w:pPr>
            <w:r>
              <w:rPr>
                <w:rFonts w:ascii="Arial" w:cs="Arial" w:eastAsia="Arial" w:hAnsi="Arial"/>
                <w:sz w:val="13"/>
                <w:szCs w:val="13"/>
                <w:color w:val="333740"/>
              </w:rPr>
              <w:t>€23.92</w:t>
            </w:r>
          </w:p>
        </w:tc>
        <w:tc>
          <w:tcPr>
            <w:tcW w:w="1040" w:type="dxa"/>
            <w:vAlign w:val="bottom"/>
          </w:tcPr>
          <w:p>
            <w:pPr>
              <w:jc w:val="right"/>
              <w:ind w:right="178"/>
              <w:spacing w:after="0"/>
              <w:rPr>
                <w:sz w:val="20"/>
                <w:szCs w:val="20"/>
                <w:color w:val="auto"/>
              </w:rPr>
            </w:pPr>
            <w:r>
              <w:rPr>
                <w:rFonts w:ascii="Arial" w:cs="Arial" w:eastAsia="Arial" w:hAnsi="Arial"/>
                <w:sz w:val="13"/>
                <w:szCs w:val="13"/>
                <w:color w:val="333740"/>
              </w:rPr>
              <w:t>9/7/2023</w:t>
            </w: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8"/>
        </w:trPr>
        <w:tc>
          <w:tcPr>
            <w:tcW w:w="1620" w:type="dxa"/>
            <w:vAlign w:val="bottom"/>
            <w:tcBorders>
              <w:bottom w:val="single" w:sz="8" w:color="D7D8D6"/>
            </w:tcBorders>
          </w:tcPr>
          <w:p>
            <w:pPr>
              <w:spacing w:after="0"/>
              <w:rPr>
                <w:sz w:val="3"/>
                <w:szCs w:val="3"/>
                <w:color w:val="auto"/>
              </w:rPr>
            </w:pPr>
          </w:p>
        </w:tc>
        <w:tc>
          <w:tcPr>
            <w:tcW w:w="1000" w:type="dxa"/>
            <w:vAlign w:val="bottom"/>
            <w:tcBorders>
              <w:bottom w:val="single" w:sz="8" w:color="D7D8D6"/>
            </w:tcBorders>
          </w:tcPr>
          <w:p>
            <w:pPr>
              <w:spacing w:after="0"/>
              <w:rPr>
                <w:sz w:val="3"/>
                <w:szCs w:val="3"/>
                <w:color w:val="auto"/>
              </w:rPr>
            </w:pPr>
          </w:p>
        </w:tc>
        <w:tc>
          <w:tcPr>
            <w:tcW w:w="1080" w:type="dxa"/>
            <w:vAlign w:val="bottom"/>
            <w:tcBorders>
              <w:bottom w:val="single" w:sz="8" w:color="D7D8D6"/>
            </w:tcBorders>
          </w:tcPr>
          <w:p>
            <w:pPr>
              <w:spacing w:after="0"/>
              <w:rPr>
                <w:sz w:val="3"/>
                <w:szCs w:val="3"/>
                <w:color w:val="auto"/>
              </w:rPr>
            </w:pPr>
          </w:p>
        </w:tc>
        <w:tc>
          <w:tcPr>
            <w:tcW w:w="1040" w:type="dxa"/>
            <w:vAlign w:val="bottom"/>
            <w:tcBorders>
              <w:bottom w:val="single" w:sz="8" w:color="D7D8D6"/>
            </w:tcBorders>
          </w:tcPr>
          <w:p>
            <w:pPr>
              <w:spacing w:after="0"/>
              <w:rPr>
                <w:sz w:val="3"/>
                <w:szCs w:val="3"/>
                <w:color w:val="auto"/>
              </w:rPr>
            </w:pPr>
          </w:p>
        </w:tc>
        <w:tc>
          <w:tcPr>
            <w:tcW w:w="1200" w:type="dxa"/>
            <w:vAlign w:val="bottom"/>
            <w:tcBorders>
              <w:bottom w:val="single" w:sz="8" w:color="D7D8D6"/>
            </w:tcBorders>
          </w:tcPr>
          <w:p>
            <w:pPr>
              <w:spacing w:after="0"/>
              <w:rPr>
                <w:sz w:val="3"/>
                <w:szCs w:val="3"/>
                <w:color w:val="auto"/>
              </w:rPr>
            </w:pPr>
          </w:p>
        </w:tc>
        <w:tc>
          <w:tcPr>
            <w:tcW w:w="1040" w:type="dxa"/>
            <w:vAlign w:val="bottom"/>
            <w:tcBorders>
              <w:bottom w:val="single" w:sz="8" w:color="D7D8D6"/>
            </w:tcBorders>
          </w:tcPr>
          <w:p>
            <w:pPr>
              <w:spacing w:after="0"/>
              <w:rPr>
                <w:sz w:val="3"/>
                <w:szCs w:val="3"/>
                <w:color w:val="auto"/>
              </w:rPr>
            </w:pPr>
          </w:p>
        </w:tc>
        <w:tc>
          <w:tcPr>
            <w:tcW w:w="1020" w:type="dxa"/>
            <w:vAlign w:val="bottom"/>
            <w:tcBorders>
              <w:bottom w:val="single" w:sz="8" w:color="D7D8D6"/>
            </w:tcBorders>
          </w:tcPr>
          <w:p>
            <w:pPr>
              <w:spacing w:after="0"/>
              <w:rPr>
                <w:sz w:val="3"/>
                <w:szCs w:val="3"/>
                <w:color w:val="auto"/>
              </w:rPr>
            </w:pPr>
          </w:p>
        </w:tc>
        <w:tc>
          <w:tcPr>
            <w:tcW w:w="1120" w:type="dxa"/>
            <w:vAlign w:val="bottom"/>
            <w:tcBorders>
              <w:bottom w:val="single" w:sz="8" w:color="D7D8D6"/>
            </w:tcBorders>
          </w:tcPr>
          <w:p>
            <w:pPr>
              <w:spacing w:after="0"/>
              <w:rPr>
                <w:sz w:val="3"/>
                <w:szCs w:val="3"/>
                <w:color w:val="auto"/>
              </w:rPr>
            </w:pPr>
          </w:p>
        </w:tc>
        <w:tc>
          <w:tcPr>
            <w:tcW w:w="1120" w:type="dxa"/>
            <w:vAlign w:val="bottom"/>
            <w:tcBorders>
              <w:bottom w:val="single" w:sz="8" w:color="D7D8D6"/>
            </w:tcBorders>
          </w:tcPr>
          <w:p>
            <w:pPr>
              <w:spacing w:after="0"/>
              <w:rPr>
                <w:sz w:val="3"/>
                <w:szCs w:val="3"/>
                <w:color w:val="auto"/>
              </w:rPr>
            </w:pPr>
          </w:p>
        </w:tc>
        <w:tc>
          <w:tcPr>
            <w:tcW w:w="1020" w:type="dxa"/>
            <w:vAlign w:val="bottom"/>
            <w:tcBorders>
              <w:bottom w:val="single" w:sz="8" w:color="D7D8D6"/>
            </w:tcBorders>
          </w:tcPr>
          <w:p>
            <w:pPr>
              <w:spacing w:after="0"/>
              <w:rPr>
                <w:sz w:val="3"/>
                <w:szCs w:val="3"/>
                <w:color w:val="auto"/>
              </w:rPr>
            </w:pPr>
          </w:p>
        </w:tc>
      </w:tr>
      <w:tr>
        <w:trPr>
          <w:trHeight w:val="219"/>
        </w:trPr>
        <w:tc>
          <w:tcPr>
            <w:tcW w:w="1620" w:type="dxa"/>
            <w:vAlign w:val="bottom"/>
            <w:tcBorders>
              <w:bottom w:val="single" w:sz="8" w:color="D7D8D6"/>
            </w:tcBorders>
          </w:tcPr>
          <w:p>
            <w:pPr>
              <w:jc w:val="right"/>
              <w:ind w:right="277"/>
              <w:spacing w:after="0"/>
              <w:rPr>
                <w:sz w:val="20"/>
                <w:szCs w:val="20"/>
                <w:color w:val="auto"/>
              </w:rPr>
            </w:pPr>
            <w:r>
              <w:rPr>
                <w:rFonts w:ascii="Arial" w:cs="Arial" w:eastAsia="Arial" w:hAnsi="Arial"/>
                <w:sz w:val="13"/>
                <w:szCs w:val="13"/>
                <w:color w:val="333740"/>
              </w:rPr>
              <w:t>7/1/2016</w:t>
            </w:r>
          </w:p>
        </w:tc>
        <w:tc>
          <w:tcPr>
            <w:tcW w:w="1000" w:type="dxa"/>
            <w:vAlign w:val="bottom"/>
            <w:tcBorders>
              <w:bottom w:val="single" w:sz="8" w:color="D7D8D6"/>
            </w:tcBorders>
          </w:tcPr>
          <w:p>
            <w:pPr>
              <w:spacing w:after="0"/>
              <w:rPr>
                <w:sz w:val="19"/>
                <w:szCs w:val="19"/>
                <w:color w:val="auto"/>
              </w:rPr>
            </w:pPr>
          </w:p>
        </w:tc>
        <w:tc>
          <w:tcPr>
            <w:tcW w:w="1080" w:type="dxa"/>
            <w:vAlign w:val="bottom"/>
            <w:tcBorders>
              <w:bottom w:val="single" w:sz="8" w:color="D7D8D6"/>
            </w:tcBorders>
          </w:tcPr>
          <w:p>
            <w:pPr>
              <w:jc w:val="right"/>
              <w:ind w:right="220"/>
              <w:spacing w:after="0" w:line="215" w:lineRule="exact"/>
              <w:rPr>
                <w:sz w:val="20"/>
                <w:szCs w:val="20"/>
                <w:color w:val="auto"/>
              </w:rPr>
            </w:pPr>
            <w:r>
              <w:rPr>
                <w:rFonts w:ascii="Arial" w:cs="Arial" w:eastAsia="Arial" w:hAnsi="Arial"/>
                <w:sz w:val="13"/>
                <w:szCs w:val="13"/>
                <w:color w:val="333740"/>
              </w:rPr>
              <w:t>230,000</w:t>
            </w:r>
            <w:r>
              <w:rPr>
                <w:rFonts w:ascii="Arial" w:cs="Arial" w:eastAsia="Arial" w:hAnsi="Arial"/>
                <w:sz w:val="21"/>
                <w:szCs w:val="21"/>
                <w:color w:val="333740"/>
                <w:vertAlign w:val="superscript"/>
              </w:rPr>
              <w:t>3</w:t>
            </w:r>
          </w:p>
        </w:tc>
        <w:tc>
          <w:tcPr>
            <w:tcW w:w="1040" w:type="dxa"/>
            <w:vAlign w:val="bottom"/>
            <w:tcBorders>
              <w:bottom w:val="single" w:sz="8" w:color="D7D8D6"/>
            </w:tcBorders>
          </w:tcPr>
          <w:p>
            <w:pPr>
              <w:spacing w:after="0"/>
              <w:rPr>
                <w:sz w:val="19"/>
                <w:szCs w:val="19"/>
                <w:color w:val="auto"/>
              </w:rPr>
            </w:pPr>
          </w:p>
        </w:tc>
        <w:tc>
          <w:tcPr>
            <w:tcW w:w="1200" w:type="dxa"/>
            <w:vAlign w:val="bottom"/>
            <w:tcBorders>
              <w:bottom w:val="single" w:sz="8" w:color="D7D8D6"/>
            </w:tcBorders>
          </w:tcPr>
          <w:p>
            <w:pPr>
              <w:jc w:val="right"/>
              <w:ind w:right="258"/>
              <w:spacing w:after="0"/>
              <w:rPr>
                <w:sz w:val="20"/>
                <w:szCs w:val="20"/>
                <w:color w:val="auto"/>
              </w:rPr>
            </w:pPr>
            <w:r>
              <w:rPr>
                <w:rFonts w:ascii="Arial" w:cs="Arial" w:eastAsia="Arial" w:hAnsi="Arial"/>
                <w:sz w:val="13"/>
                <w:szCs w:val="13"/>
                <w:color w:val="333740"/>
              </w:rPr>
              <w:t>€24.17</w:t>
            </w:r>
          </w:p>
        </w:tc>
        <w:tc>
          <w:tcPr>
            <w:tcW w:w="1040" w:type="dxa"/>
            <w:vAlign w:val="bottom"/>
            <w:tcBorders>
              <w:bottom w:val="single" w:sz="8" w:color="D7D8D6"/>
            </w:tcBorders>
          </w:tcPr>
          <w:p>
            <w:pPr>
              <w:jc w:val="right"/>
              <w:ind w:right="178"/>
              <w:spacing w:after="0"/>
              <w:rPr>
                <w:sz w:val="20"/>
                <w:szCs w:val="20"/>
                <w:color w:val="auto"/>
              </w:rPr>
            </w:pPr>
            <w:r>
              <w:rPr>
                <w:rFonts w:ascii="Arial" w:cs="Arial" w:eastAsia="Arial" w:hAnsi="Arial"/>
                <w:sz w:val="13"/>
                <w:szCs w:val="13"/>
                <w:color w:val="333740"/>
              </w:rPr>
              <w:t>7/1/2024</w:t>
            </w:r>
          </w:p>
        </w:tc>
        <w:tc>
          <w:tcPr>
            <w:tcW w:w="1020" w:type="dxa"/>
            <w:vAlign w:val="bottom"/>
            <w:tcBorders>
              <w:bottom w:val="single" w:sz="8" w:color="D7D8D6"/>
            </w:tcBorders>
          </w:tcPr>
          <w:p>
            <w:pPr>
              <w:jc w:val="right"/>
              <w:ind w:right="79"/>
              <w:spacing w:after="0" w:line="215" w:lineRule="exact"/>
              <w:rPr>
                <w:sz w:val="20"/>
                <w:szCs w:val="20"/>
                <w:color w:val="auto"/>
              </w:rPr>
            </w:pPr>
            <w:r>
              <w:rPr>
                <w:rFonts w:ascii="Arial" w:cs="Arial" w:eastAsia="Arial" w:hAnsi="Arial"/>
                <w:sz w:val="13"/>
                <w:szCs w:val="13"/>
                <w:color w:val="333740"/>
              </w:rPr>
              <w:t>132,000</w:t>
            </w:r>
            <w:r>
              <w:rPr>
                <w:rFonts w:ascii="Arial" w:cs="Arial" w:eastAsia="Arial" w:hAnsi="Arial"/>
                <w:sz w:val="21"/>
                <w:szCs w:val="21"/>
                <w:color w:val="333740"/>
                <w:vertAlign w:val="superscript"/>
              </w:rPr>
              <w:t>3</w:t>
            </w:r>
          </w:p>
        </w:tc>
        <w:tc>
          <w:tcPr>
            <w:tcW w:w="1120" w:type="dxa"/>
            <w:vAlign w:val="bottom"/>
            <w:tcBorders>
              <w:bottom w:val="single" w:sz="8" w:color="D7D8D6"/>
            </w:tcBorders>
          </w:tcPr>
          <w:p>
            <w:pPr>
              <w:spacing w:after="0"/>
              <w:rPr>
                <w:sz w:val="19"/>
                <w:szCs w:val="19"/>
                <w:color w:val="auto"/>
              </w:rPr>
            </w:pPr>
          </w:p>
        </w:tc>
        <w:tc>
          <w:tcPr>
            <w:tcW w:w="1120" w:type="dxa"/>
            <w:vAlign w:val="bottom"/>
            <w:tcBorders>
              <w:bottom w:val="single" w:sz="8" w:color="D7D8D6"/>
            </w:tcBorders>
          </w:tcPr>
          <w:p>
            <w:pPr>
              <w:spacing w:after="0"/>
              <w:rPr>
                <w:sz w:val="19"/>
                <w:szCs w:val="19"/>
                <w:color w:val="auto"/>
              </w:rPr>
            </w:pPr>
          </w:p>
        </w:tc>
        <w:tc>
          <w:tcPr>
            <w:tcW w:w="1020" w:type="dxa"/>
            <w:vAlign w:val="bottom"/>
            <w:tcBorders>
              <w:bottom w:val="single" w:sz="8" w:color="D7D8D6"/>
            </w:tcBorders>
          </w:tcPr>
          <w:p>
            <w:pPr>
              <w:jc w:val="right"/>
              <w:ind w:right="19"/>
              <w:spacing w:after="0"/>
              <w:rPr>
                <w:sz w:val="20"/>
                <w:szCs w:val="20"/>
                <w:color w:val="auto"/>
              </w:rPr>
            </w:pPr>
            <w:r>
              <w:rPr>
                <w:rFonts w:ascii="Arial" w:cs="Arial" w:eastAsia="Arial" w:hAnsi="Arial"/>
                <w:sz w:val="13"/>
                <w:szCs w:val="13"/>
                <w:color w:val="333740"/>
              </w:rPr>
              <w:t>2,830,080</w:t>
            </w:r>
          </w:p>
        </w:tc>
      </w:tr>
      <w:tr>
        <w:trPr>
          <w:trHeight w:val="219"/>
        </w:trPr>
        <w:tc>
          <w:tcPr>
            <w:tcW w:w="1620" w:type="dxa"/>
            <w:vAlign w:val="bottom"/>
            <w:tcBorders>
              <w:bottom w:val="single" w:sz="8" w:color="D7D8D6"/>
            </w:tcBorders>
          </w:tcPr>
          <w:p>
            <w:pPr>
              <w:jc w:val="right"/>
              <w:ind w:right="297"/>
              <w:spacing w:after="0"/>
              <w:rPr>
                <w:sz w:val="20"/>
                <w:szCs w:val="20"/>
                <w:color w:val="auto"/>
              </w:rPr>
            </w:pPr>
            <w:r>
              <w:rPr>
                <w:rFonts w:ascii="Arial" w:cs="Arial" w:eastAsia="Arial" w:hAnsi="Arial"/>
                <w:sz w:val="13"/>
                <w:szCs w:val="13"/>
                <w:color w:val="333740"/>
              </w:rPr>
              <w:t>12/6/2016</w:t>
            </w:r>
          </w:p>
        </w:tc>
        <w:tc>
          <w:tcPr>
            <w:tcW w:w="1000" w:type="dxa"/>
            <w:vAlign w:val="bottom"/>
            <w:tcBorders>
              <w:bottom w:val="single" w:sz="8" w:color="D7D8D6"/>
            </w:tcBorders>
          </w:tcPr>
          <w:p>
            <w:pPr>
              <w:spacing w:after="0"/>
              <w:rPr>
                <w:sz w:val="19"/>
                <w:szCs w:val="19"/>
                <w:color w:val="auto"/>
              </w:rPr>
            </w:pPr>
          </w:p>
        </w:tc>
        <w:tc>
          <w:tcPr>
            <w:tcW w:w="1080" w:type="dxa"/>
            <w:vAlign w:val="bottom"/>
            <w:tcBorders>
              <w:bottom w:val="single" w:sz="8" w:color="D7D8D6"/>
            </w:tcBorders>
          </w:tcPr>
          <w:p>
            <w:pPr>
              <w:spacing w:after="0"/>
              <w:rPr>
                <w:sz w:val="19"/>
                <w:szCs w:val="19"/>
                <w:color w:val="auto"/>
              </w:rPr>
            </w:pPr>
          </w:p>
        </w:tc>
        <w:tc>
          <w:tcPr>
            <w:tcW w:w="1040" w:type="dxa"/>
            <w:vAlign w:val="bottom"/>
            <w:tcBorders>
              <w:bottom w:val="single" w:sz="8" w:color="D7D8D6"/>
            </w:tcBorders>
          </w:tcPr>
          <w:p>
            <w:pPr>
              <w:spacing w:after="0"/>
              <w:rPr>
                <w:sz w:val="19"/>
                <w:szCs w:val="19"/>
                <w:color w:val="auto"/>
              </w:rPr>
            </w:pPr>
          </w:p>
        </w:tc>
        <w:tc>
          <w:tcPr>
            <w:tcW w:w="1200" w:type="dxa"/>
            <w:vAlign w:val="bottom"/>
            <w:tcBorders>
              <w:bottom w:val="single" w:sz="8" w:color="D7D8D6"/>
            </w:tcBorders>
          </w:tcPr>
          <w:p>
            <w:pPr>
              <w:spacing w:after="0"/>
              <w:rPr>
                <w:sz w:val="19"/>
                <w:szCs w:val="19"/>
                <w:color w:val="auto"/>
              </w:rPr>
            </w:pPr>
          </w:p>
        </w:tc>
        <w:tc>
          <w:tcPr>
            <w:tcW w:w="1040" w:type="dxa"/>
            <w:vAlign w:val="bottom"/>
            <w:tcBorders>
              <w:bottom w:val="single" w:sz="8" w:color="D7D8D6"/>
            </w:tcBorders>
          </w:tcPr>
          <w:p>
            <w:pPr>
              <w:spacing w:after="0"/>
              <w:rPr>
                <w:sz w:val="19"/>
                <w:szCs w:val="19"/>
                <w:color w:val="auto"/>
              </w:rPr>
            </w:pPr>
          </w:p>
        </w:tc>
        <w:tc>
          <w:tcPr>
            <w:tcW w:w="1020" w:type="dxa"/>
            <w:vAlign w:val="bottom"/>
            <w:tcBorders>
              <w:bottom w:val="single" w:sz="8" w:color="D7D8D6"/>
            </w:tcBorders>
          </w:tcPr>
          <w:p>
            <w:pPr>
              <w:jc w:val="right"/>
              <w:ind w:right="79"/>
              <w:spacing w:after="0" w:line="215" w:lineRule="exact"/>
              <w:rPr>
                <w:sz w:val="20"/>
                <w:szCs w:val="20"/>
                <w:color w:val="auto"/>
              </w:rPr>
            </w:pPr>
            <w:r>
              <w:rPr>
                <w:rFonts w:ascii="Arial" w:cs="Arial" w:eastAsia="Arial" w:hAnsi="Arial"/>
                <w:sz w:val="13"/>
                <w:szCs w:val="13"/>
                <w:color w:val="333740"/>
              </w:rPr>
              <w:t>58,000</w:t>
            </w:r>
            <w:r>
              <w:rPr>
                <w:rFonts w:ascii="Arial" w:cs="Arial" w:eastAsia="Arial" w:hAnsi="Arial"/>
                <w:sz w:val="21"/>
                <w:szCs w:val="21"/>
                <w:color w:val="333740"/>
                <w:vertAlign w:val="superscript"/>
              </w:rPr>
              <w:t>4</w:t>
            </w:r>
          </w:p>
        </w:tc>
        <w:tc>
          <w:tcPr>
            <w:tcW w:w="1120" w:type="dxa"/>
            <w:vAlign w:val="bottom"/>
            <w:tcBorders>
              <w:bottom w:val="single" w:sz="8" w:color="D7D8D6"/>
            </w:tcBorders>
          </w:tcPr>
          <w:p>
            <w:pPr>
              <w:spacing w:after="0"/>
              <w:rPr>
                <w:sz w:val="19"/>
                <w:szCs w:val="19"/>
                <w:color w:val="auto"/>
              </w:rPr>
            </w:pPr>
          </w:p>
        </w:tc>
        <w:tc>
          <w:tcPr>
            <w:tcW w:w="1120" w:type="dxa"/>
            <w:vAlign w:val="bottom"/>
            <w:tcBorders>
              <w:bottom w:val="single" w:sz="8" w:color="D7D8D6"/>
            </w:tcBorders>
          </w:tcPr>
          <w:p>
            <w:pPr>
              <w:spacing w:after="0"/>
              <w:rPr>
                <w:sz w:val="19"/>
                <w:szCs w:val="19"/>
                <w:color w:val="auto"/>
              </w:rPr>
            </w:pPr>
          </w:p>
        </w:tc>
        <w:tc>
          <w:tcPr>
            <w:tcW w:w="1020" w:type="dxa"/>
            <w:vAlign w:val="bottom"/>
            <w:tcBorders>
              <w:bottom w:val="single" w:sz="8" w:color="D7D8D6"/>
            </w:tcBorders>
          </w:tcPr>
          <w:p>
            <w:pPr>
              <w:jc w:val="right"/>
              <w:ind w:right="19"/>
              <w:spacing w:after="0"/>
              <w:rPr>
                <w:sz w:val="20"/>
                <w:szCs w:val="20"/>
                <w:color w:val="auto"/>
              </w:rPr>
            </w:pPr>
            <w:r>
              <w:rPr>
                <w:rFonts w:ascii="Arial" w:cs="Arial" w:eastAsia="Arial" w:hAnsi="Arial"/>
                <w:sz w:val="13"/>
                <w:szCs w:val="13"/>
                <w:color w:val="333740"/>
              </w:rPr>
              <w:t>1,243,520</w:t>
            </w:r>
          </w:p>
        </w:tc>
      </w:tr>
      <w:tr>
        <w:trPr>
          <w:trHeight w:val="219"/>
        </w:trPr>
        <w:tc>
          <w:tcPr>
            <w:tcW w:w="1620" w:type="dxa"/>
            <w:vAlign w:val="bottom"/>
            <w:tcBorders>
              <w:bottom w:val="single" w:sz="8" w:color="D7D8D6"/>
            </w:tcBorders>
          </w:tcPr>
          <w:p>
            <w:pPr>
              <w:jc w:val="right"/>
              <w:ind w:right="297"/>
              <w:spacing w:after="0"/>
              <w:rPr>
                <w:sz w:val="20"/>
                <w:szCs w:val="20"/>
                <w:color w:val="auto"/>
              </w:rPr>
            </w:pPr>
            <w:r>
              <w:rPr>
                <w:rFonts w:ascii="Arial" w:cs="Arial" w:eastAsia="Arial" w:hAnsi="Arial"/>
                <w:sz w:val="13"/>
                <w:szCs w:val="13"/>
                <w:color w:val="333740"/>
              </w:rPr>
              <w:t>8/9/2017</w:t>
            </w:r>
          </w:p>
        </w:tc>
        <w:tc>
          <w:tcPr>
            <w:tcW w:w="1000" w:type="dxa"/>
            <w:vAlign w:val="bottom"/>
            <w:tcBorders>
              <w:bottom w:val="single" w:sz="8" w:color="D7D8D6"/>
            </w:tcBorders>
          </w:tcPr>
          <w:p>
            <w:pPr>
              <w:spacing w:after="0"/>
              <w:rPr>
                <w:sz w:val="19"/>
                <w:szCs w:val="19"/>
                <w:color w:val="auto"/>
              </w:rPr>
            </w:pPr>
          </w:p>
        </w:tc>
        <w:tc>
          <w:tcPr>
            <w:tcW w:w="1080" w:type="dxa"/>
            <w:vAlign w:val="bottom"/>
            <w:tcBorders>
              <w:bottom w:val="single" w:sz="8" w:color="D7D8D6"/>
            </w:tcBorders>
          </w:tcPr>
          <w:p>
            <w:pPr>
              <w:spacing w:after="0"/>
              <w:rPr>
                <w:sz w:val="19"/>
                <w:szCs w:val="19"/>
                <w:color w:val="auto"/>
              </w:rPr>
            </w:pPr>
          </w:p>
        </w:tc>
        <w:tc>
          <w:tcPr>
            <w:tcW w:w="1040" w:type="dxa"/>
            <w:vAlign w:val="bottom"/>
            <w:tcBorders>
              <w:bottom w:val="single" w:sz="8" w:color="D7D8D6"/>
            </w:tcBorders>
          </w:tcPr>
          <w:p>
            <w:pPr>
              <w:spacing w:after="0"/>
              <w:rPr>
                <w:sz w:val="19"/>
                <w:szCs w:val="19"/>
                <w:color w:val="auto"/>
              </w:rPr>
            </w:pPr>
          </w:p>
        </w:tc>
        <w:tc>
          <w:tcPr>
            <w:tcW w:w="1200" w:type="dxa"/>
            <w:vAlign w:val="bottom"/>
            <w:tcBorders>
              <w:bottom w:val="single" w:sz="8" w:color="D7D8D6"/>
            </w:tcBorders>
          </w:tcPr>
          <w:p>
            <w:pPr>
              <w:spacing w:after="0"/>
              <w:rPr>
                <w:sz w:val="19"/>
                <w:szCs w:val="19"/>
                <w:color w:val="auto"/>
              </w:rPr>
            </w:pPr>
          </w:p>
        </w:tc>
        <w:tc>
          <w:tcPr>
            <w:tcW w:w="1040" w:type="dxa"/>
            <w:vAlign w:val="bottom"/>
            <w:tcBorders>
              <w:bottom w:val="single" w:sz="8" w:color="D7D8D6"/>
            </w:tcBorders>
          </w:tcPr>
          <w:p>
            <w:pPr>
              <w:spacing w:after="0"/>
              <w:rPr>
                <w:sz w:val="19"/>
                <w:szCs w:val="19"/>
                <w:color w:val="auto"/>
              </w:rPr>
            </w:pPr>
          </w:p>
        </w:tc>
        <w:tc>
          <w:tcPr>
            <w:tcW w:w="1020" w:type="dxa"/>
            <w:vAlign w:val="bottom"/>
            <w:tcBorders>
              <w:bottom w:val="single" w:sz="8" w:color="D7D8D6"/>
            </w:tcBorders>
          </w:tcPr>
          <w:p>
            <w:pPr>
              <w:jc w:val="right"/>
              <w:ind w:right="79"/>
              <w:spacing w:after="0" w:line="215" w:lineRule="exact"/>
              <w:rPr>
                <w:sz w:val="20"/>
                <w:szCs w:val="20"/>
                <w:color w:val="auto"/>
              </w:rPr>
            </w:pPr>
            <w:r>
              <w:rPr>
                <w:rFonts w:ascii="Arial" w:cs="Arial" w:eastAsia="Arial" w:hAnsi="Arial"/>
                <w:sz w:val="13"/>
                <w:szCs w:val="13"/>
                <w:color w:val="333740"/>
              </w:rPr>
              <w:t>81,001</w:t>
            </w:r>
            <w:r>
              <w:rPr>
                <w:rFonts w:ascii="Arial" w:cs="Arial" w:eastAsia="Arial" w:hAnsi="Arial"/>
                <w:sz w:val="21"/>
                <w:szCs w:val="21"/>
                <w:color w:val="333740"/>
                <w:vertAlign w:val="superscript"/>
              </w:rPr>
              <w:t>5</w:t>
            </w:r>
          </w:p>
        </w:tc>
        <w:tc>
          <w:tcPr>
            <w:tcW w:w="1120" w:type="dxa"/>
            <w:vAlign w:val="bottom"/>
            <w:tcBorders>
              <w:bottom w:val="single" w:sz="8" w:color="D7D8D6"/>
            </w:tcBorders>
          </w:tcPr>
          <w:p>
            <w:pPr>
              <w:jc w:val="right"/>
              <w:ind w:right="98"/>
              <w:spacing w:after="0"/>
              <w:rPr>
                <w:sz w:val="20"/>
                <w:szCs w:val="20"/>
                <w:color w:val="auto"/>
              </w:rPr>
            </w:pPr>
            <w:r>
              <w:rPr>
                <w:rFonts w:ascii="Arial" w:cs="Arial" w:eastAsia="Arial" w:hAnsi="Arial"/>
                <w:sz w:val="13"/>
                <w:szCs w:val="13"/>
                <w:color w:val="333740"/>
              </w:rPr>
              <w:t>1,736,661</w:t>
            </w:r>
          </w:p>
        </w:tc>
        <w:tc>
          <w:tcPr>
            <w:tcW w:w="1120" w:type="dxa"/>
            <w:vAlign w:val="bottom"/>
            <w:tcBorders>
              <w:bottom w:val="single" w:sz="8" w:color="D7D8D6"/>
            </w:tcBorders>
          </w:tcPr>
          <w:p>
            <w:pPr>
              <w:jc w:val="right"/>
              <w:ind w:right="100"/>
              <w:spacing w:after="0" w:line="215" w:lineRule="exact"/>
              <w:rPr>
                <w:sz w:val="20"/>
                <w:szCs w:val="20"/>
                <w:color w:val="auto"/>
              </w:rPr>
            </w:pPr>
            <w:r>
              <w:rPr>
                <w:rFonts w:ascii="Arial" w:cs="Arial" w:eastAsia="Arial" w:hAnsi="Arial"/>
                <w:sz w:val="13"/>
                <w:szCs w:val="13"/>
                <w:color w:val="333740"/>
              </w:rPr>
              <w:t>121,502</w:t>
            </w:r>
            <w:r>
              <w:rPr>
                <w:rFonts w:ascii="Arial" w:cs="Arial" w:eastAsia="Arial" w:hAnsi="Arial"/>
                <w:sz w:val="21"/>
                <w:szCs w:val="21"/>
                <w:color w:val="333740"/>
                <w:vertAlign w:val="superscript"/>
              </w:rPr>
              <w:t>6</w:t>
            </w:r>
          </w:p>
        </w:tc>
        <w:tc>
          <w:tcPr>
            <w:tcW w:w="1020" w:type="dxa"/>
            <w:vAlign w:val="bottom"/>
            <w:tcBorders>
              <w:bottom w:val="single" w:sz="8" w:color="D7D8D6"/>
            </w:tcBorders>
          </w:tcPr>
          <w:p>
            <w:pPr>
              <w:jc w:val="right"/>
              <w:ind w:right="19"/>
              <w:spacing w:after="0"/>
              <w:rPr>
                <w:sz w:val="20"/>
                <w:szCs w:val="20"/>
                <w:color w:val="auto"/>
              </w:rPr>
            </w:pPr>
            <w:r>
              <w:rPr>
                <w:rFonts w:ascii="Arial" w:cs="Arial" w:eastAsia="Arial" w:hAnsi="Arial"/>
                <w:sz w:val="13"/>
                <w:szCs w:val="13"/>
                <w:color w:val="333740"/>
              </w:rPr>
              <w:t>2,605,003</w:t>
            </w:r>
          </w:p>
        </w:tc>
      </w:tr>
    </w:tbl>
    <w:p>
      <w:pPr>
        <w:spacing w:after="0" w:line="327" w:lineRule="exact"/>
        <w:rPr>
          <w:sz w:val="20"/>
          <w:szCs w:val="20"/>
          <w:color w:val="auto"/>
        </w:rPr>
      </w:pPr>
    </w:p>
    <w:p>
      <w:pPr>
        <w:ind w:left="304" w:right="240" w:hanging="304"/>
        <w:spacing w:after="0"/>
        <w:tabs>
          <w:tab w:leader="none" w:pos="304" w:val="left"/>
        </w:tabs>
        <w:numPr>
          <w:ilvl w:val="0"/>
          <w:numId w:val="133"/>
        </w:numPr>
        <w:rPr>
          <w:rFonts w:ascii="Arial" w:cs="Arial" w:eastAsia="Arial" w:hAnsi="Arial"/>
          <w:sz w:val="11"/>
          <w:szCs w:val="11"/>
          <w:color w:val="333740"/>
        </w:rPr>
      </w:pPr>
      <w:r>
        <w:rPr>
          <w:rFonts w:ascii="Arial" w:cs="Arial" w:eastAsia="Arial" w:hAnsi="Arial"/>
          <w:sz w:val="11"/>
          <w:szCs w:val="11"/>
          <w:color w:val="333740"/>
        </w:rPr>
        <w:t>All grants made prior to the closing of the Merger were granted under the terms of various Technip share incentive plans (the “</w:t>
      </w:r>
      <w:r>
        <w:rPr>
          <w:rFonts w:ascii="Arial" w:cs="Arial" w:eastAsia="Arial" w:hAnsi="Arial"/>
          <w:sz w:val="11"/>
          <w:szCs w:val="11"/>
          <w:b w:val="1"/>
          <w:bCs w:val="1"/>
          <w:color w:val="333740"/>
        </w:rPr>
        <w:t>Technip Plans</w:t>
      </w:r>
      <w:r>
        <w:rPr>
          <w:rFonts w:ascii="Arial" w:cs="Arial" w:eastAsia="Arial" w:hAnsi="Arial"/>
          <w:sz w:val="11"/>
          <w:szCs w:val="11"/>
          <w:color w:val="333740"/>
        </w:rPr>
        <w:t>”). The Technip Plans did not require accelerated vesting of awards upon the closing of the Merger.</w:t>
      </w:r>
    </w:p>
    <w:p>
      <w:pPr>
        <w:ind w:left="304" w:hanging="304"/>
        <w:spacing w:after="0" w:line="226" w:lineRule="auto"/>
        <w:tabs>
          <w:tab w:leader="none" w:pos="304" w:val="left"/>
        </w:tabs>
        <w:numPr>
          <w:ilvl w:val="0"/>
          <w:numId w:val="133"/>
        </w:numPr>
        <w:rPr>
          <w:rFonts w:ascii="Arial" w:cs="Arial" w:eastAsia="Arial" w:hAnsi="Arial"/>
          <w:sz w:val="11"/>
          <w:szCs w:val="11"/>
          <w:color w:val="333740"/>
        </w:rPr>
      </w:pPr>
      <w:r>
        <w:rPr>
          <w:rFonts w:ascii="Arial" w:cs="Arial" w:eastAsia="Arial" w:hAnsi="Arial"/>
          <w:sz w:val="11"/>
          <w:szCs w:val="11"/>
          <w:color w:val="333740"/>
        </w:rPr>
        <w:t>The market value of RSUs that have not vested is calculated using the closing price of the Company’s Ordinary Shares on the NYSE of $21.44 on December 31, 2019.</w:t>
      </w:r>
    </w:p>
    <w:p>
      <w:pPr>
        <w:ind w:left="304" w:hanging="304"/>
        <w:spacing w:after="0" w:line="226" w:lineRule="auto"/>
        <w:tabs>
          <w:tab w:leader="none" w:pos="304" w:val="left"/>
        </w:tabs>
        <w:numPr>
          <w:ilvl w:val="0"/>
          <w:numId w:val="133"/>
        </w:numPr>
        <w:rPr>
          <w:rFonts w:ascii="Arial" w:cs="Arial" w:eastAsia="Arial" w:hAnsi="Arial"/>
          <w:sz w:val="11"/>
          <w:szCs w:val="11"/>
          <w:color w:val="333740"/>
        </w:rPr>
      </w:pPr>
      <w:r>
        <w:rPr>
          <w:rFonts w:ascii="Arial" w:cs="Arial" w:eastAsia="Arial" w:hAnsi="Arial"/>
          <w:sz w:val="11"/>
          <w:szCs w:val="11"/>
          <w:color w:val="333740"/>
        </w:rPr>
        <w:t>Reflects grant of legacy Technip stock options and PSUs, as applicable, that were earned based on the satisfaction of performance criteria at target, and that vest on July 1, 2020.</w:t>
      </w:r>
    </w:p>
    <w:p>
      <w:pPr>
        <w:ind w:left="304" w:hanging="304"/>
        <w:spacing w:after="0" w:line="226" w:lineRule="auto"/>
        <w:tabs>
          <w:tab w:leader="none" w:pos="304" w:val="left"/>
        </w:tabs>
        <w:numPr>
          <w:ilvl w:val="0"/>
          <w:numId w:val="133"/>
        </w:numPr>
        <w:rPr>
          <w:rFonts w:ascii="Arial" w:cs="Arial" w:eastAsia="Arial" w:hAnsi="Arial"/>
          <w:sz w:val="11"/>
          <w:szCs w:val="11"/>
          <w:color w:val="333740"/>
        </w:rPr>
      </w:pPr>
      <w:r>
        <w:rPr>
          <w:rFonts w:ascii="Arial" w:cs="Arial" w:eastAsia="Arial" w:hAnsi="Arial"/>
          <w:sz w:val="11"/>
          <w:szCs w:val="11"/>
          <w:color w:val="333740"/>
        </w:rPr>
        <w:t>Reflects grant of legacy Technip PSUs that were earned based on the satisfaction of performance criteria at target, and that vest on December 6, 2020.</w:t>
      </w:r>
    </w:p>
    <w:p>
      <w:pPr>
        <w:ind w:left="304" w:hanging="304"/>
        <w:spacing w:after="0" w:line="226" w:lineRule="auto"/>
        <w:tabs>
          <w:tab w:leader="none" w:pos="304" w:val="left"/>
        </w:tabs>
        <w:numPr>
          <w:ilvl w:val="0"/>
          <w:numId w:val="133"/>
        </w:numPr>
        <w:rPr>
          <w:rFonts w:ascii="Arial" w:cs="Arial" w:eastAsia="Arial" w:hAnsi="Arial"/>
          <w:sz w:val="11"/>
          <w:szCs w:val="11"/>
          <w:color w:val="333740"/>
        </w:rPr>
      </w:pPr>
      <w:r>
        <w:rPr>
          <w:rFonts w:ascii="Arial" w:cs="Arial" w:eastAsia="Arial" w:hAnsi="Arial"/>
          <w:sz w:val="11"/>
          <w:szCs w:val="11"/>
          <w:color w:val="333740"/>
        </w:rPr>
        <w:t>Reflects grant of RSUs that vest on February 28, 2020.</w:t>
      </w:r>
    </w:p>
    <w:p>
      <w:pPr>
        <w:ind w:left="304" w:hanging="304"/>
        <w:spacing w:after="0"/>
        <w:tabs>
          <w:tab w:leader="none" w:pos="304" w:val="left"/>
        </w:tabs>
        <w:numPr>
          <w:ilvl w:val="0"/>
          <w:numId w:val="133"/>
        </w:numPr>
        <w:rPr>
          <w:rFonts w:ascii="Arial" w:cs="Arial" w:eastAsia="Arial" w:hAnsi="Arial"/>
          <w:sz w:val="11"/>
          <w:szCs w:val="11"/>
          <w:color w:val="333740"/>
        </w:rPr>
      </w:pPr>
      <w:r>
        <w:rPr>
          <w:rFonts w:ascii="Arial" w:cs="Arial" w:eastAsia="Arial" w:hAnsi="Arial"/>
          <w:sz w:val="11"/>
          <w:szCs w:val="11"/>
          <w:color w:val="333740"/>
        </w:rPr>
        <w:t>Reflects the target number of PSUs subject to the achievement of performance conditions that vest on February 28, 2020.</w:t>
      </w:r>
    </w:p>
    <w:p>
      <w:pPr>
        <w:spacing w:after="0" w:line="337" w:lineRule="exact"/>
        <w:rPr>
          <w:sz w:val="20"/>
          <w:szCs w:val="20"/>
          <w:color w:val="auto"/>
        </w:rPr>
      </w:pPr>
    </w:p>
    <w:p>
      <w:pPr>
        <w:ind w:left="564" w:hanging="564"/>
        <w:spacing w:after="0"/>
        <w:tabs>
          <w:tab w:leader="none" w:pos="564" w:val="left"/>
        </w:tabs>
        <w:numPr>
          <w:ilvl w:val="0"/>
          <w:numId w:val="13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7" w:right="319" w:bottom="1440" w:gutter="0" w:footer="0" w:header="0"/>
        </w:sectPr>
      </w:pPr>
    </w:p>
    <w:bookmarkStart w:id="107" w:name="page108"/>
    <w:bookmarkEnd w:id="107"/>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57"/>
          <w:szCs w:val="57"/>
          <w:color w:val="481F6E"/>
        </w:rPr>
        <w:t>Compensation</w:t>
      </w:r>
    </w:p>
    <w:p>
      <w:pPr>
        <w:spacing w:after="0" w:line="73" w:lineRule="exact"/>
        <w:rPr>
          <w:sz w:val="20"/>
          <w:szCs w:val="20"/>
          <w:color w:val="auto"/>
        </w:rPr>
      </w:pPr>
    </w:p>
    <w:p>
      <w:pPr>
        <w:ind w:left="4"/>
        <w:spacing w:after="0"/>
        <w:rPr>
          <w:sz w:val="20"/>
          <w:szCs w:val="20"/>
          <w:color w:val="auto"/>
        </w:rPr>
      </w:pPr>
      <w:r>
        <w:rPr>
          <w:rFonts w:ascii="Arial" w:cs="Arial" w:eastAsia="Arial" w:hAnsi="Arial"/>
          <w:sz w:val="57"/>
          <w:szCs w:val="57"/>
          <w:color w:val="481F6E"/>
        </w:rPr>
        <w:t>Committee Report</w:t>
      </w:r>
    </w:p>
    <w:p>
      <w:pPr>
        <w:spacing w:after="0" w:line="259" w:lineRule="exact"/>
        <w:rPr>
          <w:sz w:val="20"/>
          <w:szCs w:val="20"/>
          <w:color w:val="auto"/>
        </w:rPr>
      </w:pPr>
    </w:p>
    <w:p>
      <w:pPr>
        <w:ind w:left="4"/>
        <w:spacing w:after="0" w:line="239" w:lineRule="auto"/>
        <w:rPr>
          <w:sz w:val="20"/>
          <w:szCs w:val="20"/>
          <w:color w:val="auto"/>
        </w:rPr>
      </w:pPr>
      <w:r>
        <w:rPr>
          <w:rFonts w:ascii="Arial" w:cs="Arial" w:eastAsia="Arial" w:hAnsi="Arial"/>
          <w:sz w:val="16"/>
          <w:szCs w:val="16"/>
          <w:color w:val="333740"/>
        </w:rPr>
        <w:t>The Compensation Committee has reviewed and discussed with management the Compensation Discussion and Analysis of the Company. Based on its review and discussions, the committee recommended to the Board of Directors that the Compensation Discussion and Analysis be included in this Proxy Statement and incorporated by reference into our Annual Report on Form 10-K for the year ended December 31, 2019.</w:t>
      </w:r>
    </w:p>
    <w:p>
      <w:pPr>
        <w:spacing w:after="0" w:line="84" w:lineRule="exact"/>
        <w:rPr>
          <w:sz w:val="20"/>
          <w:szCs w:val="20"/>
          <w:color w:val="auto"/>
        </w:rPr>
      </w:pPr>
    </w:p>
    <w:p>
      <w:pPr>
        <w:ind w:left="4"/>
        <w:spacing w:after="0"/>
        <w:rPr>
          <w:sz w:val="20"/>
          <w:szCs w:val="20"/>
          <w:color w:val="auto"/>
        </w:rPr>
      </w:pPr>
      <w:r>
        <w:rPr>
          <w:rFonts w:ascii="Arial" w:cs="Arial" w:eastAsia="Arial" w:hAnsi="Arial"/>
          <w:sz w:val="16"/>
          <w:szCs w:val="16"/>
          <w:color w:val="333740"/>
        </w:rPr>
        <w:t>Submitted by the Compensation Committee of the Board of Directors:</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16"/>
          <w:szCs w:val="16"/>
          <w:color w:val="333740"/>
        </w:rPr>
        <w:t>James M. Ringler, Chair</w:t>
      </w:r>
    </w:p>
    <w:p>
      <w:pPr>
        <w:ind w:left="4"/>
        <w:spacing w:after="0" w:line="233" w:lineRule="auto"/>
        <w:rPr>
          <w:sz w:val="20"/>
          <w:szCs w:val="20"/>
          <w:color w:val="auto"/>
        </w:rPr>
      </w:pPr>
      <w:r>
        <w:rPr>
          <w:rFonts w:ascii="Arial" w:cs="Arial" w:eastAsia="Arial" w:hAnsi="Arial"/>
          <w:sz w:val="16"/>
          <w:szCs w:val="16"/>
          <w:color w:val="333740"/>
        </w:rPr>
        <w:t>Claire S. Farley</w:t>
      </w:r>
    </w:p>
    <w:p>
      <w:pPr>
        <w:ind w:left="4"/>
        <w:spacing w:after="0" w:line="234" w:lineRule="auto"/>
        <w:rPr>
          <w:sz w:val="20"/>
          <w:szCs w:val="20"/>
          <w:color w:val="auto"/>
        </w:rPr>
      </w:pPr>
      <w:r>
        <w:rPr>
          <w:rFonts w:ascii="Arial" w:cs="Arial" w:eastAsia="Arial" w:hAnsi="Arial"/>
          <w:sz w:val="16"/>
          <w:szCs w:val="16"/>
          <w:color w:val="333740"/>
        </w:rPr>
        <w:t>John O’Leary</w:t>
      </w:r>
    </w:p>
    <w:p>
      <w:pPr>
        <w:ind w:left="4"/>
        <w:spacing w:after="0" w:line="234" w:lineRule="auto"/>
        <w:rPr>
          <w:sz w:val="20"/>
          <w:szCs w:val="20"/>
          <w:color w:val="auto"/>
        </w:rPr>
      </w:pPr>
      <w:r>
        <w:rPr>
          <w:rFonts w:ascii="Arial" w:cs="Arial" w:eastAsia="Arial" w:hAnsi="Arial"/>
          <w:sz w:val="16"/>
          <w:szCs w:val="16"/>
          <w:color w:val="333740"/>
        </w:rPr>
        <w:t>Joseph Rinaldi</w:t>
      </w:r>
    </w:p>
    <w:p>
      <w:pPr>
        <w:ind w:left="4"/>
        <w:spacing w:after="0"/>
        <w:rPr>
          <w:sz w:val="20"/>
          <w:szCs w:val="20"/>
          <w:color w:val="auto"/>
        </w:rPr>
      </w:pPr>
      <w:r>
        <w:rPr>
          <w:rFonts w:ascii="Arial" w:cs="Arial" w:eastAsia="Arial" w:hAnsi="Arial"/>
          <w:sz w:val="16"/>
          <w:szCs w:val="16"/>
          <w:color w:val="333740"/>
        </w:rPr>
        <w:t>John Yearwood</w:t>
      </w:r>
    </w:p>
    <w:p>
      <w:pPr>
        <w:spacing w:after="0" w:line="335" w:lineRule="exact"/>
        <w:rPr>
          <w:sz w:val="20"/>
          <w:szCs w:val="20"/>
          <w:color w:val="auto"/>
        </w:rPr>
      </w:pPr>
    </w:p>
    <w:p>
      <w:pPr>
        <w:ind w:left="564" w:hanging="564"/>
        <w:spacing w:after="0"/>
        <w:tabs>
          <w:tab w:leader="none" w:pos="564" w:val="left"/>
        </w:tabs>
        <w:numPr>
          <w:ilvl w:val="0"/>
          <w:numId w:val="135"/>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108" w:name="page109"/>
    <w:bookmarkEnd w:id="108"/>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57"/>
          <w:szCs w:val="57"/>
          <w:color w:val="481F6E"/>
        </w:rPr>
        <w:t>Audit Committee Report</w:t>
      </w:r>
    </w:p>
    <w:p>
      <w:pPr>
        <w:spacing w:after="0" w:line="259" w:lineRule="exact"/>
        <w:rPr>
          <w:sz w:val="20"/>
          <w:szCs w:val="20"/>
          <w:color w:val="auto"/>
        </w:rPr>
      </w:pPr>
    </w:p>
    <w:p>
      <w:pPr>
        <w:ind w:left="4" w:right="20"/>
        <w:spacing w:after="0" w:line="238" w:lineRule="auto"/>
        <w:rPr>
          <w:sz w:val="20"/>
          <w:szCs w:val="20"/>
          <w:color w:val="auto"/>
        </w:rPr>
      </w:pPr>
      <w:r>
        <w:rPr>
          <w:rFonts w:ascii="Arial" w:cs="Arial" w:eastAsia="Arial" w:hAnsi="Arial"/>
          <w:sz w:val="16"/>
          <w:szCs w:val="16"/>
          <w:color w:val="333740"/>
        </w:rPr>
        <w:t>Management is responsible for the preparation of our financial statements and our financial reporting processes, including the systems of internal controls and disclosure controls and procedures. PwC, our independent registered public accounting firm, is responsible for performing an independent audit of our financial statements in accordance with generally accepted auditing standards and issuing a report thereon. The Audit Committee’s responsibility is to monitor and oversee these processes.</w:t>
      </w:r>
    </w:p>
    <w:p>
      <w:pPr>
        <w:spacing w:after="0" w:line="83" w:lineRule="exact"/>
        <w:rPr>
          <w:sz w:val="20"/>
          <w:szCs w:val="20"/>
          <w:color w:val="auto"/>
        </w:rPr>
      </w:pPr>
    </w:p>
    <w:p>
      <w:pPr>
        <w:ind w:left="4"/>
        <w:spacing w:after="0"/>
        <w:rPr>
          <w:sz w:val="20"/>
          <w:szCs w:val="20"/>
          <w:color w:val="auto"/>
        </w:rPr>
      </w:pPr>
      <w:r>
        <w:rPr>
          <w:rFonts w:ascii="Arial" w:cs="Arial" w:eastAsia="Arial" w:hAnsi="Arial"/>
          <w:sz w:val="16"/>
          <w:szCs w:val="16"/>
          <w:color w:val="333740"/>
        </w:rPr>
        <w:t>The Audit Committee of the Board of Directors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58420</wp:posOffset>
            </wp:positionV>
            <wp:extent cx="38100" cy="755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73" w:lineRule="exact"/>
        <w:rPr>
          <w:sz w:val="20"/>
          <w:szCs w:val="20"/>
          <w:color w:val="auto"/>
        </w:rPr>
      </w:pPr>
    </w:p>
    <w:p>
      <w:pPr>
        <w:ind w:left="284" w:right="240"/>
        <w:spacing w:after="0" w:line="265" w:lineRule="auto"/>
        <w:rPr>
          <w:sz w:val="20"/>
          <w:szCs w:val="20"/>
          <w:color w:val="auto"/>
        </w:rPr>
      </w:pPr>
      <w:r>
        <w:rPr>
          <w:rFonts w:ascii="Arial" w:cs="Arial" w:eastAsia="Arial" w:hAnsi="Arial"/>
          <w:sz w:val="14"/>
          <w:szCs w:val="14"/>
          <w:color w:val="333740"/>
        </w:rPr>
        <w:t>reviewed and discussed with management and PwC the audited financial statements for the year ended December 31, 2019, and PwC’s evaluation of our internal control over financial reporting;</w:t>
      </w:r>
    </w:p>
    <w:p>
      <w:pPr>
        <w:spacing w:after="0" w:line="45" w:lineRule="exact"/>
        <w:rPr>
          <w:sz w:val="20"/>
          <w:szCs w:val="20"/>
          <w:color w:val="auto"/>
        </w:rPr>
      </w:pPr>
    </w:p>
    <w:p>
      <w:pPr>
        <w:ind w:left="284" w:right="200"/>
        <w:spacing w:after="0" w:line="292" w:lineRule="auto"/>
        <w:rPr>
          <w:sz w:val="20"/>
          <w:szCs w:val="20"/>
          <w:color w:val="auto"/>
        </w:rPr>
      </w:pPr>
      <w:r>
        <w:rPr>
          <w:rFonts w:ascii="Arial" w:cs="Arial" w:eastAsia="Arial" w:hAnsi="Arial"/>
          <w:sz w:val="14"/>
          <w:szCs w:val="14"/>
          <w:color w:val="333740"/>
        </w:rPr>
        <w:t>discussed with PwC the matters required to be discussed by the applicable requirements of the Public Company Accounting Oversight Board (the “</w:t>
      </w:r>
      <w:r>
        <w:rPr>
          <w:rFonts w:ascii="Arial" w:cs="Arial" w:eastAsia="Arial" w:hAnsi="Arial"/>
          <w:sz w:val="14"/>
          <w:szCs w:val="14"/>
          <w:b w:val="1"/>
          <w:bCs w:val="1"/>
          <w:color w:val="333740"/>
        </w:rPr>
        <w:t>PCAOB</w:t>
      </w:r>
      <w:r>
        <w:rPr>
          <w:rFonts w:ascii="Arial" w:cs="Arial" w:eastAsia="Arial" w:hAnsi="Arial"/>
          <w:sz w:val="14"/>
          <w:szCs w:val="14"/>
          <w:color w:val="333740"/>
        </w:rPr>
        <w:t>”) and the U.S. Securities and Exchange Commission;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-237490</wp:posOffset>
            </wp:positionV>
            <wp:extent cx="38100" cy="755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8100" cy="7556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34925</wp:posOffset>
            </wp:positionV>
            <wp:extent cx="38100" cy="755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6" w:lineRule="exact"/>
        <w:rPr>
          <w:sz w:val="20"/>
          <w:szCs w:val="20"/>
          <w:color w:val="auto"/>
        </w:rPr>
      </w:pPr>
    </w:p>
    <w:p>
      <w:pPr>
        <w:ind w:left="284" w:right="500"/>
        <w:spacing w:after="0" w:line="265" w:lineRule="auto"/>
        <w:rPr>
          <w:sz w:val="20"/>
          <w:szCs w:val="20"/>
          <w:color w:val="auto"/>
        </w:rPr>
      </w:pPr>
      <w:r>
        <w:rPr>
          <w:rFonts w:ascii="Arial" w:cs="Arial" w:eastAsia="Arial" w:hAnsi="Arial"/>
          <w:sz w:val="14"/>
          <w:szCs w:val="14"/>
          <w:color w:val="333740"/>
        </w:rPr>
        <w:t>received the written disclosures from PwC required by applicable requirements of the PCAOB regarding PwC’s communications with the Audit Committee concerning independence and discussed with PwC its independence from the Company.</w:t>
      </w:r>
    </w:p>
    <w:p>
      <w:pPr>
        <w:spacing w:after="0" w:line="84" w:lineRule="exact"/>
        <w:rPr>
          <w:sz w:val="20"/>
          <w:szCs w:val="20"/>
          <w:color w:val="auto"/>
        </w:rPr>
      </w:pPr>
    </w:p>
    <w:p>
      <w:pPr>
        <w:ind w:left="4"/>
        <w:spacing w:after="0" w:line="244" w:lineRule="auto"/>
        <w:rPr>
          <w:sz w:val="20"/>
          <w:szCs w:val="20"/>
          <w:color w:val="auto"/>
        </w:rPr>
      </w:pPr>
      <w:r>
        <w:rPr>
          <w:rFonts w:ascii="Arial" w:cs="Arial" w:eastAsia="Arial" w:hAnsi="Arial"/>
          <w:sz w:val="16"/>
          <w:szCs w:val="16"/>
          <w:color w:val="333740"/>
        </w:rPr>
        <w:t>In reliance upon the review and discussions referred to above, the Audit Committee recommended to the Board of Directors that the audited financial statements be included in our Annual Report on Form 10-K for the year ended December 31, 2019.</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6"/>
          <w:szCs w:val="16"/>
          <w:color w:val="333740"/>
        </w:rPr>
        <w:t>Submitted by the Audit Committee of the Board of Directors:</w:t>
      </w:r>
    </w:p>
    <w:p>
      <w:pPr>
        <w:spacing w:after="0" w:line="106" w:lineRule="exact"/>
        <w:rPr>
          <w:sz w:val="20"/>
          <w:szCs w:val="20"/>
          <w:color w:val="auto"/>
        </w:rPr>
      </w:pPr>
    </w:p>
    <w:p>
      <w:pPr>
        <w:ind w:left="4"/>
        <w:spacing w:after="0"/>
        <w:rPr>
          <w:sz w:val="20"/>
          <w:szCs w:val="20"/>
          <w:color w:val="auto"/>
        </w:rPr>
      </w:pPr>
      <w:r>
        <w:rPr>
          <w:rFonts w:ascii="Arial" w:cs="Arial" w:eastAsia="Arial" w:hAnsi="Arial"/>
          <w:sz w:val="16"/>
          <w:szCs w:val="16"/>
          <w:color w:val="333740"/>
        </w:rPr>
        <w:t>Marie-Ange Debon, Chair</w:t>
      </w:r>
    </w:p>
    <w:p>
      <w:pPr>
        <w:ind w:left="4"/>
        <w:spacing w:after="0" w:line="233" w:lineRule="auto"/>
        <w:rPr>
          <w:sz w:val="20"/>
          <w:szCs w:val="20"/>
          <w:color w:val="auto"/>
        </w:rPr>
      </w:pPr>
      <w:r>
        <w:rPr>
          <w:rFonts w:ascii="Arial" w:cs="Arial" w:eastAsia="Arial" w:hAnsi="Arial"/>
          <w:sz w:val="16"/>
          <w:szCs w:val="16"/>
          <w:color w:val="333740"/>
        </w:rPr>
        <w:t>Eleazar de Carvalho Filho</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333740"/>
        </w:rPr>
        <w:t>Arnaud Caudoux</w:t>
      </w:r>
    </w:p>
    <w:p>
      <w:pPr>
        <w:spacing w:after="0" w:line="6" w:lineRule="exact"/>
        <w:rPr>
          <w:sz w:val="20"/>
          <w:szCs w:val="20"/>
          <w:color w:val="auto"/>
        </w:rPr>
      </w:pPr>
    </w:p>
    <w:p>
      <w:pPr>
        <w:ind w:left="4"/>
        <w:spacing w:after="0"/>
        <w:rPr>
          <w:sz w:val="20"/>
          <w:szCs w:val="20"/>
          <w:color w:val="auto"/>
        </w:rPr>
      </w:pPr>
      <w:r>
        <w:rPr>
          <w:rFonts w:ascii="Arial" w:cs="Arial" w:eastAsia="Arial" w:hAnsi="Arial"/>
          <w:sz w:val="16"/>
          <w:szCs w:val="16"/>
          <w:color w:val="333740"/>
        </w:rPr>
        <w:t>Kay G. Priestly</w:t>
      </w:r>
    </w:p>
    <w:p>
      <w:pPr>
        <w:ind w:left="4"/>
        <w:spacing w:after="0"/>
        <w:rPr>
          <w:sz w:val="20"/>
          <w:szCs w:val="20"/>
          <w:color w:val="auto"/>
        </w:rPr>
      </w:pPr>
      <w:r>
        <w:rPr>
          <w:rFonts w:ascii="Arial" w:cs="Arial" w:eastAsia="Arial" w:hAnsi="Arial"/>
          <w:sz w:val="16"/>
          <w:szCs w:val="16"/>
          <w:color w:val="333740"/>
        </w:rPr>
        <w:t>Joseph Rinaldi</w:t>
      </w:r>
    </w:p>
    <w:p>
      <w:pPr>
        <w:spacing w:after="0" w:line="347" w:lineRule="exact"/>
        <w:rPr>
          <w:sz w:val="20"/>
          <w:szCs w:val="20"/>
          <w:color w:val="auto"/>
        </w:rPr>
      </w:pPr>
    </w:p>
    <w:p>
      <w:pPr>
        <w:ind w:left="564" w:hanging="564"/>
        <w:spacing w:after="0"/>
        <w:tabs>
          <w:tab w:leader="none" w:pos="564" w:val="left"/>
        </w:tabs>
        <w:numPr>
          <w:ilvl w:val="0"/>
          <w:numId w:val="13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128" w:right="339" w:bottom="1440" w:gutter="0" w:footer="0" w:header="0"/>
        </w:sectPr>
      </w:pPr>
    </w:p>
    <w:bookmarkStart w:id="109" w:name="page110"/>
    <w:bookmarkEnd w:id="109"/>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30" w:lineRule="exact"/>
        <w:rPr>
          <w:sz w:val="20"/>
          <w:szCs w:val="20"/>
          <w:color w:val="auto"/>
        </w:rPr>
      </w:pPr>
    </w:p>
    <w:p>
      <w:pPr>
        <w:ind w:left="4" w:right="4880"/>
        <w:spacing w:after="0" w:line="315" w:lineRule="auto"/>
        <w:rPr>
          <w:sz w:val="20"/>
          <w:szCs w:val="20"/>
          <w:color w:val="auto"/>
        </w:rPr>
      </w:pPr>
      <w:r>
        <w:rPr>
          <w:rFonts w:ascii="Arial" w:cs="Arial" w:eastAsia="Arial" w:hAnsi="Arial"/>
          <w:sz w:val="57"/>
          <w:szCs w:val="57"/>
          <w:color w:val="481F6E"/>
        </w:rPr>
        <w:t>Proposals 1(a) – 1(n) – Election of Directors</w:t>
      </w:r>
    </w:p>
    <w:p>
      <w:pPr>
        <w:spacing w:after="0" w:line="1"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What am I voting on?</w:t>
      </w:r>
    </w:p>
    <w:p>
      <w:pPr>
        <w:spacing w:after="0" w:line="91" w:lineRule="exact"/>
        <w:rPr>
          <w:sz w:val="20"/>
          <w:szCs w:val="20"/>
          <w:color w:val="auto"/>
        </w:rPr>
      </w:pPr>
    </w:p>
    <w:p>
      <w:pPr>
        <w:jc w:val="both"/>
        <w:ind w:left="4" w:right="540"/>
        <w:spacing w:after="0" w:line="249" w:lineRule="auto"/>
        <w:rPr>
          <w:sz w:val="20"/>
          <w:szCs w:val="20"/>
          <w:color w:val="auto"/>
        </w:rPr>
      </w:pPr>
      <w:r>
        <w:rPr>
          <w:rFonts w:ascii="Arial" w:cs="Arial" w:eastAsia="Arial" w:hAnsi="Arial"/>
          <w:sz w:val="16"/>
          <w:szCs w:val="16"/>
          <w:color w:val="333740"/>
        </w:rPr>
        <w:t>Upon the recommendation of the Nominating and Corporate Governance Committee, the Board has nominated the candidates below for election at the Annual Meeting. The matrix below indicates the key qualifications and attributes of each of our director nominees, as well as additional demographic information. Detailed biographies for each of our director nominees are in the section “</w:t>
      </w:r>
      <w:r>
        <w:rPr>
          <w:rFonts w:ascii="Arial" w:cs="Arial" w:eastAsia="Arial" w:hAnsi="Arial"/>
          <w:sz w:val="16"/>
          <w:szCs w:val="16"/>
          <w:i w:val="1"/>
          <w:iCs w:val="1"/>
          <w:color w:val="333740"/>
        </w:rPr>
        <w:t>Director Nominees</w:t>
      </w:r>
      <w:r>
        <w:rPr>
          <w:rFonts w:ascii="Arial" w:cs="Arial" w:eastAsia="Arial" w:hAnsi="Arial"/>
          <w:sz w:val="16"/>
          <w:szCs w:val="16"/>
          <w:color w:val="333740"/>
        </w:rPr>
        <w:t>” below.</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333740"/>
              </w:rPr>
              <w:t>Pferdehirt</w:t>
            </w:r>
          </w:p>
        </w:tc>
        <w:tc>
          <w:tcPr>
            <w:tcW w:w="1220" w:type="dxa"/>
            <w:vAlign w:val="bottom"/>
            <w:gridSpan w:val="2"/>
          </w:tcPr>
          <w:p>
            <w:pPr>
              <w:ind w:left="40"/>
              <w:spacing w:after="0"/>
              <w:rPr>
                <w:sz w:val="20"/>
                <w:szCs w:val="20"/>
                <w:color w:val="auto"/>
              </w:rPr>
            </w:pPr>
            <w:r>
              <w:rPr>
                <w:rFonts w:ascii="Arial" w:cs="Arial" w:eastAsia="Arial" w:hAnsi="Arial"/>
                <w:sz w:val="11"/>
                <w:szCs w:val="11"/>
                <w:color w:val="333740"/>
              </w:rPr>
              <w:t xml:space="preserve">Carvalho </w:t>
            </w:r>
            <w:r>
              <w:rPr>
                <w:rFonts w:ascii="Arial" w:cs="Arial" w:eastAsia="Arial" w:hAnsi="Arial"/>
                <w:sz w:val="12"/>
                <w:szCs w:val="12"/>
                <w:color w:val="333740"/>
              </w:rPr>
              <w:t>Caudoux</w:t>
            </w:r>
          </w:p>
        </w:tc>
        <w:tc>
          <w:tcPr>
            <w:tcW w:w="640" w:type="dxa"/>
            <w:vAlign w:val="bottom"/>
          </w:tcPr>
          <w:p>
            <w:pPr>
              <w:jc w:val="center"/>
              <w:spacing w:after="0"/>
              <w:rPr>
                <w:sz w:val="20"/>
                <w:szCs w:val="20"/>
                <w:color w:val="auto"/>
              </w:rPr>
            </w:pPr>
            <w:r>
              <w:rPr>
                <w:rFonts w:ascii="Arial" w:cs="Arial" w:eastAsia="Arial" w:hAnsi="Arial"/>
                <w:sz w:val="11"/>
                <w:szCs w:val="11"/>
                <w:color w:val="333740"/>
              </w:rPr>
              <w:t>Colombani</w:t>
            </w:r>
          </w:p>
        </w:tc>
        <w:tc>
          <w:tcPr>
            <w:tcW w:w="560" w:type="dxa"/>
            <w:vAlign w:val="bottom"/>
          </w:tcPr>
          <w:p>
            <w:pPr>
              <w:jc w:val="right"/>
              <w:ind w:right="84"/>
              <w:spacing w:after="0"/>
              <w:rPr>
                <w:sz w:val="20"/>
                <w:szCs w:val="20"/>
                <w:color w:val="auto"/>
              </w:rPr>
            </w:pPr>
            <w:r>
              <w:rPr>
                <w:rFonts w:ascii="Arial" w:cs="Arial" w:eastAsia="Arial" w:hAnsi="Arial"/>
                <w:sz w:val="11"/>
                <w:szCs w:val="11"/>
                <w:color w:val="333740"/>
              </w:rPr>
              <w:t>Debon</w:t>
            </w:r>
          </w:p>
        </w:tc>
        <w:tc>
          <w:tcPr>
            <w:tcW w:w="540" w:type="dxa"/>
            <w:vAlign w:val="bottom"/>
          </w:tcPr>
          <w:p>
            <w:pPr>
              <w:ind w:left="20"/>
              <w:spacing w:after="0"/>
              <w:rPr>
                <w:sz w:val="20"/>
                <w:szCs w:val="20"/>
                <w:color w:val="auto"/>
              </w:rPr>
            </w:pPr>
            <w:r>
              <w:rPr>
                <w:rFonts w:ascii="Arial" w:cs="Arial" w:eastAsia="Arial" w:hAnsi="Arial"/>
                <w:sz w:val="11"/>
                <w:szCs w:val="11"/>
                <w:color w:val="333740"/>
              </w:rPr>
              <w:t>Farley</w:t>
            </w:r>
          </w:p>
        </w:tc>
        <w:tc>
          <w:tcPr>
            <w:tcW w:w="560" w:type="dxa"/>
            <w:vAlign w:val="bottom"/>
          </w:tcPr>
          <w:p>
            <w:pPr>
              <w:ind w:left="40"/>
              <w:spacing w:after="0"/>
              <w:rPr>
                <w:sz w:val="20"/>
                <w:szCs w:val="20"/>
                <w:color w:val="auto"/>
              </w:rPr>
            </w:pPr>
            <w:r>
              <w:rPr>
                <w:rFonts w:ascii="Arial" w:cs="Arial" w:eastAsia="Arial" w:hAnsi="Arial"/>
                <w:sz w:val="11"/>
                <w:szCs w:val="11"/>
                <w:color w:val="333740"/>
              </w:rPr>
              <w:t>Houssin</w:t>
            </w:r>
          </w:p>
        </w:tc>
        <w:tc>
          <w:tcPr>
            <w:tcW w:w="580" w:type="dxa"/>
            <w:vAlign w:val="bottom"/>
          </w:tcPr>
          <w:p>
            <w:pPr>
              <w:ind w:left="40"/>
              <w:spacing w:after="0"/>
              <w:rPr>
                <w:sz w:val="20"/>
                <w:szCs w:val="20"/>
                <w:color w:val="auto"/>
              </w:rPr>
            </w:pPr>
            <w:r>
              <w:rPr>
                <w:rFonts w:ascii="Arial" w:cs="Arial" w:eastAsia="Arial" w:hAnsi="Arial"/>
                <w:sz w:val="11"/>
                <w:szCs w:val="11"/>
                <w:color w:val="333740"/>
              </w:rPr>
              <w:t>Mellbye</w:t>
            </w:r>
          </w:p>
        </w:tc>
        <w:tc>
          <w:tcPr>
            <w:tcW w:w="560" w:type="dxa"/>
            <w:vAlign w:val="bottom"/>
          </w:tcPr>
          <w:p>
            <w:pPr>
              <w:jc w:val="right"/>
              <w:ind w:right="43"/>
              <w:spacing w:after="0"/>
              <w:rPr>
                <w:sz w:val="20"/>
                <w:szCs w:val="20"/>
                <w:color w:val="auto"/>
              </w:rPr>
            </w:pPr>
            <w:r>
              <w:rPr>
                <w:rFonts w:ascii="Arial" w:cs="Arial" w:eastAsia="Arial" w:hAnsi="Arial"/>
                <w:sz w:val="11"/>
                <w:szCs w:val="11"/>
                <w:color w:val="333740"/>
              </w:rPr>
              <w:t>O’Leary</w:t>
            </w:r>
          </w:p>
        </w:tc>
        <w:tc>
          <w:tcPr>
            <w:tcW w:w="540" w:type="dxa"/>
            <w:vAlign w:val="bottom"/>
          </w:tcPr>
          <w:p>
            <w:pPr>
              <w:ind w:left="20"/>
              <w:spacing w:after="0"/>
              <w:rPr>
                <w:sz w:val="20"/>
                <w:szCs w:val="20"/>
                <w:color w:val="auto"/>
              </w:rPr>
            </w:pPr>
            <w:r>
              <w:rPr>
                <w:rFonts w:ascii="Arial" w:cs="Arial" w:eastAsia="Arial" w:hAnsi="Arial"/>
                <w:sz w:val="11"/>
                <w:szCs w:val="11"/>
                <w:color w:val="333740"/>
              </w:rPr>
              <w:t>Piou</w:t>
            </w:r>
          </w:p>
        </w:tc>
        <w:tc>
          <w:tcPr>
            <w:tcW w:w="560" w:type="dxa"/>
            <w:vAlign w:val="bottom"/>
          </w:tcPr>
          <w:p>
            <w:pPr>
              <w:ind w:left="20"/>
              <w:spacing w:after="0"/>
              <w:rPr>
                <w:sz w:val="20"/>
                <w:szCs w:val="20"/>
                <w:color w:val="auto"/>
              </w:rPr>
            </w:pPr>
            <w:r>
              <w:rPr>
                <w:rFonts w:ascii="Arial" w:cs="Arial" w:eastAsia="Arial" w:hAnsi="Arial"/>
                <w:sz w:val="11"/>
                <w:szCs w:val="11"/>
                <w:color w:val="333740"/>
              </w:rPr>
              <w:t>Priestly</w:t>
            </w:r>
          </w:p>
        </w:tc>
        <w:tc>
          <w:tcPr>
            <w:tcW w:w="560" w:type="dxa"/>
            <w:vAlign w:val="bottom"/>
          </w:tcPr>
          <w:p>
            <w:pPr>
              <w:ind w:left="20"/>
              <w:spacing w:after="0"/>
              <w:rPr>
                <w:sz w:val="20"/>
                <w:szCs w:val="20"/>
                <w:color w:val="auto"/>
              </w:rPr>
            </w:pPr>
            <w:r>
              <w:rPr>
                <w:rFonts w:ascii="Arial" w:cs="Arial" w:eastAsia="Arial" w:hAnsi="Arial"/>
                <w:sz w:val="11"/>
                <w:szCs w:val="11"/>
                <w:color w:val="333740"/>
              </w:rPr>
              <w:t>Rinaldi</w:t>
            </w:r>
          </w:p>
        </w:tc>
        <w:tc>
          <w:tcPr>
            <w:tcW w:w="560" w:type="dxa"/>
            <w:vAlign w:val="bottom"/>
          </w:tcPr>
          <w:p>
            <w:pPr>
              <w:ind w:left="40"/>
              <w:spacing w:after="0"/>
              <w:rPr>
                <w:sz w:val="20"/>
                <w:szCs w:val="20"/>
                <w:color w:val="auto"/>
              </w:rPr>
            </w:pPr>
            <w:r>
              <w:rPr>
                <w:rFonts w:ascii="Arial" w:cs="Arial" w:eastAsia="Arial" w:hAnsi="Arial"/>
                <w:sz w:val="11"/>
                <w:szCs w:val="11"/>
                <w:color w:val="333740"/>
              </w:rPr>
              <w:t>Ringler</w:t>
            </w:r>
          </w:p>
        </w:tc>
        <w:tc>
          <w:tcPr>
            <w:tcW w:w="600" w:type="dxa"/>
            <w:vAlign w:val="bottom"/>
          </w:tcPr>
          <w:p>
            <w:pPr>
              <w:jc w:val="center"/>
              <w:spacing w:after="0"/>
              <w:rPr>
                <w:sz w:val="20"/>
                <w:szCs w:val="20"/>
                <w:color w:val="auto"/>
              </w:rPr>
            </w:pPr>
            <w:r>
              <w:rPr>
                <w:rFonts w:ascii="Arial" w:cs="Arial" w:eastAsia="Arial" w:hAnsi="Arial"/>
                <w:sz w:val="11"/>
                <w:szCs w:val="11"/>
                <w:color w:val="333740"/>
              </w:rPr>
              <w:t>Yearwood</w:t>
            </w:r>
          </w:p>
        </w:tc>
        <w:tc>
          <w:tcPr>
            <w:tcW w:w="0" w:type="dxa"/>
            <w:vAlign w:val="bottom"/>
          </w:tcPr>
          <w:p>
            <w:pPr>
              <w:spacing w:after="0"/>
              <w:rPr>
                <w:sz w:val="1"/>
                <w:szCs w:val="1"/>
                <w:color w:val="auto"/>
              </w:rPr>
            </w:pPr>
          </w:p>
        </w:tc>
      </w:tr>
      <w:tr>
        <w:trPr>
          <w:trHeight w:val="193"/>
        </w:trPr>
        <w:tc>
          <w:tcPr>
            <w:tcW w:w="3160" w:type="dxa"/>
            <w:vAlign w:val="bottom"/>
            <w:tcBorders>
              <w:bottom w:val="single" w:sz="8" w:color="D7D8D6"/>
            </w:tcBorders>
          </w:tcPr>
          <w:p>
            <w:pPr>
              <w:spacing w:after="0"/>
              <w:rPr>
                <w:sz w:val="16"/>
                <w:szCs w:val="16"/>
                <w:color w:val="auto"/>
              </w:rPr>
            </w:pPr>
          </w:p>
        </w:tc>
        <w:tc>
          <w:tcPr>
            <w:tcW w:w="620" w:type="dxa"/>
            <w:vAlign w:val="bottom"/>
            <w:tcBorders>
              <w:bottom w:val="single" w:sz="8" w:color="D7D8D6"/>
            </w:tcBorders>
          </w:tcPr>
          <w:p>
            <w:pPr>
              <w:spacing w:after="0"/>
              <w:rPr>
                <w:sz w:val="16"/>
                <w:szCs w:val="16"/>
                <w:color w:val="auto"/>
              </w:rPr>
            </w:pPr>
          </w:p>
        </w:tc>
        <w:tc>
          <w:tcPr>
            <w:tcW w:w="560" w:type="dxa"/>
            <w:vAlign w:val="bottom"/>
            <w:tcBorders>
              <w:bottom w:val="single" w:sz="8" w:color="D7D8D6"/>
            </w:tcBorders>
          </w:tcPr>
          <w:p>
            <w:pPr>
              <w:ind w:left="40"/>
              <w:spacing w:after="0"/>
              <w:rPr>
                <w:sz w:val="20"/>
                <w:szCs w:val="20"/>
                <w:color w:val="auto"/>
              </w:rPr>
            </w:pPr>
            <w:r>
              <w:rPr>
                <w:rFonts w:ascii="Arial" w:cs="Arial" w:eastAsia="Arial" w:hAnsi="Arial"/>
                <w:sz w:val="11"/>
                <w:szCs w:val="11"/>
                <w:color w:val="333740"/>
              </w:rPr>
              <w:t>Filho</w:t>
            </w:r>
          </w:p>
        </w:tc>
        <w:tc>
          <w:tcPr>
            <w:tcW w:w="660" w:type="dxa"/>
            <w:vAlign w:val="bottom"/>
            <w:tcBorders>
              <w:bottom w:val="single" w:sz="8" w:color="D7D8D6"/>
            </w:tcBorders>
          </w:tcPr>
          <w:p>
            <w:pPr>
              <w:spacing w:after="0"/>
              <w:rPr>
                <w:sz w:val="16"/>
                <w:szCs w:val="16"/>
                <w:color w:val="auto"/>
              </w:rPr>
            </w:pPr>
          </w:p>
        </w:tc>
        <w:tc>
          <w:tcPr>
            <w:tcW w:w="640" w:type="dxa"/>
            <w:vAlign w:val="bottom"/>
            <w:tcBorders>
              <w:bottom w:val="single" w:sz="8" w:color="D7D8D6"/>
            </w:tcBorders>
          </w:tcPr>
          <w:p>
            <w:pPr>
              <w:spacing w:after="0"/>
              <w:rPr>
                <w:sz w:val="16"/>
                <w:szCs w:val="16"/>
                <w:color w:val="auto"/>
              </w:rPr>
            </w:pPr>
          </w:p>
        </w:tc>
        <w:tc>
          <w:tcPr>
            <w:tcW w:w="560" w:type="dxa"/>
            <w:vAlign w:val="bottom"/>
            <w:tcBorders>
              <w:bottom w:val="single" w:sz="8" w:color="D7D8D6"/>
            </w:tcBorders>
          </w:tcPr>
          <w:p>
            <w:pPr>
              <w:spacing w:after="0"/>
              <w:rPr>
                <w:sz w:val="16"/>
                <w:szCs w:val="16"/>
                <w:color w:val="auto"/>
              </w:rPr>
            </w:pPr>
          </w:p>
        </w:tc>
        <w:tc>
          <w:tcPr>
            <w:tcW w:w="540" w:type="dxa"/>
            <w:vAlign w:val="bottom"/>
            <w:tcBorders>
              <w:bottom w:val="single" w:sz="8" w:color="D7D8D6"/>
            </w:tcBorders>
          </w:tcPr>
          <w:p>
            <w:pPr>
              <w:spacing w:after="0"/>
              <w:rPr>
                <w:sz w:val="16"/>
                <w:szCs w:val="16"/>
                <w:color w:val="auto"/>
              </w:rPr>
            </w:pPr>
          </w:p>
        </w:tc>
        <w:tc>
          <w:tcPr>
            <w:tcW w:w="560" w:type="dxa"/>
            <w:vAlign w:val="bottom"/>
            <w:tcBorders>
              <w:bottom w:val="single" w:sz="8" w:color="D7D8D6"/>
            </w:tcBorders>
          </w:tcPr>
          <w:p>
            <w:pPr>
              <w:spacing w:after="0"/>
              <w:rPr>
                <w:sz w:val="16"/>
                <w:szCs w:val="16"/>
                <w:color w:val="auto"/>
              </w:rPr>
            </w:pPr>
          </w:p>
        </w:tc>
        <w:tc>
          <w:tcPr>
            <w:tcW w:w="580" w:type="dxa"/>
            <w:vAlign w:val="bottom"/>
            <w:tcBorders>
              <w:bottom w:val="single" w:sz="8" w:color="D7D8D6"/>
            </w:tcBorders>
          </w:tcPr>
          <w:p>
            <w:pPr>
              <w:spacing w:after="0"/>
              <w:rPr>
                <w:sz w:val="16"/>
                <w:szCs w:val="16"/>
                <w:color w:val="auto"/>
              </w:rPr>
            </w:pPr>
          </w:p>
        </w:tc>
        <w:tc>
          <w:tcPr>
            <w:tcW w:w="560" w:type="dxa"/>
            <w:vAlign w:val="bottom"/>
            <w:tcBorders>
              <w:bottom w:val="single" w:sz="8" w:color="D7D8D6"/>
            </w:tcBorders>
          </w:tcPr>
          <w:p>
            <w:pPr>
              <w:spacing w:after="0"/>
              <w:rPr>
                <w:sz w:val="16"/>
                <w:szCs w:val="16"/>
                <w:color w:val="auto"/>
              </w:rPr>
            </w:pPr>
          </w:p>
        </w:tc>
        <w:tc>
          <w:tcPr>
            <w:tcW w:w="540" w:type="dxa"/>
            <w:vAlign w:val="bottom"/>
            <w:tcBorders>
              <w:bottom w:val="single" w:sz="8" w:color="D7D8D6"/>
            </w:tcBorders>
          </w:tcPr>
          <w:p>
            <w:pPr>
              <w:spacing w:after="0"/>
              <w:rPr>
                <w:sz w:val="16"/>
                <w:szCs w:val="16"/>
                <w:color w:val="auto"/>
              </w:rPr>
            </w:pPr>
          </w:p>
        </w:tc>
        <w:tc>
          <w:tcPr>
            <w:tcW w:w="560" w:type="dxa"/>
            <w:vAlign w:val="bottom"/>
            <w:tcBorders>
              <w:bottom w:val="single" w:sz="8" w:color="D7D8D6"/>
            </w:tcBorders>
          </w:tcPr>
          <w:p>
            <w:pPr>
              <w:spacing w:after="0"/>
              <w:rPr>
                <w:sz w:val="16"/>
                <w:szCs w:val="16"/>
                <w:color w:val="auto"/>
              </w:rPr>
            </w:pPr>
          </w:p>
        </w:tc>
        <w:tc>
          <w:tcPr>
            <w:tcW w:w="560" w:type="dxa"/>
            <w:vAlign w:val="bottom"/>
            <w:tcBorders>
              <w:bottom w:val="single" w:sz="8" w:color="D7D8D6"/>
            </w:tcBorders>
          </w:tcPr>
          <w:p>
            <w:pPr>
              <w:spacing w:after="0"/>
              <w:rPr>
                <w:sz w:val="16"/>
                <w:szCs w:val="16"/>
                <w:color w:val="auto"/>
              </w:rPr>
            </w:pPr>
          </w:p>
        </w:tc>
        <w:tc>
          <w:tcPr>
            <w:tcW w:w="560" w:type="dxa"/>
            <w:vAlign w:val="bottom"/>
            <w:tcBorders>
              <w:bottom w:val="single" w:sz="8" w:color="D7D8D6"/>
            </w:tcBorders>
          </w:tcPr>
          <w:p>
            <w:pPr>
              <w:spacing w:after="0"/>
              <w:rPr>
                <w:sz w:val="16"/>
                <w:szCs w:val="16"/>
                <w:color w:val="auto"/>
              </w:rPr>
            </w:pPr>
          </w:p>
        </w:tc>
        <w:tc>
          <w:tcPr>
            <w:tcW w:w="600" w:type="dxa"/>
            <w:vAlign w:val="bottom"/>
            <w:tcBorders>
              <w:bottom w:val="single" w:sz="8" w:color="D7D8D6"/>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60" w:type="dxa"/>
            <w:vAlign w:val="bottom"/>
            <w:tcBorders>
              <w:bottom w:val="single" w:sz="8" w:color="D7D8D6"/>
            </w:tcBorders>
            <w:shd w:val="clear" w:color="auto" w:fill="481F6E"/>
          </w:tcPr>
          <w:p>
            <w:pPr>
              <w:ind w:left="60"/>
              <w:spacing w:after="0"/>
              <w:rPr>
                <w:sz w:val="20"/>
                <w:szCs w:val="20"/>
                <w:color w:val="auto"/>
              </w:rPr>
            </w:pPr>
            <w:r>
              <w:rPr>
                <w:rFonts w:ascii="Arial" w:cs="Arial" w:eastAsia="Arial" w:hAnsi="Arial"/>
                <w:sz w:val="11"/>
                <w:szCs w:val="11"/>
                <w:color w:val="FFFFFF"/>
              </w:rPr>
              <w:t>Skills, Experience, and Attributes</w:t>
            </w:r>
          </w:p>
        </w:tc>
        <w:tc>
          <w:tcPr>
            <w:tcW w:w="620" w:type="dxa"/>
            <w:vAlign w:val="bottom"/>
            <w:tcBorders>
              <w:bottom w:val="single" w:sz="8" w:color="D7D8D6"/>
            </w:tcBorders>
            <w:shd w:val="clear" w:color="auto" w:fill="481F6E"/>
          </w:tcPr>
          <w:p>
            <w:pPr>
              <w:spacing w:after="0"/>
              <w:rPr>
                <w:sz w:val="18"/>
                <w:szCs w:val="18"/>
                <w:color w:val="auto"/>
              </w:rPr>
            </w:pPr>
          </w:p>
        </w:tc>
        <w:tc>
          <w:tcPr>
            <w:tcW w:w="560" w:type="dxa"/>
            <w:vAlign w:val="bottom"/>
            <w:tcBorders>
              <w:bottom w:val="single" w:sz="8" w:color="D7D8D6"/>
            </w:tcBorders>
            <w:shd w:val="clear" w:color="auto" w:fill="481F6E"/>
          </w:tcPr>
          <w:p>
            <w:pPr>
              <w:spacing w:after="0"/>
              <w:rPr>
                <w:sz w:val="18"/>
                <w:szCs w:val="18"/>
                <w:color w:val="auto"/>
              </w:rPr>
            </w:pPr>
          </w:p>
        </w:tc>
        <w:tc>
          <w:tcPr>
            <w:tcW w:w="660" w:type="dxa"/>
            <w:vAlign w:val="bottom"/>
            <w:tcBorders>
              <w:bottom w:val="single" w:sz="8" w:color="D7D8D6"/>
            </w:tcBorders>
            <w:shd w:val="clear" w:color="auto" w:fill="481F6E"/>
          </w:tcPr>
          <w:p>
            <w:pPr>
              <w:spacing w:after="0"/>
              <w:rPr>
                <w:sz w:val="18"/>
                <w:szCs w:val="18"/>
                <w:color w:val="auto"/>
              </w:rPr>
            </w:pPr>
          </w:p>
        </w:tc>
        <w:tc>
          <w:tcPr>
            <w:tcW w:w="640" w:type="dxa"/>
            <w:vAlign w:val="bottom"/>
            <w:tcBorders>
              <w:bottom w:val="single" w:sz="8" w:color="D7D8D6"/>
            </w:tcBorders>
            <w:shd w:val="clear" w:color="auto" w:fill="481F6E"/>
          </w:tcPr>
          <w:p>
            <w:pPr>
              <w:spacing w:after="0"/>
              <w:rPr>
                <w:sz w:val="18"/>
                <w:szCs w:val="18"/>
                <w:color w:val="auto"/>
              </w:rPr>
            </w:pPr>
          </w:p>
        </w:tc>
        <w:tc>
          <w:tcPr>
            <w:tcW w:w="560" w:type="dxa"/>
            <w:vAlign w:val="bottom"/>
            <w:tcBorders>
              <w:bottom w:val="single" w:sz="8" w:color="D7D8D6"/>
            </w:tcBorders>
            <w:shd w:val="clear" w:color="auto" w:fill="481F6E"/>
          </w:tcPr>
          <w:p>
            <w:pPr>
              <w:spacing w:after="0"/>
              <w:rPr>
                <w:sz w:val="18"/>
                <w:szCs w:val="18"/>
                <w:color w:val="auto"/>
              </w:rPr>
            </w:pPr>
          </w:p>
        </w:tc>
        <w:tc>
          <w:tcPr>
            <w:tcW w:w="540" w:type="dxa"/>
            <w:vAlign w:val="bottom"/>
            <w:tcBorders>
              <w:bottom w:val="single" w:sz="8" w:color="D7D8D6"/>
            </w:tcBorders>
            <w:shd w:val="clear" w:color="auto" w:fill="481F6E"/>
          </w:tcPr>
          <w:p>
            <w:pPr>
              <w:spacing w:after="0"/>
              <w:rPr>
                <w:sz w:val="18"/>
                <w:szCs w:val="18"/>
                <w:color w:val="auto"/>
              </w:rPr>
            </w:pPr>
          </w:p>
        </w:tc>
        <w:tc>
          <w:tcPr>
            <w:tcW w:w="560" w:type="dxa"/>
            <w:vAlign w:val="bottom"/>
            <w:tcBorders>
              <w:bottom w:val="single" w:sz="8" w:color="D7D8D6"/>
            </w:tcBorders>
            <w:shd w:val="clear" w:color="auto" w:fill="481F6E"/>
          </w:tcPr>
          <w:p>
            <w:pPr>
              <w:spacing w:after="0"/>
              <w:rPr>
                <w:sz w:val="18"/>
                <w:szCs w:val="18"/>
                <w:color w:val="auto"/>
              </w:rPr>
            </w:pPr>
          </w:p>
        </w:tc>
        <w:tc>
          <w:tcPr>
            <w:tcW w:w="580" w:type="dxa"/>
            <w:vAlign w:val="bottom"/>
            <w:tcBorders>
              <w:bottom w:val="single" w:sz="8" w:color="D7D8D6"/>
            </w:tcBorders>
            <w:shd w:val="clear" w:color="auto" w:fill="481F6E"/>
          </w:tcPr>
          <w:p>
            <w:pPr>
              <w:spacing w:after="0"/>
              <w:rPr>
                <w:sz w:val="18"/>
                <w:szCs w:val="18"/>
                <w:color w:val="auto"/>
              </w:rPr>
            </w:pPr>
          </w:p>
        </w:tc>
        <w:tc>
          <w:tcPr>
            <w:tcW w:w="560" w:type="dxa"/>
            <w:vAlign w:val="bottom"/>
            <w:tcBorders>
              <w:bottom w:val="single" w:sz="8" w:color="D7D8D6"/>
            </w:tcBorders>
            <w:shd w:val="clear" w:color="auto" w:fill="481F6E"/>
          </w:tcPr>
          <w:p>
            <w:pPr>
              <w:spacing w:after="0"/>
              <w:rPr>
                <w:sz w:val="18"/>
                <w:szCs w:val="18"/>
                <w:color w:val="auto"/>
              </w:rPr>
            </w:pPr>
          </w:p>
        </w:tc>
        <w:tc>
          <w:tcPr>
            <w:tcW w:w="540" w:type="dxa"/>
            <w:vAlign w:val="bottom"/>
            <w:tcBorders>
              <w:bottom w:val="single" w:sz="8" w:color="D7D8D6"/>
            </w:tcBorders>
            <w:shd w:val="clear" w:color="auto" w:fill="481F6E"/>
          </w:tcPr>
          <w:p>
            <w:pPr>
              <w:spacing w:after="0"/>
              <w:rPr>
                <w:sz w:val="18"/>
                <w:szCs w:val="18"/>
                <w:color w:val="auto"/>
              </w:rPr>
            </w:pPr>
          </w:p>
        </w:tc>
        <w:tc>
          <w:tcPr>
            <w:tcW w:w="560" w:type="dxa"/>
            <w:vAlign w:val="bottom"/>
            <w:tcBorders>
              <w:bottom w:val="single" w:sz="8" w:color="D7D8D6"/>
            </w:tcBorders>
            <w:shd w:val="clear" w:color="auto" w:fill="481F6E"/>
          </w:tcPr>
          <w:p>
            <w:pPr>
              <w:spacing w:after="0"/>
              <w:rPr>
                <w:sz w:val="18"/>
                <w:szCs w:val="18"/>
                <w:color w:val="auto"/>
              </w:rPr>
            </w:pPr>
          </w:p>
        </w:tc>
        <w:tc>
          <w:tcPr>
            <w:tcW w:w="560" w:type="dxa"/>
            <w:vAlign w:val="bottom"/>
            <w:tcBorders>
              <w:bottom w:val="single" w:sz="8" w:color="D7D8D6"/>
            </w:tcBorders>
            <w:shd w:val="clear" w:color="auto" w:fill="481F6E"/>
          </w:tcPr>
          <w:p>
            <w:pPr>
              <w:spacing w:after="0"/>
              <w:rPr>
                <w:sz w:val="18"/>
                <w:szCs w:val="18"/>
                <w:color w:val="auto"/>
              </w:rPr>
            </w:pPr>
          </w:p>
        </w:tc>
        <w:tc>
          <w:tcPr>
            <w:tcW w:w="560" w:type="dxa"/>
            <w:vAlign w:val="bottom"/>
            <w:tcBorders>
              <w:bottom w:val="single" w:sz="8" w:color="D7D8D6"/>
            </w:tcBorders>
            <w:shd w:val="clear" w:color="auto" w:fill="481F6E"/>
          </w:tcPr>
          <w:p>
            <w:pPr>
              <w:spacing w:after="0"/>
              <w:rPr>
                <w:sz w:val="18"/>
                <w:szCs w:val="18"/>
                <w:color w:val="auto"/>
              </w:rPr>
            </w:pPr>
          </w:p>
        </w:tc>
        <w:tc>
          <w:tcPr>
            <w:tcW w:w="600" w:type="dxa"/>
            <w:vAlign w:val="bottom"/>
            <w:tcBorders>
              <w:bottom w:val="single" w:sz="8" w:color="D7D8D6"/>
            </w:tcBorders>
            <w:shd w:val="clear" w:color="auto" w:fill="481F6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tcBorders>
              <w:bottom w:val="single" w:sz="8" w:color="D7D8D6"/>
            </w:tcBorders>
          </w:tcPr>
          <w:p>
            <w:pPr>
              <w:ind w:left="20"/>
              <w:spacing w:after="0"/>
              <w:rPr>
                <w:sz w:val="20"/>
                <w:szCs w:val="20"/>
                <w:color w:val="auto"/>
              </w:rPr>
            </w:pPr>
            <w:r>
              <w:rPr>
                <w:rFonts w:ascii="Arial" w:cs="Arial" w:eastAsia="Arial" w:hAnsi="Arial"/>
                <w:sz w:val="11"/>
                <w:szCs w:val="11"/>
                <w:color w:val="333740"/>
              </w:rPr>
              <w:t>Public Company Perspective</w:t>
            </w:r>
          </w:p>
        </w:tc>
        <w:tc>
          <w:tcPr>
            <w:tcW w:w="62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660" w:type="dxa"/>
            <w:vAlign w:val="bottom"/>
            <w:tcBorders>
              <w:bottom w:val="single" w:sz="8" w:color="D7D8D6"/>
            </w:tcBorders>
            <w:shd w:val="clear" w:color="auto" w:fill="D7D8D6"/>
          </w:tcPr>
          <w:p>
            <w:pPr>
              <w:spacing w:after="0"/>
              <w:rPr>
                <w:sz w:val="19"/>
                <w:szCs w:val="19"/>
                <w:color w:val="auto"/>
              </w:rPr>
            </w:pPr>
          </w:p>
        </w:tc>
        <w:tc>
          <w:tcPr>
            <w:tcW w:w="6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8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60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0" w:type="dxa"/>
            <w:vAlign w:val="bottom"/>
          </w:tcPr>
          <w:p>
            <w:pPr>
              <w:spacing w:after="0"/>
              <w:rPr>
                <w:sz w:val="1"/>
                <w:szCs w:val="1"/>
                <w:color w:val="auto"/>
              </w:rPr>
            </w:pPr>
          </w:p>
        </w:tc>
      </w:tr>
      <w:tr>
        <w:trPr>
          <w:trHeight w:val="219"/>
        </w:trPr>
        <w:tc>
          <w:tcPr>
            <w:tcW w:w="3160" w:type="dxa"/>
            <w:vAlign w:val="bottom"/>
            <w:tcBorders>
              <w:bottom w:val="single" w:sz="8" w:color="D7D8D6"/>
            </w:tcBorders>
          </w:tcPr>
          <w:p>
            <w:pPr>
              <w:ind w:left="20"/>
              <w:spacing w:after="0"/>
              <w:rPr>
                <w:sz w:val="20"/>
                <w:szCs w:val="20"/>
                <w:color w:val="auto"/>
              </w:rPr>
            </w:pPr>
            <w:r>
              <w:rPr>
                <w:rFonts w:ascii="Arial" w:cs="Arial" w:eastAsia="Arial" w:hAnsi="Arial"/>
                <w:sz w:val="11"/>
                <w:szCs w:val="11"/>
                <w:color w:val="333740"/>
              </w:rPr>
              <w:t>Executive/Board Experience</w:t>
            </w:r>
          </w:p>
        </w:tc>
        <w:tc>
          <w:tcPr>
            <w:tcW w:w="62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6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6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8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60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0" w:type="dxa"/>
            <w:vAlign w:val="bottom"/>
          </w:tcPr>
          <w:p>
            <w:pPr>
              <w:spacing w:after="0"/>
              <w:rPr>
                <w:sz w:val="1"/>
                <w:szCs w:val="1"/>
                <w:color w:val="auto"/>
              </w:rPr>
            </w:pPr>
          </w:p>
        </w:tc>
      </w:tr>
      <w:tr>
        <w:trPr>
          <w:trHeight w:val="219"/>
        </w:trPr>
        <w:tc>
          <w:tcPr>
            <w:tcW w:w="3160" w:type="dxa"/>
            <w:vAlign w:val="bottom"/>
            <w:tcBorders>
              <w:bottom w:val="single" w:sz="8" w:color="D7D8D6"/>
            </w:tcBorders>
          </w:tcPr>
          <w:p>
            <w:pPr>
              <w:ind w:left="20"/>
              <w:spacing w:after="0"/>
              <w:rPr>
                <w:sz w:val="20"/>
                <w:szCs w:val="20"/>
                <w:color w:val="auto"/>
              </w:rPr>
            </w:pPr>
            <w:r>
              <w:rPr>
                <w:rFonts w:ascii="Arial" w:cs="Arial" w:eastAsia="Arial" w:hAnsi="Arial"/>
                <w:sz w:val="11"/>
                <w:szCs w:val="11"/>
                <w:color w:val="333740"/>
              </w:rPr>
              <w:t>Oil &amp; Gas Industry</w:t>
            </w:r>
          </w:p>
        </w:tc>
        <w:tc>
          <w:tcPr>
            <w:tcW w:w="62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660" w:type="dxa"/>
            <w:vAlign w:val="bottom"/>
            <w:tcBorders>
              <w:bottom w:val="single" w:sz="8" w:color="D7D8D6"/>
            </w:tcBorders>
            <w:shd w:val="clear" w:color="auto" w:fill="D7D8D6"/>
          </w:tcPr>
          <w:p>
            <w:pPr>
              <w:spacing w:after="0"/>
              <w:rPr>
                <w:sz w:val="19"/>
                <w:szCs w:val="19"/>
                <w:color w:val="auto"/>
              </w:rPr>
            </w:pPr>
          </w:p>
        </w:tc>
        <w:tc>
          <w:tcPr>
            <w:tcW w:w="6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spacing w:after="0"/>
              <w:rPr>
                <w:sz w:val="19"/>
                <w:szCs w:val="19"/>
                <w:color w:val="auto"/>
              </w:rPr>
            </w:pP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8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40" w:type="dxa"/>
            <w:vAlign w:val="bottom"/>
            <w:tcBorders>
              <w:bottom w:val="single" w:sz="8" w:color="D7D8D6"/>
            </w:tcBorders>
          </w:tcPr>
          <w:p>
            <w:pPr>
              <w:spacing w:after="0"/>
              <w:rPr>
                <w:sz w:val="19"/>
                <w:szCs w:val="19"/>
                <w:color w:val="auto"/>
              </w:rPr>
            </w:pPr>
          </w:p>
        </w:tc>
        <w:tc>
          <w:tcPr>
            <w:tcW w:w="560" w:type="dxa"/>
            <w:vAlign w:val="bottom"/>
            <w:tcBorders>
              <w:bottom w:val="single" w:sz="8" w:color="D7D8D6"/>
            </w:tcBorders>
            <w:shd w:val="clear" w:color="auto" w:fill="D7D8D6"/>
          </w:tcPr>
          <w:p>
            <w:pPr>
              <w:spacing w:after="0"/>
              <w:rPr>
                <w:sz w:val="19"/>
                <w:szCs w:val="19"/>
                <w:color w:val="auto"/>
              </w:rPr>
            </w:pP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60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0" w:type="dxa"/>
            <w:vAlign w:val="bottom"/>
          </w:tcPr>
          <w:p>
            <w:pPr>
              <w:spacing w:after="0"/>
              <w:rPr>
                <w:sz w:val="1"/>
                <w:szCs w:val="1"/>
                <w:color w:val="auto"/>
              </w:rPr>
            </w:pPr>
          </w:p>
        </w:tc>
      </w:tr>
      <w:tr>
        <w:trPr>
          <w:trHeight w:val="219"/>
        </w:trPr>
        <w:tc>
          <w:tcPr>
            <w:tcW w:w="3160" w:type="dxa"/>
            <w:vAlign w:val="bottom"/>
            <w:tcBorders>
              <w:bottom w:val="single" w:sz="8" w:color="D7D8D6"/>
            </w:tcBorders>
          </w:tcPr>
          <w:p>
            <w:pPr>
              <w:ind w:left="20"/>
              <w:spacing w:after="0"/>
              <w:rPr>
                <w:sz w:val="20"/>
                <w:szCs w:val="20"/>
                <w:color w:val="auto"/>
              </w:rPr>
            </w:pPr>
            <w:r>
              <w:rPr>
                <w:rFonts w:ascii="Arial" w:cs="Arial" w:eastAsia="Arial" w:hAnsi="Arial"/>
                <w:sz w:val="11"/>
                <w:szCs w:val="11"/>
                <w:color w:val="333740"/>
              </w:rPr>
              <w:t>International Experience/Diversity</w:t>
            </w:r>
          </w:p>
        </w:tc>
        <w:tc>
          <w:tcPr>
            <w:tcW w:w="62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6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6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8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60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0" w:type="dxa"/>
            <w:vAlign w:val="bottom"/>
          </w:tcPr>
          <w:p>
            <w:pPr>
              <w:spacing w:after="0"/>
              <w:rPr>
                <w:sz w:val="1"/>
                <w:szCs w:val="1"/>
                <w:color w:val="auto"/>
              </w:rPr>
            </w:pPr>
          </w:p>
        </w:tc>
      </w:tr>
      <w:tr>
        <w:trPr>
          <w:trHeight w:val="219"/>
        </w:trPr>
        <w:tc>
          <w:tcPr>
            <w:tcW w:w="3160" w:type="dxa"/>
            <w:vAlign w:val="bottom"/>
            <w:tcBorders>
              <w:bottom w:val="single" w:sz="8" w:color="D7D8D6"/>
            </w:tcBorders>
          </w:tcPr>
          <w:p>
            <w:pPr>
              <w:ind w:left="20"/>
              <w:spacing w:after="0"/>
              <w:rPr>
                <w:sz w:val="20"/>
                <w:szCs w:val="20"/>
                <w:color w:val="auto"/>
              </w:rPr>
            </w:pPr>
            <w:r>
              <w:rPr>
                <w:rFonts w:ascii="Arial" w:cs="Arial" w:eastAsia="Arial" w:hAnsi="Arial"/>
                <w:sz w:val="11"/>
                <w:szCs w:val="11"/>
                <w:color w:val="333740"/>
              </w:rPr>
              <w:t>Strategy, M&amp;A, Risk Management</w:t>
            </w:r>
          </w:p>
        </w:tc>
        <w:tc>
          <w:tcPr>
            <w:tcW w:w="62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6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6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8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40" w:type="dxa"/>
            <w:vAlign w:val="bottom"/>
            <w:tcBorders>
              <w:bottom w:val="single" w:sz="8" w:color="D7D8D6"/>
            </w:tcBorders>
          </w:tcPr>
          <w:p>
            <w:pPr>
              <w:spacing w:after="0"/>
              <w:rPr>
                <w:sz w:val="19"/>
                <w:szCs w:val="19"/>
                <w:color w:val="auto"/>
              </w:rPr>
            </w:pP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60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0" w:type="dxa"/>
            <w:vAlign w:val="bottom"/>
          </w:tcPr>
          <w:p>
            <w:pPr>
              <w:spacing w:after="0"/>
              <w:rPr>
                <w:sz w:val="1"/>
                <w:szCs w:val="1"/>
                <w:color w:val="auto"/>
              </w:rPr>
            </w:pPr>
          </w:p>
        </w:tc>
      </w:tr>
      <w:tr>
        <w:trPr>
          <w:trHeight w:val="219"/>
        </w:trPr>
        <w:tc>
          <w:tcPr>
            <w:tcW w:w="3160" w:type="dxa"/>
            <w:vAlign w:val="bottom"/>
            <w:tcBorders>
              <w:bottom w:val="single" w:sz="8" w:color="D7D8D6"/>
            </w:tcBorders>
          </w:tcPr>
          <w:p>
            <w:pPr>
              <w:ind w:left="20"/>
              <w:spacing w:after="0"/>
              <w:rPr>
                <w:sz w:val="20"/>
                <w:szCs w:val="20"/>
                <w:color w:val="auto"/>
              </w:rPr>
            </w:pPr>
            <w:r>
              <w:rPr>
                <w:rFonts w:ascii="Arial" w:cs="Arial" w:eastAsia="Arial" w:hAnsi="Arial"/>
                <w:sz w:val="11"/>
                <w:szCs w:val="11"/>
                <w:color w:val="333740"/>
              </w:rPr>
              <w:t>Governance/Legal</w:t>
            </w:r>
          </w:p>
        </w:tc>
        <w:tc>
          <w:tcPr>
            <w:tcW w:w="620" w:type="dxa"/>
            <w:vAlign w:val="bottom"/>
            <w:tcBorders>
              <w:bottom w:val="single" w:sz="8" w:color="D7D8D6"/>
            </w:tcBorders>
            <w:shd w:val="clear" w:color="auto" w:fill="D7D8D6"/>
          </w:tcPr>
          <w:p>
            <w:pPr>
              <w:spacing w:after="0"/>
              <w:rPr>
                <w:sz w:val="19"/>
                <w:szCs w:val="19"/>
                <w:color w:val="auto"/>
              </w:rPr>
            </w:pPr>
          </w:p>
        </w:tc>
        <w:tc>
          <w:tcPr>
            <w:tcW w:w="560" w:type="dxa"/>
            <w:vAlign w:val="bottom"/>
            <w:tcBorders>
              <w:bottom w:val="single" w:sz="8" w:color="D7D8D6"/>
            </w:tcBorders>
          </w:tcPr>
          <w:p>
            <w:pPr>
              <w:spacing w:after="0"/>
              <w:rPr>
                <w:sz w:val="19"/>
                <w:szCs w:val="19"/>
                <w:color w:val="auto"/>
              </w:rPr>
            </w:pPr>
          </w:p>
        </w:tc>
        <w:tc>
          <w:tcPr>
            <w:tcW w:w="660" w:type="dxa"/>
            <w:vAlign w:val="bottom"/>
            <w:tcBorders>
              <w:bottom w:val="single" w:sz="8" w:color="D7D8D6"/>
            </w:tcBorders>
            <w:shd w:val="clear" w:color="auto" w:fill="D7D8D6"/>
          </w:tcPr>
          <w:p>
            <w:pPr>
              <w:spacing w:after="0"/>
              <w:rPr>
                <w:sz w:val="19"/>
                <w:szCs w:val="19"/>
                <w:color w:val="auto"/>
              </w:rPr>
            </w:pPr>
          </w:p>
        </w:tc>
        <w:tc>
          <w:tcPr>
            <w:tcW w:w="6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40" w:type="dxa"/>
            <w:vAlign w:val="bottom"/>
            <w:tcBorders>
              <w:bottom w:val="single" w:sz="8" w:color="D7D8D6"/>
            </w:tcBorders>
          </w:tcPr>
          <w:p>
            <w:pPr>
              <w:spacing w:after="0"/>
              <w:rPr>
                <w:sz w:val="19"/>
                <w:szCs w:val="19"/>
                <w:color w:val="auto"/>
              </w:rPr>
            </w:pPr>
          </w:p>
        </w:tc>
        <w:tc>
          <w:tcPr>
            <w:tcW w:w="560" w:type="dxa"/>
            <w:vAlign w:val="bottom"/>
            <w:tcBorders>
              <w:bottom w:val="single" w:sz="8" w:color="D7D8D6"/>
            </w:tcBorders>
            <w:shd w:val="clear" w:color="auto" w:fill="D7D8D6"/>
          </w:tcPr>
          <w:p>
            <w:pPr>
              <w:spacing w:after="0"/>
              <w:rPr>
                <w:sz w:val="19"/>
                <w:szCs w:val="19"/>
                <w:color w:val="auto"/>
              </w:rPr>
            </w:pPr>
          </w:p>
        </w:tc>
        <w:tc>
          <w:tcPr>
            <w:tcW w:w="580" w:type="dxa"/>
            <w:vAlign w:val="bottom"/>
            <w:tcBorders>
              <w:bottom w:val="single" w:sz="8" w:color="D7D8D6"/>
            </w:tcBorders>
          </w:tcPr>
          <w:p>
            <w:pPr>
              <w:spacing w:after="0"/>
              <w:rPr>
                <w:sz w:val="19"/>
                <w:szCs w:val="19"/>
                <w:color w:val="auto"/>
              </w:rPr>
            </w:pPr>
          </w:p>
        </w:tc>
        <w:tc>
          <w:tcPr>
            <w:tcW w:w="560" w:type="dxa"/>
            <w:vAlign w:val="bottom"/>
            <w:tcBorders>
              <w:bottom w:val="single" w:sz="8" w:color="D7D8D6"/>
            </w:tcBorders>
            <w:shd w:val="clear" w:color="auto" w:fill="D7D8D6"/>
          </w:tcPr>
          <w:p>
            <w:pPr>
              <w:spacing w:after="0"/>
              <w:rPr>
                <w:sz w:val="19"/>
                <w:szCs w:val="19"/>
                <w:color w:val="auto"/>
              </w:rPr>
            </w:pP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spacing w:after="0"/>
              <w:rPr>
                <w:sz w:val="19"/>
                <w:szCs w:val="19"/>
                <w:color w:val="auto"/>
              </w:rPr>
            </w:pP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spacing w:after="0"/>
              <w:rPr>
                <w:sz w:val="19"/>
                <w:szCs w:val="19"/>
                <w:color w:val="auto"/>
              </w:rPr>
            </w:pPr>
          </w:p>
        </w:tc>
        <w:tc>
          <w:tcPr>
            <w:tcW w:w="600" w:type="dxa"/>
            <w:vAlign w:val="bottom"/>
            <w:tcBorders>
              <w:bottom w:val="single" w:sz="8" w:color="D7D8D6"/>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60" w:type="dxa"/>
            <w:vAlign w:val="bottom"/>
            <w:tcBorders>
              <w:bottom w:val="single" w:sz="8" w:color="D7D8D6"/>
            </w:tcBorders>
          </w:tcPr>
          <w:p>
            <w:pPr>
              <w:ind w:left="20"/>
              <w:spacing w:after="0"/>
              <w:rPr>
                <w:sz w:val="20"/>
                <w:szCs w:val="20"/>
                <w:color w:val="auto"/>
              </w:rPr>
            </w:pPr>
            <w:r>
              <w:rPr>
                <w:rFonts w:ascii="Arial" w:cs="Arial" w:eastAsia="Arial" w:hAnsi="Arial"/>
                <w:sz w:val="11"/>
                <w:szCs w:val="11"/>
                <w:color w:val="333740"/>
              </w:rPr>
              <w:t>Executive Compensation</w:t>
            </w:r>
          </w:p>
        </w:tc>
        <w:tc>
          <w:tcPr>
            <w:tcW w:w="620" w:type="dxa"/>
            <w:vAlign w:val="bottom"/>
            <w:tcBorders>
              <w:bottom w:val="single" w:sz="8" w:color="D7D8D6"/>
            </w:tcBorders>
            <w:shd w:val="clear" w:color="auto" w:fill="D7D8D6"/>
          </w:tcPr>
          <w:p>
            <w:pPr>
              <w:spacing w:after="0"/>
              <w:rPr>
                <w:sz w:val="19"/>
                <w:szCs w:val="19"/>
                <w:color w:val="auto"/>
              </w:rPr>
            </w:pPr>
          </w:p>
        </w:tc>
        <w:tc>
          <w:tcPr>
            <w:tcW w:w="560" w:type="dxa"/>
            <w:vAlign w:val="bottom"/>
            <w:tcBorders>
              <w:bottom w:val="single" w:sz="8" w:color="D7D8D6"/>
            </w:tcBorders>
          </w:tcPr>
          <w:p>
            <w:pPr>
              <w:spacing w:after="0"/>
              <w:rPr>
                <w:sz w:val="19"/>
                <w:szCs w:val="19"/>
                <w:color w:val="auto"/>
              </w:rPr>
            </w:pPr>
          </w:p>
        </w:tc>
        <w:tc>
          <w:tcPr>
            <w:tcW w:w="660" w:type="dxa"/>
            <w:vAlign w:val="bottom"/>
            <w:tcBorders>
              <w:bottom w:val="single" w:sz="8" w:color="D7D8D6"/>
            </w:tcBorders>
            <w:shd w:val="clear" w:color="auto" w:fill="D7D8D6"/>
          </w:tcPr>
          <w:p>
            <w:pPr>
              <w:spacing w:after="0"/>
              <w:rPr>
                <w:sz w:val="19"/>
                <w:szCs w:val="19"/>
                <w:color w:val="auto"/>
              </w:rPr>
            </w:pPr>
          </w:p>
        </w:tc>
        <w:tc>
          <w:tcPr>
            <w:tcW w:w="640" w:type="dxa"/>
            <w:vAlign w:val="bottom"/>
            <w:tcBorders>
              <w:bottom w:val="single" w:sz="8" w:color="D7D8D6"/>
            </w:tcBorders>
          </w:tcPr>
          <w:p>
            <w:pPr>
              <w:spacing w:after="0"/>
              <w:rPr>
                <w:sz w:val="19"/>
                <w:szCs w:val="19"/>
                <w:color w:val="auto"/>
              </w:rPr>
            </w:pPr>
          </w:p>
        </w:tc>
        <w:tc>
          <w:tcPr>
            <w:tcW w:w="560" w:type="dxa"/>
            <w:vAlign w:val="bottom"/>
            <w:tcBorders>
              <w:bottom w:val="single" w:sz="8" w:color="D7D8D6"/>
            </w:tcBorders>
            <w:shd w:val="clear" w:color="auto" w:fill="D7D8D6"/>
          </w:tcPr>
          <w:p>
            <w:pPr>
              <w:spacing w:after="0"/>
              <w:rPr>
                <w:sz w:val="19"/>
                <w:szCs w:val="19"/>
                <w:color w:val="auto"/>
              </w:rPr>
            </w:pP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spacing w:after="0"/>
              <w:rPr>
                <w:sz w:val="19"/>
                <w:szCs w:val="19"/>
                <w:color w:val="auto"/>
              </w:rPr>
            </w:pPr>
          </w:p>
        </w:tc>
        <w:tc>
          <w:tcPr>
            <w:tcW w:w="58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40" w:type="dxa"/>
            <w:vAlign w:val="bottom"/>
            <w:tcBorders>
              <w:bottom w:val="single" w:sz="8" w:color="D7D8D6"/>
            </w:tcBorders>
          </w:tcPr>
          <w:p>
            <w:pPr>
              <w:spacing w:after="0"/>
              <w:rPr>
                <w:sz w:val="19"/>
                <w:szCs w:val="19"/>
                <w:color w:val="auto"/>
              </w:rPr>
            </w:pP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60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0" w:type="dxa"/>
            <w:vAlign w:val="bottom"/>
          </w:tcPr>
          <w:p>
            <w:pPr>
              <w:spacing w:after="0"/>
              <w:rPr>
                <w:sz w:val="1"/>
                <w:szCs w:val="1"/>
                <w:color w:val="auto"/>
              </w:rPr>
            </w:pPr>
          </w:p>
        </w:tc>
      </w:tr>
      <w:tr>
        <w:trPr>
          <w:trHeight w:val="219"/>
        </w:trPr>
        <w:tc>
          <w:tcPr>
            <w:tcW w:w="3160" w:type="dxa"/>
            <w:vAlign w:val="bottom"/>
            <w:tcBorders>
              <w:bottom w:val="single" w:sz="8" w:color="D7D8D6"/>
            </w:tcBorders>
          </w:tcPr>
          <w:p>
            <w:pPr>
              <w:ind w:left="20"/>
              <w:spacing w:after="0"/>
              <w:rPr>
                <w:sz w:val="20"/>
                <w:szCs w:val="20"/>
                <w:color w:val="auto"/>
              </w:rPr>
            </w:pPr>
            <w:r>
              <w:rPr>
                <w:rFonts w:ascii="Arial" w:cs="Arial" w:eastAsia="Arial" w:hAnsi="Arial"/>
                <w:sz w:val="11"/>
                <w:szCs w:val="11"/>
                <w:color w:val="333740"/>
              </w:rPr>
              <w:t>Sustainability/Emerging Technologies</w:t>
            </w:r>
          </w:p>
        </w:tc>
        <w:tc>
          <w:tcPr>
            <w:tcW w:w="62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tcPr>
          <w:p>
            <w:pPr>
              <w:spacing w:after="0"/>
              <w:rPr>
                <w:sz w:val="19"/>
                <w:szCs w:val="19"/>
                <w:color w:val="auto"/>
              </w:rPr>
            </w:pPr>
          </w:p>
        </w:tc>
        <w:tc>
          <w:tcPr>
            <w:tcW w:w="660" w:type="dxa"/>
            <w:vAlign w:val="bottom"/>
            <w:tcBorders>
              <w:bottom w:val="single" w:sz="8" w:color="D7D8D6"/>
            </w:tcBorders>
            <w:shd w:val="clear" w:color="auto" w:fill="D7D8D6"/>
          </w:tcPr>
          <w:p>
            <w:pPr>
              <w:spacing w:after="0"/>
              <w:rPr>
                <w:sz w:val="19"/>
                <w:szCs w:val="19"/>
                <w:color w:val="auto"/>
              </w:rPr>
            </w:pPr>
          </w:p>
        </w:tc>
        <w:tc>
          <w:tcPr>
            <w:tcW w:w="6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spacing w:after="0"/>
              <w:rPr>
                <w:sz w:val="19"/>
                <w:szCs w:val="19"/>
                <w:color w:val="auto"/>
              </w:rPr>
            </w:pPr>
          </w:p>
        </w:tc>
        <w:tc>
          <w:tcPr>
            <w:tcW w:w="540" w:type="dxa"/>
            <w:vAlign w:val="bottom"/>
            <w:tcBorders>
              <w:bottom w:val="single" w:sz="8" w:color="D7D8D6"/>
            </w:tcBorders>
          </w:tcPr>
          <w:p>
            <w:pPr>
              <w:spacing w:after="0"/>
              <w:rPr>
                <w:sz w:val="19"/>
                <w:szCs w:val="19"/>
                <w:color w:val="auto"/>
              </w:rPr>
            </w:pP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8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right"/>
              <w:ind w:right="183"/>
              <w:spacing w:after="0"/>
              <w:rPr>
                <w:sz w:val="20"/>
                <w:szCs w:val="20"/>
                <w:color w:val="auto"/>
              </w:rPr>
            </w:pPr>
            <w:r>
              <w:rPr>
                <w:rFonts w:ascii="Arial" w:cs="Arial" w:eastAsia="Arial" w:hAnsi="Arial"/>
                <w:sz w:val="11"/>
                <w:szCs w:val="11"/>
                <w:color w:val="333740"/>
              </w:rPr>
              <w:t>•</w:t>
            </w: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spacing w:after="0"/>
              <w:rPr>
                <w:sz w:val="19"/>
                <w:szCs w:val="19"/>
                <w:color w:val="auto"/>
              </w:rPr>
            </w:pPr>
          </w:p>
        </w:tc>
        <w:tc>
          <w:tcPr>
            <w:tcW w:w="560" w:type="dxa"/>
            <w:vAlign w:val="bottom"/>
            <w:tcBorders>
              <w:bottom w:val="single" w:sz="8" w:color="D7D8D6"/>
            </w:tcBorders>
          </w:tcPr>
          <w:p>
            <w:pPr>
              <w:spacing w:after="0"/>
              <w:rPr>
                <w:sz w:val="19"/>
                <w:szCs w:val="19"/>
                <w:color w:val="auto"/>
              </w:rPr>
            </w:pPr>
          </w:p>
        </w:tc>
        <w:tc>
          <w:tcPr>
            <w:tcW w:w="560" w:type="dxa"/>
            <w:vAlign w:val="bottom"/>
            <w:tcBorders>
              <w:bottom w:val="single" w:sz="8" w:color="D7D8D6"/>
            </w:tcBorders>
            <w:shd w:val="clear" w:color="auto" w:fill="D7D8D6"/>
          </w:tcPr>
          <w:p>
            <w:pPr>
              <w:spacing w:after="0"/>
              <w:rPr>
                <w:sz w:val="19"/>
                <w:szCs w:val="19"/>
                <w:color w:val="auto"/>
              </w:rPr>
            </w:pPr>
          </w:p>
        </w:tc>
        <w:tc>
          <w:tcPr>
            <w:tcW w:w="60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0" w:type="dxa"/>
            <w:vAlign w:val="bottom"/>
          </w:tcPr>
          <w:p>
            <w:pPr>
              <w:spacing w:after="0"/>
              <w:rPr>
                <w:sz w:val="1"/>
                <w:szCs w:val="1"/>
                <w:color w:val="auto"/>
              </w:rPr>
            </w:pPr>
          </w:p>
        </w:tc>
      </w:tr>
      <w:tr>
        <w:trPr>
          <w:trHeight w:val="219"/>
        </w:trPr>
        <w:tc>
          <w:tcPr>
            <w:tcW w:w="3160" w:type="dxa"/>
            <w:vAlign w:val="bottom"/>
            <w:tcBorders>
              <w:bottom w:val="single" w:sz="8" w:color="D7D8D6"/>
            </w:tcBorders>
          </w:tcPr>
          <w:p>
            <w:pPr>
              <w:ind w:left="20"/>
              <w:spacing w:after="0"/>
              <w:rPr>
                <w:sz w:val="20"/>
                <w:szCs w:val="20"/>
                <w:color w:val="auto"/>
              </w:rPr>
            </w:pPr>
            <w:r>
              <w:rPr>
                <w:rFonts w:ascii="Arial" w:cs="Arial" w:eastAsia="Arial" w:hAnsi="Arial"/>
                <w:sz w:val="11"/>
                <w:szCs w:val="11"/>
                <w:color w:val="333740"/>
              </w:rPr>
              <w:t>Finance/Accounting Expertise</w:t>
            </w:r>
          </w:p>
        </w:tc>
        <w:tc>
          <w:tcPr>
            <w:tcW w:w="620" w:type="dxa"/>
            <w:vAlign w:val="bottom"/>
            <w:tcBorders>
              <w:bottom w:val="single" w:sz="8" w:color="D7D8D6"/>
            </w:tcBorders>
            <w:shd w:val="clear" w:color="auto" w:fill="D7D8D6"/>
          </w:tcPr>
          <w:p>
            <w:pPr>
              <w:spacing w:after="0"/>
              <w:rPr>
                <w:sz w:val="19"/>
                <w:szCs w:val="19"/>
                <w:color w:val="auto"/>
              </w:rPr>
            </w:pP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660" w:type="dxa"/>
            <w:vAlign w:val="bottom"/>
            <w:tcBorders>
              <w:bottom w:val="single" w:sz="8" w:color="D7D8D6"/>
            </w:tcBorders>
            <w:shd w:val="clear" w:color="auto" w:fill="D7D8D6"/>
          </w:tcPr>
          <w:p>
            <w:pPr>
              <w:ind w:left="280"/>
              <w:spacing w:after="0"/>
              <w:rPr>
                <w:sz w:val="20"/>
                <w:szCs w:val="20"/>
                <w:color w:val="auto"/>
              </w:rPr>
            </w:pPr>
            <w:r>
              <w:rPr>
                <w:rFonts w:ascii="Arial" w:cs="Arial" w:eastAsia="Arial" w:hAnsi="Arial"/>
                <w:sz w:val="11"/>
                <w:szCs w:val="11"/>
                <w:color w:val="333740"/>
              </w:rPr>
              <w:t>•</w:t>
            </w:r>
          </w:p>
        </w:tc>
        <w:tc>
          <w:tcPr>
            <w:tcW w:w="640" w:type="dxa"/>
            <w:vAlign w:val="bottom"/>
            <w:tcBorders>
              <w:bottom w:val="single" w:sz="8" w:color="D7D8D6"/>
            </w:tcBorders>
          </w:tcPr>
          <w:p>
            <w:pPr>
              <w:spacing w:after="0"/>
              <w:rPr>
                <w:sz w:val="19"/>
                <w:szCs w:val="19"/>
                <w:color w:val="auto"/>
              </w:rPr>
            </w:pP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spacing w:after="0"/>
              <w:rPr>
                <w:sz w:val="19"/>
                <w:szCs w:val="19"/>
                <w:color w:val="auto"/>
              </w:rPr>
            </w:pPr>
          </w:p>
        </w:tc>
        <w:tc>
          <w:tcPr>
            <w:tcW w:w="580" w:type="dxa"/>
            <w:vAlign w:val="bottom"/>
            <w:tcBorders>
              <w:bottom w:val="single" w:sz="8" w:color="D7D8D6"/>
            </w:tcBorders>
          </w:tcPr>
          <w:p>
            <w:pPr>
              <w:spacing w:after="0"/>
              <w:rPr>
                <w:sz w:val="19"/>
                <w:szCs w:val="19"/>
                <w:color w:val="auto"/>
              </w:rPr>
            </w:pPr>
          </w:p>
        </w:tc>
        <w:tc>
          <w:tcPr>
            <w:tcW w:w="560" w:type="dxa"/>
            <w:vAlign w:val="bottom"/>
            <w:tcBorders>
              <w:bottom w:val="single" w:sz="8" w:color="D7D8D6"/>
            </w:tcBorders>
            <w:shd w:val="clear" w:color="auto" w:fill="D7D8D6"/>
          </w:tcPr>
          <w:p>
            <w:pPr>
              <w:spacing w:after="0"/>
              <w:rPr>
                <w:sz w:val="19"/>
                <w:szCs w:val="19"/>
                <w:color w:val="auto"/>
              </w:rPr>
            </w:pPr>
          </w:p>
        </w:tc>
        <w:tc>
          <w:tcPr>
            <w:tcW w:w="540" w:type="dxa"/>
            <w:vAlign w:val="bottom"/>
            <w:tcBorders>
              <w:bottom w:val="single" w:sz="8" w:color="D7D8D6"/>
            </w:tcBorders>
          </w:tcPr>
          <w:p>
            <w:pPr>
              <w:spacing w:after="0"/>
              <w:rPr>
                <w:sz w:val="19"/>
                <w:szCs w:val="19"/>
                <w:color w:val="auto"/>
              </w:rPr>
            </w:pP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spacing w:after="0"/>
              <w:rPr>
                <w:sz w:val="19"/>
                <w:szCs w:val="19"/>
                <w:color w:val="auto"/>
              </w:rPr>
            </w:pPr>
          </w:p>
        </w:tc>
        <w:tc>
          <w:tcPr>
            <w:tcW w:w="600" w:type="dxa"/>
            <w:vAlign w:val="bottom"/>
            <w:tcBorders>
              <w:bottom w:val="single" w:sz="8" w:color="D7D8D6"/>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60" w:type="dxa"/>
            <w:vAlign w:val="bottom"/>
            <w:tcBorders>
              <w:bottom w:val="single" w:sz="8" w:color="D7D8D6"/>
            </w:tcBorders>
          </w:tcPr>
          <w:p>
            <w:pPr>
              <w:ind w:left="20"/>
              <w:spacing w:after="0"/>
              <w:rPr>
                <w:sz w:val="20"/>
                <w:szCs w:val="20"/>
                <w:color w:val="auto"/>
              </w:rPr>
            </w:pPr>
            <w:r>
              <w:rPr>
                <w:rFonts w:ascii="Arial" w:cs="Arial" w:eastAsia="Arial" w:hAnsi="Arial"/>
                <w:sz w:val="11"/>
                <w:szCs w:val="11"/>
                <w:color w:val="333740"/>
              </w:rPr>
              <w:t>Independent Director</w:t>
            </w:r>
          </w:p>
        </w:tc>
        <w:tc>
          <w:tcPr>
            <w:tcW w:w="620" w:type="dxa"/>
            <w:vAlign w:val="bottom"/>
            <w:tcBorders>
              <w:bottom w:val="single" w:sz="8" w:color="D7D8D6"/>
            </w:tcBorders>
            <w:shd w:val="clear" w:color="auto" w:fill="D7D8D6"/>
          </w:tcPr>
          <w:p>
            <w:pPr>
              <w:spacing w:after="0"/>
              <w:rPr>
                <w:sz w:val="19"/>
                <w:szCs w:val="19"/>
                <w:color w:val="auto"/>
              </w:rPr>
            </w:pP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6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6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Lead</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ind w:left="240"/>
              <w:spacing w:after="0"/>
              <w:rPr>
                <w:sz w:val="20"/>
                <w:szCs w:val="20"/>
                <w:color w:val="auto"/>
              </w:rPr>
            </w:pPr>
            <w:r>
              <w:rPr>
                <w:rFonts w:ascii="Arial" w:cs="Arial" w:eastAsia="Arial" w:hAnsi="Arial"/>
                <w:sz w:val="11"/>
                <w:szCs w:val="11"/>
                <w:color w:val="333740"/>
              </w:rPr>
              <w:t>•</w:t>
            </w:r>
          </w:p>
        </w:tc>
        <w:tc>
          <w:tcPr>
            <w:tcW w:w="58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right"/>
              <w:ind w:right="183"/>
              <w:spacing w:after="0"/>
              <w:rPr>
                <w:sz w:val="20"/>
                <w:szCs w:val="20"/>
                <w:color w:val="auto"/>
              </w:rPr>
            </w:pPr>
            <w:r>
              <w:rPr>
                <w:rFonts w:ascii="Arial" w:cs="Arial" w:eastAsia="Arial" w:hAnsi="Arial"/>
                <w:sz w:val="11"/>
                <w:szCs w:val="11"/>
                <w:color w:val="333740"/>
              </w:rPr>
              <w:t>•</w:t>
            </w: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w:t>
            </w:r>
          </w:p>
        </w:tc>
        <w:tc>
          <w:tcPr>
            <w:tcW w:w="60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w:t>
            </w:r>
          </w:p>
        </w:tc>
        <w:tc>
          <w:tcPr>
            <w:tcW w:w="0" w:type="dxa"/>
            <w:vAlign w:val="bottom"/>
          </w:tcPr>
          <w:p>
            <w:pPr>
              <w:spacing w:after="0"/>
              <w:rPr>
                <w:sz w:val="1"/>
                <w:szCs w:val="1"/>
                <w:color w:val="auto"/>
              </w:rPr>
            </w:pPr>
          </w:p>
        </w:tc>
      </w:tr>
      <w:tr>
        <w:trPr>
          <w:trHeight w:val="231"/>
        </w:trPr>
        <w:tc>
          <w:tcPr>
            <w:tcW w:w="3160" w:type="dxa"/>
            <w:vAlign w:val="bottom"/>
            <w:tcBorders>
              <w:bottom w:val="single" w:sz="8" w:color="D7D8D6"/>
            </w:tcBorders>
          </w:tcPr>
          <w:p>
            <w:pPr>
              <w:ind w:left="20"/>
              <w:spacing w:after="0"/>
              <w:rPr>
                <w:sz w:val="20"/>
                <w:szCs w:val="20"/>
                <w:color w:val="auto"/>
              </w:rPr>
            </w:pPr>
            <w:r>
              <w:rPr>
                <w:rFonts w:ascii="Arial" w:cs="Arial" w:eastAsia="Arial" w:hAnsi="Arial"/>
                <w:sz w:val="11"/>
                <w:szCs w:val="11"/>
                <w:color w:val="333740"/>
              </w:rPr>
              <w:t>Other Public Company Boards</w:t>
            </w:r>
          </w:p>
        </w:tc>
        <w:tc>
          <w:tcPr>
            <w:tcW w:w="62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w w:val="97"/>
              </w:rPr>
              <w:t>0</w:t>
            </w: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4</w:t>
            </w:r>
          </w:p>
        </w:tc>
        <w:tc>
          <w:tcPr>
            <w:tcW w:w="6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w w:val="97"/>
              </w:rPr>
              <w:t>0</w:t>
            </w:r>
          </w:p>
        </w:tc>
        <w:tc>
          <w:tcPr>
            <w:tcW w:w="640" w:type="dxa"/>
            <w:vAlign w:val="bottom"/>
            <w:tcBorders>
              <w:bottom w:val="single" w:sz="8" w:color="D7D8D6"/>
            </w:tcBorders>
          </w:tcPr>
          <w:p>
            <w:pPr>
              <w:jc w:val="center"/>
              <w:spacing w:after="0" w:line="227" w:lineRule="exact"/>
              <w:rPr>
                <w:sz w:val="20"/>
                <w:szCs w:val="20"/>
                <w:color w:val="auto"/>
              </w:rPr>
            </w:pPr>
            <w:r>
              <w:rPr>
                <w:rFonts w:ascii="Arial" w:cs="Arial" w:eastAsia="Arial" w:hAnsi="Arial"/>
                <w:sz w:val="22"/>
                <w:szCs w:val="22"/>
                <w:color w:val="333740"/>
                <w:w w:val="97"/>
                <w:vertAlign w:val="subscript"/>
              </w:rPr>
              <w:t>1</w:t>
            </w:r>
            <w:r>
              <w:rPr>
                <w:rFonts w:ascii="Arial" w:cs="Arial" w:eastAsia="Arial" w:hAnsi="Arial"/>
                <w:sz w:val="11"/>
                <w:szCs w:val="11"/>
                <w:color w:val="333740"/>
                <w:w w:val="97"/>
              </w:rPr>
              <w:t>1</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2</w:t>
            </w: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w w:val="97"/>
              </w:rPr>
              <w:t>1</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w w:val="97"/>
              </w:rPr>
              <w:t>0</w:t>
            </w:r>
          </w:p>
        </w:tc>
        <w:tc>
          <w:tcPr>
            <w:tcW w:w="58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w w:val="97"/>
              </w:rPr>
              <w:t>0</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w w:val="97"/>
              </w:rPr>
              <w:t>0</w:t>
            </w: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w w:val="97"/>
              </w:rPr>
              <w:t>2</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2</w:t>
            </w: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0</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w w:val="97"/>
              </w:rPr>
              <w:t>4</w:t>
            </w:r>
          </w:p>
        </w:tc>
        <w:tc>
          <w:tcPr>
            <w:tcW w:w="600" w:type="dxa"/>
            <w:vAlign w:val="bottom"/>
            <w:tcBorders>
              <w:bottom w:val="single" w:sz="8" w:color="D7D8D6"/>
            </w:tcBorders>
          </w:tcPr>
          <w:p>
            <w:pPr>
              <w:jc w:val="center"/>
              <w:spacing w:after="0"/>
              <w:rPr>
                <w:sz w:val="20"/>
                <w:szCs w:val="20"/>
                <w:color w:val="auto"/>
              </w:rPr>
            </w:pPr>
            <w:r>
              <w:rPr>
                <w:rFonts w:ascii="Arial" w:cs="Arial" w:eastAsia="Arial" w:hAnsi="Arial"/>
                <w:sz w:val="11"/>
                <w:szCs w:val="11"/>
                <w:color w:val="333740"/>
              </w:rPr>
              <w:t>1</w:t>
            </w:r>
          </w:p>
        </w:tc>
        <w:tc>
          <w:tcPr>
            <w:tcW w:w="0" w:type="dxa"/>
            <w:vAlign w:val="bottom"/>
          </w:tcPr>
          <w:p>
            <w:pPr>
              <w:spacing w:after="0"/>
              <w:rPr>
                <w:sz w:val="1"/>
                <w:szCs w:val="1"/>
                <w:color w:val="auto"/>
              </w:rPr>
            </w:pPr>
          </w:p>
        </w:tc>
      </w:tr>
      <w:tr>
        <w:trPr>
          <w:trHeight w:val="224"/>
        </w:trPr>
        <w:tc>
          <w:tcPr>
            <w:tcW w:w="3160" w:type="dxa"/>
            <w:vAlign w:val="bottom"/>
            <w:tcBorders>
              <w:bottom w:val="single" w:sz="8" w:color="481F6E"/>
            </w:tcBorders>
            <w:shd w:val="clear" w:color="auto" w:fill="481F6E"/>
          </w:tcPr>
          <w:p>
            <w:pPr>
              <w:ind w:left="20"/>
              <w:spacing w:after="0"/>
              <w:rPr>
                <w:sz w:val="20"/>
                <w:szCs w:val="20"/>
                <w:color w:val="auto"/>
              </w:rPr>
            </w:pPr>
            <w:r>
              <w:rPr>
                <w:rFonts w:ascii="Arial" w:cs="Arial" w:eastAsia="Arial" w:hAnsi="Arial"/>
                <w:sz w:val="11"/>
                <w:szCs w:val="11"/>
                <w:color w:val="FFFFFF"/>
              </w:rPr>
              <w:t>Committee Membership</w:t>
            </w:r>
          </w:p>
        </w:tc>
        <w:tc>
          <w:tcPr>
            <w:tcW w:w="620" w:type="dxa"/>
            <w:vAlign w:val="bottom"/>
            <w:tcBorders>
              <w:bottom w:val="single" w:sz="8" w:color="481F6E"/>
            </w:tcBorders>
            <w:shd w:val="clear" w:color="auto" w:fill="481F6E"/>
          </w:tcPr>
          <w:p>
            <w:pPr>
              <w:spacing w:after="0"/>
              <w:rPr>
                <w:sz w:val="19"/>
                <w:szCs w:val="19"/>
                <w:color w:val="auto"/>
              </w:rPr>
            </w:pPr>
          </w:p>
        </w:tc>
        <w:tc>
          <w:tcPr>
            <w:tcW w:w="560" w:type="dxa"/>
            <w:vAlign w:val="bottom"/>
            <w:tcBorders>
              <w:bottom w:val="single" w:sz="8" w:color="481F6E"/>
            </w:tcBorders>
            <w:shd w:val="clear" w:color="auto" w:fill="481F6E"/>
          </w:tcPr>
          <w:p>
            <w:pPr>
              <w:spacing w:after="0"/>
              <w:rPr>
                <w:sz w:val="19"/>
                <w:szCs w:val="19"/>
                <w:color w:val="auto"/>
              </w:rPr>
            </w:pPr>
          </w:p>
        </w:tc>
        <w:tc>
          <w:tcPr>
            <w:tcW w:w="660" w:type="dxa"/>
            <w:vAlign w:val="bottom"/>
            <w:tcBorders>
              <w:bottom w:val="single" w:sz="8" w:color="481F6E"/>
            </w:tcBorders>
            <w:shd w:val="clear" w:color="auto" w:fill="481F6E"/>
          </w:tcPr>
          <w:p>
            <w:pPr>
              <w:spacing w:after="0"/>
              <w:rPr>
                <w:sz w:val="19"/>
                <w:szCs w:val="19"/>
                <w:color w:val="auto"/>
              </w:rPr>
            </w:pPr>
          </w:p>
        </w:tc>
        <w:tc>
          <w:tcPr>
            <w:tcW w:w="640" w:type="dxa"/>
            <w:vAlign w:val="bottom"/>
            <w:tcBorders>
              <w:bottom w:val="single" w:sz="8" w:color="481F6E"/>
            </w:tcBorders>
            <w:shd w:val="clear" w:color="auto" w:fill="481F6E"/>
          </w:tcPr>
          <w:p>
            <w:pPr>
              <w:spacing w:after="0"/>
              <w:rPr>
                <w:sz w:val="19"/>
                <w:szCs w:val="19"/>
                <w:color w:val="auto"/>
              </w:rPr>
            </w:pPr>
          </w:p>
        </w:tc>
        <w:tc>
          <w:tcPr>
            <w:tcW w:w="560" w:type="dxa"/>
            <w:vAlign w:val="bottom"/>
            <w:tcBorders>
              <w:bottom w:val="single" w:sz="8" w:color="481F6E"/>
            </w:tcBorders>
            <w:shd w:val="clear" w:color="auto" w:fill="481F6E"/>
          </w:tcPr>
          <w:p>
            <w:pPr>
              <w:spacing w:after="0"/>
              <w:rPr>
                <w:sz w:val="19"/>
                <w:szCs w:val="19"/>
                <w:color w:val="auto"/>
              </w:rPr>
            </w:pPr>
          </w:p>
        </w:tc>
        <w:tc>
          <w:tcPr>
            <w:tcW w:w="540" w:type="dxa"/>
            <w:vAlign w:val="bottom"/>
            <w:tcBorders>
              <w:bottom w:val="single" w:sz="8" w:color="481F6E"/>
            </w:tcBorders>
            <w:shd w:val="clear" w:color="auto" w:fill="481F6E"/>
          </w:tcPr>
          <w:p>
            <w:pPr>
              <w:spacing w:after="0"/>
              <w:rPr>
                <w:sz w:val="19"/>
                <w:szCs w:val="19"/>
                <w:color w:val="auto"/>
              </w:rPr>
            </w:pPr>
          </w:p>
        </w:tc>
        <w:tc>
          <w:tcPr>
            <w:tcW w:w="560" w:type="dxa"/>
            <w:vAlign w:val="bottom"/>
            <w:tcBorders>
              <w:bottom w:val="single" w:sz="8" w:color="481F6E"/>
            </w:tcBorders>
            <w:shd w:val="clear" w:color="auto" w:fill="481F6E"/>
          </w:tcPr>
          <w:p>
            <w:pPr>
              <w:spacing w:after="0"/>
              <w:rPr>
                <w:sz w:val="19"/>
                <w:szCs w:val="19"/>
                <w:color w:val="auto"/>
              </w:rPr>
            </w:pPr>
          </w:p>
        </w:tc>
        <w:tc>
          <w:tcPr>
            <w:tcW w:w="580" w:type="dxa"/>
            <w:vAlign w:val="bottom"/>
            <w:tcBorders>
              <w:bottom w:val="single" w:sz="8" w:color="481F6E"/>
            </w:tcBorders>
            <w:shd w:val="clear" w:color="auto" w:fill="481F6E"/>
          </w:tcPr>
          <w:p>
            <w:pPr>
              <w:spacing w:after="0"/>
              <w:rPr>
                <w:sz w:val="19"/>
                <w:szCs w:val="19"/>
                <w:color w:val="auto"/>
              </w:rPr>
            </w:pPr>
          </w:p>
        </w:tc>
        <w:tc>
          <w:tcPr>
            <w:tcW w:w="560" w:type="dxa"/>
            <w:vAlign w:val="bottom"/>
            <w:tcBorders>
              <w:bottom w:val="single" w:sz="8" w:color="481F6E"/>
            </w:tcBorders>
            <w:shd w:val="clear" w:color="auto" w:fill="481F6E"/>
          </w:tcPr>
          <w:p>
            <w:pPr>
              <w:spacing w:after="0"/>
              <w:rPr>
                <w:sz w:val="19"/>
                <w:szCs w:val="19"/>
                <w:color w:val="auto"/>
              </w:rPr>
            </w:pPr>
          </w:p>
        </w:tc>
        <w:tc>
          <w:tcPr>
            <w:tcW w:w="540" w:type="dxa"/>
            <w:vAlign w:val="bottom"/>
            <w:tcBorders>
              <w:bottom w:val="single" w:sz="8" w:color="481F6E"/>
            </w:tcBorders>
            <w:shd w:val="clear" w:color="auto" w:fill="481F6E"/>
          </w:tcPr>
          <w:p>
            <w:pPr>
              <w:spacing w:after="0"/>
              <w:rPr>
                <w:sz w:val="19"/>
                <w:szCs w:val="19"/>
                <w:color w:val="auto"/>
              </w:rPr>
            </w:pPr>
          </w:p>
        </w:tc>
        <w:tc>
          <w:tcPr>
            <w:tcW w:w="560" w:type="dxa"/>
            <w:vAlign w:val="bottom"/>
            <w:tcBorders>
              <w:bottom w:val="single" w:sz="8" w:color="481F6E"/>
            </w:tcBorders>
            <w:shd w:val="clear" w:color="auto" w:fill="481F6E"/>
          </w:tcPr>
          <w:p>
            <w:pPr>
              <w:spacing w:after="0"/>
              <w:rPr>
                <w:sz w:val="19"/>
                <w:szCs w:val="19"/>
                <w:color w:val="auto"/>
              </w:rPr>
            </w:pPr>
          </w:p>
        </w:tc>
        <w:tc>
          <w:tcPr>
            <w:tcW w:w="560" w:type="dxa"/>
            <w:vAlign w:val="bottom"/>
            <w:tcBorders>
              <w:bottom w:val="single" w:sz="8" w:color="481F6E"/>
            </w:tcBorders>
            <w:shd w:val="clear" w:color="auto" w:fill="481F6E"/>
          </w:tcPr>
          <w:p>
            <w:pPr>
              <w:spacing w:after="0"/>
              <w:rPr>
                <w:sz w:val="19"/>
                <w:szCs w:val="19"/>
                <w:color w:val="auto"/>
              </w:rPr>
            </w:pPr>
          </w:p>
        </w:tc>
        <w:tc>
          <w:tcPr>
            <w:tcW w:w="560" w:type="dxa"/>
            <w:vAlign w:val="bottom"/>
            <w:tcBorders>
              <w:bottom w:val="single" w:sz="8" w:color="481F6E"/>
            </w:tcBorders>
            <w:shd w:val="clear" w:color="auto" w:fill="481F6E"/>
          </w:tcPr>
          <w:p>
            <w:pPr>
              <w:spacing w:after="0"/>
              <w:rPr>
                <w:sz w:val="19"/>
                <w:szCs w:val="19"/>
                <w:color w:val="auto"/>
              </w:rPr>
            </w:pPr>
          </w:p>
        </w:tc>
        <w:tc>
          <w:tcPr>
            <w:tcW w:w="600" w:type="dxa"/>
            <w:vAlign w:val="bottom"/>
            <w:tcBorders>
              <w:bottom w:val="single" w:sz="8" w:color="481F6E"/>
            </w:tcBorders>
            <w:shd w:val="clear" w:color="auto" w:fill="481F6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160" w:type="dxa"/>
            <w:vAlign w:val="bottom"/>
            <w:tcBorders>
              <w:top w:val="single" w:sz="8" w:color="D7D8D6"/>
              <w:bottom w:val="single" w:sz="8" w:color="D7D8D6"/>
            </w:tcBorders>
          </w:tcPr>
          <w:p>
            <w:pPr>
              <w:ind w:left="20"/>
              <w:spacing w:after="0"/>
              <w:rPr>
                <w:sz w:val="20"/>
                <w:szCs w:val="20"/>
                <w:color w:val="auto"/>
              </w:rPr>
            </w:pPr>
            <w:r>
              <w:rPr>
                <w:rFonts w:ascii="Arial" w:cs="Arial" w:eastAsia="Arial" w:hAnsi="Arial"/>
                <w:sz w:val="11"/>
                <w:szCs w:val="11"/>
                <w:color w:val="333740"/>
              </w:rPr>
              <w:t>Audit</w:t>
            </w:r>
            <w:r>
              <w:rPr>
                <w:rFonts w:ascii="Arial" w:cs="Arial" w:eastAsia="Arial" w:hAnsi="Arial"/>
                <w:sz w:val="18"/>
                <w:szCs w:val="18"/>
                <w:color w:val="333740"/>
                <w:vertAlign w:val="superscript"/>
              </w:rPr>
              <w:t>2</w:t>
            </w:r>
          </w:p>
        </w:tc>
        <w:tc>
          <w:tcPr>
            <w:tcW w:w="620" w:type="dxa"/>
            <w:vAlign w:val="bottom"/>
            <w:tcBorders>
              <w:top w:val="single" w:sz="8" w:color="D7D8D6"/>
              <w:bottom w:val="single" w:sz="8" w:color="D7D8D6"/>
            </w:tcBorders>
            <w:shd w:val="clear" w:color="auto" w:fill="D7D8D6"/>
          </w:tcPr>
          <w:p>
            <w:pPr>
              <w:spacing w:after="0"/>
              <w:rPr>
                <w:sz w:val="22"/>
                <w:szCs w:val="22"/>
                <w:color w:val="auto"/>
              </w:rPr>
            </w:pPr>
          </w:p>
        </w:tc>
        <w:tc>
          <w:tcPr>
            <w:tcW w:w="560" w:type="dxa"/>
            <w:vAlign w:val="bottom"/>
            <w:tcBorders>
              <w:top w:val="single" w:sz="8" w:color="D7D8D6"/>
              <w:bottom w:val="single" w:sz="8" w:color="D7D8D6"/>
            </w:tcBorders>
          </w:tcPr>
          <w:p>
            <w:pPr>
              <w:jc w:val="center"/>
              <w:spacing w:after="0"/>
              <w:rPr>
                <w:sz w:val="20"/>
                <w:szCs w:val="20"/>
                <w:color w:val="auto"/>
              </w:rPr>
            </w:pPr>
            <w:r>
              <w:rPr>
                <w:rFonts w:ascii="Arial" w:cs="Arial" w:eastAsia="Arial" w:hAnsi="Arial"/>
                <w:sz w:val="14"/>
                <w:szCs w:val="14"/>
                <w:color w:val="333740"/>
                <w:w w:val="80"/>
              </w:rPr>
              <w:t>•</w:t>
            </w:r>
          </w:p>
        </w:tc>
        <w:tc>
          <w:tcPr>
            <w:tcW w:w="660" w:type="dxa"/>
            <w:vAlign w:val="bottom"/>
            <w:tcBorders>
              <w:top w:val="single" w:sz="8" w:color="D7D8D6"/>
              <w:bottom w:val="single" w:sz="8" w:color="D7D8D6"/>
            </w:tcBorders>
            <w:shd w:val="clear" w:color="auto" w:fill="D7D8D6"/>
          </w:tcPr>
          <w:p>
            <w:pPr>
              <w:jc w:val="center"/>
              <w:spacing w:after="0"/>
              <w:rPr>
                <w:sz w:val="20"/>
                <w:szCs w:val="20"/>
                <w:color w:val="auto"/>
              </w:rPr>
            </w:pPr>
            <w:r>
              <w:rPr>
                <w:rFonts w:ascii="Arial" w:cs="Arial" w:eastAsia="Arial" w:hAnsi="Arial"/>
                <w:sz w:val="14"/>
                <w:szCs w:val="14"/>
                <w:color w:val="333740"/>
              </w:rPr>
              <w:t>•</w:t>
            </w:r>
          </w:p>
        </w:tc>
        <w:tc>
          <w:tcPr>
            <w:tcW w:w="640" w:type="dxa"/>
            <w:vAlign w:val="bottom"/>
            <w:tcBorders>
              <w:top w:val="single" w:sz="8" w:color="D7D8D6"/>
              <w:bottom w:val="single" w:sz="8" w:color="D7D8D6"/>
            </w:tcBorders>
          </w:tcPr>
          <w:p>
            <w:pPr>
              <w:spacing w:after="0"/>
              <w:rPr>
                <w:sz w:val="22"/>
                <w:szCs w:val="22"/>
                <w:color w:val="auto"/>
              </w:rPr>
            </w:pPr>
          </w:p>
        </w:tc>
        <w:tc>
          <w:tcPr>
            <w:tcW w:w="560" w:type="dxa"/>
            <w:vAlign w:val="bottom"/>
            <w:tcBorders>
              <w:top w:val="single" w:sz="8" w:color="D7D8D6"/>
              <w:bottom w:val="single" w:sz="8" w:color="D7D8D6"/>
            </w:tcBorders>
            <w:shd w:val="clear" w:color="auto" w:fill="D7D8D6"/>
          </w:tcPr>
          <w:p>
            <w:pPr>
              <w:jc w:val="right"/>
              <w:ind w:right="84"/>
              <w:spacing w:after="0"/>
              <w:rPr>
                <w:sz w:val="20"/>
                <w:szCs w:val="20"/>
                <w:color w:val="auto"/>
              </w:rPr>
            </w:pPr>
            <w:r>
              <w:rPr>
                <w:rFonts w:ascii="Arial" w:cs="Arial" w:eastAsia="Arial" w:hAnsi="Arial"/>
                <w:sz w:val="11"/>
                <w:szCs w:val="11"/>
                <w:color w:val="333740"/>
              </w:rPr>
              <w:t>Chair</w:t>
            </w:r>
          </w:p>
        </w:tc>
        <w:tc>
          <w:tcPr>
            <w:tcW w:w="540" w:type="dxa"/>
            <w:vAlign w:val="bottom"/>
            <w:tcBorders>
              <w:top w:val="single" w:sz="8" w:color="D7D8D6"/>
              <w:bottom w:val="single" w:sz="8" w:color="D7D8D6"/>
            </w:tcBorders>
          </w:tcPr>
          <w:p>
            <w:pPr>
              <w:spacing w:after="0"/>
              <w:rPr>
                <w:sz w:val="22"/>
                <w:szCs w:val="22"/>
                <w:color w:val="auto"/>
              </w:rPr>
            </w:pPr>
          </w:p>
        </w:tc>
        <w:tc>
          <w:tcPr>
            <w:tcW w:w="560" w:type="dxa"/>
            <w:vAlign w:val="bottom"/>
            <w:tcBorders>
              <w:top w:val="single" w:sz="8" w:color="D7D8D6"/>
              <w:bottom w:val="single" w:sz="8" w:color="D7D8D6"/>
            </w:tcBorders>
            <w:shd w:val="clear" w:color="auto" w:fill="D7D8D6"/>
          </w:tcPr>
          <w:p>
            <w:pPr>
              <w:spacing w:after="0"/>
              <w:rPr>
                <w:sz w:val="22"/>
                <w:szCs w:val="22"/>
                <w:color w:val="auto"/>
              </w:rPr>
            </w:pPr>
          </w:p>
        </w:tc>
        <w:tc>
          <w:tcPr>
            <w:tcW w:w="580" w:type="dxa"/>
            <w:vAlign w:val="bottom"/>
            <w:tcBorders>
              <w:top w:val="single" w:sz="8" w:color="D7D8D6"/>
              <w:bottom w:val="single" w:sz="8" w:color="D7D8D6"/>
            </w:tcBorders>
          </w:tcPr>
          <w:p>
            <w:pPr>
              <w:spacing w:after="0"/>
              <w:rPr>
                <w:sz w:val="22"/>
                <w:szCs w:val="22"/>
                <w:color w:val="auto"/>
              </w:rPr>
            </w:pPr>
          </w:p>
        </w:tc>
        <w:tc>
          <w:tcPr>
            <w:tcW w:w="560" w:type="dxa"/>
            <w:vAlign w:val="bottom"/>
            <w:tcBorders>
              <w:top w:val="single" w:sz="8" w:color="D7D8D6"/>
              <w:bottom w:val="single" w:sz="8" w:color="D7D8D6"/>
            </w:tcBorders>
            <w:shd w:val="clear" w:color="auto" w:fill="D7D8D6"/>
          </w:tcPr>
          <w:p>
            <w:pPr>
              <w:spacing w:after="0"/>
              <w:rPr>
                <w:sz w:val="22"/>
                <w:szCs w:val="22"/>
                <w:color w:val="auto"/>
              </w:rPr>
            </w:pPr>
          </w:p>
        </w:tc>
        <w:tc>
          <w:tcPr>
            <w:tcW w:w="540" w:type="dxa"/>
            <w:vAlign w:val="bottom"/>
            <w:tcBorders>
              <w:top w:val="single" w:sz="8" w:color="D7D8D6"/>
              <w:bottom w:val="single" w:sz="8" w:color="D7D8D6"/>
            </w:tcBorders>
          </w:tcPr>
          <w:p>
            <w:pPr>
              <w:spacing w:after="0"/>
              <w:rPr>
                <w:sz w:val="22"/>
                <w:szCs w:val="22"/>
                <w:color w:val="auto"/>
              </w:rPr>
            </w:pPr>
          </w:p>
        </w:tc>
        <w:tc>
          <w:tcPr>
            <w:tcW w:w="560" w:type="dxa"/>
            <w:vAlign w:val="bottom"/>
            <w:tcBorders>
              <w:top w:val="single" w:sz="8" w:color="D7D8D6"/>
              <w:bottom w:val="single" w:sz="8" w:color="D7D8D6"/>
            </w:tcBorders>
            <w:shd w:val="clear" w:color="auto" w:fill="D7D8D6"/>
          </w:tcPr>
          <w:p>
            <w:pPr>
              <w:jc w:val="center"/>
              <w:spacing w:after="0"/>
              <w:rPr>
                <w:sz w:val="20"/>
                <w:szCs w:val="20"/>
                <w:color w:val="auto"/>
              </w:rPr>
            </w:pPr>
            <w:r>
              <w:rPr>
                <w:rFonts w:ascii="Arial" w:cs="Arial" w:eastAsia="Arial" w:hAnsi="Arial"/>
                <w:sz w:val="14"/>
                <w:szCs w:val="14"/>
                <w:color w:val="333740"/>
                <w:w w:val="80"/>
              </w:rPr>
              <w:t>•</w:t>
            </w:r>
          </w:p>
        </w:tc>
        <w:tc>
          <w:tcPr>
            <w:tcW w:w="560" w:type="dxa"/>
            <w:vAlign w:val="bottom"/>
            <w:tcBorders>
              <w:top w:val="single" w:sz="8" w:color="D7D8D6"/>
              <w:bottom w:val="single" w:sz="8" w:color="D7D8D6"/>
            </w:tcBorders>
          </w:tcPr>
          <w:p>
            <w:pPr>
              <w:jc w:val="center"/>
              <w:spacing w:after="0"/>
              <w:rPr>
                <w:sz w:val="20"/>
                <w:szCs w:val="20"/>
                <w:color w:val="auto"/>
              </w:rPr>
            </w:pPr>
            <w:r>
              <w:rPr>
                <w:rFonts w:ascii="Arial" w:cs="Arial" w:eastAsia="Arial" w:hAnsi="Arial"/>
                <w:sz w:val="14"/>
                <w:szCs w:val="14"/>
                <w:color w:val="333740"/>
                <w:w w:val="80"/>
              </w:rPr>
              <w:t>•</w:t>
            </w:r>
          </w:p>
        </w:tc>
        <w:tc>
          <w:tcPr>
            <w:tcW w:w="560" w:type="dxa"/>
            <w:vAlign w:val="bottom"/>
            <w:tcBorders>
              <w:top w:val="single" w:sz="8" w:color="D7D8D6"/>
              <w:bottom w:val="single" w:sz="8" w:color="D7D8D6"/>
            </w:tcBorders>
            <w:shd w:val="clear" w:color="auto" w:fill="D7D8D6"/>
          </w:tcPr>
          <w:p>
            <w:pPr>
              <w:spacing w:after="0"/>
              <w:rPr>
                <w:sz w:val="22"/>
                <w:szCs w:val="22"/>
                <w:color w:val="auto"/>
              </w:rPr>
            </w:pPr>
          </w:p>
        </w:tc>
        <w:tc>
          <w:tcPr>
            <w:tcW w:w="600" w:type="dxa"/>
            <w:vAlign w:val="bottom"/>
            <w:tcBorders>
              <w:top w:val="single" w:sz="8" w:color="D7D8D6"/>
              <w:bottom w:val="single" w:sz="8" w:color="D7D8D6"/>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160" w:type="dxa"/>
            <w:vAlign w:val="bottom"/>
            <w:tcBorders>
              <w:bottom w:val="single" w:sz="8" w:color="D7D8D6"/>
            </w:tcBorders>
          </w:tcPr>
          <w:p>
            <w:pPr>
              <w:ind w:left="20"/>
              <w:spacing w:after="0"/>
              <w:rPr>
                <w:sz w:val="20"/>
                <w:szCs w:val="20"/>
                <w:color w:val="auto"/>
              </w:rPr>
            </w:pPr>
            <w:r>
              <w:rPr>
                <w:rFonts w:ascii="Arial" w:cs="Arial" w:eastAsia="Arial" w:hAnsi="Arial"/>
                <w:sz w:val="11"/>
                <w:szCs w:val="11"/>
                <w:color w:val="333740"/>
              </w:rPr>
              <w:t>Compensation</w:t>
            </w:r>
          </w:p>
        </w:tc>
        <w:tc>
          <w:tcPr>
            <w:tcW w:w="620" w:type="dxa"/>
            <w:vAlign w:val="bottom"/>
            <w:tcBorders>
              <w:bottom w:val="single" w:sz="8" w:color="D7D8D6"/>
            </w:tcBorders>
            <w:shd w:val="clear" w:color="auto" w:fill="D7D8D6"/>
          </w:tcPr>
          <w:p>
            <w:pPr>
              <w:spacing w:after="0"/>
              <w:rPr>
                <w:sz w:val="22"/>
                <w:szCs w:val="22"/>
                <w:color w:val="auto"/>
              </w:rPr>
            </w:pPr>
          </w:p>
        </w:tc>
        <w:tc>
          <w:tcPr>
            <w:tcW w:w="560" w:type="dxa"/>
            <w:vAlign w:val="bottom"/>
            <w:tcBorders>
              <w:bottom w:val="single" w:sz="8" w:color="D7D8D6"/>
            </w:tcBorders>
          </w:tcPr>
          <w:p>
            <w:pPr>
              <w:spacing w:after="0"/>
              <w:rPr>
                <w:sz w:val="22"/>
                <w:szCs w:val="22"/>
                <w:color w:val="auto"/>
              </w:rPr>
            </w:pPr>
          </w:p>
        </w:tc>
        <w:tc>
          <w:tcPr>
            <w:tcW w:w="660" w:type="dxa"/>
            <w:vAlign w:val="bottom"/>
            <w:tcBorders>
              <w:bottom w:val="single" w:sz="8" w:color="D7D8D6"/>
            </w:tcBorders>
            <w:shd w:val="clear" w:color="auto" w:fill="D7D8D6"/>
          </w:tcPr>
          <w:p>
            <w:pPr>
              <w:spacing w:after="0"/>
              <w:rPr>
                <w:sz w:val="22"/>
                <w:szCs w:val="22"/>
                <w:color w:val="auto"/>
              </w:rPr>
            </w:pPr>
          </w:p>
        </w:tc>
        <w:tc>
          <w:tcPr>
            <w:tcW w:w="640" w:type="dxa"/>
            <w:vAlign w:val="bottom"/>
            <w:tcBorders>
              <w:bottom w:val="single" w:sz="8" w:color="D7D8D6"/>
            </w:tcBorders>
          </w:tcPr>
          <w:p>
            <w:pPr>
              <w:spacing w:after="0"/>
              <w:rPr>
                <w:sz w:val="22"/>
                <w:szCs w:val="22"/>
                <w:color w:val="auto"/>
              </w:rPr>
            </w:pPr>
          </w:p>
        </w:tc>
        <w:tc>
          <w:tcPr>
            <w:tcW w:w="560" w:type="dxa"/>
            <w:vAlign w:val="bottom"/>
            <w:tcBorders>
              <w:bottom w:val="single" w:sz="8" w:color="D7D8D6"/>
            </w:tcBorders>
            <w:shd w:val="clear" w:color="auto" w:fill="D7D8D6"/>
          </w:tcPr>
          <w:p>
            <w:pPr>
              <w:spacing w:after="0"/>
              <w:rPr>
                <w:sz w:val="22"/>
                <w:szCs w:val="22"/>
                <w:color w:val="auto"/>
              </w:rPr>
            </w:pPr>
          </w:p>
        </w:tc>
        <w:tc>
          <w:tcPr>
            <w:tcW w:w="540" w:type="dxa"/>
            <w:vAlign w:val="bottom"/>
            <w:tcBorders>
              <w:bottom w:val="single" w:sz="8" w:color="D7D8D6"/>
            </w:tcBorders>
          </w:tcPr>
          <w:p>
            <w:pPr>
              <w:jc w:val="center"/>
              <w:spacing w:after="0"/>
              <w:rPr>
                <w:sz w:val="20"/>
                <w:szCs w:val="20"/>
                <w:color w:val="auto"/>
              </w:rPr>
            </w:pPr>
            <w:r>
              <w:rPr>
                <w:rFonts w:ascii="Arial" w:cs="Arial" w:eastAsia="Arial" w:hAnsi="Arial"/>
                <w:sz w:val="14"/>
                <w:szCs w:val="14"/>
                <w:color w:val="333740"/>
              </w:rPr>
              <w:t>•</w:t>
            </w:r>
          </w:p>
        </w:tc>
        <w:tc>
          <w:tcPr>
            <w:tcW w:w="560" w:type="dxa"/>
            <w:vAlign w:val="bottom"/>
            <w:tcBorders>
              <w:bottom w:val="single" w:sz="8" w:color="D7D8D6"/>
            </w:tcBorders>
            <w:shd w:val="clear" w:color="auto" w:fill="D7D8D6"/>
          </w:tcPr>
          <w:p>
            <w:pPr>
              <w:spacing w:after="0"/>
              <w:rPr>
                <w:sz w:val="22"/>
                <w:szCs w:val="22"/>
                <w:color w:val="auto"/>
              </w:rPr>
            </w:pPr>
          </w:p>
        </w:tc>
        <w:tc>
          <w:tcPr>
            <w:tcW w:w="580" w:type="dxa"/>
            <w:vAlign w:val="bottom"/>
            <w:tcBorders>
              <w:bottom w:val="single" w:sz="8" w:color="D7D8D6"/>
            </w:tcBorders>
          </w:tcPr>
          <w:p>
            <w:pPr>
              <w:spacing w:after="0"/>
              <w:rPr>
                <w:sz w:val="22"/>
                <w:szCs w:val="22"/>
                <w:color w:val="auto"/>
              </w:rPr>
            </w:pP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4"/>
                <w:szCs w:val="14"/>
                <w:color w:val="333740"/>
              </w:rPr>
              <w:t>•</w:t>
            </w:r>
          </w:p>
        </w:tc>
        <w:tc>
          <w:tcPr>
            <w:tcW w:w="540" w:type="dxa"/>
            <w:vAlign w:val="bottom"/>
            <w:tcBorders>
              <w:bottom w:val="single" w:sz="8" w:color="D7D8D6"/>
            </w:tcBorders>
          </w:tcPr>
          <w:p>
            <w:pPr>
              <w:spacing w:after="0"/>
              <w:rPr>
                <w:sz w:val="22"/>
                <w:szCs w:val="22"/>
                <w:color w:val="auto"/>
              </w:rPr>
            </w:pPr>
          </w:p>
        </w:tc>
        <w:tc>
          <w:tcPr>
            <w:tcW w:w="560" w:type="dxa"/>
            <w:vAlign w:val="bottom"/>
            <w:tcBorders>
              <w:bottom w:val="single" w:sz="8" w:color="D7D8D6"/>
            </w:tcBorders>
            <w:shd w:val="clear" w:color="auto" w:fill="D7D8D6"/>
          </w:tcPr>
          <w:p>
            <w:pPr>
              <w:spacing w:after="0"/>
              <w:rPr>
                <w:sz w:val="22"/>
                <w:szCs w:val="22"/>
                <w:color w:val="auto"/>
              </w:rPr>
            </w:pPr>
          </w:p>
        </w:tc>
        <w:tc>
          <w:tcPr>
            <w:tcW w:w="560" w:type="dxa"/>
            <w:vAlign w:val="bottom"/>
            <w:tcBorders>
              <w:bottom w:val="single" w:sz="8" w:color="D7D8D6"/>
            </w:tcBorders>
          </w:tcPr>
          <w:p>
            <w:pPr>
              <w:jc w:val="center"/>
              <w:spacing w:after="0"/>
              <w:rPr>
                <w:sz w:val="20"/>
                <w:szCs w:val="20"/>
                <w:color w:val="auto"/>
              </w:rPr>
            </w:pPr>
            <w:r>
              <w:rPr>
                <w:rFonts w:ascii="Arial" w:cs="Arial" w:eastAsia="Arial" w:hAnsi="Arial"/>
                <w:sz w:val="14"/>
                <w:szCs w:val="14"/>
                <w:color w:val="333740"/>
                <w:w w:val="80"/>
              </w:rPr>
              <w:t>•</w:t>
            </w:r>
          </w:p>
        </w:tc>
        <w:tc>
          <w:tcPr>
            <w:tcW w:w="560" w:type="dxa"/>
            <w:vAlign w:val="bottom"/>
            <w:tcBorders>
              <w:bottom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w w:val="98"/>
              </w:rPr>
              <w:t>Chair</w:t>
            </w:r>
          </w:p>
        </w:tc>
        <w:tc>
          <w:tcPr>
            <w:tcW w:w="600" w:type="dxa"/>
            <w:vAlign w:val="bottom"/>
            <w:tcBorders>
              <w:bottom w:val="single" w:sz="8" w:color="D7D8D6"/>
            </w:tcBorders>
          </w:tcPr>
          <w:p>
            <w:pPr>
              <w:jc w:val="center"/>
              <w:spacing w:after="0"/>
              <w:rPr>
                <w:sz w:val="20"/>
                <w:szCs w:val="20"/>
                <w:color w:val="auto"/>
              </w:rPr>
            </w:pPr>
            <w:r>
              <w:rPr>
                <w:rFonts w:ascii="Arial" w:cs="Arial" w:eastAsia="Arial" w:hAnsi="Arial"/>
                <w:sz w:val="14"/>
                <w:szCs w:val="14"/>
                <w:color w:val="333740"/>
                <w:w w:val="80"/>
              </w:rPr>
              <w:t>•</w:t>
            </w:r>
          </w:p>
        </w:tc>
        <w:tc>
          <w:tcPr>
            <w:tcW w:w="0" w:type="dxa"/>
            <w:vAlign w:val="bottom"/>
          </w:tcPr>
          <w:p>
            <w:pPr>
              <w:spacing w:after="0"/>
              <w:rPr>
                <w:sz w:val="1"/>
                <w:szCs w:val="1"/>
                <w:color w:val="auto"/>
              </w:rPr>
            </w:pPr>
          </w:p>
        </w:tc>
      </w:tr>
      <w:tr>
        <w:trPr>
          <w:trHeight w:val="221"/>
        </w:trPr>
        <w:tc>
          <w:tcPr>
            <w:tcW w:w="3160" w:type="dxa"/>
            <w:vAlign w:val="bottom"/>
          </w:tcPr>
          <w:p>
            <w:pPr>
              <w:ind w:left="20"/>
              <w:spacing w:after="0"/>
              <w:rPr>
                <w:sz w:val="20"/>
                <w:szCs w:val="20"/>
                <w:color w:val="auto"/>
              </w:rPr>
            </w:pPr>
            <w:r>
              <w:rPr>
                <w:rFonts w:ascii="Arial" w:cs="Arial" w:eastAsia="Arial" w:hAnsi="Arial"/>
                <w:sz w:val="11"/>
                <w:szCs w:val="11"/>
                <w:color w:val="333740"/>
              </w:rPr>
              <w:t>Nominating/Corporate Governance</w:t>
            </w:r>
          </w:p>
        </w:tc>
        <w:tc>
          <w:tcPr>
            <w:tcW w:w="620" w:type="dxa"/>
            <w:vAlign w:val="bottom"/>
            <w:shd w:val="clear" w:color="auto" w:fill="D7D8D6"/>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shd w:val="clear" w:color="auto" w:fill="D7D8D6"/>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333740"/>
              </w:rPr>
              <w:t>•</w:t>
            </w:r>
          </w:p>
        </w:tc>
        <w:tc>
          <w:tcPr>
            <w:tcW w:w="560" w:type="dxa"/>
            <w:vAlign w:val="bottom"/>
            <w:shd w:val="clear" w:color="auto" w:fill="D7D8D6"/>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shd w:val="clear" w:color="auto" w:fill="D7D8D6"/>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1"/>
                <w:szCs w:val="11"/>
                <w:color w:val="333740"/>
                <w:w w:val="98"/>
              </w:rPr>
              <w:t>Chair</w:t>
            </w:r>
          </w:p>
        </w:tc>
        <w:tc>
          <w:tcPr>
            <w:tcW w:w="560" w:type="dxa"/>
            <w:vAlign w:val="bottom"/>
            <w:shd w:val="clear" w:color="auto" w:fill="D7D8D6"/>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333740"/>
              </w:rPr>
              <w:t>•</w:t>
            </w:r>
          </w:p>
        </w:tc>
        <w:tc>
          <w:tcPr>
            <w:tcW w:w="560" w:type="dxa"/>
            <w:vAlign w:val="bottom"/>
            <w:shd w:val="clear" w:color="auto" w:fill="D7D8D6"/>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shd w:val="clear" w:color="auto" w:fill="D7D8D6"/>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333740"/>
                <w:w w:val="80"/>
              </w:rPr>
              <w:t>•</w:t>
            </w:r>
          </w:p>
        </w:tc>
        <w:tc>
          <w:tcPr>
            <w:tcW w:w="0" w:type="dxa"/>
            <w:vAlign w:val="bottom"/>
          </w:tcPr>
          <w:p>
            <w:pPr>
              <w:spacing w:after="0"/>
              <w:rPr>
                <w:sz w:val="1"/>
                <w:szCs w:val="1"/>
                <w:color w:val="auto"/>
              </w:rPr>
            </w:pPr>
          </w:p>
        </w:tc>
      </w:tr>
      <w:tr>
        <w:trPr>
          <w:trHeight w:val="34"/>
        </w:trPr>
        <w:tc>
          <w:tcPr>
            <w:tcW w:w="3160" w:type="dxa"/>
            <w:vAlign w:val="bottom"/>
            <w:tcBorders>
              <w:bottom w:val="single" w:sz="8" w:color="D7D8D6"/>
            </w:tcBorders>
          </w:tcPr>
          <w:p>
            <w:pPr>
              <w:spacing w:after="0"/>
              <w:rPr>
                <w:sz w:val="2"/>
                <w:szCs w:val="2"/>
                <w:color w:val="auto"/>
              </w:rPr>
            </w:pPr>
          </w:p>
        </w:tc>
        <w:tc>
          <w:tcPr>
            <w:tcW w:w="620" w:type="dxa"/>
            <w:vAlign w:val="bottom"/>
            <w:tcBorders>
              <w:bottom w:val="single" w:sz="8" w:color="D7D8D6"/>
            </w:tcBorders>
            <w:shd w:val="clear" w:color="auto" w:fill="D7D8D6"/>
          </w:tcPr>
          <w:p>
            <w:pPr>
              <w:spacing w:after="0"/>
              <w:rPr>
                <w:sz w:val="2"/>
                <w:szCs w:val="2"/>
                <w:color w:val="auto"/>
              </w:rPr>
            </w:pPr>
          </w:p>
        </w:tc>
        <w:tc>
          <w:tcPr>
            <w:tcW w:w="560" w:type="dxa"/>
            <w:vAlign w:val="bottom"/>
            <w:tcBorders>
              <w:bottom w:val="single" w:sz="8" w:color="D7D8D6"/>
            </w:tcBorders>
          </w:tcPr>
          <w:p>
            <w:pPr>
              <w:spacing w:after="0"/>
              <w:rPr>
                <w:sz w:val="2"/>
                <w:szCs w:val="2"/>
                <w:color w:val="auto"/>
              </w:rPr>
            </w:pPr>
          </w:p>
        </w:tc>
        <w:tc>
          <w:tcPr>
            <w:tcW w:w="660" w:type="dxa"/>
            <w:vAlign w:val="bottom"/>
            <w:tcBorders>
              <w:bottom w:val="single" w:sz="8" w:color="D7D8D6"/>
            </w:tcBorders>
            <w:shd w:val="clear" w:color="auto" w:fill="D7D8D6"/>
          </w:tcPr>
          <w:p>
            <w:pPr>
              <w:spacing w:after="0"/>
              <w:rPr>
                <w:sz w:val="2"/>
                <w:szCs w:val="2"/>
                <w:color w:val="auto"/>
              </w:rPr>
            </w:pPr>
          </w:p>
        </w:tc>
        <w:tc>
          <w:tcPr>
            <w:tcW w:w="64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4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vMerge w:val="restart"/>
            <w:shd w:val="clear" w:color="auto" w:fill="D7D8D6"/>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4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6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600" w:type="dxa"/>
            <w:vAlign w:val="bottom"/>
            <w:tcBorders>
              <w:bottom w:val="single" w:sz="8" w:color="D7D8D6"/>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60" w:type="dxa"/>
            <w:vAlign w:val="bottom"/>
          </w:tcPr>
          <w:p>
            <w:pPr>
              <w:ind w:left="20"/>
              <w:spacing w:after="0"/>
              <w:rPr>
                <w:sz w:val="20"/>
                <w:szCs w:val="20"/>
                <w:color w:val="auto"/>
              </w:rPr>
            </w:pPr>
            <w:r>
              <w:rPr>
                <w:rFonts w:ascii="Arial" w:cs="Arial" w:eastAsia="Arial" w:hAnsi="Arial"/>
                <w:sz w:val="11"/>
                <w:szCs w:val="11"/>
                <w:color w:val="333740"/>
              </w:rPr>
              <w:t>Strategy</w:t>
            </w:r>
          </w:p>
        </w:tc>
        <w:tc>
          <w:tcPr>
            <w:tcW w:w="620" w:type="dxa"/>
            <w:vAlign w:val="bottom"/>
            <w:shd w:val="clear" w:color="auto" w:fill="D7D8D6"/>
          </w:tcPr>
          <w:p>
            <w:pPr>
              <w:jc w:val="center"/>
              <w:spacing w:after="0"/>
              <w:rPr>
                <w:sz w:val="20"/>
                <w:szCs w:val="20"/>
                <w:color w:val="auto"/>
              </w:rPr>
            </w:pPr>
            <w:r>
              <w:rPr>
                <w:rFonts w:ascii="Arial" w:cs="Arial" w:eastAsia="Arial" w:hAnsi="Arial"/>
                <w:sz w:val="11"/>
                <w:szCs w:val="11"/>
                <w:color w:val="333740"/>
                <w:w w:val="98"/>
              </w:rPr>
              <w:t>Chair</w:t>
            </w:r>
          </w:p>
        </w:tc>
        <w:tc>
          <w:tcPr>
            <w:tcW w:w="560" w:type="dxa"/>
            <w:vAlign w:val="bottom"/>
          </w:tcPr>
          <w:p>
            <w:pPr>
              <w:spacing w:after="0"/>
              <w:rPr>
                <w:sz w:val="19"/>
                <w:szCs w:val="19"/>
                <w:color w:val="auto"/>
              </w:rPr>
            </w:pPr>
          </w:p>
        </w:tc>
        <w:tc>
          <w:tcPr>
            <w:tcW w:w="660" w:type="dxa"/>
            <w:vAlign w:val="bottom"/>
            <w:shd w:val="clear" w:color="auto" w:fill="D7D8D6"/>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333740"/>
              </w:rPr>
              <w:t>•</w:t>
            </w:r>
          </w:p>
        </w:tc>
        <w:tc>
          <w:tcPr>
            <w:tcW w:w="560" w:type="dxa"/>
            <w:vAlign w:val="bottom"/>
            <w:shd w:val="clear" w:color="auto" w:fill="D7D8D6"/>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333740"/>
              </w:rPr>
              <w:t>•</w:t>
            </w:r>
          </w:p>
        </w:tc>
        <w:tc>
          <w:tcPr>
            <w:tcW w:w="560" w:type="dxa"/>
            <w:vAlign w:val="bottom"/>
            <w:vMerge w:val="continue"/>
            <w:shd w:val="clear" w:color="auto" w:fill="D7D8D6"/>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333740"/>
              </w:rPr>
              <w:t>•</w:t>
            </w:r>
          </w:p>
        </w:tc>
        <w:tc>
          <w:tcPr>
            <w:tcW w:w="560" w:type="dxa"/>
            <w:vAlign w:val="bottom"/>
            <w:shd w:val="clear" w:color="auto" w:fill="D7D8D6"/>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333740"/>
              </w:rPr>
              <w:t>•</w:t>
            </w:r>
          </w:p>
        </w:tc>
        <w:tc>
          <w:tcPr>
            <w:tcW w:w="560" w:type="dxa"/>
            <w:vAlign w:val="bottom"/>
            <w:shd w:val="clear" w:color="auto" w:fill="D7D8D6"/>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shd w:val="clear" w:color="auto" w:fill="D7D8D6"/>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160" w:type="dxa"/>
            <w:vAlign w:val="bottom"/>
            <w:tcBorders>
              <w:bottom w:val="single" w:sz="8" w:color="D7D8D6"/>
            </w:tcBorders>
          </w:tcPr>
          <w:p>
            <w:pPr>
              <w:spacing w:after="0"/>
              <w:rPr>
                <w:sz w:val="2"/>
                <w:szCs w:val="2"/>
                <w:color w:val="auto"/>
              </w:rPr>
            </w:pPr>
          </w:p>
        </w:tc>
        <w:tc>
          <w:tcPr>
            <w:tcW w:w="620" w:type="dxa"/>
            <w:vAlign w:val="bottom"/>
            <w:tcBorders>
              <w:bottom w:val="single" w:sz="8" w:color="D7D8D6"/>
            </w:tcBorders>
            <w:shd w:val="clear" w:color="auto" w:fill="D7D8D6"/>
          </w:tcPr>
          <w:p>
            <w:pPr>
              <w:spacing w:after="0"/>
              <w:rPr>
                <w:sz w:val="2"/>
                <w:szCs w:val="2"/>
                <w:color w:val="auto"/>
              </w:rPr>
            </w:pPr>
          </w:p>
        </w:tc>
        <w:tc>
          <w:tcPr>
            <w:tcW w:w="560" w:type="dxa"/>
            <w:vAlign w:val="bottom"/>
            <w:tcBorders>
              <w:bottom w:val="single" w:sz="8" w:color="D7D8D6"/>
            </w:tcBorders>
          </w:tcPr>
          <w:p>
            <w:pPr>
              <w:spacing w:after="0"/>
              <w:rPr>
                <w:sz w:val="2"/>
                <w:szCs w:val="2"/>
                <w:color w:val="auto"/>
              </w:rPr>
            </w:pPr>
          </w:p>
        </w:tc>
        <w:tc>
          <w:tcPr>
            <w:tcW w:w="660" w:type="dxa"/>
            <w:vAlign w:val="bottom"/>
            <w:tcBorders>
              <w:bottom w:val="single" w:sz="8" w:color="D7D8D6"/>
            </w:tcBorders>
            <w:shd w:val="clear" w:color="auto" w:fill="D7D8D6"/>
          </w:tcPr>
          <w:p>
            <w:pPr>
              <w:spacing w:after="0"/>
              <w:rPr>
                <w:sz w:val="2"/>
                <w:szCs w:val="2"/>
                <w:color w:val="auto"/>
              </w:rPr>
            </w:pPr>
          </w:p>
        </w:tc>
        <w:tc>
          <w:tcPr>
            <w:tcW w:w="64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4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8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4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6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600" w:type="dxa"/>
            <w:vAlign w:val="bottom"/>
            <w:tcBorders>
              <w:bottom w:val="single" w:sz="8" w:color="D7D8D6"/>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160" w:type="dxa"/>
            <w:vAlign w:val="bottom"/>
            <w:tcBorders>
              <w:bottom w:val="single" w:sz="8" w:color="481F6E"/>
            </w:tcBorders>
            <w:shd w:val="clear" w:color="auto" w:fill="481F6E"/>
          </w:tcPr>
          <w:p>
            <w:pPr>
              <w:ind w:left="20"/>
              <w:spacing w:after="0"/>
              <w:rPr>
                <w:sz w:val="20"/>
                <w:szCs w:val="20"/>
                <w:color w:val="auto"/>
              </w:rPr>
            </w:pPr>
            <w:r>
              <w:rPr>
                <w:rFonts w:ascii="Arial" w:cs="Arial" w:eastAsia="Arial" w:hAnsi="Arial"/>
                <w:sz w:val="11"/>
                <w:szCs w:val="11"/>
                <w:color w:val="FFFFFF"/>
              </w:rPr>
              <w:t>Demographic Background</w:t>
            </w:r>
          </w:p>
        </w:tc>
        <w:tc>
          <w:tcPr>
            <w:tcW w:w="620" w:type="dxa"/>
            <w:vAlign w:val="bottom"/>
            <w:tcBorders>
              <w:bottom w:val="single" w:sz="8" w:color="481F6E"/>
            </w:tcBorders>
            <w:shd w:val="clear" w:color="auto" w:fill="481F6E"/>
          </w:tcPr>
          <w:p>
            <w:pPr>
              <w:spacing w:after="0"/>
              <w:rPr>
                <w:sz w:val="18"/>
                <w:szCs w:val="18"/>
                <w:color w:val="auto"/>
              </w:rPr>
            </w:pPr>
          </w:p>
        </w:tc>
        <w:tc>
          <w:tcPr>
            <w:tcW w:w="560" w:type="dxa"/>
            <w:vAlign w:val="bottom"/>
            <w:tcBorders>
              <w:bottom w:val="single" w:sz="8" w:color="481F6E"/>
            </w:tcBorders>
            <w:shd w:val="clear" w:color="auto" w:fill="481F6E"/>
          </w:tcPr>
          <w:p>
            <w:pPr>
              <w:spacing w:after="0"/>
              <w:rPr>
                <w:sz w:val="18"/>
                <w:szCs w:val="18"/>
                <w:color w:val="auto"/>
              </w:rPr>
            </w:pPr>
          </w:p>
        </w:tc>
        <w:tc>
          <w:tcPr>
            <w:tcW w:w="660" w:type="dxa"/>
            <w:vAlign w:val="bottom"/>
            <w:tcBorders>
              <w:bottom w:val="single" w:sz="8" w:color="481F6E"/>
            </w:tcBorders>
            <w:shd w:val="clear" w:color="auto" w:fill="481F6E"/>
          </w:tcPr>
          <w:p>
            <w:pPr>
              <w:spacing w:after="0"/>
              <w:rPr>
                <w:sz w:val="18"/>
                <w:szCs w:val="18"/>
                <w:color w:val="auto"/>
              </w:rPr>
            </w:pPr>
          </w:p>
        </w:tc>
        <w:tc>
          <w:tcPr>
            <w:tcW w:w="640" w:type="dxa"/>
            <w:vAlign w:val="bottom"/>
            <w:tcBorders>
              <w:bottom w:val="single" w:sz="8" w:color="481F6E"/>
            </w:tcBorders>
            <w:shd w:val="clear" w:color="auto" w:fill="481F6E"/>
          </w:tcPr>
          <w:p>
            <w:pPr>
              <w:spacing w:after="0"/>
              <w:rPr>
                <w:sz w:val="18"/>
                <w:szCs w:val="18"/>
                <w:color w:val="auto"/>
              </w:rPr>
            </w:pPr>
          </w:p>
        </w:tc>
        <w:tc>
          <w:tcPr>
            <w:tcW w:w="560" w:type="dxa"/>
            <w:vAlign w:val="bottom"/>
            <w:tcBorders>
              <w:bottom w:val="single" w:sz="8" w:color="481F6E"/>
            </w:tcBorders>
            <w:shd w:val="clear" w:color="auto" w:fill="481F6E"/>
          </w:tcPr>
          <w:p>
            <w:pPr>
              <w:spacing w:after="0"/>
              <w:rPr>
                <w:sz w:val="18"/>
                <w:szCs w:val="18"/>
                <w:color w:val="auto"/>
              </w:rPr>
            </w:pPr>
          </w:p>
        </w:tc>
        <w:tc>
          <w:tcPr>
            <w:tcW w:w="540" w:type="dxa"/>
            <w:vAlign w:val="bottom"/>
            <w:tcBorders>
              <w:bottom w:val="single" w:sz="8" w:color="481F6E"/>
            </w:tcBorders>
            <w:shd w:val="clear" w:color="auto" w:fill="481F6E"/>
          </w:tcPr>
          <w:p>
            <w:pPr>
              <w:spacing w:after="0"/>
              <w:rPr>
                <w:sz w:val="18"/>
                <w:szCs w:val="18"/>
                <w:color w:val="auto"/>
              </w:rPr>
            </w:pPr>
          </w:p>
        </w:tc>
        <w:tc>
          <w:tcPr>
            <w:tcW w:w="560" w:type="dxa"/>
            <w:vAlign w:val="bottom"/>
            <w:tcBorders>
              <w:bottom w:val="single" w:sz="8" w:color="481F6E"/>
            </w:tcBorders>
            <w:shd w:val="clear" w:color="auto" w:fill="481F6E"/>
          </w:tcPr>
          <w:p>
            <w:pPr>
              <w:spacing w:after="0"/>
              <w:rPr>
                <w:sz w:val="18"/>
                <w:szCs w:val="18"/>
                <w:color w:val="auto"/>
              </w:rPr>
            </w:pPr>
          </w:p>
        </w:tc>
        <w:tc>
          <w:tcPr>
            <w:tcW w:w="580" w:type="dxa"/>
            <w:vAlign w:val="bottom"/>
            <w:tcBorders>
              <w:bottom w:val="single" w:sz="8" w:color="481F6E"/>
            </w:tcBorders>
            <w:shd w:val="clear" w:color="auto" w:fill="481F6E"/>
          </w:tcPr>
          <w:p>
            <w:pPr>
              <w:spacing w:after="0"/>
              <w:rPr>
                <w:sz w:val="18"/>
                <w:szCs w:val="18"/>
                <w:color w:val="auto"/>
              </w:rPr>
            </w:pPr>
          </w:p>
        </w:tc>
        <w:tc>
          <w:tcPr>
            <w:tcW w:w="560" w:type="dxa"/>
            <w:vAlign w:val="bottom"/>
            <w:tcBorders>
              <w:bottom w:val="single" w:sz="8" w:color="481F6E"/>
            </w:tcBorders>
            <w:shd w:val="clear" w:color="auto" w:fill="481F6E"/>
          </w:tcPr>
          <w:p>
            <w:pPr>
              <w:spacing w:after="0"/>
              <w:rPr>
                <w:sz w:val="18"/>
                <w:szCs w:val="18"/>
                <w:color w:val="auto"/>
              </w:rPr>
            </w:pPr>
          </w:p>
        </w:tc>
        <w:tc>
          <w:tcPr>
            <w:tcW w:w="540" w:type="dxa"/>
            <w:vAlign w:val="bottom"/>
            <w:tcBorders>
              <w:bottom w:val="single" w:sz="8" w:color="481F6E"/>
            </w:tcBorders>
            <w:shd w:val="clear" w:color="auto" w:fill="481F6E"/>
          </w:tcPr>
          <w:p>
            <w:pPr>
              <w:spacing w:after="0"/>
              <w:rPr>
                <w:sz w:val="18"/>
                <w:szCs w:val="18"/>
                <w:color w:val="auto"/>
              </w:rPr>
            </w:pPr>
          </w:p>
        </w:tc>
        <w:tc>
          <w:tcPr>
            <w:tcW w:w="560" w:type="dxa"/>
            <w:vAlign w:val="bottom"/>
            <w:tcBorders>
              <w:bottom w:val="single" w:sz="8" w:color="481F6E"/>
            </w:tcBorders>
            <w:shd w:val="clear" w:color="auto" w:fill="481F6E"/>
          </w:tcPr>
          <w:p>
            <w:pPr>
              <w:spacing w:after="0"/>
              <w:rPr>
                <w:sz w:val="18"/>
                <w:szCs w:val="18"/>
                <w:color w:val="auto"/>
              </w:rPr>
            </w:pPr>
          </w:p>
        </w:tc>
        <w:tc>
          <w:tcPr>
            <w:tcW w:w="560" w:type="dxa"/>
            <w:vAlign w:val="bottom"/>
            <w:tcBorders>
              <w:bottom w:val="single" w:sz="8" w:color="481F6E"/>
            </w:tcBorders>
            <w:shd w:val="clear" w:color="auto" w:fill="481F6E"/>
          </w:tcPr>
          <w:p>
            <w:pPr>
              <w:spacing w:after="0"/>
              <w:rPr>
                <w:sz w:val="18"/>
                <w:szCs w:val="18"/>
                <w:color w:val="auto"/>
              </w:rPr>
            </w:pPr>
          </w:p>
        </w:tc>
        <w:tc>
          <w:tcPr>
            <w:tcW w:w="560" w:type="dxa"/>
            <w:vAlign w:val="bottom"/>
            <w:tcBorders>
              <w:bottom w:val="single" w:sz="8" w:color="481F6E"/>
            </w:tcBorders>
            <w:shd w:val="clear" w:color="auto" w:fill="481F6E"/>
          </w:tcPr>
          <w:p>
            <w:pPr>
              <w:spacing w:after="0"/>
              <w:rPr>
                <w:sz w:val="18"/>
                <w:szCs w:val="18"/>
                <w:color w:val="auto"/>
              </w:rPr>
            </w:pPr>
          </w:p>
        </w:tc>
        <w:tc>
          <w:tcPr>
            <w:tcW w:w="600" w:type="dxa"/>
            <w:vAlign w:val="bottom"/>
            <w:tcBorders>
              <w:bottom w:val="single" w:sz="8" w:color="481F6E"/>
            </w:tcBorders>
            <w:shd w:val="clear" w:color="auto" w:fill="481F6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60" w:type="dxa"/>
            <w:vAlign w:val="bottom"/>
            <w:tcBorders>
              <w:top w:val="single" w:sz="8" w:color="D7D8D6"/>
            </w:tcBorders>
          </w:tcPr>
          <w:p>
            <w:pPr>
              <w:ind w:left="20"/>
              <w:spacing w:after="0"/>
              <w:rPr>
                <w:sz w:val="20"/>
                <w:szCs w:val="20"/>
                <w:color w:val="auto"/>
              </w:rPr>
            </w:pPr>
            <w:r>
              <w:rPr>
                <w:rFonts w:ascii="Arial" w:cs="Arial" w:eastAsia="Arial" w:hAnsi="Arial"/>
                <w:sz w:val="11"/>
                <w:szCs w:val="11"/>
                <w:color w:val="333740"/>
              </w:rPr>
              <w:t>Age (Years)</w:t>
            </w:r>
          </w:p>
        </w:tc>
        <w:tc>
          <w:tcPr>
            <w:tcW w:w="620" w:type="dxa"/>
            <w:vAlign w:val="bottom"/>
            <w:tcBorders>
              <w:top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w w:val="97"/>
              </w:rPr>
              <w:t>56</w:t>
            </w:r>
          </w:p>
        </w:tc>
        <w:tc>
          <w:tcPr>
            <w:tcW w:w="560" w:type="dxa"/>
            <w:vAlign w:val="bottom"/>
            <w:tcBorders>
              <w:top w:val="single" w:sz="8" w:color="D7D8D6"/>
            </w:tcBorders>
          </w:tcPr>
          <w:p>
            <w:pPr>
              <w:jc w:val="center"/>
              <w:spacing w:after="0"/>
              <w:rPr>
                <w:sz w:val="20"/>
                <w:szCs w:val="20"/>
                <w:color w:val="auto"/>
              </w:rPr>
            </w:pPr>
            <w:r>
              <w:rPr>
                <w:rFonts w:ascii="Arial" w:cs="Arial" w:eastAsia="Arial" w:hAnsi="Arial"/>
                <w:sz w:val="11"/>
                <w:szCs w:val="11"/>
                <w:color w:val="333740"/>
                <w:w w:val="97"/>
              </w:rPr>
              <w:t>62</w:t>
            </w:r>
          </w:p>
        </w:tc>
        <w:tc>
          <w:tcPr>
            <w:tcW w:w="660" w:type="dxa"/>
            <w:vAlign w:val="bottom"/>
            <w:tcBorders>
              <w:top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w w:val="97"/>
              </w:rPr>
              <w:t>49</w:t>
            </w:r>
          </w:p>
        </w:tc>
        <w:tc>
          <w:tcPr>
            <w:tcW w:w="640" w:type="dxa"/>
            <w:vAlign w:val="bottom"/>
            <w:tcBorders>
              <w:top w:val="single" w:sz="8" w:color="D7D8D6"/>
            </w:tcBorders>
          </w:tcPr>
          <w:p>
            <w:pPr>
              <w:jc w:val="center"/>
              <w:spacing w:after="0"/>
              <w:rPr>
                <w:sz w:val="20"/>
                <w:szCs w:val="20"/>
                <w:color w:val="auto"/>
              </w:rPr>
            </w:pPr>
            <w:r>
              <w:rPr>
                <w:rFonts w:ascii="Arial" w:cs="Arial" w:eastAsia="Arial" w:hAnsi="Arial"/>
                <w:sz w:val="11"/>
                <w:szCs w:val="11"/>
                <w:color w:val="333740"/>
                <w:w w:val="97"/>
              </w:rPr>
              <w:t>74</w:t>
            </w:r>
          </w:p>
        </w:tc>
        <w:tc>
          <w:tcPr>
            <w:tcW w:w="560" w:type="dxa"/>
            <w:vAlign w:val="bottom"/>
            <w:tcBorders>
              <w:top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w w:val="97"/>
              </w:rPr>
              <w:t>54</w:t>
            </w:r>
          </w:p>
        </w:tc>
        <w:tc>
          <w:tcPr>
            <w:tcW w:w="540" w:type="dxa"/>
            <w:vAlign w:val="bottom"/>
            <w:tcBorders>
              <w:top w:val="single" w:sz="8" w:color="D7D8D6"/>
            </w:tcBorders>
          </w:tcPr>
          <w:p>
            <w:pPr>
              <w:jc w:val="center"/>
              <w:spacing w:after="0"/>
              <w:rPr>
                <w:sz w:val="20"/>
                <w:szCs w:val="20"/>
                <w:color w:val="auto"/>
              </w:rPr>
            </w:pPr>
            <w:r>
              <w:rPr>
                <w:rFonts w:ascii="Arial" w:cs="Arial" w:eastAsia="Arial" w:hAnsi="Arial"/>
                <w:sz w:val="11"/>
                <w:szCs w:val="11"/>
                <w:color w:val="333740"/>
                <w:w w:val="97"/>
              </w:rPr>
              <w:t>61</w:t>
            </w:r>
          </w:p>
        </w:tc>
        <w:tc>
          <w:tcPr>
            <w:tcW w:w="560" w:type="dxa"/>
            <w:vAlign w:val="bottom"/>
            <w:tcBorders>
              <w:top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63</w:t>
            </w:r>
          </w:p>
        </w:tc>
        <w:tc>
          <w:tcPr>
            <w:tcW w:w="580" w:type="dxa"/>
            <w:vAlign w:val="bottom"/>
            <w:tcBorders>
              <w:top w:val="single" w:sz="8" w:color="D7D8D6"/>
            </w:tcBorders>
          </w:tcPr>
          <w:p>
            <w:pPr>
              <w:jc w:val="center"/>
              <w:spacing w:after="0"/>
              <w:rPr>
                <w:sz w:val="20"/>
                <w:szCs w:val="20"/>
                <w:color w:val="auto"/>
              </w:rPr>
            </w:pPr>
            <w:r>
              <w:rPr>
                <w:rFonts w:ascii="Arial" w:cs="Arial" w:eastAsia="Arial" w:hAnsi="Arial"/>
                <w:sz w:val="11"/>
                <w:szCs w:val="11"/>
                <w:color w:val="333740"/>
              </w:rPr>
              <w:t>70</w:t>
            </w:r>
          </w:p>
        </w:tc>
        <w:tc>
          <w:tcPr>
            <w:tcW w:w="560" w:type="dxa"/>
            <w:vAlign w:val="bottom"/>
            <w:tcBorders>
              <w:top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rPr>
              <w:t>64</w:t>
            </w:r>
          </w:p>
        </w:tc>
        <w:tc>
          <w:tcPr>
            <w:tcW w:w="540" w:type="dxa"/>
            <w:vAlign w:val="bottom"/>
            <w:tcBorders>
              <w:top w:val="single" w:sz="8" w:color="D7D8D6"/>
            </w:tcBorders>
          </w:tcPr>
          <w:p>
            <w:pPr>
              <w:jc w:val="center"/>
              <w:spacing w:after="0"/>
              <w:rPr>
                <w:sz w:val="20"/>
                <w:szCs w:val="20"/>
                <w:color w:val="auto"/>
              </w:rPr>
            </w:pPr>
            <w:r>
              <w:rPr>
                <w:rFonts w:ascii="Arial" w:cs="Arial" w:eastAsia="Arial" w:hAnsi="Arial"/>
                <w:sz w:val="11"/>
                <w:szCs w:val="11"/>
                <w:color w:val="333740"/>
                <w:w w:val="97"/>
              </w:rPr>
              <w:t>61</w:t>
            </w:r>
          </w:p>
        </w:tc>
        <w:tc>
          <w:tcPr>
            <w:tcW w:w="560" w:type="dxa"/>
            <w:vAlign w:val="bottom"/>
            <w:tcBorders>
              <w:top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w w:val="97"/>
              </w:rPr>
              <w:t>64</w:t>
            </w:r>
          </w:p>
        </w:tc>
        <w:tc>
          <w:tcPr>
            <w:tcW w:w="560" w:type="dxa"/>
            <w:vAlign w:val="bottom"/>
            <w:tcBorders>
              <w:top w:val="single" w:sz="8" w:color="D7D8D6"/>
            </w:tcBorders>
          </w:tcPr>
          <w:p>
            <w:pPr>
              <w:jc w:val="center"/>
              <w:spacing w:after="0"/>
              <w:rPr>
                <w:sz w:val="20"/>
                <w:szCs w:val="20"/>
                <w:color w:val="auto"/>
              </w:rPr>
            </w:pPr>
            <w:r>
              <w:rPr>
                <w:rFonts w:ascii="Arial" w:cs="Arial" w:eastAsia="Arial" w:hAnsi="Arial"/>
                <w:sz w:val="11"/>
                <w:szCs w:val="11"/>
                <w:color w:val="333740"/>
                <w:w w:val="97"/>
              </w:rPr>
              <w:t>62</w:t>
            </w:r>
          </w:p>
        </w:tc>
        <w:tc>
          <w:tcPr>
            <w:tcW w:w="560" w:type="dxa"/>
            <w:vAlign w:val="bottom"/>
            <w:tcBorders>
              <w:top w:val="single" w:sz="8" w:color="D7D8D6"/>
            </w:tcBorders>
            <w:shd w:val="clear" w:color="auto" w:fill="D7D8D6"/>
          </w:tcPr>
          <w:p>
            <w:pPr>
              <w:jc w:val="center"/>
              <w:spacing w:after="0"/>
              <w:rPr>
                <w:sz w:val="20"/>
                <w:szCs w:val="20"/>
                <w:color w:val="auto"/>
              </w:rPr>
            </w:pPr>
            <w:r>
              <w:rPr>
                <w:rFonts w:ascii="Arial" w:cs="Arial" w:eastAsia="Arial" w:hAnsi="Arial"/>
                <w:sz w:val="11"/>
                <w:szCs w:val="11"/>
                <w:color w:val="333740"/>
                <w:w w:val="97"/>
              </w:rPr>
              <w:t>74</w:t>
            </w:r>
          </w:p>
        </w:tc>
        <w:tc>
          <w:tcPr>
            <w:tcW w:w="600" w:type="dxa"/>
            <w:vAlign w:val="bottom"/>
            <w:tcBorders>
              <w:top w:val="single" w:sz="8" w:color="D7D8D6"/>
            </w:tcBorders>
          </w:tcPr>
          <w:p>
            <w:pPr>
              <w:jc w:val="center"/>
              <w:spacing w:after="0"/>
              <w:rPr>
                <w:sz w:val="20"/>
                <w:szCs w:val="20"/>
                <w:color w:val="auto"/>
              </w:rPr>
            </w:pPr>
            <w:r>
              <w:rPr>
                <w:rFonts w:ascii="Arial" w:cs="Arial" w:eastAsia="Arial" w:hAnsi="Arial"/>
                <w:sz w:val="11"/>
                <w:szCs w:val="11"/>
                <w:color w:val="333740"/>
                <w:w w:val="97"/>
              </w:rPr>
              <w:t>60</w:t>
            </w:r>
          </w:p>
        </w:tc>
        <w:tc>
          <w:tcPr>
            <w:tcW w:w="0" w:type="dxa"/>
            <w:vAlign w:val="bottom"/>
          </w:tcPr>
          <w:p>
            <w:pPr>
              <w:spacing w:after="0"/>
              <w:rPr>
                <w:sz w:val="1"/>
                <w:szCs w:val="1"/>
                <w:color w:val="auto"/>
              </w:rPr>
            </w:pPr>
          </w:p>
        </w:tc>
      </w:tr>
      <w:tr>
        <w:trPr>
          <w:trHeight w:val="32"/>
        </w:trPr>
        <w:tc>
          <w:tcPr>
            <w:tcW w:w="3160" w:type="dxa"/>
            <w:vAlign w:val="bottom"/>
            <w:tcBorders>
              <w:bottom w:val="single" w:sz="8" w:color="D7D8D6"/>
            </w:tcBorders>
          </w:tcPr>
          <w:p>
            <w:pPr>
              <w:spacing w:after="0"/>
              <w:rPr>
                <w:sz w:val="2"/>
                <w:szCs w:val="2"/>
                <w:color w:val="auto"/>
              </w:rPr>
            </w:pPr>
          </w:p>
        </w:tc>
        <w:tc>
          <w:tcPr>
            <w:tcW w:w="620" w:type="dxa"/>
            <w:vAlign w:val="bottom"/>
            <w:tcBorders>
              <w:bottom w:val="single" w:sz="8" w:color="D7D8D6"/>
            </w:tcBorders>
            <w:shd w:val="clear" w:color="auto" w:fill="D7D8D6"/>
          </w:tcPr>
          <w:p>
            <w:pPr>
              <w:spacing w:after="0"/>
              <w:rPr>
                <w:sz w:val="2"/>
                <w:szCs w:val="2"/>
                <w:color w:val="auto"/>
              </w:rPr>
            </w:pPr>
          </w:p>
        </w:tc>
        <w:tc>
          <w:tcPr>
            <w:tcW w:w="560" w:type="dxa"/>
            <w:vAlign w:val="bottom"/>
            <w:tcBorders>
              <w:bottom w:val="single" w:sz="8" w:color="D7D8D6"/>
            </w:tcBorders>
          </w:tcPr>
          <w:p>
            <w:pPr>
              <w:spacing w:after="0"/>
              <w:rPr>
                <w:sz w:val="2"/>
                <w:szCs w:val="2"/>
                <w:color w:val="auto"/>
              </w:rPr>
            </w:pPr>
          </w:p>
        </w:tc>
        <w:tc>
          <w:tcPr>
            <w:tcW w:w="660" w:type="dxa"/>
            <w:vAlign w:val="bottom"/>
            <w:tcBorders>
              <w:bottom w:val="single" w:sz="8" w:color="D7D8D6"/>
            </w:tcBorders>
            <w:shd w:val="clear" w:color="auto" w:fill="D7D8D6"/>
          </w:tcPr>
          <w:p>
            <w:pPr>
              <w:spacing w:after="0"/>
              <w:rPr>
                <w:sz w:val="2"/>
                <w:szCs w:val="2"/>
                <w:color w:val="auto"/>
              </w:rPr>
            </w:pPr>
          </w:p>
        </w:tc>
        <w:tc>
          <w:tcPr>
            <w:tcW w:w="64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4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8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4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6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600" w:type="dxa"/>
            <w:vAlign w:val="bottom"/>
            <w:tcBorders>
              <w:bottom w:val="single" w:sz="8" w:color="D7D8D6"/>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Arial" w:cs="Arial" w:eastAsia="Arial" w:hAnsi="Arial"/>
                <w:sz w:val="11"/>
                <w:szCs w:val="11"/>
                <w:color w:val="333740"/>
              </w:rPr>
              <w:t>Board Tenure (Years)</w:t>
            </w:r>
          </w:p>
        </w:tc>
        <w:tc>
          <w:tcPr>
            <w:tcW w:w="620" w:type="dxa"/>
            <w:vAlign w:val="bottom"/>
            <w:shd w:val="clear" w:color="auto" w:fill="D7D8D6"/>
          </w:tcPr>
          <w:p>
            <w:pPr>
              <w:jc w:val="center"/>
              <w:spacing w:after="0"/>
              <w:rPr>
                <w:sz w:val="20"/>
                <w:szCs w:val="20"/>
                <w:color w:val="auto"/>
              </w:rPr>
            </w:pPr>
            <w:r>
              <w:rPr>
                <w:rFonts w:ascii="Arial" w:cs="Arial" w:eastAsia="Arial" w:hAnsi="Arial"/>
                <w:sz w:val="11"/>
                <w:szCs w:val="11"/>
                <w:color w:val="333740"/>
                <w:w w:val="97"/>
              </w:rPr>
              <w:t>3</w:t>
            </w:r>
          </w:p>
        </w:tc>
        <w:tc>
          <w:tcPr>
            <w:tcW w:w="560" w:type="dxa"/>
            <w:vAlign w:val="bottom"/>
          </w:tcPr>
          <w:p>
            <w:pPr>
              <w:jc w:val="center"/>
              <w:spacing w:after="0"/>
              <w:rPr>
                <w:sz w:val="20"/>
                <w:szCs w:val="20"/>
                <w:color w:val="auto"/>
              </w:rPr>
            </w:pPr>
            <w:r>
              <w:rPr>
                <w:rFonts w:ascii="Arial" w:cs="Arial" w:eastAsia="Arial" w:hAnsi="Arial"/>
                <w:sz w:val="11"/>
                <w:szCs w:val="11"/>
                <w:color w:val="333740"/>
                <w:w w:val="97"/>
              </w:rPr>
              <w:t>3</w:t>
            </w:r>
          </w:p>
        </w:tc>
        <w:tc>
          <w:tcPr>
            <w:tcW w:w="660" w:type="dxa"/>
            <w:vAlign w:val="bottom"/>
            <w:shd w:val="clear" w:color="auto" w:fill="D7D8D6"/>
          </w:tcPr>
          <w:p>
            <w:pPr>
              <w:jc w:val="center"/>
              <w:spacing w:after="0"/>
              <w:rPr>
                <w:sz w:val="20"/>
                <w:szCs w:val="20"/>
                <w:color w:val="auto"/>
              </w:rPr>
            </w:pPr>
            <w:r>
              <w:rPr>
                <w:rFonts w:ascii="Arial" w:cs="Arial" w:eastAsia="Arial" w:hAnsi="Arial"/>
                <w:sz w:val="11"/>
                <w:szCs w:val="11"/>
                <w:color w:val="333740"/>
                <w:w w:val="97"/>
              </w:rPr>
              <w:t>3</w:t>
            </w:r>
          </w:p>
        </w:tc>
        <w:tc>
          <w:tcPr>
            <w:tcW w:w="640" w:type="dxa"/>
            <w:vAlign w:val="bottom"/>
          </w:tcPr>
          <w:p>
            <w:pPr>
              <w:jc w:val="center"/>
              <w:spacing w:after="0"/>
              <w:rPr>
                <w:sz w:val="20"/>
                <w:szCs w:val="20"/>
                <w:color w:val="auto"/>
              </w:rPr>
            </w:pPr>
            <w:r>
              <w:rPr>
                <w:rFonts w:ascii="Arial" w:cs="Arial" w:eastAsia="Arial" w:hAnsi="Arial"/>
                <w:sz w:val="11"/>
                <w:szCs w:val="11"/>
                <w:color w:val="333740"/>
                <w:w w:val="97"/>
              </w:rPr>
              <w:t>3</w:t>
            </w:r>
          </w:p>
        </w:tc>
        <w:tc>
          <w:tcPr>
            <w:tcW w:w="560" w:type="dxa"/>
            <w:vAlign w:val="bottom"/>
            <w:shd w:val="clear" w:color="auto" w:fill="D7D8D6"/>
          </w:tcPr>
          <w:p>
            <w:pPr>
              <w:jc w:val="center"/>
              <w:spacing w:after="0"/>
              <w:rPr>
                <w:sz w:val="20"/>
                <w:szCs w:val="20"/>
                <w:color w:val="auto"/>
              </w:rPr>
            </w:pPr>
            <w:r>
              <w:rPr>
                <w:rFonts w:ascii="Arial" w:cs="Arial" w:eastAsia="Arial" w:hAnsi="Arial"/>
                <w:sz w:val="11"/>
                <w:szCs w:val="11"/>
                <w:color w:val="333740"/>
                <w:w w:val="97"/>
              </w:rPr>
              <w:t>3</w:t>
            </w:r>
          </w:p>
        </w:tc>
        <w:tc>
          <w:tcPr>
            <w:tcW w:w="540" w:type="dxa"/>
            <w:vAlign w:val="bottom"/>
          </w:tcPr>
          <w:p>
            <w:pPr>
              <w:jc w:val="center"/>
              <w:spacing w:after="0"/>
              <w:rPr>
                <w:sz w:val="20"/>
                <w:szCs w:val="20"/>
                <w:color w:val="auto"/>
              </w:rPr>
            </w:pPr>
            <w:r>
              <w:rPr>
                <w:rFonts w:ascii="Arial" w:cs="Arial" w:eastAsia="Arial" w:hAnsi="Arial"/>
                <w:sz w:val="11"/>
                <w:szCs w:val="11"/>
                <w:color w:val="333740"/>
                <w:w w:val="97"/>
              </w:rPr>
              <w:t>3</w:t>
            </w:r>
          </w:p>
        </w:tc>
        <w:tc>
          <w:tcPr>
            <w:tcW w:w="560" w:type="dxa"/>
            <w:vAlign w:val="bottom"/>
            <w:shd w:val="clear" w:color="auto" w:fill="D7D8D6"/>
          </w:tcPr>
          <w:p>
            <w:pPr>
              <w:jc w:val="center"/>
              <w:spacing w:after="0"/>
              <w:rPr>
                <w:sz w:val="20"/>
                <w:szCs w:val="20"/>
                <w:color w:val="auto"/>
              </w:rPr>
            </w:pPr>
            <w:r>
              <w:rPr>
                <w:rFonts w:ascii="Arial" w:cs="Arial" w:eastAsia="Arial" w:hAnsi="Arial"/>
                <w:sz w:val="11"/>
                <w:szCs w:val="11"/>
                <w:color w:val="333740"/>
                <w:w w:val="97"/>
              </w:rPr>
              <w:t>3</w:t>
            </w:r>
          </w:p>
        </w:tc>
        <w:tc>
          <w:tcPr>
            <w:tcW w:w="580" w:type="dxa"/>
            <w:vAlign w:val="bottom"/>
          </w:tcPr>
          <w:p>
            <w:pPr>
              <w:jc w:val="center"/>
              <w:spacing w:after="0"/>
              <w:rPr>
                <w:sz w:val="20"/>
                <w:szCs w:val="20"/>
                <w:color w:val="auto"/>
              </w:rPr>
            </w:pPr>
            <w:r>
              <w:rPr>
                <w:rFonts w:ascii="Arial" w:cs="Arial" w:eastAsia="Arial" w:hAnsi="Arial"/>
                <w:sz w:val="11"/>
                <w:szCs w:val="11"/>
                <w:color w:val="333740"/>
                <w:w w:val="97"/>
              </w:rPr>
              <w:t>3</w:t>
            </w:r>
          </w:p>
        </w:tc>
        <w:tc>
          <w:tcPr>
            <w:tcW w:w="560" w:type="dxa"/>
            <w:vAlign w:val="bottom"/>
            <w:shd w:val="clear" w:color="auto" w:fill="D7D8D6"/>
          </w:tcPr>
          <w:p>
            <w:pPr>
              <w:jc w:val="center"/>
              <w:spacing w:after="0"/>
              <w:rPr>
                <w:sz w:val="20"/>
                <w:szCs w:val="20"/>
                <w:color w:val="auto"/>
              </w:rPr>
            </w:pPr>
            <w:r>
              <w:rPr>
                <w:rFonts w:ascii="Arial" w:cs="Arial" w:eastAsia="Arial" w:hAnsi="Arial"/>
                <w:sz w:val="11"/>
                <w:szCs w:val="11"/>
                <w:color w:val="333740"/>
                <w:w w:val="97"/>
              </w:rPr>
              <w:t>3</w:t>
            </w:r>
          </w:p>
        </w:tc>
        <w:tc>
          <w:tcPr>
            <w:tcW w:w="540" w:type="dxa"/>
            <w:vAlign w:val="bottom"/>
          </w:tcPr>
          <w:p>
            <w:pPr>
              <w:jc w:val="center"/>
              <w:spacing w:after="0"/>
              <w:rPr>
                <w:sz w:val="20"/>
                <w:szCs w:val="20"/>
                <w:color w:val="auto"/>
              </w:rPr>
            </w:pPr>
            <w:r>
              <w:rPr>
                <w:rFonts w:ascii="Arial" w:cs="Arial" w:eastAsia="Arial" w:hAnsi="Arial"/>
                <w:sz w:val="11"/>
                <w:szCs w:val="11"/>
                <w:color w:val="333740"/>
                <w:w w:val="97"/>
              </w:rPr>
              <w:t>1</w:t>
            </w:r>
          </w:p>
        </w:tc>
        <w:tc>
          <w:tcPr>
            <w:tcW w:w="560" w:type="dxa"/>
            <w:vAlign w:val="bottom"/>
            <w:shd w:val="clear" w:color="auto" w:fill="D7D8D6"/>
          </w:tcPr>
          <w:p>
            <w:pPr>
              <w:jc w:val="center"/>
              <w:spacing w:after="0"/>
              <w:rPr>
                <w:sz w:val="20"/>
                <w:szCs w:val="20"/>
                <w:color w:val="auto"/>
              </w:rPr>
            </w:pPr>
            <w:r>
              <w:rPr>
                <w:rFonts w:ascii="Arial" w:cs="Arial" w:eastAsia="Arial" w:hAnsi="Arial"/>
                <w:sz w:val="11"/>
                <w:szCs w:val="11"/>
                <w:color w:val="333740"/>
                <w:w w:val="97"/>
              </w:rPr>
              <w:t>3</w:t>
            </w:r>
          </w:p>
        </w:tc>
        <w:tc>
          <w:tcPr>
            <w:tcW w:w="560" w:type="dxa"/>
            <w:vAlign w:val="bottom"/>
          </w:tcPr>
          <w:p>
            <w:pPr>
              <w:jc w:val="center"/>
              <w:spacing w:after="0"/>
              <w:rPr>
                <w:sz w:val="20"/>
                <w:szCs w:val="20"/>
                <w:color w:val="auto"/>
              </w:rPr>
            </w:pPr>
            <w:r>
              <w:rPr>
                <w:rFonts w:ascii="Arial" w:cs="Arial" w:eastAsia="Arial" w:hAnsi="Arial"/>
                <w:sz w:val="11"/>
                <w:szCs w:val="11"/>
                <w:color w:val="333740"/>
                <w:w w:val="97"/>
              </w:rPr>
              <w:t>3</w:t>
            </w:r>
          </w:p>
        </w:tc>
        <w:tc>
          <w:tcPr>
            <w:tcW w:w="560" w:type="dxa"/>
            <w:vAlign w:val="bottom"/>
            <w:shd w:val="clear" w:color="auto" w:fill="D7D8D6"/>
          </w:tcPr>
          <w:p>
            <w:pPr>
              <w:jc w:val="center"/>
              <w:spacing w:after="0"/>
              <w:rPr>
                <w:sz w:val="20"/>
                <w:szCs w:val="20"/>
                <w:color w:val="auto"/>
              </w:rPr>
            </w:pPr>
            <w:r>
              <w:rPr>
                <w:rFonts w:ascii="Arial" w:cs="Arial" w:eastAsia="Arial" w:hAnsi="Arial"/>
                <w:sz w:val="11"/>
                <w:szCs w:val="11"/>
                <w:color w:val="333740"/>
                <w:w w:val="97"/>
              </w:rPr>
              <w:t>3</w:t>
            </w:r>
          </w:p>
        </w:tc>
        <w:tc>
          <w:tcPr>
            <w:tcW w:w="600" w:type="dxa"/>
            <w:vAlign w:val="bottom"/>
          </w:tcPr>
          <w:p>
            <w:pPr>
              <w:jc w:val="center"/>
              <w:spacing w:after="0"/>
              <w:rPr>
                <w:sz w:val="20"/>
                <w:szCs w:val="20"/>
                <w:color w:val="auto"/>
              </w:rPr>
            </w:pPr>
            <w:r>
              <w:rPr>
                <w:rFonts w:ascii="Arial" w:cs="Arial" w:eastAsia="Arial" w:hAnsi="Arial"/>
                <w:sz w:val="11"/>
                <w:szCs w:val="11"/>
                <w:color w:val="333740"/>
              </w:rPr>
              <w:t>1</w:t>
            </w:r>
          </w:p>
        </w:tc>
        <w:tc>
          <w:tcPr>
            <w:tcW w:w="0" w:type="dxa"/>
            <w:vAlign w:val="bottom"/>
          </w:tcPr>
          <w:p>
            <w:pPr>
              <w:spacing w:after="0"/>
              <w:rPr>
                <w:sz w:val="1"/>
                <w:szCs w:val="1"/>
                <w:color w:val="auto"/>
              </w:rPr>
            </w:pPr>
          </w:p>
        </w:tc>
      </w:tr>
      <w:tr>
        <w:trPr>
          <w:trHeight w:val="32"/>
        </w:trPr>
        <w:tc>
          <w:tcPr>
            <w:tcW w:w="3160" w:type="dxa"/>
            <w:vAlign w:val="bottom"/>
            <w:tcBorders>
              <w:bottom w:val="single" w:sz="8" w:color="D7D8D6"/>
            </w:tcBorders>
          </w:tcPr>
          <w:p>
            <w:pPr>
              <w:spacing w:after="0"/>
              <w:rPr>
                <w:sz w:val="2"/>
                <w:szCs w:val="2"/>
                <w:color w:val="auto"/>
              </w:rPr>
            </w:pPr>
          </w:p>
        </w:tc>
        <w:tc>
          <w:tcPr>
            <w:tcW w:w="620" w:type="dxa"/>
            <w:vAlign w:val="bottom"/>
            <w:tcBorders>
              <w:bottom w:val="single" w:sz="8" w:color="D7D8D6"/>
            </w:tcBorders>
            <w:shd w:val="clear" w:color="auto" w:fill="D7D8D6"/>
          </w:tcPr>
          <w:p>
            <w:pPr>
              <w:spacing w:after="0"/>
              <w:rPr>
                <w:sz w:val="2"/>
                <w:szCs w:val="2"/>
                <w:color w:val="auto"/>
              </w:rPr>
            </w:pPr>
          </w:p>
        </w:tc>
        <w:tc>
          <w:tcPr>
            <w:tcW w:w="560" w:type="dxa"/>
            <w:vAlign w:val="bottom"/>
            <w:tcBorders>
              <w:bottom w:val="single" w:sz="8" w:color="D7D8D6"/>
            </w:tcBorders>
          </w:tcPr>
          <w:p>
            <w:pPr>
              <w:spacing w:after="0"/>
              <w:rPr>
                <w:sz w:val="2"/>
                <w:szCs w:val="2"/>
                <w:color w:val="auto"/>
              </w:rPr>
            </w:pPr>
          </w:p>
        </w:tc>
        <w:tc>
          <w:tcPr>
            <w:tcW w:w="660" w:type="dxa"/>
            <w:vAlign w:val="bottom"/>
            <w:tcBorders>
              <w:bottom w:val="single" w:sz="8" w:color="D7D8D6"/>
            </w:tcBorders>
            <w:shd w:val="clear" w:color="auto" w:fill="D7D8D6"/>
          </w:tcPr>
          <w:p>
            <w:pPr>
              <w:spacing w:after="0"/>
              <w:rPr>
                <w:sz w:val="2"/>
                <w:szCs w:val="2"/>
                <w:color w:val="auto"/>
              </w:rPr>
            </w:pPr>
          </w:p>
        </w:tc>
        <w:tc>
          <w:tcPr>
            <w:tcW w:w="64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4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8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4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6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600" w:type="dxa"/>
            <w:vAlign w:val="bottom"/>
            <w:tcBorders>
              <w:bottom w:val="single" w:sz="8" w:color="D7D8D6"/>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Arial" w:cs="Arial" w:eastAsia="Arial" w:hAnsi="Arial"/>
                <w:sz w:val="11"/>
                <w:szCs w:val="11"/>
                <w:color w:val="333740"/>
              </w:rPr>
              <w:t>Gender (Female or Male)</w:t>
            </w:r>
          </w:p>
        </w:tc>
        <w:tc>
          <w:tcPr>
            <w:tcW w:w="620" w:type="dxa"/>
            <w:vAlign w:val="bottom"/>
            <w:shd w:val="clear" w:color="auto" w:fill="D7D8D6"/>
          </w:tcPr>
          <w:p>
            <w:pPr>
              <w:jc w:val="center"/>
              <w:spacing w:after="0"/>
              <w:rPr>
                <w:sz w:val="20"/>
                <w:szCs w:val="20"/>
                <w:color w:val="auto"/>
              </w:rPr>
            </w:pPr>
            <w:r>
              <w:rPr>
                <w:rFonts w:ascii="Arial" w:cs="Arial" w:eastAsia="Arial" w:hAnsi="Arial"/>
                <w:sz w:val="11"/>
                <w:szCs w:val="11"/>
                <w:color w:val="333740"/>
              </w:rPr>
              <w:t>M</w:t>
            </w:r>
          </w:p>
        </w:tc>
        <w:tc>
          <w:tcPr>
            <w:tcW w:w="560" w:type="dxa"/>
            <w:vAlign w:val="bottom"/>
          </w:tcPr>
          <w:p>
            <w:pPr>
              <w:ind w:left="240"/>
              <w:spacing w:after="0"/>
              <w:rPr>
                <w:sz w:val="20"/>
                <w:szCs w:val="20"/>
                <w:color w:val="auto"/>
              </w:rPr>
            </w:pPr>
            <w:r>
              <w:rPr>
                <w:rFonts w:ascii="Arial" w:cs="Arial" w:eastAsia="Arial" w:hAnsi="Arial"/>
                <w:sz w:val="11"/>
                <w:szCs w:val="11"/>
                <w:color w:val="333740"/>
              </w:rPr>
              <w:t>M</w:t>
            </w:r>
          </w:p>
        </w:tc>
        <w:tc>
          <w:tcPr>
            <w:tcW w:w="660" w:type="dxa"/>
            <w:vAlign w:val="bottom"/>
            <w:shd w:val="clear" w:color="auto" w:fill="D7D8D6"/>
          </w:tcPr>
          <w:p>
            <w:pPr>
              <w:ind w:left="280"/>
              <w:spacing w:after="0"/>
              <w:rPr>
                <w:sz w:val="20"/>
                <w:szCs w:val="20"/>
                <w:color w:val="auto"/>
              </w:rPr>
            </w:pPr>
            <w:r>
              <w:rPr>
                <w:rFonts w:ascii="Arial" w:cs="Arial" w:eastAsia="Arial" w:hAnsi="Arial"/>
                <w:sz w:val="11"/>
                <w:szCs w:val="11"/>
                <w:color w:val="333740"/>
              </w:rPr>
              <w:t>M</w:t>
            </w:r>
          </w:p>
        </w:tc>
        <w:tc>
          <w:tcPr>
            <w:tcW w:w="640" w:type="dxa"/>
            <w:vAlign w:val="bottom"/>
          </w:tcPr>
          <w:p>
            <w:pPr>
              <w:jc w:val="center"/>
              <w:spacing w:after="0"/>
              <w:rPr>
                <w:sz w:val="20"/>
                <w:szCs w:val="20"/>
                <w:color w:val="auto"/>
              </w:rPr>
            </w:pPr>
            <w:r>
              <w:rPr>
                <w:rFonts w:ascii="Arial" w:cs="Arial" w:eastAsia="Arial" w:hAnsi="Arial"/>
                <w:sz w:val="11"/>
                <w:szCs w:val="11"/>
                <w:color w:val="333740"/>
              </w:rPr>
              <w:t>M</w:t>
            </w:r>
          </w:p>
        </w:tc>
        <w:tc>
          <w:tcPr>
            <w:tcW w:w="560" w:type="dxa"/>
            <w:vAlign w:val="bottom"/>
            <w:shd w:val="clear" w:color="auto" w:fill="D7D8D6"/>
          </w:tcPr>
          <w:p>
            <w:pPr>
              <w:jc w:val="right"/>
              <w:ind w:right="184"/>
              <w:spacing w:after="0"/>
              <w:rPr>
                <w:sz w:val="20"/>
                <w:szCs w:val="20"/>
                <w:color w:val="auto"/>
              </w:rPr>
            </w:pPr>
            <w:r>
              <w:rPr>
                <w:rFonts w:ascii="Arial" w:cs="Arial" w:eastAsia="Arial" w:hAnsi="Arial"/>
                <w:sz w:val="11"/>
                <w:szCs w:val="11"/>
                <w:color w:val="333740"/>
              </w:rPr>
              <w:t>F</w:t>
            </w:r>
          </w:p>
        </w:tc>
        <w:tc>
          <w:tcPr>
            <w:tcW w:w="540" w:type="dxa"/>
            <w:vAlign w:val="bottom"/>
          </w:tcPr>
          <w:p>
            <w:pPr>
              <w:ind w:left="240"/>
              <w:spacing w:after="0"/>
              <w:rPr>
                <w:sz w:val="20"/>
                <w:szCs w:val="20"/>
                <w:color w:val="auto"/>
              </w:rPr>
            </w:pPr>
            <w:r>
              <w:rPr>
                <w:rFonts w:ascii="Arial" w:cs="Arial" w:eastAsia="Arial" w:hAnsi="Arial"/>
                <w:sz w:val="11"/>
                <w:szCs w:val="11"/>
                <w:color w:val="333740"/>
              </w:rPr>
              <w:t>F</w:t>
            </w:r>
          </w:p>
        </w:tc>
        <w:tc>
          <w:tcPr>
            <w:tcW w:w="560" w:type="dxa"/>
            <w:vAlign w:val="bottom"/>
            <w:shd w:val="clear" w:color="auto" w:fill="D7D8D6"/>
          </w:tcPr>
          <w:p>
            <w:pPr>
              <w:ind w:left="240"/>
              <w:spacing w:after="0"/>
              <w:rPr>
                <w:sz w:val="20"/>
                <w:szCs w:val="20"/>
                <w:color w:val="auto"/>
              </w:rPr>
            </w:pPr>
            <w:r>
              <w:rPr>
                <w:rFonts w:ascii="Arial" w:cs="Arial" w:eastAsia="Arial" w:hAnsi="Arial"/>
                <w:sz w:val="11"/>
                <w:szCs w:val="11"/>
                <w:color w:val="333740"/>
              </w:rPr>
              <w:t>M</w:t>
            </w:r>
          </w:p>
        </w:tc>
        <w:tc>
          <w:tcPr>
            <w:tcW w:w="580" w:type="dxa"/>
            <w:vAlign w:val="bottom"/>
          </w:tcPr>
          <w:p>
            <w:pPr>
              <w:jc w:val="center"/>
              <w:spacing w:after="0"/>
              <w:rPr>
                <w:sz w:val="20"/>
                <w:szCs w:val="20"/>
                <w:color w:val="auto"/>
              </w:rPr>
            </w:pPr>
            <w:r>
              <w:rPr>
                <w:rFonts w:ascii="Arial" w:cs="Arial" w:eastAsia="Arial" w:hAnsi="Arial"/>
                <w:sz w:val="11"/>
                <w:szCs w:val="11"/>
                <w:color w:val="333740"/>
              </w:rPr>
              <w:t>M</w:t>
            </w:r>
          </w:p>
        </w:tc>
        <w:tc>
          <w:tcPr>
            <w:tcW w:w="560" w:type="dxa"/>
            <w:vAlign w:val="bottom"/>
            <w:shd w:val="clear" w:color="auto" w:fill="D7D8D6"/>
          </w:tcPr>
          <w:p>
            <w:pPr>
              <w:jc w:val="right"/>
              <w:ind w:right="183"/>
              <w:spacing w:after="0"/>
              <w:rPr>
                <w:sz w:val="20"/>
                <w:szCs w:val="20"/>
                <w:color w:val="auto"/>
              </w:rPr>
            </w:pPr>
            <w:r>
              <w:rPr>
                <w:rFonts w:ascii="Arial" w:cs="Arial" w:eastAsia="Arial" w:hAnsi="Arial"/>
                <w:sz w:val="11"/>
                <w:szCs w:val="11"/>
                <w:color w:val="333740"/>
              </w:rPr>
              <w:t>M</w:t>
            </w:r>
          </w:p>
        </w:tc>
        <w:tc>
          <w:tcPr>
            <w:tcW w:w="540" w:type="dxa"/>
            <w:vAlign w:val="bottom"/>
          </w:tcPr>
          <w:p>
            <w:pPr>
              <w:ind w:left="220"/>
              <w:spacing w:after="0"/>
              <w:rPr>
                <w:sz w:val="20"/>
                <w:szCs w:val="20"/>
                <w:color w:val="auto"/>
              </w:rPr>
            </w:pPr>
            <w:r>
              <w:rPr>
                <w:rFonts w:ascii="Arial" w:cs="Arial" w:eastAsia="Arial" w:hAnsi="Arial"/>
                <w:sz w:val="11"/>
                <w:szCs w:val="11"/>
                <w:color w:val="333740"/>
              </w:rPr>
              <w:t>M</w:t>
            </w:r>
          </w:p>
        </w:tc>
        <w:tc>
          <w:tcPr>
            <w:tcW w:w="560" w:type="dxa"/>
            <w:vAlign w:val="bottom"/>
            <w:shd w:val="clear" w:color="auto" w:fill="D7D8D6"/>
          </w:tcPr>
          <w:p>
            <w:pPr>
              <w:ind w:left="240"/>
              <w:spacing w:after="0"/>
              <w:rPr>
                <w:sz w:val="20"/>
                <w:szCs w:val="20"/>
                <w:color w:val="auto"/>
              </w:rPr>
            </w:pPr>
            <w:r>
              <w:rPr>
                <w:rFonts w:ascii="Arial" w:cs="Arial" w:eastAsia="Arial" w:hAnsi="Arial"/>
                <w:sz w:val="11"/>
                <w:szCs w:val="11"/>
                <w:color w:val="333740"/>
              </w:rPr>
              <w:t>F</w:t>
            </w:r>
          </w:p>
        </w:tc>
        <w:tc>
          <w:tcPr>
            <w:tcW w:w="560" w:type="dxa"/>
            <w:vAlign w:val="bottom"/>
          </w:tcPr>
          <w:p>
            <w:pPr>
              <w:ind w:left="240"/>
              <w:spacing w:after="0"/>
              <w:rPr>
                <w:sz w:val="20"/>
                <w:szCs w:val="20"/>
                <w:color w:val="auto"/>
              </w:rPr>
            </w:pPr>
            <w:r>
              <w:rPr>
                <w:rFonts w:ascii="Arial" w:cs="Arial" w:eastAsia="Arial" w:hAnsi="Arial"/>
                <w:sz w:val="11"/>
                <w:szCs w:val="11"/>
                <w:color w:val="333740"/>
              </w:rPr>
              <w:t>M</w:t>
            </w:r>
          </w:p>
        </w:tc>
        <w:tc>
          <w:tcPr>
            <w:tcW w:w="560" w:type="dxa"/>
            <w:vAlign w:val="bottom"/>
            <w:shd w:val="clear" w:color="auto" w:fill="D7D8D6"/>
          </w:tcPr>
          <w:p>
            <w:pPr>
              <w:jc w:val="center"/>
              <w:spacing w:after="0"/>
              <w:rPr>
                <w:sz w:val="20"/>
                <w:szCs w:val="20"/>
                <w:color w:val="auto"/>
              </w:rPr>
            </w:pPr>
            <w:r>
              <w:rPr>
                <w:rFonts w:ascii="Arial" w:cs="Arial" w:eastAsia="Arial" w:hAnsi="Arial"/>
                <w:sz w:val="11"/>
                <w:szCs w:val="11"/>
                <w:color w:val="333740"/>
              </w:rPr>
              <w:t>M</w:t>
            </w:r>
          </w:p>
        </w:tc>
        <w:tc>
          <w:tcPr>
            <w:tcW w:w="600" w:type="dxa"/>
            <w:vAlign w:val="bottom"/>
          </w:tcPr>
          <w:p>
            <w:pPr>
              <w:jc w:val="center"/>
              <w:spacing w:after="0"/>
              <w:rPr>
                <w:sz w:val="20"/>
                <w:szCs w:val="20"/>
                <w:color w:val="auto"/>
              </w:rPr>
            </w:pPr>
            <w:r>
              <w:rPr>
                <w:rFonts w:ascii="Arial" w:cs="Arial" w:eastAsia="Arial" w:hAnsi="Arial"/>
                <w:sz w:val="11"/>
                <w:szCs w:val="11"/>
                <w:color w:val="333740"/>
                <w:w w:val="86"/>
              </w:rPr>
              <w:t>M</w:t>
            </w:r>
          </w:p>
        </w:tc>
        <w:tc>
          <w:tcPr>
            <w:tcW w:w="0" w:type="dxa"/>
            <w:vAlign w:val="bottom"/>
          </w:tcPr>
          <w:p>
            <w:pPr>
              <w:spacing w:after="0"/>
              <w:rPr>
                <w:sz w:val="1"/>
                <w:szCs w:val="1"/>
                <w:color w:val="auto"/>
              </w:rPr>
            </w:pPr>
          </w:p>
        </w:tc>
      </w:tr>
      <w:tr>
        <w:trPr>
          <w:trHeight w:val="32"/>
        </w:trPr>
        <w:tc>
          <w:tcPr>
            <w:tcW w:w="3160" w:type="dxa"/>
            <w:vAlign w:val="bottom"/>
            <w:tcBorders>
              <w:bottom w:val="single" w:sz="8" w:color="D7D8D6"/>
            </w:tcBorders>
          </w:tcPr>
          <w:p>
            <w:pPr>
              <w:spacing w:after="0"/>
              <w:rPr>
                <w:sz w:val="2"/>
                <w:szCs w:val="2"/>
                <w:color w:val="auto"/>
              </w:rPr>
            </w:pPr>
          </w:p>
        </w:tc>
        <w:tc>
          <w:tcPr>
            <w:tcW w:w="620" w:type="dxa"/>
            <w:vAlign w:val="bottom"/>
            <w:tcBorders>
              <w:bottom w:val="single" w:sz="8" w:color="D7D8D6"/>
            </w:tcBorders>
            <w:shd w:val="clear" w:color="auto" w:fill="D7D8D6"/>
          </w:tcPr>
          <w:p>
            <w:pPr>
              <w:spacing w:after="0"/>
              <w:rPr>
                <w:sz w:val="2"/>
                <w:szCs w:val="2"/>
                <w:color w:val="auto"/>
              </w:rPr>
            </w:pPr>
          </w:p>
        </w:tc>
        <w:tc>
          <w:tcPr>
            <w:tcW w:w="560" w:type="dxa"/>
            <w:vAlign w:val="bottom"/>
            <w:tcBorders>
              <w:bottom w:val="single" w:sz="8" w:color="D7D8D6"/>
            </w:tcBorders>
          </w:tcPr>
          <w:p>
            <w:pPr>
              <w:spacing w:after="0"/>
              <w:rPr>
                <w:sz w:val="2"/>
                <w:szCs w:val="2"/>
                <w:color w:val="auto"/>
              </w:rPr>
            </w:pPr>
          </w:p>
        </w:tc>
        <w:tc>
          <w:tcPr>
            <w:tcW w:w="660" w:type="dxa"/>
            <w:vAlign w:val="bottom"/>
            <w:tcBorders>
              <w:bottom w:val="single" w:sz="8" w:color="D7D8D6"/>
            </w:tcBorders>
            <w:shd w:val="clear" w:color="auto" w:fill="D7D8D6"/>
          </w:tcPr>
          <w:p>
            <w:pPr>
              <w:spacing w:after="0"/>
              <w:rPr>
                <w:sz w:val="2"/>
                <w:szCs w:val="2"/>
                <w:color w:val="auto"/>
              </w:rPr>
            </w:pPr>
          </w:p>
        </w:tc>
        <w:tc>
          <w:tcPr>
            <w:tcW w:w="64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4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8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4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560" w:type="dxa"/>
            <w:vAlign w:val="bottom"/>
            <w:tcBorders>
              <w:bottom w:val="single" w:sz="8" w:color="D7D8D6"/>
            </w:tcBorders>
          </w:tcPr>
          <w:p>
            <w:pPr>
              <w:spacing w:after="0"/>
              <w:rPr>
                <w:sz w:val="2"/>
                <w:szCs w:val="2"/>
                <w:color w:val="auto"/>
              </w:rPr>
            </w:pPr>
          </w:p>
        </w:tc>
        <w:tc>
          <w:tcPr>
            <w:tcW w:w="560" w:type="dxa"/>
            <w:vAlign w:val="bottom"/>
            <w:tcBorders>
              <w:bottom w:val="single" w:sz="8" w:color="D7D8D6"/>
            </w:tcBorders>
            <w:shd w:val="clear" w:color="auto" w:fill="D7D8D6"/>
          </w:tcPr>
          <w:p>
            <w:pPr>
              <w:spacing w:after="0"/>
              <w:rPr>
                <w:sz w:val="2"/>
                <w:szCs w:val="2"/>
                <w:color w:val="auto"/>
              </w:rPr>
            </w:pPr>
          </w:p>
        </w:tc>
        <w:tc>
          <w:tcPr>
            <w:tcW w:w="600" w:type="dxa"/>
            <w:vAlign w:val="bottom"/>
            <w:tcBorders>
              <w:bottom w:val="single" w:sz="8" w:color="D7D8D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424" w:right="4260" w:hanging="173"/>
        <w:spacing w:after="0" w:line="226" w:lineRule="auto"/>
        <w:tabs>
          <w:tab w:leader="none" w:pos="424" w:val="left"/>
        </w:tabs>
        <w:numPr>
          <w:ilvl w:val="0"/>
          <w:numId w:val="137"/>
        </w:numPr>
        <w:rPr>
          <w:rFonts w:ascii="Arial" w:cs="Arial" w:eastAsia="Arial" w:hAnsi="Arial"/>
          <w:sz w:val="11"/>
          <w:szCs w:val="11"/>
          <w:color w:val="333740"/>
        </w:rPr>
      </w:pPr>
      <w:r>
        <w:rPr>
          <w:rFonts w:ascii="Arial" w:cs="Arial" w:eastAsia="Arial" w:hAnsi="Arial"/>
          <w:sz w:val="11"/>
          <w:szCs w:val="11"/>
          <w:color w:val="333740"/>
        </w:rPr>
        <w:t>Mr. Colombani’s Honorary Chairman position at Valeo SA does not include any board responsibilities and is purely honorific in nature. Mr. Colombani does not attend any board meetings or participate in any board deliberations for Valeo SA.</w:t>
      </w:r>
    </w:p>
    <w:p>
      <w:pPr>
        <w:spacing w:after="0" w:line="1" w:lineRule="exact"/>
        <w:rPr>
          <w:sz w:val="20"/>
          <w:szCs w:val="20"/>
          <w:color w:val="auto"/>
        </w:rPr>
      </w:pPr>
    </w:p>
    <w:p>
      <w:pPr>
        <w:ind w:left="424" w:hanging="173"/>
        <w:spacing w:after="0"/>
        <w:tabs>
          <w:tab w:leader="none" w:pos="424" w:val="left"/>
        </w:tabs>
        <w:numPr>
          <w:ilvl w:val="0"/>
          <w:numId w:val="138"/>
        </w:numPr>
        <w:rPr>
          <w:rFonts w:ascii="Arial" w:cs="Arial" w:eastAsia="Arial" w:hAnsi="Arial"/>
          <w:sz w:val="11"/>
          <w:szCs w:val="11"/>
          <w:color w:val="333740"/>
        </w:rPr>
      </w:pPr>
      <w:r>
        <w:rPr>
          <w:rFonts w:ascii="Arial" w:cs="Arial" w:eastAsia="Arial" w:hAnsi="Arial"/>
          <w:sz w:val="11"/>
          <w:szCs w:val="11"/>
          <w:color w:val="333740"/>
        </w:rPr>
        <w:t>All members of the Audit Committee are “audit committee financial experts” as defined by the applicable rules of the SEC.</w:t>
      </w:r>
    </w:p>
    <w:p>
      <w:pPr>
        <w:spacing w:after="0" w:line="385" w:lineRule="exact"/>
        <w:rPr>
          <w:sz w:val="20"/>
          <w:szCs w:val="20"/>
          <w:color w:val="auto"/>
        </w:rPr>
      </w:pPr>
    </w:p>
    <w:p>
      <w:pPr>
        <w:ind w:left="564" w:hanging="564"/>
        <w:spacing w:after="0"/>
        <w:tabs>
          <w:tab w:leader="none" w:pos="564" w:val="left"/>
        </w:tabs>
        <w:numPr>
          <w:ilvl w:val="0"/>
          <w:numId w:val="139"/>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110" w:name="page111"/>
    <w:bookmarkEnd w:id="110"/>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8" w:lineRule="exact"/>
        <w:rPr>
          <w:sz w:val="20"/>
          <w:szCs w:val="20"/>
          <w:color w:val="auto"/>
        </w:rPr>
      </w:pPr>
    </w:p>
    <w:p>
      <w:pPr>
        <w:ind w:left="4" w:right="560"/>
        <w:spacing w:after="0" w:line="233" w:lineRule="auto"/>
        <w:rPr>
          <w:sz w:val="20"/>
          <w:szCs w:val="20"/>
          <w:color w:val="auto"/>
        </w:rPr>
      </w:pPr>
      <w:r>
        <w:rPr>
          <w:rFonts w:ascii="Arial" w:cs="Arial" w:eastAsia="Arial" w:hAnsi="Arial"/>
          <w:sz w:val="16"/>
          <w:szCs w:val="16"/>
          <w:color w:val="333740"/>
        </w:rPr>
        <w:t>Our Board has implemented a mandatory retirement age of 72, as set forth in the Company’s Governance Guidelines. Pursuant to our retirement policy, Messrs. Colombani and Ringler are subject to retirement at the Annual Meeting.</w:t>
      </w:r>
    </w:p>
    <w:p>
      <w:pPr>
        <w:spacing w:after="0" w:line="1" w:lineRule="exact"/>
        <w:rPr>
          <w:sz w:val="20"/>
          <w:szCs w:val="20"/>
          <w:color w:val="auto"/>
        </w:rPr>
      </w:pPr>
    </w:p>
    <w:p>
      <w:pPr>
        <w:ind w:left="4"/>
        <w:spacing w:after="0" w:line="236" w:lineRule="auto"/>
        <w:rPr>
          <w:sz w:val="20"/>
          <w:szCs w:val="20"/>
          <w:color w:val="auto"/>
        </w:rPr>
      </w:pPr>
      <w:r>
        <w:rPr>
          <w:rFonts w:ascii="Arial" w:cs="Arial" w:eastAsia="Arial" w:hAnsi="Arial"/>
          <w:sz w:val="16"/>
          <w:szCs w:val="16"/>
          <w:color w:val="333740"/>
        </w:rPr>
        <w:t>However, to ensure continuity through the completion of our announced spin-off transaction and in light of each director’s deep institutional knowledge and valuable contributions to the Board, the Nominating and Corporate Governance Committee recommended, and the Board unanimously approved, a waiver of the retirement policy in order to nominate Messrs. Colombani and Ringler to an additional one-year term. In reaching its decision, the Board considered Messrs. Colombani’s and Ringler’s extensive skills, experience, and industry and Company knowledge given their status as two of our longest tenured directors. The Board determined that waiving the retirement policy for each director would ensure the continued strong, and effective independent leadership of the Board and ease the transition of the Board after the spin-off transaction. Messrs. Colombani and Ringler recused themselves from all committee and Board discussions of the waiver.</w:t>
      </w:r>
    </w:p>
    <w:p>
      <w:pPr>
        <w:spacing w:after="0" w:line="42" w:lineRule="exact"/>
        <w:rPr>
          <w:sz w:val="20"/>
          <w:szCs w:val="20"/>
          <w:color w:val="auto"/>
        </w:rPr>
      </w:pPr>
    </w:p>
    <w:p>
      <w:pPr>
        <w:ind w:left="4" w:right="180"/>
        <w:spacing w:after="0" w:line="262" w:lineRule="auto"/>
        <w:rPr>
          <w:sz w:val="20"/>
          <w:szCs w:val="20"/>
          <w:color w:val="auto"/>
        </w:rPr>
      </w:pPr>
      <w:r>
        <w:rPr>
          <w:rFonts w:ascii="Arial" w:cs="Arial" w:eastAsia="Arial" w:hAnsi="Arial"/>
          <w:sz w:val="16"/>
          <w:szCs w:val="16"/>
          <w:color w:val="333740"/>
        </w:rPr>
        <w:t>Each of the director nominees has consented to serving as a nominee, being named in this Proxy Statement, and serving on the Board, if elected. Each director nominee elected at the Annual Meeting will serve for a one-year term expiring at the 2021 Annual Meeting or until the earliest to occur of (i) his or her successor is elected and qualified, (ii) the completion of our announced spin- oﬀ transaction, or (iii) his or her earlier death, retirement, resignation, or removal in accordance with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8195" cy="3263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8195" cy="326390"/>
                    </a:xfrm>
                    <a:prstGeom prst="rect">
                      <a:avLst/>
                    </a:prstGeom>
                    <a:noFill/>
                  </pic:spPr>
                </pic:pic>
              </a:graphicData>
            </a:graphic>
          </wp:anchor>
        </w:drawing>
      </w:r>
    </w:p>
    <w:p>
      <w:pPr>
        <w:spacing w:after="0" w:line="68" w:lineRule="exact"/>
        <w:rPr>
          <w:sz w:val="20"/>
          <w:szCs w:val="20"/>
          <w:color w:val="auto"/>
        </w:rPr>
      </w:pPr>
    </w:p>
    <w:p>
      <w:pPr>
        <w:ind w:left="64"/>
        <w:spacing w:after="0"/>
        <w:rPr>
          <w:sz w:val="20"/>
          <w:szCs w:val="20"/>
          <w:color w:val="auto"/>
        </w:rPr>
      </w:pPr>
      <w:r>
        <w:rPr>
          <w:rFonts w:ascii="Arial" w:cs="Arial" w:eastAsia="Arial" w:hAnsi="Arial"/>
          <w:sz w:val="14"/>
          <w:szCs w:val="14"/>
          <w:b w:val="1"/>
          <w:bCs w:val="1"/>
          <w:color w:val="333740"/>
        </w:rPr>
        <w:t>How does the Board recommend that I vote?</w:t>
      </w:r>
    </w:p>
    <w:p>
      <w:pPr>
        <w:spacing w:after="0" w:line="64" w:lineRule="exact"/>
        <w:rPr>
          <w:sz w:val="20"/>
          <w:szCs w:val="20"/>
          <w:color w:val="auto"/>
        </w:rPr>
      </w:pPr>
    </w:p>
    <w:p>
      <w:pPr>
        <w:ind w:left="64"/>
        <w:spacing w:after="0"/>
        <w:rPr>
          <w:sz w:val="20"/>
          <w:szCs w:val="20"/>
          <w:color w:val="auto"/>
        </w:rPr>
      </w:pPr>
      <w:r>
        <w:rPr>
          <w:rFonts w:ascii="Arial" w:cs="Arial" w:eastAsia="Arial" w:hAnsi="Arial"/>
          <w:sz w:val="14"/>
          <w:szCs w:val="14"/>
          <w:b w:val="1"/>
          <w:bCs w:val="1"/>
          <w:color w:val="333740"/>
        </w:rPr>
        <w:t>The Board recommends that you vote “FOR” the election of each director noTminee.</w:t>
      </w:r>
    </w:p>
    <w:p>
      <w:pPr>
        <w:spacing w:after="0" w:line="200" w:lineRule="exact"/>
        <w:rPr>
          <w:sz w:val="20"/>
          <w:szCs w:val="20"/>
          <w:color w:val="auto"/>
        </w:rPr>
      </w:pPr>
    </w:p>
    <w:p>
      <w:pPr>
        <w:spacing w:after="0" w:line="219" w:lineRule="exact"/>
        <w:rPr>
          <w:sz w:val="20"/>
          <w:szCs w:val="20"/>
          <w:color w:val="auto"/>
        </w:rPr>
      </w:pPr>
    </w:p>
    <w:p>
      <w:pPr>
        <w:ind w:left="564" w:hanging="564"/>
        <w:spacing w:after="0"/>
        <w:tabs>
          <w:tab w:leader="none" w:pos="564" w:val="left"/>
        </w:tabs>
        <w:numPr>
          <w:ilvl w:val="0"/>
          <w:numId w:val="140"/>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111" w:name="page112"/>
    <w:bookmarkEnd w:id="111"/>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3"/>
          <w:szCs w:val="33"/>
          <w:color w:val="481F6E"/>
        </w:rPr>
        <w:t>Director Nominees</w:t>
      </w:r>
    </w:p>
    <w:p>
      <w:pPr>
        <w:spacing w:after="0" w:line="30" w:lineRule="exact"/>
        <w:rPr>
          <w:sz w:val="20"/>
          <w:szCs w:val="20"/>
          <w:color w:val="auto"/>
        </w:rPr>
      </w:pPr>
    </w:p>
    <w:p>
      <w:pPr>
        <w:ind w:left="4"/>
        <w:spacing w:after="0" w:line="238" w:lineRule="auto"/>
        <w:rPr>
          <w:sz w:val="20"/>
          <w:szCs w:val="20"/>
          <w:color w:val="auto"/>
        </w:rPr>
      </w:pPr>
      <w:r>
        <w:rPr>
          <w:rFonts w:ascii="Arial" w:cs="Arial" w:eastAsia="Arial" w:hAnsi="Arial"/>
          <w:sz w:val="16"/>
          <w:szCs w:val="16"/>
          <w:color w:val="333740"/>
        </w:rPr>
        <w:t>Our Board comprises a diverse group of leaders in their respective fields. Each director is individually qualified and has made, and continues to make, unique and substantial contributions to our Board. The Board and its Nominating and Corporate Governance Committee believe the skills, experience, perspective, and diversity of the director nominees provide the Company with business acumen and a range of perspectives to engage each other and management to address effectively the Company’s evolving strategy, risk-mitigation and other needs, and represent the best interests of the Company’s shareholders.</w:t>
      </w:r>
    </w:p>
    <w:p>
      <w:pPr>
        <w:spacing w:after="0" w:line="83" w:lineRule="exact"/>
        <w:rPr>
          <w:sz w:val="20"/>
          <w:szCs w:val="20"/>
          <w:color w:val="auto"/>
        </w:rPr>
      </w:pPr>
    </w:p>
    <w:p>
      <w:pPr>
        <w:ind w:left="4" w:right="620"/>
        <w:spacing w:after="0" w:line="244" w:lineRule="auto"/>
        <w:rPr>
          <w:sz w:val="20"/>
          <w:szCs w:val="20"/>
          <w:color w:val="auto"/>
        </w:rPr>
      </w:pPr>
      <w:r>
        <w:rPr>
          <w:rFonts w:ascii="Arial" w:cs="Arial" w:eastAsia="Arial" w:hAnsi="Arial"/>
          <w:sz w:val="16"/>
          <w:szCs w:val="16"/>
          <w:color w:val="333740"/>
        </w:rPr>
        <w:t>The biographies below describe the skills, qualities, and experience of the nominees that led the Board and the Nominating and Corporate Governance Committee to determine that it is appropriate to nominate these directors.</w:t>
      </w:r>
    </w:p>
    <w:p>
      <w:pPr>
        <w:sectPr>
          <w:pgSz w:w="11900" w:h="16838" w:orient="portrait"/>
          <w:cols w:equalWidth="0" w:num="1">
            <w:col w:w="11244"/>
          </w:cols>
          <w:pgMar w:left="316" w:top="1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Douglas J. Pferdehirt</w:t>
      </w:r>
    </w:p>
    <w:p>
      <w:pPr>
        <w:spacing w:after="0" w:line="2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Chairman and CEO</w:t>
      </w:r>
    </w:p>
    <w:p>
      <w:pPr>
        <w:spacing w:after="0" w:line="168"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Age: </w:t>
      </w:r>
      <w:r>
        <w:rPr>
          <w:rFonts w:ascii="Arial" w:cs="Arial" w:eastAsia="Arial" w:hAnsi="Arial"/>
          <w:sz w:val="14"/>
          <w:szCs w:val="14"/>
          <w:color w:val="333740"/>
        </w:rPr>
        <w:t>56</w:t>
      </w:r>
    </w:p>
    <w:p>
      <w:pPr>
        <w:spacing w:after="0" w:line="3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Director Since: </w:t>
      </w:r>
      <w:r>
        <w:rPr>
          <w:rFonts w:ascii="Arial" w:cs="Arial" w:eastAsia="Arial" w:hAnsi="Arial"/>
          <w:sz w:val="14"/>
          <w:szCs w:val="14"/>
          <w:color w:val="333740"/>
        </w:rPr>
        <w:t>2017</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Legacy Director Since: </w:t>
      </w:r>
      <w:r>
        <w:rPr>
          <w:rFonts w:ascii="Arial" w:cs="Arial" w:eastAsia="Arial" w:hAnsi="Arial"/>
          <w:sz w:val="14"/>
          <w:szCs w:val="14"/>
          <w:color w:val="333740"/>
        </w:rPr>
        <w:t>2016</w:t>
      </w:r>
    </w:p>
    <w:p>
      <w:pPr>
        <w:spacing w:after="0" w:line="3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Committees: </w:t>
      </w:r>
      <w:r>
        <w:rPr>
          <w:rFonts w:ascii="Arial" w:cs="Arial" w:eastAsia="Arial" w:hAnsi="Arial"/>
          <w:sz w:val="14"/>
          <w:szCs w:val="14"/>
          <w:color w:val="333740"/>
        </w:rPr>
        <w:t>Strategy</w:t>
      </w:r>
    </w:p>
    <w:p>
      <w:pPr>
        <w:spacing w:after="0" w:line="21" w:lineRule="exact"/>
        <w:rPr>
          <w:sz w:val="20"/>
          <w:szCs w:val="20"/>
          <w:color w:val="auto"/>
        </w:rPr>
      </w:pPr>
    </w:p>
    <w:p>
      <w:pPr>
        <w:ind w:left="144"/>
        <w:spacing w:after="0"/>
        <w:rPr>
          <w:sz w:val="20"/>
          <w:szCs w:val="20"/>
          <w:color w:val="auto"/>
        </w:rPr>
      </w:pPr>
      <w:r>
        <w:rPr>
          <w:rFonts w:ascii="Arial" w:cs="Arial" w:eastAsia="Arial" w:hAnsi="Arial"/>
          <w:sz w:val="14"/>
          <w:szCs w:val="14"/>
          <w:color w:val="333740"/>
        </w:rPr>
        <w:t>Committee (Chair)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-93980</wp:posOffset>
            </wp:positionV>
            <wp:extent cx="7148195" cy="26333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8195" cy="2633345"/>
                    </a:xfrm>
                    <a:prstGeom prst="rect">
                      <a:avLst/>
                    </a:prstGeom>
                    <a:noFill/>
                  </pic:spPr>
                </pic:pic>
              </a:graphicData>
            </a:graphic>
          </wp:anchor>
        </w:drawing>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Mr. Pferdehirt has served as our CEO since the Merger and our Chairman since May 1, 2019.</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He was previously President and Chief Executive Oﬃcer of FMC Technologies.</w:t>
      </w:r>
    </w:p>
    <w:p>
      <w:pPr>
        <w:spacing w:after="0" w:line="66" w:lineRule="exact"/>
        <w:rPr>
          <w:sz w:val="20"/>
          <w:szCs w:val="20"/>
          <w:color w:val="auto"/>
        </w:rPr>
      </w:pPr>
    </w:p>
    <w:p>
      <w:pPr>
        <w:ind w:left="160" w:right="160" w:hanging="142"/>
        <w:spacing w:after="0"/>
        <w:rPr>
          <w:sz w:val="20"/>
          <w:szCs w:val="20"/>
          <w:color w:val="auto"/>
        </w:rPr>
      </w:pPr>
      <w:r>
        <w:rPr>
          <w:sz w:val="1"/>
          <w:szCs w:val="1"/>
          <w:color w:val="auto"/>
        </w:rPr>
        <w:drawing>
          <wp:inline distT="0" distB="0" distL="0" distR="0">
            <wp:extent cx="45720" cy="75565"/>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Prior to joining FMC Technologies in 2012, he spent 26 years at Schlumberger Limited in a succession of executive leadership positions, including Executive Vice President of Corporate Development and Communications, President of Schlumberger’s Reservoir Production Group, Vice President of Investor Relations and Communications, President of North and South America, and Vice President of Oilfield Services U.S. Gulf of Mexico.</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Key Skills &amp; Qualifications</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Strong executive leadership skills, including experience as Chief Executive Officer of FMC Technologies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Deep knowledge of the Company’s strategy, markets, technology, and operations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Extensive oil industry experience</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Financial, risk management, strategy, and M&amp;A expertise</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Commitment to our health, safety, environment, and social responsibility</w:t>
      </w:r>
    </w:p>
    <w:p>
      <w:pPr>
        <w:spacing w:after="0" w:line="30" w:lineRule="exact"/>
        <w:rPr>
          <w:sz w:val="20"/>
          <w:szCs w:val="20"/>
          <w:color w:val="auto"/>
        </w:rPr>
      </w:pPr>
    </w:p>
    <w:p>
      <w:pPr>
        <w:ind w:left="160" w:right="200" w:hanging="142"/>
        <w:spacing w:after="0"/>
        <w:rPr>
          <w:sz w:val="20"/>
          <w:szCs w:val="20"/>
          <w:color w:val="auto"/>
        </w:rPr>
      </w:pPr>
      <w:r>
        <w:rPr>
          <w:sz w:val="1"/>
          <w:szCs w:val="1"/>
          <w:color w:val="auto"/>
        </w:rPr>
        <w:drawing>
          <wp:inline distT="0" distB="0" distL="0" distR="0">
            <wp:extent cx="45720" cy="75565"/>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Thorough understanding of the different cultural, political, and regulatory requirements in countries where the Company has a significant presence</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Valuable link between the Company’s management and the Board that aids the Board in performing its oversight role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Other Public Company Directorships</w:t>
      </w:r>
    </w:p>
    <w:p>
      <w:pPr>
        <w:spacing w:after="0" w:line="60" w:lineRule="exact"/>
        <w:rPr>
          <w:sz w:val="20"/>
          <w:szCs w:val="20"/>
          <w:color w:val="auto"/>
        </w:rPr>
      </w:pPr>
    </w:p>
    <w:p>
      <w:pPr>
        <w:spacing w:after="0"/>
        <w:rPr>
          <w:sz w:val="20"/>
          <w:szCs w:val="20"/>
          <w:color w:val="auto"/>
        </w:rPr>
      </w:pPr>
      <w:r>
        <w:rPr>
          <w:sz w:val="1"/>
          <w:szCs w:val="1"/>
          <w:color w:val="auto"/>
        </w:rPr>
        <w:drawing>
          <wp:inline distT="0" distB="0" distL="0" distR="0">
            <wp:extent cx="45720" cy="75565"/>
            <wp:effectExtent l="0" t="0" r="0"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Current: None</w:t>
      </w:r>
    </w:p>
    <w:p>
      <w:pPr>
        <w:spacing w:after="0" w:line="30" w:lineRule="exact"/>
        <w:rPr>
          <w:sz w:val="20"/>
          <w:szCs w:val="20"/>
          <w:color w:val="auto"/>
        </w:rPr>
      </w:pPr>
    </w:p>
    <w:p>
      <w:pPr>
        <w:spacing w:after="0"/>
        <w:rPr>
          <w:sz w:val="20"/>
          <w:szCs w:val="20"/>
          <w:color w:val="auto"/>
        </w:rPr>
      </w:pPr>
      <w:r>
        <w:rPr>
          <w:sz w:val="1"/>
          <w:szCs w:val="1"/>
          <w:color w:val="auto"/>
        </w:rPr>
        <w:drawing>
          <wp:inline distT="0" distB="0" distL="0" distR="0">
            <wp:extent cx="45720" cy="75565"/>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Formerly Held in Past Five Years: FMC Technologies, Inc.</w:t>
      </w:r>
    </w:p>
    <w:p>
      <w:pPr>
        <w:spacing w:after="0" w:line="200" w:lineRule="exact"/>
        <w:rPr>
          <w:sz w:val="20"/>
          <w:szCs w:val="20"/>
          <w:color w:val="auto"/>
        </w:rPr>
      </w:pPr>
    </w:p>
    <w:p>
      <w:pPr>
        <w:sectPr>
          <w:pgSz w:w="11900" w:h="16838" w:orient="portrait"/>
          <w:cols w:equalWidth="0" w:num="2">
            <w:col w:w="2224" w:space="720"/>
            <w:col w:w="8300"/>
          </w:cols>
          <w:pgMar w:left="316" w:top="128" w:right="339" w:bottom="1440" w:gutter="0" w:footer="0" w:header="0"/>
          <w:type w:val="continuous"/>
        </w:sectPr>
      </w:pPr>
    </w:p>
    <w:p>
      <w:pPr>
        <w:spacing w:after="0" w:line="179" w:lineRule="exact"/>
        <w:rPr>
          <w:sz w:val="20"/>
          <w:szCs w:val="20"/>
          <w:color w:val="auto"/>
        </w:rPr>
      </w:pPr>
    </w:p>
    <w:p>
      <w:pPr>
        <w:ind w:left="564" w:hanging="564"/>
        <w:spacing w:after="0"/>
        <w:tabs>
          <w:tab w:leader="none" w:pos="564" w:val="left"/>
        </w:tabs>
        <w:numPr>
          <w:ilvl w:val="0"/>
          <w:numId w:val="141"/>
        </w:numPr>
        <w:rPr>
          <w:rFonts w:ascii="Arial" w:cs="Arial" w:eastAsia="Arial" w:hAnsi="Arial"/>
          <w:sz w:val="12"/>
          <w:szCs w:val="12"/>
          <w:color w:val="auto"/>
        </w:rPr>
      </w:pPr>
      <w:r>
        <w:rPr>
          <w:rFonts w:ascii="Arial" w:cs="Arial" w:eastAsia="Arial" w:hAnsi="Arial"/>
          <w:sz w:val="12"/>
          <w:szCs w:val="12"/>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48195" cy="152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128" w:right="339" w:bottom="1440" w:gutter="0" w:footer="0" w:header="0"/>
          <w:type w:val="continuous"/>
        </w:sectPr>
      </w:pPr>
    </w:p>
    <w:bookmarkStart w:id="112" w:name="page113"/>
    <w:bookmarkEnd w:id="112"/>
    <w:p>
      <w:pPr>
        <w:ind w:left="24"/>
        <w:spacing w:after="0"/>
        <w:rPr>
          <w:sz w:val="20"/>
          <w:szCs w:val="20"/>
          <w:color w:val="auto"/>
        </w:rPr>
      </w:pPr>
      <w:r>
        <w:rPr>
          <w:rFonts w:ascii="Arial" w:cs="Arial" w:eastAsia="Arial" w:hAnsi="Arial"/>
          <w:sz w:val="12"/>
          <w:szCs w:val="12"/>
          <w:b w:val="1"/>
          <w:bCs w:val="1"/>
          <w:color w:val="481F6E"/>
        </w:rPr>
        <w:t>TechnipFMC Proxy Statement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4" w:right="340"/>
        <w:spacing w:after="0" w:line="292" w:lineRule="auto"/>
        <w:rPr>
          <w:sz w:val="20"/>
          <w:szCs w:val="20"/>
          <w:color w:val="auto"/>
        </w:rPr>
      </w:pPr>
      <w:r>
        <w:rPr>
          <w:rFonts w:ascii="Arial" w:cs="Arial" w:eastAsia="Arial" w:hAnsi="Arial"/>
          <w:sz w:val="14"/>
          <w:szCs w:val="14"/>
          <w:b w:val="1"/>
          <w:bCs w:val="1"/>
          <w:color w:val="481F6E"/>
        </w:rPr>
        <w:t>Eleazar de Carvalho Filho Independent</w:t>
      </w:r>
    </w:p>
    <w:p>
      <w:pPr>
        <w:spacing w:after="0" w:line="11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Age: </w:t>
      </w:r>
      <w:r>
        <w:rPr>
          <w:rFonts w:ascii="Arial" w:cs="Arial" w:eastAsia="Arial" w:hAnsi="Arial"/>
          <w:sz w:val="14"/>
          <w:szCs w:val="14"/>
          <w:color w:val="333740"/>
        </w:rPr>
        <w:t>62</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Director Since: </w:t>
      </w:r>
      <w:r>
        <w:rPr>
          <w:rFonts w:ascii="Arial" w:cs="Arial" w:eastAsia="Arial" w:hAnsi="Arial"/>
          <w:sz w:val="14"/>
          <w:szCs w:val="14"/>
          <w:color w:val="333740"/>
        </w:rPr>
        <w:t>2017</w:t>
      </w:r>
    </w:p>
    <w:p>
      <w:pPr>
        <w:spacing w:after="0" w:line="3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Legacy Director Since: </w:t>
      </w:r>
      <w:r>
        <w:rPr>
          <w:rFonts w:ascii="Arial" w:cs="Arial" w:eastAsia="Arial" w:hAnsi="Arial"/>
          <w:sz w:val="14"/>
          <w:szCs w:val="14"/>
          <w:color w:val="333740"/>
        </w:rPr>
        <w:t>2010</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Committees: </w:t>
      </w:r>
      <w:r>
        <w:rPr>
          <w:rFonts w:ascii="Arial" w:cs="Arial" w:eastAsia="Arial" w:hAnsi="Arial"/>
          <w:sz w:val="14"/>
          <w:szCs w:val="14"/>
          <w:color w:val="333740"/>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64" w:hanging="564"/>
        <w:spacing w:after="0"/>
        <w:tabs>
          <w:tab w:leader="none" w:pos="564" w:val="left"/>
        </w:tabs>
        <w:numPr>
          <w:ilvl w:val="0"/>
          <w:numId w:val="142"/>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-128905</wp:posOffset>
            </wp:positionV>
            <wp:extent cx="7148195" cy="258762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8195" cy="2587625"/>
                    </a:xfrm>
                    <a:prstGeom prst="rect">
                      <a:avLst/>
                    </a:prstGeom>
                    <a:noFill/>
                  </pic:spPr>
                </pic:pic>
              </a:graphicData>
            </a:graphic>
          </wp:anchor>
        </w:drawing>
      </w:r>
    </w:p>
    <w:p>
      <w:pPr>
        <w:spacing w:after="0" w:line="28" w:lineRule="exact"/>
        <w:rPr>
          <w:sz w:val="20"/>
          <w:szCs w:val="20"/>
          <w:color w:val="auto"/>
        </w:rPr>
      </w:pPr>
    </w:p>
    <w:p>
      <w:pPr>
        <w:ind w:left="160" w:hanging="142"/>
        <w:spacing w:after="0"/>
        <w:rPr>
          <w:sz w:val="20"/>
          <w:szCs w:val="20"/>
          <w:color w:val="auto"/>
        </w:rPr>
      </w:pPr>
      <w:r>
        <w:rPr>
          <w:sz w:val="1"/>
          <w:szCs w:val="1"/>
          <w:color w:val="auto"/>
        </w:rPr>
        <w:drawing>
          <wp:inline distT="0" distB="0" distL="0" distR="0">
            <wp:extent cx="45720" cy="75565"/>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Mr. Carvalho Filho has been a Founding Partner of Virtus BR Partners Assessoria Corporativa Ltda. since May 2009 and is also a Founding Partner of Sinfonia Consultoria Financeira e Participações Ltda. since August 2012, both of which are financial advisory and consulting firms.</w:t>
      </w:r>
    </w:p>
    <w:p>
      <w:pPr>
        <w:spacing w:after="0" w:line="31" w:lineRule="exact"/>
        <w:rPr>
          <w:sz w:val="20"/>
          <w:szCs w:val="20"/>
          <w:color w:val="auto"/>
        </w:rPr>
      </w:pPr>
    </w:p>
    <w:p>
      <w:pPr>
        <w:ind w:left="160" w:right="180" w:hanging="142"/>
        <w:spacing w:after="0"/>
        <w:rPr>
          <w:sz w:val="20"/>
          <w:szCs w:val="20"/>
          <w:color w:val="auto"/>
        </w:rPr>
      </w:pPr>
      <w:r>
        <w:rPr>
          <w:sz w:val="1"/>
          <w:szCs w:val="1"/>
          <w:color w:val="auto"/>
        </w:rPr>
        <w:drawing>
          <wp:inline distT="0" distB="0" distL="0" distR="0">
            <wp:extent cx="45720" cy="75565"/>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He served as Chief Executive Officer and Managing Partner of Unibanco Investment Bank, a Brazilian investment bank, from April 2008 to March 2009.</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Mr. Carvalho Filho was a consultant for BHP Billiton Metais SA, a global natural resources company, from 2006 to 2011.</w:t>
      </w:r>
    </w:p>
    <w:p>
      <w:pPr>
        <w:spacing w:after="0" w:line="30" w:lineRule="exact"/>
        <w:rPr>
          <w:sz w:val="20"/>
          <w:szCs w:val="20"/>
          <w:color w:val="auto"/>
        </w:rPr>
      </w:pPr>
    </w:p>
    <w:p>
      <w:pPr>
        <w:ind w:left="160" w:right="180" w:hanging="142"/>
        <w:spacing w:after="0"/>
        <w:rPr>
          <w:sz w:val="20"/>
          <w:szCs w:val="20"/>
          <w:color w:val="auto"/>
        </w:rPr>
      </w:pPr>
      <w:r>
        <w:rPr>
          <w:sz w:val="1"/>
          <w:szCs w:val="1"/>
          <w:color w:val="auto"/>
        </w:rPr>
        <w:drawing>
          <wp:inline distT="0" distB="0" distL="0" distR="0">
            <wp:extent cx="45720" cy="75565"/>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He was a Founding Partner of Iposeira Capital Ltda., established in 2003, as well as STK Capital Gestora de Recursos Ltda., established in 2010, which are independent advisory and asset management companies.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Key Skills &amp; Qualifications</w:t>
      </w:r>
    </w:p>
    <w:p>
      <w:pPr>
        <w:spacing w:after="0" w:line="60" w:lineRule="exact"/>
        <w:rPr>
          <w:sz w:val="20"/>
          <w:szCs w:val="20"/>
          <w:color w:val="auto"/>
        </w:rPr>
      </w:pPr>
    </w:p>
    <w:p>
      <w:pPr>
        <w:ind w:left="160" w:right="460" w:hanging="142"/>
        <w:spacing w:after="0"/>
        <w:rPr>
          <w:sz w:val="20"/>
          <w:szCs w:val="20"/>
          <w:color w:val="auto"/>
        </w:rPr>
      </w:pPr>
      <w:r>
        <w:rPr>
          <w:sz w:val="1"/>
          <w:szCs w:val="1"/>
          <w:color w:val="auto"/>
        </w:rPr>
        <w:drawing>
          <wp:inline distT="0" distB="0" distL="0" distR="0">
            <wp:extent cx="45720" cy="75565"/>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Executive management experience, including as Chief Executive Officer and Founding/Managing Partner of international investment organizations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Financial, strategy, risk management, and M&amp;A expertise</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Commitment to our health, safety, environment, and social responsibility</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International investment experience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Experience as a board member of public and private companies with international operations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Contribution to the Board in a way that enhances perspective through diversity in geographic origin and experience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Other Public Company Directorships</w:t>
      </w:r>
    </w:p>
    <w:p>
      <w:pPr>
        <w:spacing w:after="0" w:line="48" w:lineRule="exact"/>
        <w:rPr>
          <w:sz w:val="20"/>
          <w:szCs w:val="20"/>
          <w:color w:val="auto"/>
        </w:rPr>
      </w:pPr>
    </w:p>
    <w:p>
      <w:pPr>
        <w:ind w:left="160" w:right="300" w:hanging="142"/>
        <w:spacing w:after="0"/>
        <w:rPr>
          <w:sz w:val="20"/>
          <w:szCs w:val="20"/>
          <w:color w:val="auto"/>
        </w:rPr>
      </w:pPr>
      <w:r>
        <w:rPr>
          <w:sz w:val="1"/>
          <w:szCs w:val="1"/>
          <w:color w:val="auto"/>
        </w:rPr>
        <w:drawing>
          <wp:inline distT="0" distB="0" distL="0" distR="0">
            <wp:extent cx="45720" cy="75565"/>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Current: Brookfield Renewable Partners L.P., Oi S.A., Companhia Brasileira de Distribuicão (Grupo Pão de Açúcar), and its affiliate, Cnova N.V.</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Formerly Held in Past Five Years: FMC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374650</wp:posOffset>
            </wp:positionV>
            <wp:extent cx="7148195" cy="152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2224" w:space="720"/>
            <w:col w:w="8260"/>
          </w:cols>
          <w:pgMar w:left="316" w:top="128" w:right="379" w:bottom="1440" w:gutter="0" w:footer="0" w:header="0"/>
        </w:sectPr>
      </w:pPr>
    </w:p>
    <w:bookmarkStart w:id="113" w:name="page114"/>
    <w:bookmarkEnd w:id="113"/>
    <w:p>
      <w:pPr>
        <w:ind w:left="24"/>
        <w:spacing w:after="0"/>
        <w:rPr>
          <w:sz w:val="20"/>
          <w:szCs w:val="20"/>
          <w:color w:val="auto"/>
        </w:rPr>
      </w:pPr>
      <w:r>
        <w:rPr>
          <w:rFonts w:ascii="Arial" w:cs="Arial" w:eastAsia="Arial" w:hAnsi="Arial"/>
          <w:sz w:val="12"/>
          <w:szCs w:val="12"/>
          <w:b w:val="1"/>
          <w:bCs w:val="1"/>
          <w:color w:val="481F6E"/>
        </w:rPr>
        <w:t>TechnipFMC Proxy Statement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Arnaud Caudoux</w:t>
      </w:r>
    </w:p>
    <w:p>
      <w:pPr>
        <w:spacing w:after="0" w:line="2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Independent</w:t>
      </w:r>
    </w:p>
    <w:p>
      <w:pPr>
        <w:spacing w:after="0" w:line="156"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Age: </w:t>
      </w:r>
      <w:r>
        <w:rPr>
          <w:rFonts w:ascii="Arial" w:cs="Arial" w:eastAsia="Arial" w:hAnsi="Arial"/>
          <w:sz w:val="14"/>
          <w:szCs w:val="14"/>
          <w:color w:val="333740"/>
        </w:rPr>
        <w:t>49</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Director Since: </w:t>
      </w:r>
      <w:r>
        <w:rPr>
          <w:rFonts w:ascii="Arial" w:cs="Arial" w:eastAsia="Arial" w:hAnsi="Arial"/>
          <w:sz w:val="14"/>
          <w:szCs w:val="14"/>
          <w:color w:val="333740"/>
        </w:rPr>
        <w:t>2017</w:t>
      </w:r>
    </w:p>
    <w:p>
      <w:pPr>
        <w:spacing w:after="0" w:line="3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Committees: </w:t>
      </w:r>
      <w:r>
        <w:rPr>
          <w:rFonts w:ascii="Arial" w:cs="Arial" w:eastAsia="Arial" w:hAnsi="Arial"/>
          <w:sz w:val="14"/>
          <w:szCs w:val="14"/>
          <w:color w:val="333740"/>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64" w:hanging="564"/>
        <w:spacing w:after="0"/>
        <w:tabs>
          <w:tab w:leader="none" w:pos="564" w:val="left"/>
        </w:tabs>
        <w:numPr>
          <w:ilvl w:val="0"/>
          <w:numId w:val="143"/>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-147320</wp:posOffset>
            </wp:positionV>
            <wp:extent cx="7148195" cy="294449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8195" cy="2944495"/>
                    </a:xfrm>
                    <a:prstGeom prst="rect">
                      <a:avLst/>
                    </a:prstGeom>
                    <a:noFill/>
                  </pic:spPr>
                </pic:pic>
              </a:graphicData>
            </a:graphic>
          </wp:anchor>
        </w:drawing>
      </w:r>
    </w:p>
    <w:p>
      <w:pPr>
        <w:spacing w:after="0" w:line="83" w:lineRule="exact"/>
        <w:rPr>
          <w:sz w:val="20"/>
          <w:szCs w:val="20"/>
          <w:color w:val="auto"/>
        </w:rPr>
      </w:pPr>
    </w:p>
    <w:p>
      <w:pPr>
        <w:ind w:left="160" w:right="140" w:hanging="142"/>
        <w:spacing w:after="0"/>
        <w:rPr>
          <w:sz w:val="20"/>
          <w:szCs w:val="20"/>
          <w:color w:val="auto"/>
        </w:rPr>
      </w:pPr>
      <w:r>
        <w:rPr>
          <w:sz w:val="1"/>
          <w:szCs w:val="1"/>
          <w:color w:val="auto"/>
        </w:rPr>
        <w:drawing>
          <wp:inline distT="0" distB="0" distL="0" distR="0">
            <wp:extent cx="45720" cy="75565"/>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Mr. Caudoux is currently Deputy Chief Executive Officer and executive director of Bpifrance, a French state-owned investment bank, in charge of the Finance, Risk Management, IT, and Guarantee business line.</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He was formerly Chief Financial Officer and a Member of the Executive Board of Bpifrance from 2013 to 2015.</w:t>
      </w:r>
    </w:p>
    <w:p>
      <w:pPr>
        <w:spacing w:after="0" w:line="102" w:lineRule="exact"/>
        <w:rPr>
          <w:sz w:val="20"/>
          <w:szCs w:val="20"/>
          <w:color w:val="auto"/>
        </w:rPr>
      </w:pPr>
    </w:p>
    <w:p>
      <w:pPr>
        <w:ind w:left="160" w:right="480" w:hanging="142"/>
        <w:spacing w:after="0"/>
        <w:rPr>
          <w:sz w:val="20"/>
          <w:szCs w:val="20"/>
          <w:color w:val="auto"/>
        </w:rPr>
      </w:pPr>
      <w:r>
        <w:rPr>
          <w:sz w:val="1"/>
          <w:szCs w:val="1"/>
          <w:color w:val="auto"/>
        </w:rPr>
        <w:drawing>
          <wp:inline distT="0" distB="0" distL="0" distR="0">
            <wp:extent cx="45720" cy="75565"/>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He also served as Deputy Chief Executive Officer of OSEO from 2008 to 2012 and Managing Director of OSEO Garantie (formerly Sofaris) from 2004 to 2008.</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From 2003 to 2004, Mr. Caudoux was Chief Credit Risk and IT Officer of Sofaris.</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Mr. Caudoux began his career in 1997 at Accenture as a consultant before joining</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A.T. Kearney in 2001.</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Key Skills &amp; Qualifications</w:t>
      </w:r>
    </w:p>
    <w:p>
      <w:pPr>
        <w:spacing w:after="0" w:line="115" w:lineRule="exact"/>
        <w:rPr>
          <w:sz w:val="20"/>
          <w:szCs w:val="20"/>
          <w:color w:val="auto"/>
        </w:rPr>
      </w:pPr>
    </w:p>
    <w:p>
      <w:pPr>
        <w:ind w:left="160" w:right="380" w:hanging="142"/>
        <w:spacing w:after="0"/>
        <w:rPr>
          <w:sz w:val="20"/>
          <w:szCs w:val="20"/>
          <w:color w:val="auto"/>
        </w:rPr>
      </w:pPr>
      <w:r>
        <w:rPr>
          <w:sz w:val="1"/>
          <w:szCs w:val="1"/>
          <w:color w:val="auto"/>
        </w:rPr>
        <w:drawing>
          <wp:inline distT="0" distB="0" distL="0" distR="0">
            <wp:extent cx="45720" cy="75565"/>
            <wp:effectExtent l="0" t="0" r="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Significant executive management experience, including as chief executive officer, deputy chief executive officer, and chief financial officer of various organizations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Financial, strategy, risk management, and M&amp;A expertise</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Investment and consulting expertise</w:t>
      </w:r>
    </w:p>
    <w:p>
      <w:pPr>
        <w:spacing w:after="0" w:line="78" w:lineRule="exact"/>
        <w:rPr>
          <w:sz w:val="20"/>
          <w:szCs w:val="20"/>
          <w:color w:val="auto"/>
        </w:rPr>
      </w:pPr>
    </w:p>
    <w:p>
      <w:pPr>
        <w:ind w:left="160" w:hanging="142"/>
        <w:spacing w:after="0"/>
        <w:rPr>
          <w:sz w:val="20"/>
          <w:szCs w:val="20"/>
          <w:color w:val="auto"/>
        </w:rPr>
      </w:pPr>
      <w:r>
        <w:rPr>
          <w:sz w:val="1"/>
          <w:szCs w:val="1"/>
          <w:color w:val="auto"/>
        </w:rPr>
        <w:drawing>
          <wp:inline distT="0" distB="0" distL="0" distR="0">
            <wp:extent cx="45720" cy="75565"/>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Familiarity with the diﬀerent cultural, political, and regulatory requirements in countries where the Company has a significant presence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Contribution to the Board in a way that enhances perspective through diversity in geographic origin and experience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Other Public Company Directorships</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Current: None</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Formerly Held in Past Five Years: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351790</wp:posOffset>
            </wp:positionV>
            <wp:extent cx="7148195" cy="152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2224" w:space="720"/>
            <w:col w:w="8280"/>
          </w:cols>
          <w:pgMar w:left="316" w:top="128" w:right="359" w:bottom="1440" w:gutter="0" w:footer="0" w:header="0"/>
        </w:sectPr>
      </w:pPr>
    </w:p>
    <w:bookmarkStart w:id="114" w:name="page115"/>
    <w:bookmarkEnd w:id="114"/>
    <w:p>
      <w:pPr>
        <w:ind w:left="24"/>
        <w:spacing w:after="0"/>
        <w:rPr>
          <w:sz w:val="20"/>
          <w:szCs w:val="20"/>
          <w:color w:val="auto"/>
        </w:rPr>
      </w:pPr>
      <w:r>
        <w:rPr>
          <w:rFonts w:ascii="Arial" w:cs="Arial" w:eastAsia="Arial" w:hAnsi="Arial"/>
          <w:sz w:val="12"/>
          <w:szCs w:val="12"/>
          <w:b w:val="1"/>
          <w:bCs w:val="1"/>
          <w:color w:val="481F6E"/>
        </w:rPr>
        <w:t>TechnipFMC Proxy Statement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Pascal Colombani</w:t>
      </w:r>
    </w:p>
    <w:p>
      <w:pPr>
        <w:spacing w:after="0" w:line="2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Lead Independent</w:t>
      </w:r>
    </w:p>
    <w:p>
      <w:pPr>
        <w:spacing w:after="0" w:line="6"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Director</w:t>
      </w:r>
    </w:p>
    <w:p>
      <w:pPr>
        <w:spacing w:after="0" w:line="156"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Age: </w:t>
      </w:r>
      <w:r>
        <w:rPr>
          <w:rFonts w:ascii="Arial" w:cs="Arial" w:eastAsia="Arial" w:hAnsi="Arial"/>
          <w:sz w:val="14"/>
          <w:szCs w:val="14"/>
          <w:color w:val="333740"/>
        </w:rPr>
        <w:t>74</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Director Since: </w:t>
      </w:r>
      <w:r>
        <w:rPr>
          <w:rFonts w:ascii="Arial" w:cs="Arial" w:eastAsia="Arial" w:hAnsi="Arial"/>
          <w:sz w:val="14"/>
          <w:szCs w:val="14"/>
          <w:color w:val="333740"/>
        </w:rPr>
        <w:t>2017</w:t>
      </w:r>
    </w:p>
    <w:p>
      <w:pPr>
        <w:spacing w:after="0" w:line="3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Legacy Director Since:</w:t>
      </w:r>
    </w:p>
    <w:p>
      <w:pPr>
        <w:spacing w:after="0" w:line="60" w:lineRule="exact"/>
        <w:rPr>
          <w:sz w:val="20"/>
          <w:szCs w:val="20"/>
          <w:color w:val="auto"/>
        </w:rPr>
      </w:pPr>
    </w:p>
    <w:p>
      <w:pPr>
        <w:ind w:left="144"/>
        <w:spacing w:after="0"/>
        <w:rPr>
          <w:sz w:val="20"/>
          <w:szCs w:val="20"/>
          <w:color w:val="auto"/>
        </w:rPr>
      </w:pPr>
      <w:r>
        <w:rPr>
          <w:rFonts w:ascii="Arial" w:cs="Arial" w:eastAsia="Arial" w:hAnsi="Arial"/>
          <w:sz w:val="14"/>
          <w:szCs w:val="14"/>
          <w:color w:val="333740"/>
        </w:rPr>
        <w:t>2007</w:t>
      </w:r>
    </w:p>
    <w:p>
      <w:pPr>
        <w:spacing w:after="0" w:line="6"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Committees:</w:t>
      </w:r>
    </w:p>
    <w:p>
      <w:pPr>
        <w:spacing w:after="0" w:line="3" w:lineRule="exact"/>
        <w:rPr>
          <w:sz w:val="20"/>
          <w:szCs w:val="20"/>
          <w:color w:val="auto"/>
        </w:rPr>
      </w:pPr>
    </w:p>
    <w:p>
      <w:pPr>
        <w:ind w:left="144" w:right="400"/>
        <w:spacing w:after="0" w:line="282" w:lineRule="auto"/>
        <w:rPr>
          <w:sz w:val="20"/>
          <w:szCs w:val="20"/>
          <w:color w:val="auto"/>
        </w:rPr>
      </w:pPr>
      <w:r>
        <w:rPr>
          <w:rFonts w:ascii="Arial" w:cs="Arial" w:eastAsia="Arial" w:hAnsi="Arial"/>
          <w:sz w:val="14"/>
          <w:szCs w:val="14"/>
          <w:color w:val="333740"/>
        </w:rPr>
        <w:t>Nominating and Corporate Governance,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4" w:hanging="564"/>
        <w:spacing w:after="0"/>
        <w:tabs>
          <w:tab w:leader="none" w:pos="564" w:val="left"/>
        </w:tabs>
        <w:numPr>
          <w:ilvl w:val="0"/>
          <w:numId w:val="14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-147320</wp:posOffset>
            </wp:positionV>
            <wp:extent cx="7148195" cy="41586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8195" cy="4158615"/>
                    </a:xfrm>
                    <a:prstGeom prst="rect">
                      <a:avLst/>
                    </a:prstGeom>
                    <a:noFill/>
                  </pic:spPr>
                </pic:pic>
              </a:graphicData>
            </a:graphic>
          </wp:anchor>
        </w:drawing>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Mr. Colombani has been President of TII Strategies SASU, a consulting and investment company, since 2014.</w:t>
      </w:r>
    </w:p>
    <w:p>
      <w:pPr>
        <w:spacing w:after="0" w:line="54" w:lineRule="exact"/>
        <w:rPr>
          <w:sz w:val="20"/>
          <w:szCs w:val="20"/>
          <w:color w:val="auto"/>
        </w:rPr>
      </w:pPr>
    </w:p>
    <w:p>
      <w:pPr>
        <w:ind w:left="160" w:right="460" w:hanging="142"/>
        <w:spacing w:after="0"/>
        <w:rPr>
          <w:sz w:val="20"/>
          <w:szCs w:val="20"/>
          <w:color w:val="auto"/>
        </w:rPr>
      </w:pPr>
      <w:r>
        <w:rPr>
          <w:sz w:val="1"/>
          <w:szCs w:val="1"/>
          <w:color w:val="auto"/>
        </w:rPr>
        <w:drawing>
          <wp:inline distT="0" distB="0" distL="0" distR="0">
            <wp:extent cx="45720" cy="75565"/>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He also serves as a member of EMEA advisory board of JPMorgan Chase, as a Senior Advisor of A.T. Kearney, a global management consulting firm, and as a senior advisor of Truffle Capital.</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His career has been balanced between research and industry.</w:t>
      </w:r>
    </w:p>
    <w:p>
      <w:pPr>
        <w:spacing w:after="0" w:line="18" w:lineRule="exact"/>
        <w:rPr>
          <w:sz w:val="20"/>
          <w:szCs w:val="20"/>
          <w:color w:val="auto"/>
        </w:rPr>
      </w:pPr>
    </w:p>
    <w:p>
      <w:pPr>
        <w:ind w:left="160" w:right="300" w:hanging="142"/>
        <w:spacing w:after="0"/>
        <w:rPr>
          <w:sz w:val="20"/>
          <w:szCs w:val="20"/>
          <w:color w:val="auto"/>
        </w:rPr>
      </w:pPr>
      <w:r>
        <w:rPr>
          <w:sz w:val="1"/>
          <w:szCs w:val="1"/>
          <w:color w:val="auto"/>
        </w:rPr>
        <w:drawing>
          <wp:inline distT="0" distB="0" distL="0" distR="0">
            <wp:extent cx="45720" cy="75565"/>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From 2014 to 2017, he served as a member of the Haut Comité pour la Gouvernance d’Entreprise, an industry commission regulating corporate governance in France.</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He was founding Chairman of Areva SA until 2003 and was Chairman of Valeo SA from 2009 to 2016.</w:t>
      </w:r>
    </w:p>
    <w:p>
      <w:pPr>
        <w:spacing w:after="0" w:line="54" w:lineRule="exact"/>
        <w:rPr>
          <w:sz w:val="20"/>
          <w:szCs w:val="20"/>
          <w:color w:val="auto"/>
        </w:rPr>
      </w:pPr>
    </w:p>
    <w:p>
      <w:pPr>
        <w:ind w:left="160" w:right="260" w:hanging="142"/>
        <w:spacing w:after="0"/>
        <w:rPr>
          <w:sz w:val="20"/>
          <w:szCs w:val="20"/>
          <w:color w:val="auto"/>
        </w:rPr>
      </w:pPr>
      <w:r>
        <w:rPr>
          <w:sz w:val="1"/>
          <w:szCs w:val="1"/>
          <w:color w:val="auto"/>
        </w:rPr>
        <w:drawing>
          <wp:inline distT="0" distB="0" distL="0" distR="0">
            <wp:extent cx="45720" cy="75565"/>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He was Chairman and Chief Executive Officer of the French Atomic Energy Commission from January 2000 until December 2002.</w:t>
      </w:r>
    </w:p>
    <w:p>
      <w:pPr>
        <w:spacing w:after="0" w:line="31" w:lineRule="exact"/>
        <w:rPr>
          <w:sz w:val="20"/>
          <w:szCs w:val="20"/>
          <w:color w:val="auto"/>
        </w:rPr>
      </w:pPr>
    </w:p>
    <w:p>
      <w:pPr>
        <w:ind w:left="160" w:right="160" w:hanging="142"/>
        <w:spacing w:after="0"/>
        <w:rPr>
          <w:sz w:val="20"/>
          <w:szCs w:val="20"/>
          <w:color w:val="auto"/>
        </w:rPr>
      </w:pPr>
      <w:r>
        <w:rPr>
          <w:sz w:val="1"/>
          <w:szCs w:val="1"/>
          <w:color w:val="auto"/>
        </w:rPr>
        <w:drawing>
          <wp:inline distT="0" distB="0" distL="0" distR="0">
            <wp:extent cx="45720" cy="75565"/>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From 1997 to 1999, Mr. Colombani served as Director of Technology at the French Ministry of Research, as government commissioner of Centre National d’Etudes Spatiales (French space agency), Bureau de Recherches Géologiques et Minières (French geological survey), and as director of various state-owned entities.</w:t>
      </w:r>
    </w:p>
    <w:p>
      <w:pPr>
        <w:spacing w:after="0" w:line="43" w:lineRule="exact"/>
        <w:rPr>
          <w:sz w:val="20"/>
          <w:szCs w:val="20"/>
          <w:color w:val="auto"/>
        </w:rPr>
      </w:pPr>
    </w:p>
    <w:p>
      <w:pPr>
        <w:ind w:left="160" w:right="100" w:hanging="142"/>
        <w:spacing w:after="0"/>
        <w:rPr>
          <w:sz w:val="20"/>
          <w:szCs w:val="20"/>
          <w:color w:val="auto"/>
        </w:rPr>
      </w:pPr>
      <w:r>
        <w:rPr>
          <w:sz w:val="1"/>
          <w:szCs w:val="1"/>
          <w:color w:val="auto"/>
        </w:rPr>
        <w:drawing>
          <wp:inline distT="0" distB="0" distL="0" distR="0">
            <wp:extent cx="45720" cy="75565"/>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Prior to these roles, he spent almost 20 years at Schlumberger Limited in various management positions in Europe, the United States, and Japan.</w:t>
      </w:r>
    </w:p>
    <w:p>
      <w:pPr>
        <w:spacing w:after="0" w:line="43" w:lineRule="exact"/>
        <w:rPr>
          <w:sz w:val="20"/>
          <w:szCs w:val="20"/>
          <w:color w:val="auto"/>
        </w:rPr>
      </w:pPr>
    </w:p>
    <w:p>
      <w:pPr>
        <w:jc w:val="both"/>
        <w:ind w:left="160" w:right="240" w:hanging="142"/>
        <w:spacing w:after="0"/>
        <w:rPr>
          <w:sz w:val="20"/>
          <w:szCs w:val="20"/>
          <w:color w:val="auto"/>
        </w:rPr>
      </w:pPr>
      <w:r>
        <w:rPr>
          <w:sz w:val="1"/>
          <w:szCs w:val="1"/>
          <w:color w:val="auto"/>
        </w:rPr>
        <w:drawing>
          <wp:inline distT="0" distB="0" distL="0" distR="0">
            <wp:extent cx="45720" cy="75565"/>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He is a member of the French Academy of Technologies. Until 2019, he was Vice Chairman of the French National Strategic Council for Research, and director of Sorbonne Université and of the Institut de Physique du Globe de Paris. He is a Council member of the Science and Technology in Society Forum (Kyoto forum).</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From 2015 to 2019, he was special envoy of the French President for the nuclear partnership between France and South Africa.</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He is an officer of the French Legion of Honor and Order of Merit, titular of the Order of the Rising Sun (Japan).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Key Skills &amp; Qualifications</w:t>
      </w:r>
    </w:p>
    <w:p>
      <w:pPr>
        <w:spacing w:after="0" w:line="103" w:lineRule="exact"/>
        <w:rPr>
          <w:sz w:val="20"/>
          <w:szCs w:val="20"/>
          <w:color w:val="auto"/>
        </w:rPr>
      </w:pPr>
    </w:p>
    <w:p>
      <w:pPr>
        <w:ind w:left="160" w:right="360" w:hanging="142"/>
        <w:spacing w:after="0"/>
        <w:rPr>
          <w:sz w:val="20"/>
          <w:szCs w:val="20"/>
          <w:color w:val="auto"/>
        </w:rPr>
      </w:pPr>
      <w:r>
        <w:rPr>
          <w:sz w:val="1"/>
          <w:szCs w:val="1"/>
          <w:color w:val="auto"/>
        </w:rPr>
        <w:drawing>
          <wp:inline distT="0" distB="0" distL="0" distR="0">
            <wp:extent cx="45720" cy="75565"/>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Significant executive management experience, including as chairman and/or chief executive officer of various international organizations</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Expertise and network in science and technology</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Strategy, governance, and M&amp;A expertise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Experience as a board member of public and private organizations with international operations</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Contribution to the Board in a way that enhances perspective through diversity in geographic origin and experience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Other Public Company Directorships</w:t>
      </w:r>
    </w:p>
    <w:p>
      <w:pPr>
        <w:spacing w:after="0" w:line="29" w:lineRule="exact"/>
        <w:rPr>
          <w:sz w:val="20"/>
          <w:szCs w:val="20"/>
          <w:color w:val="auto"/>
        </w:rPr>
      </w:pPr>
    </w:p>
    <w:p>
      <w:pPr>
        <w:ind w:left="160" w:right="60" w:hanging="142"/>
        <w:spacing w:after="0"/>
        <w:rPr>
          <w:sz w:val="20"/>
          <w:szCs w:val="20"/>
          <w:color w:val="auto"/>
        </w:rPr>
      </w:pPr>
      <w:r>
        <w:rPr>
          <w:sz w:val="1"/>
          <w:szCs w:val="1"/>
          <w:color w:val="auto"/>
        </w:rPr>
        <w:drawing>
          <wp:inline distT="0" distB="0" distL="0" distR="0">
            <wp:extent cx="45720" cy="75565"/>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Current: Valeo SA (Honorary Chairman). This position does not include any board responsibilities and is purely honorific in nature. Mr. Colombani does not attend any board meetings or participate in any board deliberations for Valeo SA.</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Formerly Held in Past Five Years: Technip S.A., Alstom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375920</wp:posOffset>
            </wp:positionV>
            <wp:extent cx="7148195" cy="152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2224" w:space="720"/>
            <w:col w:w="8260"/>
          </w:cols>
          <w:pgMar w:left="316" w:top="128" w:right="379" w:bottom="1440" w:gutter="0" w:footer="0" w:header="0"/>
        </w:sectPr>
      </w:pPr>
    </w:p>
    <w:bookmarkStart w:id="115" w:name="page116"/>
    <w:bookmarkEnd w:id="115"/>
    <w:p>
      <w:pPr>
        <w:ind w:left="24"/>
        <w:spacing w:after="0"/>
        <w:rPr>
          <w:sz w:val="20"/>
          <w:szCs w:val="20"/>
          <w:color w:val="auto"/>
        </w:rPr>
      </w:pPr>
      <w:r>
        <w:rPr>
          <w:rFonts w:ascii="Arial" w:cs="Arial" w:eastAsia="Arial" w:hAnsi="Arial"/>
          <w:sz w:val="12"/>
          <w:szCs w:val="12"/>
          <w:b w:val="1"/>
          <w:bCs w:val="1"/>
          <w:color w:val="481F6E"/>
        </w:rPr>
        <w:t>TechnipFMC Proxy Statement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Marie-Ange Debon</w:t>
      </w:r>
    </w:p>
    <w:p>
      <w:pPr>
        <w:spacing w:after="0" w:line="2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Independent</w:t>
      </w:r>
    </w:p>
    <w:p>
      <w:pPr>
        <w:spacing w:after="0" w:line="156"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Age: </w:t>
      </w:r>
      <w:r>
        <w:rPr>
          <w:rFonts w:ascii="Arial" w:cs="Arial" w:eastAsia="Arial" w:hAnsi="Arial"/>
          <w:sz w:val="14"/>
          <w:szCs w:val="14"/>
          <w:color w:val="333740"/>
        </w:rPr>
        <w:t>54</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Director Since: </w:t>
      </w:r>
      <w:r>
        <w:rPr>
          <w:rFonts w:ascii="Arial" w:cs="Arial" w:eastAsia="Arial" w:hAnsi="Arial"/>
          <w:sz w:val="14"/>
          <w:szCs w:val="14"/>
          <w:color w:val="333740"/>
        </w:rPr>
        <w:t>2017</w:t>
      </w:r>
    </w:p>
    <w:p>
      <w:pPr>
        <w:spacing w:after="0" w:line="3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Legacy Director Since: </w:t>
      </w:r>
      <w:r>
        <w:rPr>
          <w:rFonts w:ascii="Arial" w:cs="Arial" w:eastAsia="Arial" w:hAnsi="Arial"/>
          <w:sz w:val="14"/>
          <w:szCs w:val="14"/>
          <w:color w:val="333740"/>
        </w:rPr>
        <w:t>2010</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Committees: </w:t>
      </w:r>
      <w:r>
        <w:rPr>
          <w:rFonts w:ascii="Arial" w:cs="Arial" w:eastAsia="Arial" w:hAnsi="Arial"/>
          <w:sz w:val="14"/>
          <w:szCs w:val="14"/>
          <w:color w:val="333740"/>
        </w:rPr>
        <w:t>Audit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4" w:hanging="564"/>
        <w:spacing w:after="0"/>
        <w:tabs>
          <w:tab w:leader="none" w:pos="564" w:val="left"/>
        </w:tabs>
        <w:numPr>
          <w:ilvl w:val="0"/>
          <w:numId w:val="145"/>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-159385</wp:posOffset>
            </wp:positionV>
            <wp:extent cx="7148195" cy="32778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8195" cy="3277870"/>
                    </a:xfrm>
                    <a:prstGeom prst="rect">
                      <a:avLst/>
                    </a:prstGeom>
                    <a:noFill/>
                  </pic:spPr>
                </pic:pic>
              </a:graphicData>
            </a:graphic>
          </wp:anchor>
        </w:drawing>
      </w:r>
    </w:p>
    <w:p>
      <w:pPr>
        <w:spacing w:after="0" w:line="4" w:lineRule="exact"/>
        <w:rPr>
          <w:sz w:val="20"/>
          <w:szCs w:val="20"/>
          <w:color w:val="auto"/>
        </w:rPr>
      </w:pPr>
    </w:p>
    <w:p>
      <w:pPr>
        <w:ind w:left="160" w:right="140" w:hanging="142"/>
        <w:spacing w:after="0"/>
        <w:rPr>
          <w:sz w:val="20"/>
          <w:szCs w:val="20"/>
          <w:color w:val="auto"/>
        </w:rPr>
      </w:pPr>
      <w:r>
        <w:rPr>
          <w:sz w:val="1"/>
          <w:szCs w:val="1"/>
          <w:color w:val="auto"/>
        </w:rPr>
        <w:drawing>
          <wp:inline distT="0" distB="0" distL="0" distR="0">
            <wp:extent cx="45720" cy="75565"/>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Ms. Debon served as Senior Executive Vice President of the Suez Group, a global water and waste company, from 2013 to 2019.</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Since March 2018, she has been in charge of France, Italy, and Central Europe operations for the Suez Group.</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She was in charge of the Suez Group’s international division from April 2013 to March 2018.</w:t>
      </w:r>
    </w:p>
    <w:p>
      <w:pPr>
        <w:spacing w:after="0" w:line="102" w:lineRule="exact"/>
        <w:rPr>
          <w:sz w:val="20"/>
          <w:szCs w:val="20"/>
          <w:color w:val="auto"/>
        </w:rPr>
      </w:pPr>
    </w:p>
    <w:p>
      <w:pPr>
        <w:ind w:left="160" w:right="60" w:hanging="142"/>
        <w:spacing w:after="0"/>
        <w:rPr>
          <w:sz w:val="20"/>
          <w:szCs w:val="20"/>
          <w:color w:val="auto"/>
        </w:rPr>
      </w:pPr>
      <w:r>
        <w:rPr>
          <w:sz w:val="1"/>
          <w:szCs w:val="1"/>
          <w:color w:val="auto"/>
        </w:rPr>
        <w:drawing>
          <wp:inline distT="0" distB="0" distL="0" distR="0">
            <wp:extent cx="45720" cy="75565"/>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She joined the Suez Group in 2008 and held the position of General Secretary in charge of legal, audit, information systems, and procurement until 2013.</w:t>
      </w:r>
    </w:p>
    <w:p>
      <w:pPr>
        <w:spacing w:after="0" w:line="91" w:lineRule="exact"/>
        <w:rPr>
          <w:sz w:val="20"/>
          <w:szCs w:val="20"/>
          <w:color w:val="auto"/>
        </w:rPr>
      </w:pPr>
    </w:p>
    <w:p>
      <w:pPr>
        <w:jc w:val="both"/>
        <w:ind w:left="160" w:hanging="142"/>
        <w:spacing w:after="0"/>
        <w:rPr>
          <w:sz w:val="20"/>
          <w:szCs w:val="20"/>
          <w:color w:val="auto"/>
        </w:rPr>
      </w:pPr>
      <w:r>
        <w:rPr>
          <w:sz w:val="1"/>
          <w:szCs w:val="1"/>
          <w:color w:val="auto"/>
        </w:rPr>
        <w:drawing>
          <wp:inline distT="0" distB="0" distL="0" distR="0">
            <wp:extent cx="45720" cy="75565"/>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From 2003 to 2008, Ms. Debon served as General Secretary of Thomson S.A. (now Technicolor), and, prior to that, served as Deputy Chief Financial Officer.</w:t>
      </w:r>
    </w:p>
    <w:p>
      <w:pPr>
        <w:spacing w:after="0" w:line="91" w:lineRule="exact"/>
        <w:rPr>
          <w:sz w:val="20"/>
          <w:szCs w:val="20"/>
          <w:color w:val="auto"/>
        </w:rPr>
      </w:pPr>
    </w:p>
    <w:p>
      <w:pPr>
        <w:jc w:val="both"/>
        <w:ind w:left="160" w:right="20" w:hanging="142"/>
        <w:spacing w:after="0"/>
        <w:rPr>
          <w:sz w:val="20"/>
          <w:szCs w:val="20"/>
          <w:color w:val="auto"/>
        </w:rPr>
      </w:pPr>
      <w:r>
        <w:rPr>
          <w:sz w:val="1"/>
          <w:szCs w:val="1"/>
          <w:color w:val="auto"/>
        </w:rPr>
        <w:drawing>
          <wp:inline distT="0" distB="0" distL="0" distR="0">
            <wp:extent cx="45720" cy="75565"/>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Prior to Thomson, Ms. Debon served in various positions in both the public and private sectors, including as Senior Executive Vice President of television broadcaster France 3 from 1994 to 1998, and as Auditor and Special Advisor to the French Audit Commission (Cour des Comptes) from 1990 to 1994.</w:t>
      </w:r>
    </w:p>
    <w:p>
      <w:pPr>
        <w:spacing w:after="0" w:line="55" w:lineRule="exact"/>
        <w:rPr>
          <w:sz w:val="20"/>
          <w:szCs w:val="20"/>
          <w:color w:val="auto"/>
        </w:rPr>
      </w:pPr>
    </w:p>
    <w:p>
      <w:pPr>
        <w:ind w:left="160" w:right="40" w:hanging="142"/>
        <w:spacing w:after="0"/>
        <w:rPr>
          <w:sz w:val="20"/>
          <w:szCs w:val="20"/>
          <w:color w:val="auto"/>
        </w:rPr>
      </w:pPr>
      <w:r>
        <w:rPr>
          <w:sz w:val="1"/>
          <w:szCs w:val="1"/>
          <w:color w:val="auto"/>
        </w:rPr>
        <w:drawing>
          <wp:inline distT="0" distB="0" distL="0" distR="0">
            <wp:extent cx="45720" cy="75565"/>
            <wp:effectExtent l="0" t="0" r="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She has been Vice President of MEDEF International (Mouvement des entreprises de France), an international branch of the French employer’s association, since 2016.</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Key Skills &amp; Qualifications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Executive management experience, including as Senior Executive Vice President of the Suez Group and France 3</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Legal and governance expertise</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Financial, audit, strategy, risk management, and M&amp;A expertise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Public and private sector experience</w:t>
      </w:r>
    </w:p>
    <w:p>
      <w:pPr>
        <w:spacing w:after="0" w:line="11" w:lineRule="exact"/>
        <w:rPr>
          <w:sz w:val="20"/>
          <w:szCs w:val="20"/>
          <w:color w:val="auto"/>
        </w:rPr>
      </w:pPr>
    </w:p>
    <w:p>
      <w:pPr>
        <w:ind w:left="160" w:right="420" w:hanging="142"/>
        <w:spacing w:after="0"/>
        <w:rPr>
          <w:sz w:val="20"/>
          <w:szCs w:val="20"/>
          <w:color w:val="auto"/>
        </w:rPr>
      </w:pPr>
      <w:r>
        <w:rPr>
          <w:sz w:val="1"/>
          <w:szCs w:val="1"/>
          <w:color w:val="auto"/>
        </w:rPr>
        <w:drawing>
          <wp:inline distT="0" distB="0" distL="0" distR="0">
            <wp:extent cx="45720" cy="75565"/>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Contribution to the Board in a way that enhances perspective through diversity in geographic origin and experience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Other Public Company Directorships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Current: Arkema S.A. and Française des Jeux (France national lottery)</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Formerly Held in Past Five Years: Technip S.A., Lydec S.A., an affiliate of Suez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351790</wp:posOffset>
            </wp:positionV>
            <wp:extent cx="7148195" cy="152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2224" w:space="720"/>
            <w:col w:w="8100"/>
          </w:cols>
          <w:pgMar w:left="316" w:top="128" w:right="539" w:bottom="1440" w:gutter="0" w:footer="0" w:header="0"/>
        </w:sectPr>
      </w:pPr>
    </w:p>
    <w:bookmarkStart w:id="116" w:name="page117"/>
    <w:bookmarkEnd w:id="116"/>
    <w:p>
      <w:pPr>
        <w:ind w:left="24"/>
        <w:spacing w:after="0"/>
        <w:rPr>
          <w:sz w:val="20"/>
          <w:szCs w:val="20"/>
          <w:color w:val="auto"/>
        </w:rPr>
      </w:pPr>
      <w:r>
        <w:rPr>
          <w:rFonts w:ascii="Arial" w:cs="Arial" w:eastAsia="Arial" w:hAnsi="Arial"/>
          <w:sz w:val="12"/>
          <w:szCs w:val="12"/>
          <w:b w:val="1"/>
          <w:bCs w:val="1"/>
          <w:color w:val="481F6E"/>
        </w:rPr>
        <w:t>TechnipFMC Proxy Statement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Claire S. Farley</w:t>
      </w:r>
    </w:p>
    <w:p>
      <w:pPr>
        <w:spacing w:after="0" w:line="2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Independent</w:t>
      </w:r>
    </w:p>
    <w:p>
      <w:pPr>
        <w:spacing w:after="0" w:line="156"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Age: </w:t>
      </w:r>
      <w:r>
        <w:rPr>
          <w:rFonts w:ascii="Arial" w:cs="Arial" w:eastAsia="Arial" w:hAnsi="Arial"/>
          <w:sz w:val="14"/>
          <w:szCs w:val="14"/>
          <w:color w:val="333740"/>
        </w:rPr>
        <w:t>61</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Director Since: </w:t>
      </w:r>
      <w:r>
        <w:rPr>
          <w:rFonts w:ascii="Arial" w:cs="Arial" w:eastAsia="Arial" w:hAnsi="Arial"/>
          <w:sz w:val="14"/>
          <w:szCs w:val="14"/>
          <w:color w:val="333740"/>
        </w:rPr>
        <w:t>2017</w:t>
      </w:r>
    </w:p>
    <w:p>
      <w:pPr>
        <w:spacing w:after="0" w:line="3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Legacy Director Since: </w:t>
      </w:r>
      <w:r>
        <w:rPr>
          <w:rFonts w:ascii="Arial" w:cs="Arial" w:eastAsia="Arial" w:hAnsi="Arial"/>
          <w:sz w:val="14"/>
          <w:szCs w:val="14"/>
          <w:color w:val="333740"/>
        </w:rPr>
        <w:t>2009</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Committees: </w:t>
      </w:r>
      <w:r>
        <w:rPr>
          <w:rFonts w:ascii="Arial" w:cs="Arial" w:eastAsia="Arial" w:hAnsi="Arial"/>
          <w:sz w:val="14"/>
          <w:szCs w:val="14"/>
          <w:color w:val="333740"/>
        </w:rPr>
        <w:t>Compensation,</w:t>
      </w:r>
    </w:p>
    <w:p>
      <w:pPr>
        <w:spacing w:after="0" w:line="21" w:lineRule="exact"/>
        <w:rPr>
          <w:sz w:val="20"/>
          <w:szCs w:val="20"/>
          <w:color w:val="auto"/>
        </w:rPr>
      </w:pPr>
    </w:p>
    <w:p>
      <w:pPr>
        <w:ind w:left="144"/>
        <w:spacing w:after="0"/>
        <w:rPr>
          <w:sz w:val="20"/>
          <w:szCs w:val="20"/>
          <w:color w:val="auto"/>
        </w:rPr>
      </w:pPr>
      <w:r>
        <w:rPr>
          <w:rFonts w:ascii="Arial" w:cs="Arial" w:eastAsia="Arial" w:hAnsi="Arial"/>
          <w:sz w:val="14"/>
          <w:szCs w:val="14"/>
          <w:color w:val="333740"/>
        </w:rPr>
        <w:t>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4" w:hanging="564"/>
        <w:spacing w:after="0"/>
        <w:tabs>
          <w:tab w:leader="none" w:pos="564" w:val="left"/>
        </w:tabs>
        <w:numPr>
          <w:ilvl w:val="0"/>
          <w:numId w:val="14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-147320</wp:posOffset>
            </wp:positionV>
            <wp:extent cx="7148195" cy="30048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8195" cy="3004820"/>
                    </a:xfrm>
                    <a:prstGeom prst="rect">
                      <a:avLst/>
                    </a:prstGeom>
                    <a:noFill/>
                  </pic:spPr>
                </pic:pic>
              </a:graphicData>
            </a:graphic>
          </wp:anchor>
        </w:drawing>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Ms. Farley has been a Senior Advisor of KKR, a global investment firm, since 2015.</w:t>
      </w:r>
    </w:p>
    <w:p>
      <w:pPr>
        <w:spacing w:after="0" w:line="102" w:lineRule="exact"/>
        <w:rPr>
          <w:sz w:val="20"/>
          <w:szCs w:val="20"/>
          <w:color w:val="auto"/>
        </w:rPr>
      </w:pPr>
    </w:p>
    <w:p>
      <w:pPr>
        <w:ind w:left="160" w:right="300" w:hanging="142"/>
        <w:spacing w:after="0"/>
        <w:rPr>
          <w:sz w:val="20"/>
          <w:szCs w:val="20"/>
          <w:color w:val="auto"/>
        </w:rPr>
      </w:pPr>
      <w:r>
        <w:rPr>
          <w:sz w:val="1"/>
          <w:szCs w:val="1"/>
          <w:color w:val="auto"/>
        </w:rPr>
        <w:drawing>
          <wp:inline distT="0" distB="0" distL="0" distR="0">
            <wp:extent cx="45720" cy="75565"/>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She began her affiliation with KKR in September 2010 as a co-founder of RPM Energy, LLC, a privately owned oil and gas exploration and development company, which partnered with KKR.</w:t>
      </w:r>
    </w:p>
    <w:p>
      <w:pPr>
        <w:spacing w:after="0" w:line="67" w:lineRule="exact"/>
        <w:rPr>
          <w:sz w:val="20"/>
          <w:szCs w:val="20"/>
          <w:color w:val="auto"/>
        </w:rPr>
      </w:pPr>
    </w:p>
    <w:p>
      <w:pPr>
        <w:ind w:left="160" w:hanging="142"/>
        <w:spacing w:after="0"/>
        <w:rPr>
          <w:sz w:val="20"/>
          <w:szCs w:val="20"/>
          <w:color w:val="auto"/>
        </w:rPr>
      </w:pPr>
      <w:r>
        <w:rPr>
          <w:sz w:val="1"/>
          <w:szCs w:val="1"/>
          <w:color w:val="auto"/>
        </w:rPr>
        <w:drawing>
          <wp:inline distT="0" distB="0" distL="0" distR="0">
            <wp:extent cx="45720" cy="75565"/>
            <wp:effectExtent l="0" t="0" r="0"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Prior to founding RPM Energy, Ms. Farley was an Advisory Director at Jefferies Randall &amp; Dewey, a global oil and gas industry advisor, and was Co-President of Jefferies Randall &amp; Dewey from February 2005 to July 2008.</w:t>
      </w:r>
    </w:p>
    <w:p>
      <w:pPr>
        <w:spacing w:after="0" w:line="67" w:lineRule="exact"/>
        <w:rPr>
          <w:sz w:val="20"/>
          <w:szCs w:val="20"/>
          <w:color w:val="auto"/>
        </w:rPr>
      </w:pPr>
    </w:p>
    <w:p>
      <w:pPr>
        <w:ind w:left="160" w:right="200" w:hanging="142"/>
        <w:spacing w:after="0"/>
        <w:rPr>
          <w:sz w:val="20"/>
          <w:szCs w:val="20"/>
          <w:color w:val="auto"/>
        </w:rPr>
      </w:pPr>
      <w:r>
        <w:rPr>
          <w:sz w:val="1"/>
          <w:szCs w:val="1"/>
          <w:color w:val="auto"/>
        </w:rPr>
        <w:drawing>
          <wp:inline distT="0" distB="0" distL="0" distR="0">
            <wp:extent cx="45720" cy="75565"/>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Prior to that, Ms. Farley served as Chief Executive Officer of Randall &amp; Dewey, an oil and gas asset transaction advisory firm, from September 2002 until February 2005, when Randall and Dewey became the Oil and Gas Investment Banking Group of Jefferies &amp; Company.</w:t>
      </w:r>
    </w:p>
    <w:p>
      <w:pPr>
        <w:spacing w:after="0" w:line="91" w:lineRule="exact"/>
        <w:rPr>
          <w:sz w:val="20"/>
          <w:szCs w:val="20"/>
          <w:color w:val="auto"/>
        </w:rPr>
      </w:pPr>
    </w:p>
    <w:p>
      <w:pPr>
        <w:jc w:val="both"/>
        <w:ind w:left="160" w:right="40" w:hanging="142"/>
        <w:spacing w:after="0"/>
        <w:rPr>
          <w:sz w:val="20"/>
          <w:szCs w:val="20"/>
          <w:color w:val="auto"/>
        </w:rPr>
      </w:pPr>
      <w:r>
        <w:rPr>
          <w:sz w:val="1"/>
          <w:szCs w:val="1"/>
          <w:color w:val="auto"/>
        </w:rPr>
        <w:drawing>
          <wp:inline distT="0" distB="0" distL="0" distR="0">
            <wp:extent cx="45720" cy="75565"/>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Ms. Farley has extensive oil and gas exploration expertise, holding several positions within Texaco from 1981 to 1999, including President of Worldwide Exploration and New Ventures, President of North American Production, and Chief Executive Officer of Hydro-Texaco, Inc.</w:t>
      </w:r>
    </w:p>
    <w:p>
      <w:pPr>
        <w:spacing w:after="0" w:line="79" w:lineRule="exact"/>
        <w:rPr>
          <w:sz w:val="20"/>
          <w:szCs w:val="20"/>
          <w:color w:val="auto"/>
        </w:rPr>
      </w:pPr>
    </w:p>
    <w:p>
      <w:pPr>
        <w:jc w:val="both"/>
        <w:ind w:left="160" w:right="20" w:hanging="142"/>
        <w:spacing w:after="0"/>
        <w:rPr>
          <w:sz w:val="20"/>
          <w:szCs w:val="20"/>
          <w:color w:val="auto"/>
        </w:rPr>
      </w:pPr>
      <w:r>
        <w:rPr>
          <w:sz w:val="1"/>
          <w:szCs w:val="1"/>
          <w:color w:val="auto"/>
        </w:rPr>
        <w:drawing>
          <wp:inline distT="0" distB="0" distL="0" distR="0">
            <wp:extent cx="45720" cy="75565"/>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Ms. Farley also served as Chief Executive Officer of Intelligent Diagnostics Corporation from October 1999 to January 2001 and Trade-Ranger Inc. from January 2001 to May 2002.</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Key Skills &amp; Qualifications</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Executive management experience, including as chief executive officer of several major organizations</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Oil and gas exploration and production experience</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Financial, strategy, and M&amp;A expertise</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Experience as a board member of public and private companies with international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Other Public Company Directorships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Current: LyondellBasell Industries N.V.</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Formerly Held in Past Five Years: FMC Technologies, Inc., Encana Corporation, Anadarko Petroleum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351790</wp:posOffset>
            </wp:positionV>
            <wp:extent cx="7148195" cy="152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2224" w:space="720"/>
            <w:col w:w="8280"/>
          </w:cols>
          <w:pgMar w:left="316" w:top="128" w:right="359" w:bottom="1440" w:gutter="0" w:footer="0" w:header="0"/>
        </w:sectPr>
      </w:pPr>
    </w:p>
    <w:bookmarkStart w:id="117" w:name="page118"/>
    <w:bookmarkEnd w:id="117"/>
    <w:p>
      <w:pPr>
        <w:ind w:left="24"/>
        <w:spacing w:after="0"/>
        <w:rPr>
          <w:sz w:val="20"/>
          <w:szCs w:val="20"/>
          <w:color w:val="auto"/>
        </w:rPr>
      </w:pPr>
      <w:r>
        <w:rPr>
          <w:rFonts w:ascii="Arial" w:cs="Arial" w:eastAsia="Arial" w:hAnsi="Arial"/>
          <w:sz w:val="12"/>
          <w:szCs w:val="12"/>
          <w:b w:val="1"/>
          <w:bCs w:val="1"/>
          <w:color w:val="481F6E"/>
        </w:rPr>
        <w:t>TechnipFMC Proxy Statement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Didier Houssin</w:t>
      </w:r>
    </w:p>
    <w:p>
      <w:pPr>
        <w:spacing w:after="0" w:line="2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Independent</w:t>
      </w:r>
    </w:p>
    <w:p>
      <w:pPr>
        <w:spacing w:after="0" w:line="156"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Age: </w:t>
      </w:r>
      <w:r>
        <w:rPr>
          <w:rFonts w:ascii="Arial" w:cs="Arial" w:eastAsia="Arial" w:hAnsi="Arial"/>
          <w:sz w:val="14"/>
          <w:szCs w:val="14"/>
          <w:color w:val="333740"/>
        </w:rPr>
        <w:t>63</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Director Since: </w:t>
      </w:r>
      <w:r>
        <w:rPr>
          <w:rFonts w:ascii="Arial" w:cs="Arial" w:eastAsia="Arial" w:hAnsi="Arial"/>
          <w:sz w:val="14"/>
          <w:szCs w:val="14"/>
          <w:color w:val="333740"/>
        </w:rPr>
        <w:t>2017</w:t>
      </w:r>
    </w:p>
    <w:p>
      <w:pPr>
        <w:spacing w:after="0" w:line="3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Legacy Director Since: </w:t>
      </w:r>
      <w:r>
        <w:rPr>
          <w:rFonts w:ascii="Arial" w:cs="Arial" w:eastAsia="Arial" w:hAnsi="Arial"/>
          <w:sz w:val="14"/>
          <w:szCs w:val="14"/>
          <w:color w:val="333740"/>
        </w:rPr>
        <w:t>2016</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Committees: </w:t>
      </w:r>
      <w:r>
        <w:rPr>
          <w:rFonts w:ascii="Arial" w:cs="Arial" w:eastAsia="Arial" w:hAnsi="Arial"/>
          <w:sz w:val="14"/>
          <w:szCs w:val="14"/>
          <w:color w:val="333740"/>
        </w:rPr>
        <w:t>Nominating</w:t>
      </w:r>
    </w:p>
    <w:p>
      <w:pPr>
        <w:spacing w:after="0" w:line="21" w:lineRule="exact"/>
        <w:rPr>
          <w:sz w:val="20"/>
          <w:szCs w:val="20"/>
          <w:color w:val="auto"/>
        </w:rPr>
      </w:pPr>
    </w:p>
    <w:p>
      <w:pPr>
        <w:ind w:left="144" w:right="80"/>
        <w:spacing w:after="0" w:line="294" w:lineRule="auto"/>
        <w:rPr>
          <w:sz w:val="20"/>
          <w:szCs w:val="20"/>
          <w:color w:val="auto"/>
        </w:rPr>
      </w:pPr>
      <w:r>
        <w:rPr>
          <w:rFonts w:ascii="Arial" w:cs="Arial" w:eastAsia="Arial" w:hAnsi="Arial"/>
          <w:sz w:val="14"/>
          <w:szCs w:val="14"/>
          <w:color w:val="333740"/>
        </w:rPr>
        <w:t>and Corporate Governance</w:t>
      </w:r>
      <w:r>
        <w:rPr>
          <w:rFonts w:ascii="Arial" w:cs="Arial" w:eastAsia="Arial" w:hAnsi="Arial"/>
          <w:sz w:val="14"/>
          <w:szCs w:val="14"/>
          <w:b w:val="1"/>
          <w:bCs w:val="1"/>
          <w:color w:val="333740"/>
        </w:rPr>
        <w:t>,</w:t>
      </w:r>
      <w:r>
        <w:rPr>
          <w:rFonts w:ascii="Arial" w:cs="Arial" w:eastAsia="Arial" w:hAnsi="Arial"/>
          <w:sz w:val="14"/>
          <w:szCs w:val="14"/>
          <w:color w:val="333740"/>
        </w:rPr>
        <w:t xml:space="preserve">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4" w:hanging="564"/>
        <w:spacing w:after="0"/>
        <w:tabs>
          <w:tab w:leader="none" w:pos="564" w:val="left"/>
        </w:tabs>
        <w:numPr>
          <w:ilvl w:val="0"/>
          <w:numId w:val="147"/>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-159385</wp:posOffset>
            </wp:positionV>
            <wp:extent cx="7148195" cy="31794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8195" cy="3179445"/>
                    </a:xfrm>
                    <a:prstGeom prst="rect">
                      <a:avLst/>
                    </a:prstGeom>
                    <a:noFill/>
                  </pic:spPr>
                </pic:pic>
              </a:graphicData>
            </a:graphic>
          </wp:anchor>
        </w:drawing>
      </w:r>
    </w:p>
    <w:p>
      <w:pPr>
        <w:spacing w:after="0" w:line="4" w:lineRule="exact"/>
        <w:rPr>
          <w:sz w:val="20"/>
          <w:szCs w:val="20"/>
          <w:color w:val="auto"/>
        </w:rPr>
      </w:pPr>
    </w:p>
    <w:p>
      <w:pPr>
        <w:ind w:left="160" w:hanging="142"/>
        <w:spacing w:after="0"/>
        <w:rPr>
          <w:sz w:val="20"/>
          <w:szCs w:val="20"/>
          <w:color w:val="auto"/>
        </w:rPr>
      </w:pPr>
      <w:r>
        <w:rPr>
          <w:sz w:val="1"/>
          <w:szCs w:val="1"/>
          <w:color w:val="auto"/>
        </w:rPr>
        <w:drawing>
          <wp:inline distT="0" distB="0" distL="0" distR="0">
            <wp:extent cx="45720" cy="75565"/>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Mr. Houssin has served as Chairman and Chief Executive Officer of IFPEN, a research and training company in the fields of energy, transport, and the environment, since April 2015.</w:t>
      </w:r>
    </w:p>
    <w:p>
      <w:pPr>
        <w:spacing w:after="0" w:line="67" w:lineRule="exact"/>
        <w:rPr>
          <w:sz w:val="20"/>
          <w:szCs w:val="20"/>
          <w:color w:val="auto"/>
        </w:rPr>
      </w:pPr>
    </w:p>
    <w:p>
      <w:pPr>
        <w:ind w:left="160" w:right="180" w:hanging="142"/>
        <w:spacing w:after="0"/>
        <w:rPr>
          <w:sz w:val="20"/>
          <w:szCs w:val="20"/>
          <w:color w:val="auto"/>
        </w:rPr>
      </w:pPr>
      <w:r>
        <w:rPr>
          <w:sz w:val="1"/>
          <w:szCs w:val="1"/>
          <w:color w:val="auto"/>
        </w:rPr>
        <w:drawing>
          <wp:inline distT="0" distB="0" distL="0" distR="0">
            <wp:extent cx="45720" cy="75565"/>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From December 2012 to April 2015, he was Director of Sustainable Energy Policy and Technology at the International Energy Agency (“</w:t>
      </w:r>
      <w:r>
        <w:rPr>
          <w:rFonts w:ascii="Arial" w:cs="Arial" w:eastAsia="Arial" w:hAnsi="Arial"/>
          <w:sz w:val="14"/>
          <w:szCs w:val="14"/>
          <w:b w:val="1"/>
          <w:bCs w:val="1"/>
          <w:color w:val="333740"/>
        </w:rPr>
        <w:t>IEA</w:t>
      </w:r>
      <w:r>
        <w:rPr>
          <w:rFonts w:ascii="Arial" w:cs="Arial" w:eastAsia="Arial" w:hAnsi="Arial"/>
          <w:sz w:val="14"/>
          <w:szCs w:val="14"/>
          <w:color w:val="333740"/>
        </w:rPr>
        <w:t>”). In this role, he was responsible for the development of low-carbon technologies and energy.</w:t>
      </w:r>
    </w:p>
    <w:p>
      <w:pPr>
        <w:spacing w:after="0" w:line="67" w:lineRule="exact"/>
        <w:rPr>
          <w:sz w:val="20"/>
          <w:szCs w:val="20"/>
          <w:color w:val="auto"/>
        </w:rPr>
      </w:pPr>
    </w:p>
    <w:p>
      <w:pPr>
        <w:ind w:left="160" w:right="200" w:hanging="142"/>
        <w:spacing w:after="0"/>
        <w:rPr>
          <w:sz w:val="20"/>
          <w:szCs w:val="20"/>
          <w:color w:val="auto"/>
        </w:rPr>
      </w:pPr>
      <w:r>
        <w:rPr>
          <w:sz w:val="1"/>
          <w:szCs w:val="1"/>
          <w:color w:val="auto"/>
        </w:rPr>
        <w:drawing>
          <wp:inline distT="0" distB="0" distL="0" distR="0">
            <wp:extent cx="45720" cy="75565"/>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From July 2007 to October 2012, he was Director of Energy Markets and Security at the IEA. In this role, he was responsible for analyzing energy markets, in particular oil, gas, electricity, and renewable energies, and overseeing security of supply.</w:t>
      </w:r>
    </w:p>
    <w:p>
      <w:pPr>
        <w:spacing w:after="0" w:line="91" w:lineRule="exact"/>
        <w:rPr>
          <w:sz w:val="20"/>
          <w:szCs w:val="20"/>
          <w:color w:val="auto"/>
        </w:rPr>
      </w:pPr>
    </w:p>
    <w:p>
      <w:pPr>
        <w:ind w:left="160" w:right="340" w:hanging="142"/>
        <w:spacing w:after="0"/>
        <w:rPr>
          <w:sz w:val="20"/>
          <w:szCs w:val="20"/>
          <w:color w:val="auto"/>
        </w:rPr>
      </w:pPr>
      <w:r>
        <w:rPr>
          <w:sz w:val="1"/>
          <w:szCs w:val="1"/>
          <w:color w:val="auto"/>
        </w:rPr>
        <w:drawing>
          <wp:inline distT="0" distB="0" distL="0" distR="0">
            <wp:extent cx="45720" cy="75565"/>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Before joining the IEA, Mr. Houssin gained broad experience in numerous positions both in the French government and the private industrial sector.</w:t>
      </w:r>
    </w:p>
    <w:p>
      <w:pPr>
        <w:spacing w:after="0" w:line="91" w:lineRule="exact"/>
        <w:rPr>
          <w:sz w:val="20"/>
          <w:szCs w:val="20"/>
          <w:color w:val="auto"/>
        </w:rPr>
      </w:pPr>
    </w:p>
    <w:p>
      <w:pPr>
        <w:ind w:left="160" w:right="180" w:hanging="142"/>
        <w:spacing w:after="0"/>
        <w:rPr>
          <w:sz w:val="20"/>
          <w:szCs w:val="20"/>
          <w:color w:val="auto"/>
        </w:rPr>
      </w:pPr>
      <w:r>
        <w:rPr>
          <w:sz w:val="1"/>
          <w:szCs w:val="1"/>
          <w:color w:val="auto"/>
        </w:rPr>
        <w:drawing>
          <wp:inline distT="0" distB="0" distL="0" distR="0">
            <wp:extent cx="45720" cy="75565"/>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He was Managing Director of BRGM, the French Geological Survey, from 2004 to 2007 and served as Director of Energy and Mineral Resources at the French Ministry for the Economy and Finance from 1997 to 2004.</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From 1987 to 1990, he was responsible for developing E.U. strategy at Total S.A.</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From 1983 to 1987, he held international positions at the French Ministry of the Industry.</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Key Skills &amp; Qualifications</w:t>
      </w:r>
    </w:p>
    <w:p>
      <w:pPr>
        <w:spacing w:after="0" w:line="36" w:lineRule="exact"/>
        <w:rPr>
          <w:sz w:val="20"/>
          <w:szCs w:val="20"/>
          <w:color w:val="auto"/>
        </w:rPr>
      </w:pPr>
    </w:p>
    <w:p>
      <w:pPr>
        <w:ind w:left="160" w:right="440" w:hanging="142"/>
        <w:spacing w:after="0"/>
        <w:rPr>
          <w:sz w:val="20"/>
          <w:szCs w:val="20"/>
          <w:color w:val="auto"/>
        </w:rPr>
      </w:pPr>
      <w:r>
        <w:rPr>
          <w:sz w:val="1"/>
          <w:szCs w:val="1"/>
          <w:color w:val="auto"/>
        </w:rPr>
        <w:drawing>
          <wp:inline distT="0" distB="0" distL="0" distR="0">
            <wp:extent cx="45720" cy="75565"/>
            <wp:effectExtent l="0" t="0" r="0" b="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Executive management experience within the international energy sphere in both the public and private sectors, including international organizations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Expertise in scientific and technological research</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Sustainability, strategy, risk management, and M&amp;A expertise</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International experience in countries where the Company has a significant presence</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Contribution to the Board in a way that enhances perspective through diversity in geographic origin and experience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Other Public Company Directorships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Current: None</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Formerly Held in Past Five Years: Technip S.A., CGG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351790</wp:posOffset>
            </wp:positionV>
            <wp:extent cx="7148195" cy="152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2224" w:space="720"/>
            <w:col w:w="8280"/>
          </w:cols>
          <w:pgMar w:left="316" w:top="128" w:right="359" w:bottom="1440" w:gutter="0" w:footer="0" w:header="0"/>
        </w:sectPr>
      </w:pPr>
    </w:p>
    <w:bookmarkStart w:id="118" w:name="page119"/>
    <w:bookmarkEnd w:id="118"/>
    <w:p>
      <w:pPr>
        <w:ind w:left="24"/>
        <w:spacing w:after="0"/>
        <w:rPr>
          <w:sz w:val="20"/>
          <w:szCs w:val="20"/>
          <w:color w:val="auto"/>
        </w:rPr>
      </w:pPr>
      <w:r>
        <w:rPr>
          <w:rFonts w:ascii="Arial" w:cs="Arial" w:eastAsia="Arial" w:hAnsi="Arial"/>
          <w:sz w:val="12"/>
          <w:szCs w:val="12"/>
          <w:b w:val="1"/>
          <w:bCs w:val="1"/>
          <w:color w:val="481F6E"/>
        </w:rPr>
        <w:t>TechnipFMC Proxy Statement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Peter Mellbye</w:t>
      </w:r>
    </w:p>
    <w:p>
      <w:pPr>
        <w:spacing w:after="0" w:line="2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Independent</w:t>
      </w:r>
    </w:p>
    <w:p>
      <w:pPr>
        <w:spacing w:after="0" w:line="156"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Age: </w:t>
      </w:r>
      <w:r>
        <w:rPr>
          <w:rFonts w:ascii="Arial" w:cs="Arial" w:eastAsia="Arial" w:hAnsi="Arial"/>
          <w:sz w:val="14"/>
          <w:szCs w:val="14"/>
          <w:color w:val="333740"/>
        </w:rPr>
        <w:t>70</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Director Since: </w:t>
      </w:r>
      <w:r>
        <w:rPr>
          <w:rFonts w:ascii="Arial" w:cs="Arial" w:eastAsia="Arial" w:hAnsi="Arial"/>
          <w:sz w:val="14"/>
          <w:szCs w:val="14"/>
          <w:color w:val="333740"/>
        </w:rPr>
        <w:t>2017</w:t>
      </w:r>
    </w:p>
    <w:p>
      <w:pPr>
        <w:spacing w:after="0" w:line="3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Legacy Director Since: </w:t>
      </w:r>
      <w:r>
        <w:rPr>
          <w:rFonts w:ascii="Arial" w:cs="Arial" w:eastAsia="Arial" w:hAnsi="Arial"/>
          <w:sz w:val="14"/>
          <w:szCs w:val="14"/>
          <w:color w:val="333740"/>
        </w:rPr>
        <w:t>2013</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Committees: </w:t>
      </w:r>
      <w:r>
        <w:rPr>
          <w:rFonts w:ascii="Arial" w:cs="Arial" w:eastAsia="Arial" w:hAnsi="Arial"/>
          <w:sz w:val="14"/>
          <w:szCs w:val="14"/>
          <w:color w:val="333740"/>
        </w:rPr>
        <w:t>Nominating</w:t>
      </w:r>
    </w:p>
    <w:p>
      <w:pPr>
        <w:spacing w:after="0" w:line="21" w:lineRule="exact"/>
        <w:rPr>
          <w:sz w:val="20"/>
          <w:szCs w:val="20"/>
          <w:color w:val="auto"/>
        </w:rPr>
      </w:pPr>
    </w:p>
    <w:p>
      <w:pPr>
        <w:ind w:left="144" w:right="140"/>
        <w:spacing w:after="0" w:line="294" w:lineRule="auto"/>
        <w:rPr>
          <w:sz w:val="20"/>
          <w:szCs w:val="20"/>
          <w:color w:val="auto"/>
        </w:rPr>
      </w:pPr>
      <w:r>
        <w:rPr>
          <w:rFonts w:ascii="Arial" w:cs="Arial" w:eastAsia="Arial" w:hAnsi="Arial"/>
          <w:sz w:val="14"/>
          <w:szCs w:val="14"/>
          <w:color w:val="333740"/>
        </w:rPr>
        <w:t>and Corporate Governance (Chair),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4" w:hanging="564"/>
        <w:spacing w:after="0"/>
        <w:tabs>
          <w:tab w:leader="none" w:pos="564" w:val="left"/>
        </w:tabs>
        <w:numPr>
          <w:ilvl w:val="0"/>
          <w:numId w:val="148"/>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-147320</wp:posOffset>
            </wp:positionV>
            <wp:extent cx="7148195" cy="26860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8195" cy="2686050"/>
                    </a:xfrm>
                    <a:prstGeom prst="rect">
                      <a:avLst/>
                    </a:prstGeom>
                    <a:noFill/>
                  </pic:spPr>
                </pic:pic>
              </a:graphicData>
            </a:graphic>
          </wp:anchor>
        </w:drawing>
      </w:r>
    </w:p>
    <w:p>
      <w:pPr>
        <w:spacing w:after="0" w:line="48" w:lineRule="exact"/>
        <w:rPr>
          <w:sz w:val="20"/>
          <w:szCs w:val="20"/>
          <w:color w:val="auto"/>
        </w:rPr>
      </w:pPr>
    </w:p>
    <w:p>
      <w:pPr>
        <w:ind w:left="160" w:hanging="142"/>
        <w:spacing w:after="0"/>
        <w:rPr>
          <w:sz w:val="20"/>
          <w:szCs w:val="20"/>
          <w:color w:val="auto"/>
        </w:rPr>
      </w:pPr>
      <w:r>
        <w:rPr>
          <w:sz w:val="1"/>
          <w:szCs w:val="1"/>
          <w:color w:val="auto"/>
        </w:rPr>
        <w:drawing>
          <wp:inline distT="0" distB="0" distL="0" distR="0">
            <wp:extent cx="45720" cy="75565"/>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Mr. Mellbye served as Executive Vice President, Development &amp; Production, International, of Statoil ASA, an international oil and gas company, from January 2011 until his retirement in September 2012.</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He was Executive Vice President, Production &amp; International Exploration of Statoil from August 2004 to January 2011.</w:t>
      </w:r>
    </w:p>
    <w:p>
      <w:pPr>
        <w:spacing w:after="0" w:line="102" w:lineRule="exact"/>
        <w:rPr>
          <w:sz w:val="20"/>
          <w:szCs w:val="20"/>
          <w:color w:val="auto"/>
        </w:rPr>
      </w:pPr>
    </w:p>
    <w:p>
      <w:pPr>
        <w:ind w:left="160" w:right="100" w:hanging="142"/>
        <w:spacing w:after="0"/>
        <w:rPr>
          <w:sz w:val="20"/>
          <w:szCs w:val="20"/>
          <w:color w:val="auto"/>
        </w:rPr>
      </w:pPr>
      <w:r>
        <w:rPr>
          <w:sz w:val="1"/>
          <w:szCs w:val="1"/>
          <w:color w:val="auto"/>
        </w:rPr>
        <w:drawing>
          <wp:inline distT="0" distB="0" distL="0" distR="0">
            <wp:extent cx="45720" cy="75565"/>
            <wp:effectExtent l="0" t="0" r="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From 1992 to 2004, Mr. Mellbye was Statoil’s Executive Vice President, Natural Gas, and, from 1990 to 1992, he served as Senior Vice President, Natural Gas.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He joined Statoil in 1982 as Vice President, Gas Marketing, a position he held until 1990.</w:t>
      </w:r>
    </w:p>
    <w:p>
      <w:pPr>
        <w:spacing w:after="0" w:line="102" w:lineRule="exact"/>
        <w:rPr>
          <w:sz w:val="20"/>
          <w:szCs w:val="20"/>
          <w:color w:val="auto"/>
        </w:rPr>
      </w:pPr>
    </w:p>
    <w:p>
      <w:pPr>
        <w:ind w:left="160" w:right="80" w:hanging="142"/>
        <w:spacing w:after="0"/>
        <w:rPr>
          <w:sz w:val="20"/>
          <w:szCs w:val="20"/>
          <w:color w:val="auto"/>
        </w:rPr>
      </w:pPr>
      <w:r>
        <w:rPr>
          <w:sz w:val="1"/>
          <w:szCs w:val="1"/>
          <w:color w:val="auto"/>
        </w:rPr>
        <w:drawing>
          <wp:inline distT="0" distB="0" distL="0" distR="0">
            <wp:extent cx="45720" cy="75565"/>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Mr. Mellbye worked in the Norwegian Ministry of Trade and Industry from 1975 to 1979 before joining the Norwegian Trade Council, where he worked from 1979 to 1982.</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Key Skills &amp; Qualifications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Experience as a senior officer of a major oil and gas company with international operations</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Experience as a board member of public and private companies with international operations</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Sustainability, strategy, governance, risk management, and M&amp;A expertise</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Extensive experience working in Norway, a country in which the Company has significant operations</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Contribution to the Board in a way that enhances perspective through diversity in geographic origin and experience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Other Public Company Directorships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Current: None</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Formerly Held in the Past Five Years: FMC Technologies, Inc., North Energy 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351790</wp:posOffset>
            </wp:positionV>
            <wp:extent cx="7148195" cy="152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2224" w:space="720"/>
            <w:col w:w="8040"/>
          </w:cols>
          <w:pgMar w:left="316" w:top="128" w:right="599" w:bottom="1440" w:gutter="0" w:footer="0" w:header="0"/>
        </w:sectPr>
      </w:pPr>
    </w:p>
    <w:bookmarkStart w:id="119" w:name="page120"/>
    <w:bookmarkEnd w:id="119"/>
    <w:p>
      <w:pPr>
        <w:ind w:left="24"/>
        <w:spacing w:after="0"/>
        <w:rPr>
          <w:sz w:val="20"/>
          <w:szCs w:val="20"/>
          <w:color w:val="auto"/>
        </w:rPr>
      </w:pPr>
      <w:r>
        <w:rPr>
          <w:rFonts w:ascii="Arial" w:cs="Arial" w:eastAsia="Arial" w:hAnsi="Arial"/>
          <w:sz w:val="12"/>
          <w:szCs w:val="12"/>
          <w:b w:val="1"/>
          <w:bCs w:val="1"/>
          <w:color w:val="481F6E"/>
        </w:rPr>
        <w:t>TechnipFMC Proxy Statement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John O’Leary</w:t>
      </w:r>
    </w:p>
    <w:p>
      <w:pPr>
        <w:spacing w:after="0" w:line="2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Independent</w:t>
      </w:r>
    </w:p>
    <w:p>
      <w:pPr>
        <w:spacing w:after="0" w:line="156"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Age: </w:t>
      </w:r>
      <w:r>
        <w:rPr>
          <w:rFonts w:ascii="Arial" w:cs="Arial" w:eastAsia="Arial" w:hAnsi="Arial"/>
          <w:sz w:val="14"/>
          <w:szCs w:val="14"/>
          <w:color w:val="333740"/>
        </w:rPr>
        <w:t>64</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Director Since: </w:t>
      </w:r>
      <w:r>
        <w:rPr>
          <w:rFonts w:ascii="Arial" w:cs="Arial" w:eastAsia="Arial" w:hAnsi="Arial"/>
          <w:sz w:val="14"/>
          <w:szCs w:val="14"/>
          <w:color w:val="333740"/>
        </w:rPr>
        <w:t>2017</w:t>
      </w:r>
    </w:p>
    <w:p>
      <w:pPr>
        <w:spacing w:after="0" w:line="3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Legacy Director Since: :</w:t>
      </w:r>
      <w:r>
        <w:rPr>
          <w:rFonts w:ascii="Arial" w:cs="Arial" w:eastAsia="Arial" w:hAnsi="Arial"/>
          <w:sz w:val="14"/>
          <w:szCs w:val="14"/>
          <w:color w:val="333740"/>
        </w:rPr>
        <w:t>2007</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Committees: </w:t>
      </w:r>
      <w:r>
        <w:rPr>
          <w:rFonts w:ascii="Arial" w:cs="Arial" w:eastAsia="Arial" w:hAnsi="Arial"/>
          <w:sz w:val="14"/>
          <w:szCs w:val="14"/>
          <w:color w:val="333740"/>
        </w:rPr>
        <w:t>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64" w:hanging="564"/>
        <w:spacing w:after="0"/>
        <w:tabs>
          <w:tab w:leader="none" w:pos="564" w:val="left"/>
        </w:tabs>
        <w:numPr>
          <w:ilvl w:val="0"/>
          <w:numId w:val="149"/>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-147320</wp:posOffset>
            </wp:positionV>
            <wp:extent cx="7148195" cy="267843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pacing w:after="0" w:line="48" w:lineRule="exact"/>
        <w:rPr>
          <w:sz w:val="20"/>
          <w:szCs w:val="20"/>
          <w:color w:val="auto"/>
        </w:rPr>
      </w:pPr>
    </w:p>
    <w:p>
      <w:pPr>
        <w:ind w:left="160" w:right="380" w:hanging="142"/>
        <w:spacing w:after="0"/>
        <w:rPr>
          <w:sz w:val="20"/>
          <w:szCs w:val="20"/>
          <w:color w:val="auto"/>
        </w:rPr>
      </w:pPr>
      <w:r>
        <w:rPr>
          <w:sz w:val="1"/>
          <w:szCs w:val="1"/>
          <w:color w:val="auto"/>
        </w:rPr>
        <w:drawing>
          <wp:inline distT="0" distB="0" distL="0" distR="0">
            <wp:extent cx="45720" cy="75565"/>
            <wp:effectExtent l="0" t="0" r="0" b="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Mr. O’Leary has served as Chief Executive Officer of Strand Energy, a Dubai- based company specializing in business development in the oil and gas industry, since January 2007.</w:t>
      </w:r>
    </w:p>
    <w:p>
      <w:pPr>
        <w:spacing w:after="0" w:line="67" w:lineRule="exact"/>
        <w:rPr>
          <w:sz w:val="20"/>
          <w:szCs w:val="20"/>
          <w:color w:val="auto"/>
        </w:rPr>
      </w:pPr>
    </w:p>
    <w:p>
      <w:pPr>
        <w:ind w:left="160" w:hanging="142"/>
        <w:spacing w:after="0"/>
        <w:rPr>
          <w:sz w:val="20"/>
          <w:szCs w:val="20"/>
          <w:color w:val="auto"/>
        </w:rPr>
      </w:pPr>
      <w:r>
        <w:rPr>
          <w:sz w:val="1"/>
          <w:szCs w:val="1"/>
          <w:color w:val="auto"/>
        </w:rPr>
        <w:drawing>
          <wp:inline distT="0" distB="0" distL="0" distR="0">
            <wp:extent cx="45720" cy="75565"/>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From 2004 to 2006, he was a partner in Pareto Offshore ASA, a Norwegian consulting firm in the exploration and production sector.</w:t>
      </w:r>
    </w:p>
    <w:p>
      <w:pPr>
        <w:spacing w:after="0" w:line="91" w:lineRule="exact"/>
        <w:rPr>
          <w:sz w:val="20"/>
          <w:szCs w:val="20"/>
          <w:color w:val="auto"/>
        </w:rPr>
      </w:pPr>
    </w:p>
    <w:p>
      <w:pPr>
        <w:ind w:left="160" w:right="40" w:hanging="142"/>
        <w:spacing w:after="0"/>
        <w:rPr>
          <w:sz w:val="20"/>
          <w:szCs w:val="20"/>
          <w:color w:val="auto"/>
        </w:rPr>
      </w:pPr>
      <w:r>
        <w:rPr>
          <w:sz w:val="1"/>
          <w:szCs w:val="1"/>
          <w:color w:val="auto"/>
        </w:rPr>
        <w:drawing>
          <wp:inline distT="0" distB="0" distL="0" distR="0">
            <wp:extent cx="45720" cy="75565"/>
            <wp:effectExtent l="0" t="0" r="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From 1997 to 2004, Mr. O’Leary served in various roles, most recently as President, for Pride International, Inc., a company specializing in onshore and offshore drilling, which acquired his former company, Forasol-Foramer N.V.</w:t>
      </w:r>
    </w:p>
    <w:p>
      <w:pPr>
        <w:spacing w:after="0" w:line="67" w:lineRule="exact"/>
        <w:rPr>
          <w:sz w:val="20"/>
          <w:szCs w:val="20"/>
          <w:color w:val="auto"/>
        </w:rPr>
      </w:pPr>
    </w:p>
    <w:p>
      <w:pPr>
        <w:ind w:left="160" w:right="140" w:hanging="142"/>
        <w:spacing w:after="0"/>
        <w:rPr>
          <w:sz w:val="20"/>
          <w:szCs w:val="20"/>
          <w:color w:val="auto"/>
        </w:rPr>
      </w:pPr>
      <w:r>
        <w:rPr>
          <w:sz w:val="1"/>
          <w:szCs w:val="1"/>
          <w:color w:val="auto"/>
        </w:rPr>
        <w:drawing>
          <wp:inline distT="0" distB="0" distL="0" distR="0">
            <wp:extent cx="45720" cy="75565"/>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He previously served as Vice Chairman for Marketing for Forasol-Foramer from 1990 to 1998, and, prior to that, served as Development and Partnerships Manager from 1985 to 1989.</w:t>
      </w:r>
    </w:p>
    <w:p>
      <w:pPr>
        <w:spacing w:after="0" w:line="67" w:lineRule="exact"/>
        <w:rPr>
          <w:sz w:val="20"/>
          <w:szCs w:val="20"/>
          <w:color w:val="auto"/>
        </w:rPr>
      </w:pPr>
    </w:p>
    <w:p>
      <w:pPr>
        <w:ind w:left="160" w:right="20" w:hanging="142"/>
        <w:spacing w:after="0"/>
        <w:rPr>
          <w:sz w:val="20"/>
          <w:szCs w:val="20"/>
          <w:color w:val="auto"/>
        </w:rPr>
      </w:pPr>
      <w:r>
        <w:rPr>
          <w:sz w:val="1"/>
          <w:szCs w:val="1"/>
          <w:color w:val="auto"/>
        </w:rPr>
        <w:drawing>
          <wp:inline distT="0" distB="0" distL="0" distR="0">
            <wp:extent cx="45720" cy="75565"/>
            <wp:effectExtent l="0" t="0" r="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He began his career as a trader in the Irish National Petroleum Corporation before joining Total S.A. as a drilling engineer in 1980.</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Key Skills &amp; Qualifications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Significant industry and leadership experience gained as an executive in international oil and gas companies</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Strategy, risk management, and M&amp;A expertise</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Experience as a board member of public and private companies with international operations</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International experience in countries where the Company has a significant presence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Other Public Company Directorships</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Current: None</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Formerly Held in the Past Five Years: Technip S.A., Vantage Drilling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351790</wp:posOffset>
            </wp:positionV>
            <wp:extent cx="7148195" cy="152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2224" w:space="720"/>
            <w:col w:w="8020"/>
          </w:cols>
          <w:pgMar w:left="316" w:top="127" w:right="619" w:bottom="1440" w:gutter="0" w:footer="0" w:header="0"/>
        </w:sectPr>
      </w:pPr>
    </w:p>
    <w:bookmarkStart w:id="120" w:name="page121"/>
    <w:bookmarkEnd w:id="120"/>
    <w:p>
      <w:pPr>
        <w:ind w:left="24"/>
        <w:spacing w:after="0"/>
        <w:rPr>
          <w:sz w:val="20"/>
          <w:szCs w:val="20"/>
          <w:color w:val="auto"/>
        </w:rPr>
      </w:pPr>
      <w:r>
        <w:rPr>
          <w:rFonts w:ascii="Arial" w:cs="Arial" w:eastAsia="Arial" w:hAnsi="Arial"/>
          <w:sz w:val="12"/>
          <w:szCs w:val="12"/>
          <w:b w:val="1"/>
          <w:bCs w:val="1"/>
          <w:color w:val="481F6E"/>
        </w:rPr>
        <w:t>TechnipFMC Proxy Statement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Olivier Piou</w:t>
      </w:r>
    </w:p>
    <w:p>
      <w:pPr>
        <w:spacing w:after="0" w:line="2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Independent</w:t>
      </w:r>
    </w:p>
    <w:p>
      <w:pPr>
        <w:spacing w:after="0" w:line="168"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Age: </w:t>
      </w:r>
      <w:r>
        <w:rPr>
          <w:rFonts w:ascii="Arial" w:cs="Arial" w:eastAsia="Arial" w:hAnsi="Arial"/>
          <w:sz w:val="14"/>
          <w:szCs w:val="14"/>
          <w:color w:val="333740"/>
        </w:rPr>
        <w:t>61</w:t>
      </w:r>
    </w:p>
    <w:p>
      <w:pPr>
        <w:spacing w:after="0" w:line="3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Director Since: </w:t>
      </w:r>
      <w:r>
        <w:rPr>
          <w:rFonts w:ascii="Arial" w:cs="Arial" w:eastAsia="Arial" w:hAnsi="Arial"/>
          <w:sz w:val="14"/>
          <w:szCs w:val="14"/>
          <w:color w:val="333740"/>
        </w:rPr>
        <w:t>2019</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Committees: </w:t>
      </w:r>
      <w:r>
        <w:rPr>
          <w:rFonts w:ascii="Arial" w:cs="Arial" w:eastAsia="Arial" w:hAnsi="Arial"/>
          <w:sz w:val="14"/>
          <w:szCs w:val="14"/>
          <w:color w:val="333740"/>
        </w:rPr>
        <w:t>Nominating</w:t>
      </w:r>
    </w:p>
    <w:p>
      <w:pPr>
        <w:spacing w:after="0" w:line="21" w:lineRule="exact"/>
        <w:rPr>
          <w:sz w:val="20"/>
          <w:szCs w:val="20"/>
          <w:color w:val="auto"/>
        </w:rPr>
      </w:pPr>
    </w:p>
    <w:p>
      <w:pPr>
        <w:ind w:left="144" w:right="100"/>
        <w:spacing w:after="0" w:line="294" w:lineRule="auto"/>
        <w:rPr>
          <w:sz w:val="20"/>
          <w:szCs w:val="20"/>
          <w:color w:val="auto"/>
        </w:rPr>
      </w:pPr>
      <w:r>
        <w:rPr>
          <w:rFonts w:ascii="Arial" w:cs="Arial" w:eastAsia="Arial" w:hAnsi="Arial"/>
          <w:sz w:val="14"/>
          <w:szCs w:val="14"/>
          <w:color w:val="333740"/>
        </w:rPr>
        <w:t>and Corporate Governance,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64" w:hanging="564"/>
        <w:spacing w:after="0"/>
        <w:tabs>
          <w:tab w:leader="none" w:pos="564" w:val="left"/>
        </w:tabs>
        <w:numPr>
          <w:ilvl w:val="0"/>
          <w:numId w:val="150"/>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-159385</wp:posOffset>
            </wp:positionV>
            <wp:extent cx="7148195" cy="31261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8195" cy="3126105"/>
                    </a:xfrm>
                    <a:prstGeom prst="rect">
                      <a:avLst/>
                    </a:prstGeom>
                    <a:noFill/>
                  </pic:spPr>
                </pic:pic>
              </a:graphicData>
            </a:graphic>
          </wp:anchor>
        </w:drawing>
      </w:r>
    </w:p>
    <w:p>
      <w:pPr>
        <w:spacing w:after="0" w:line="4" w:lineRule="exact"/>
        <w:rPr>
          <w:sz w:val="20"/>
          <w:szCs w:val="20"/>
          <w:color w:val="auto"/>
        </w:rPr>
      </w:pPr>
    </w:p>
    <w:p>
      <w:pPr>
        <w:ind w:left="160" w:right="500" w:hanging="142"/>
        <w:spacing w:after="0"/>
        <w:rPr>
          <w:sz w:val="20"/>
          <w:szCs w:val="20"/>
          <w:color w:val="auto"/>
        </w:rPr>
      </w:pPr>
      <w:r>
        <w:rPr>
          <w:sz w:val="1"/>
          <w:szCs w:val="1"/>
          <w:color w:val="auto"/>
        </w:rPr>
        <w:drawing>
          <wp:inline distT="0" distB="0" distL="0" distR="0">
            <wp:extent cx="45720" cy="75565"/>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Mr. Piou was the Chief Executive Officer and a board member of Gemalto N.V., a Netherlands-based producer of secure personal devices and developer of software applications, from 2006 to 2016.</w:t>
      </w:r>
    </w:p>
    <w:p>
      <w:pPr>
        <w:spacing w:after="0" w:line="67" w:lineRule="exact"/>
        <w:rPr>
          <w:sz w:val="20"/>
          <w:szCs w:val="20"/>
          <w:color w:val="auto"/>
        </w:rPr>
      </w:pPr>
    </w:p>
    <w:p>
      <w:pPr>
        <w:ind w:left="160" w:hanging="142"/>
        <w:spacing w:after="0"/>
        <w:rPr>
          <w:sz w:val="20"/>
          <w:szCs w:val="20"/>
          <w:color w:val="auto"/>
        </w:rPr>
      </w:pPr>
      <w:r>
        <w:rPr>
          <w:sz w:val="1"/>
          <w:szCs w:val="1"/>
          <w:color w:val="auto"/>
        </w:rPr>
        <w:drawing>
          <wp:inline distT="0" distB="0" distL="0" distR="0">
            <wp:extent cx="45720" cy="75565"/>
            <wp:effectExtent l="0" t="0" r="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He previously served as President and Chief Executive Officer and a board member of Axalto N.V., a Netherlands-based producer of microprocessor cards from its 2004 initial public offering until its combination with Gemplus International S.A. to form Gemalto N.V. in 2006.</w:t>
      </w:r>
    </w:p>
    <w:p>
      <w:pPr>
        <w:spacing w:after="0" w:line="91" w:lineRule="exact"/>
        <w:rPr>
          <w:sz w:val="20"/>
          <w:szCs w:val="20"/>
          <w:color w:val="auto"/>
        </w:rPr>
      </w:pPr>
    </w:p>
    <w:p>
      <w:pPr>
        <w:jc w:val="both"/>
        <w:ind w:left="160" w:right="160" w:hanging="142"/>
        <w:spacing w:after="0"/>
        <w:rPr>
          <w:sz w:val="20"/>
          <w:szCs w:val="20"/>
          <w:color w:val="auto"/>
        </w:rPr>
      </w:pPr>
      <w:r>
        <w:rPr>
          <w:sz w:val="1"/>
          <w:szCs w:val="1"/>
          <w:color w:val="auto"/>
        </w:rPr>
        <w:drawing>
          <wp:inline distT="0" distB="0" distL="0" distR="0">
            <wp:extent cx="45720" cy="75565"/>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Prior to joining Axalto N.V., he spent over 23 years at Schlumberger Limited in a succession of executive leadership positions, including President, Global Segments &amp; Volume Products from 2001 to 2004, President, Smart Cards from 1998 to 2001, and Vice President, Marketing &amp; Technology, Electronic Transactions from 1994 to 1998.</w:t>
      </w:r>
    </w:p>
    <w:p>
      <w:pPr>
        <w:spacing w:after="0" w:line="79" w:lineRule="exact"/>
        <w:rPr>
          <w:sz w:val="20"/>
          <w:szCs w:val="20"/>
          <w:color w:val="auto"/>
        </w:rPr>
      </w:pPr>
    </w:p>
    <w:p>
      <w:pPr>
        <w:ind w:left="160" w:right="280" w:hanging="142"/>
        <w:spacing w:after="0"/>
        <w:rPr>
          <w:sz w:val="20"/>
          <w:szCs w:val="20"/>
          <w:color w:val="auto"/>
        </w:rPr>
      </w:pPr>
      <w:r>
        <w:rPr>
          <w:sz w:val="1"/>
          <w:szCs w:val="1"/>
          <w:color w:val="auto"/>
        </w:rPr>
        <w:drawing>
          <wp:inline distT="0" distB="0" distL="0" distR="0">
            <wp:extent cx="45720" cy="75565"/>
            <wp:effectExtent l="0" t="0" r="0" b="0"/>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From 1993 to 1994 he was the Marketing &amp; Technique Director of Schlumberger Wireline &amp; Testing oilfield services division. From 1991 to 1993 he ran the Austin, Texas, Schlumberger R&amp;D center developing acquisition, interpretation, and telecommunication systems for oil and gas services activities.</w:t>
      </w:r>
    </w:p>
    <w:p>
      <w:pPr>
        <w:spacing w:after="0" w:line="91" w:lineRule="exact"/>
        <w:rPr>
          <w:sz w:val="20"/>
          <w:szCs w:val="20"/>
          <w:color w:val="auto"/>
        </w:rPr>
      </w:pPr>
    </w:p>
    <w:p>
      <w:pPr>
        <w:ind w:left="160" w:right="400" w:hanging="142"/>
        <w:spacing w:after="0"/>
        <w:rPr>
          <w:sz w:val="20"/>
          <w:szCs w:val="20"/>
          <w:color w:val="auto"/>
        </w:rPr>
      </w:pPr>
      <w:r>
        <w:rPr>
          <w:sz w:val="1"/>
          <w:szCs w:val="1"/>
          <w:color w:val="auto"/>
        </w:rPr>
        <w:drawing>
          <wp:inline distT="0" distB="0" distL="0" distR="0">
            <wp:extent cx="45720" cy="75565"/>
            <wp:effectExtent l="0" t="0" r="0" b="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He began his career in 1981, serving in various technical and management positions in the oil and gas services, R&amp;D and production activities of Schlumberger.</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Key Skills &amp; Qualifications</w:t>
      </w:r>
    </w:p>
    <w:p>
      <w:pPr>
        <w:spacing w:after="0" w:line="29" w:lineRule="exact"/>
        <w:rPr>
          <w:sz w:val="20"/>
          <w:szCs w:val="20"/>
          <w:color w:val="auto"/>
        </w:rPr>
      </w:pPr>
    </w:p>
    <w:p>
      <w:pPr>
        <w:ind w:left="160" w:right="160" w:hanging="142"/>
        <w:spacing w:after="0"/>
        <w:rPr>
          <w:sz w:val="20"/>
          <w:szCs w:val="20"/>
          <w:color w:val="auto"/>
        </w:rPr>
      </w:pPr>
      <w:r>
        <w:rPr>
          <w:sz w:val="1"/>
          <w:szCs w:val="1"/>
          <w:color w:val="auto"/>
        </w:rPr>
        <w:drawing>
          <wp:inline distT="0" distB="0" distL="0" distR="0">
            <wp:extent cx="45720" cy="75565"/>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Significant executive management experience, including as Chief Executive Oﬃcer of Gemalto N.V. and Axalto N.V.</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Technology, strategy, governance, and M&amp;A expertise</w:t>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Experience as a board member of companies with large and complex international operations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Diversity in geographic origin that enhances the Board’s perspective</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Other Public Company Directorships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Current: Nokia Oyj and Valeo S.A.</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Formerly Held in Past Five Years: Alcatel-Lucent, Gemalto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351790</wp:posOffset>
            </wp:positionV>
            <wp:extent cx="7148195" cy="152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2224" w:space="720"/>
            <w:col w:w="8280"/>
          </w:cols>
          <w:pgMar w:left="316" w:top="127" w:right="359" w:bottom="1440" w:gutter="0" w:footer="0" w:header="0"/>
        </w:sectPr>
      </w:pPr>
    </w:p>
    <w:bookmarkStart w:id="121" w:name="page122"/>
    <w:bookmarkEnd w:id="121"/>
    <w:p>
      <w:pPr>
        <w:ind w:left="24"/>
        <w:spacing w:after="0"/>
        <w:rPr>
          <w:sz w:val="20"/>
          <w:szCs w:val="20"/>
          <w:color w:val="auto"/>
        </w:rPr>
      </w:pPr>
      <w:r>
        <w:rPr>
          <w:rFonts w:ascii="Arial" w:cs="Arial" w:eastAsia="Arial" w:hAnsi="Arial"/>
          <w:sz w:val="12"/>
          <w:szCs w:val="12"/>
          <w:b w:val="1"/>
          <w:bCs w:val="1"/>
          <w:color w:val="481F6E"/>
        </w:rPr>
        <w:t>TechnipFMC Proxy Statement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Kay G. Priestly</w:t>
      </w:r>
    </w:p>
    <w:p>
      <w:pPr>
        <w:spacing w:after="0" w:line="2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Independent</w:t>
      </w:r>
    </w:p>
    <w:p>
      <w:pPr>
        <w:spacing w:after="0" w:line="156"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Age: </w:t>
      </w:r>
      <w:r>
        <w:rPr>
          <w:rFonts w:ascii="Arial" w:cs="Arial" w:eastAsia="Arial" w:hAnsi="Arial"/>
          <w:sz w:val="14"/>
          <w:szCs w:val="14"/>
          <w:color w:val="333740"/>
        </w:rPr>
        <w:t>64</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Director Since: </w:t>
      </w:r>
      <w:r>
        <w:rPr>
          <w:rFonts w:ascii="Arial" w:cs="Arial" w:eastAsia="Arial" w:hAnsi="Arial"/>
          <w:sz w:val="14"/>
          <w:szCs w:val="14"/>
          <w:color w:val="333740"/>
        </w:rPr>
        <w:t>2017</w:t>
      </w:r>
    </w:p>
    <w:p>
      <w:pPr>
        <w:spacing w:after="0" w:line="3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Legacy Director Since: </w:t>
      </w:r>
      <w:r>
        <w:rPr>
          <w:rFonts w:ascii="Arial" w:cs="Arial" w:eastAsia="Arial" w:hAnsi="Arial"/>
          <w:sz w:val="14"/>
          <w:szCs w:val="14"/>
          <w:color w:val="333740"/>
        </w:rPr>
        <w:t>2015</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Committees: </w:t>
      </w:r>
      <w:r>
        <w:rPr>
          <w:rFonts w:ascii="Arial" w:cs="Arial" w:eastAsia="Arial" w:hAnsi="Arial"/>
          <w:sz w:val="14"/>
          <w:szCs w:val="14"/>
          <w:color w:val="333740"/>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 w:hanging="564"/>
        <w:spacing w:after="0"/>
        <w:tabs>
          <w:tab w:leader="none" w:pos="564" w:val="left"/>
        </w:tabs>
        <w:numPr>
          <w:ilvl w:val="0"/>
          <w:numId w:val="151"/>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-159385</wp:posOffset>
            </wp:positionV>
            <wp:extent cx="7148195" cy="316420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8195" cy="3164205"/>
                    </a:xfrm>
                    <a:prstGeom prst="rect">
                      <a:avLst/>
                    </a:prstGeom>
                    <a:noFill/>
                  </pic:spPr>
                </pic:pic>
              </a:graphicData>
            </a:graphic>
          </wp:anchor>
        </w:drawing>
      </w:r>
    </w:p>
    <w:p>
      <w:pPr>
        <w:spacing w:after="0" w:line="4" w:lineRule="exact"/>
        <w:rPr>
          <w:sz w:val="20"/>
          <w:szCs w:val="20"/>
          <w:color w:val="auto"/>
        </w:rPr>
      </w:pPr>
    </w:p>
    <w:p>
      <w:pPr>
        <w:ind w:left="160" w:right="160" w:hanging="142"/>
        <w:spacing w:after="0"/>
        <w:rPr>
          <w:sz w:val="20"/>
          <w:szCs w:val="20"/>
          <w:color w:val="auto"/>
        </w:rPr>
      </w:pPr>
      <w:r>
        <w:rPr>
          <w:sz w:val="1"/>
          <w:szCs w:val="1"/>
          <w:color w:val="auto"/>
        </w:rPr>
        <w:drawing>
          <wp:inline distT="0" distB="0" distL="0" distR="0">
            <wp:extent cx="45720" cy="75565"/>
            <wp:effectExtent l="0" t="0" r="0" b="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Ms. Priestly served as Chief Executive Officer of Turquoise Hill Resources Ltd., an international mining company focused on copper, gold, and coal in the Asia Pacific region, from May 2012 until her retirement in December 2014.</w:t>
      </w:r>
    </w:p>
    <w:p>
      <w:pPr>
        <w:spacing w:after="0" w:line="67" w:lineRule="exact"/>
        <w:rPr>
          <w:sz w:val="20"/>
          <w:szCs w:val="20"/>
          <w:color w:val="auto"/>
        </w:rPr>
      </w:pPr>
    </w:p>
    <w:p>
      <w:pPr>
        <w:jc w:val="both"/>
        <w:ind w:left="160" w:hanging="142"/>
        <w:spacing w:after="0" w:line="263" w:lineRule="auto"/>
        <w:rPr>
          <w:sz w:val="20"/>
          <w:szCs w:val="20"/>
          <w:color w:val="auto"/>
        </w:rPr>
      </w:pPr>
      <w:r>
        <w:rPr>
          <w:sz w:val="1"/>
          <w:szCs w:val="1"/>
          <w:color w:val="auto"/>
        </w:rPr>
        <w:drawing>
          <wp:inline distT="0" distB="0" distL="0" distR="0">
            <wp:extent cx="45720" cy="75565"/>
            <wp:effectExtent l="0" t="0" r="0" b="0"/>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She previously served as Chief Financial Officer of Rio Tinto Copper (a division</w:t>
      </w:r>
      <w:r>
        <w:rPr>
          <w:sz w:val="20"/>
          <w:szCs w:val="20"/>
          <w:color w:val="auto"/>
        </w:rPr>
        <w:t xml:space="preserve"> </w:t>
      </w:r>
      <w:r>
        <w:rPr>
          <w:rFonts w:ascii="Arial" w:cs="Arial" w:eastAsia="Arial" w:hAnsi="Arial"/>
          <w:sz w:val="14"/>
          <w:szCs w:val="14"/>
          <w:color w:val="333740"/>
        </w:rPr>
        <w:t>of the Rio Tinto Group – Rio Tinto plc and Rio Tinto Limited), a global metal and mining corporation, from 2008 until her appointment as Chief Executive Officer of Turquoise Hill Resources in 2012.</w:t>
      </w:r>
    </w:p>
    <w:p>
      <w:pPr>
        <w:spacing w:after="0" w:line="245" w:lineRule="exact"/>
        <w:rPr>
          <w:sz w:val="20"/>
          <w:szCs w:val="20"/>
          <w:color w:val="auto"/>
        </w:rPr>
      </w:pPr>
    </w:p>
    <w:p>
      <w:pPr>
        <w:ind w:left="160" w:right="480" w:hanging="142"/>
        <w:spacing w:after="0"/>
        <w:rPr>
          <w:sz w:val="20"/>
          <w:szCs w:val="20"/>
          <w:color w:val="auto"/>
        </w:rPr>
      </w:pPr>
      <w:r>
        <w:rPr>
          <w:sz w:val="1"/>
          <w:szCs w:val="1"/>
          <w:color w:val="auto"/>
        </w:rPr>
        <w:drawing>
          <wp:inline distT="0" distB="0" distL="0" distR="0">
            <wp:extent cx="45720" cy="75565"/>
            <wp:effectExtent l="0" t="0" r="0" b="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From 2006 to 2008, she was Vice President, Finance, and Chief Financial Officer of Rio Tinto’s Kennecott Utah Copper operations.</w:t>
      </w:r>
    </w:p>
    <w:p>
      <w:pPr>
        <w:spacing w:after="0" w:line="91" w:lineRule="exact"/>
        <w:rPr>
          <w:sz w:val="20"/>
          <w:szCs w:val="20"/>
          <w:color w:val="auto"/>
        </w:rPr>
      </w:pPr>
    </w:p>
    <w:p>
      <w:pPr>
        <w:ind w:left="160" w:right="140" w:hanging="142"/>
        <w:spacing w:after="0"/>
        <w:rPr>
          <w:sz w:val="20"/>
          <w:szCs w:val="20"/>
          <w:color w:val="auto"/>
        </w:rPr>
      </w:pPr>
      <w:r>
        <w:rPr>
          <w:sz w:val="1"/>
          <w:szCs w:val="1"/>
          <w:color w:val="auto"/>
        </w:rPr>
        <w:drawing>
          <wp:inline distT="0" distB="0" distL="0" distR="0">
            <wp:extent cx="45720" cy="75565"/>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Ms. Priestly served as Vice President, Risk Management, and General Auditor for Entergy Corporation, an integrated energy company engaged primarily in electric power production and retail distribution operations, from 2004 to 2006.</w:t>
      </w:r>
    </w:p>
    <w:p>
      <w:pPr>
        <w:spacing w:after="0" w:line="55" w:lineRule="exact"/>
        <w:rPr>
          <w:sz w:val="20"/>
          <w:szCs w:val="20"/>
          <w:color w:val="auto"/>
        </w:rPr>
      </w:pPr>
    </w:p>
    <w:p>
      <w:pPr>
        <w:ind w:left="160" w:hanging="142"/>
        <w:spacing w:after="0"/>
        <w:rPr>
          <w:sz w:val="20"/>
          <w:szCs w:val="20"/>
          <w:color w:val="auto"/>
        </w:rPr>
      </w:pPr>
      <w:r>
        <w:rPr>
          <w:sz w:val="1"/>
          <w:szCs w:val="1"/>
          <w:color w:val="auto"/>
        </w:rPr>
        <w:drawing>
          <wp:inline distT="0" distB="0" distL="0" distR="0">
            <wp:extent cx="45720" cy="75565"/>
            <wp:effectExtent l="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She previously spent over 24 years with global professional services firm Arthur Andersen, where she provided tax, consulting, and M&amp;A services to global companies across many industries, including energy, mining, manufacturing, and services.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Key Skills &amp; Qualifications</w:t>
      </w:r>
    </w:p>
    <w:p>
      <w:pPr>
        <w:spacing w:after="0" w:line="79" w:lineRule="exact"/>
        <w:rPr>
          <w:sz w:val="20"/>
          <w:szCs w:val="20"/>
          <w:color w:val="auto"/>
        </w:rPr>
      </w:pPr>
    </w:p>
    <w:p>
      <w:pPr>
        <w:ind w:left="160" w:right="360" w:hanging="142"/>
        <w:spacing w:after="0"/>
        <w:rPr>
          <w:sz w:val="20"/>
          <w:szCs w:val="20"/>
          <w:color w:val="auto"/>
        </w:rPr>
      </w:pPr>
      <w:r>
        <w:rPr>
          <w:sz w:val="1"/>
          <w:szCs w:val="1"/>
          <w:color w:val="auto"/>
        </w:rPr>
        <w:drawing>
          <wp:inline distT="0" distB="0" distL="0" distR="0">
            <wp:extent cx="45720" cy="75565"/>
            <wp:effectExtent l="0" t="0" r="0" b="0"/>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Executive management experience as a chief executive officer and senior officer of major organizations with international operations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Financial, strategy, risk management, and M&amp;A expertise</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Extensive consulting experience</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Experience in a variety of industries that provides diversity of perspective</w:t>
      </w:r>
    </w:p>
    <w:p>
      <w:pPr>
        <w:spacing w:after="0" w:line="127" w:lineRule="exact"/>
        <w:rPr>
          <w:sz w:val="20"/>
          <w:szCs w:val="20"/>
          <w:color w:val="auto"/>
        </w:rPr>
      </w:pPr>
    </w:p>
    <w:p>
      <w:pPr>
        <w:ind w:left="160" w:right="180" w:hanging="142"/>
        <w:spacing w:after="0"/>
        <w:rPr>
          <w:sz w:val="20"/>
          <w:szCs w:val="20"/>
          <w:color w:val="auto"/>
        </w:rPr>
      </w:pPr>
      <w:r>
        <w:rPr>
          <w:sz w:val="1"/>
          <w:szCs w:val="1"/>
          <w:color w:val="auto"/>
        </w:rPr>
        <w:drawing>
          <wp:inline distT="0" distB="0" distL="0" distR="0">
            <wp:extent cx="45720" cy="75565"/>
            <wp:effectExtent l="0" t="0" r="0" b="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Thorough understanding of different cultural, political, and regulatory requirements through her extensive energy and mining experience, including in countries where the Company has a significant presence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Other Public Company Directorships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Current: Stericycle, Inc. and Alacer Gold Corp.</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Formerly Held in Past Five Years: FMC Technologies, Inc., Stone Energy Corporation, New Gold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375920</wp:posOffset>
            </wp:positionV>
            <wp:extent cx="7148195" cy="152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2224" w:space="720"/>
            <w:col w:w="8180"/>
          </w:cols>
          <w:pgMar w:left="316" w:top="128" w:right="459" w:bottom="1440" w:gutter="0" w:footer="0" w:header="0"/>
        </w:sectPr>
      </w:pPr>
    </w:p>
    <w:bookmarkStart w:id="122" w:name="page123"/>
    <w:bookmarkEnd w:id="122"/>
    <w:p>
      <w:pPr>
        <w:ind w:left="24"/>
        <w:spacing w:after="0"/>
        <w:rPr>
          <w:sz w:val="20"/>
          <w:szCs w:val="20"/>
          <w:color w:val="auto"/>
        </w:rPr>
      </w:pPr>
      <w:r>
        <w:rPr>
          <w:rFonts w:ascii="Arial" w:cs="Arial" w:eastAsia="Arial" w:hAnsi="Arial"/>
          <w:sz w:val="12"/>
          <w:szCs w:val="12"/>
          <w:b w:val="1"/>
          <w:bCs w:val="1"/>
          <w:color w:val="481F6E"/>
        </w:rPr>
        <w:t>TechnipFMC Proxy Statement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Joseph Rinaldi</w:t>
      </w:r>
    </w:p>
    <w:p>
      <w:pPr>
        <w:spacing w:after="0" w:line="2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Independent</w:t>
      </w:r>
    </w:p>
    <w:p>
      <w:pPr>
        <w:spacing w:after="0" w:line="156"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Age: </w:t>
      </w:r>
      <w:r>
        <w:rPr>
          <w:rFonts w:ascii="Arial" w:cs="Arial" w:eastAsia="Arial" w:hAnsi="Arial"/>
          <w:sz w:val="14"/>
          <w:szCs w:val="14"/>
          <w:color w:val="333740"/>
        </w:rPr>
        <w:t>62</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Director Since: </w:t>
      </w:r>
      <w:r>
        <w:rPr>
          <w:rFonts w:ascii="Arial" w:cs="Arial" w:eastAsia="Arial" w:hAnsi="Arial"/>
          <w:sz w:val="14"/>
          <w:szCs w:val="14"/>
          <w:color w:val="333740"/>
        </w:rPr>
        <w:t>2017</w:t>
      </w:r>
    </w:p>
    <w:p>
      <w:pPr>
        <w:spacing w:after="0" w:line="3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Legacy Director Since: </w:t>
      </w:r>
      <w:r>
        <w:rPr>
          <w:rFonts w:ascii="Arial" w:cs="Arial" w:eastAsia="Arial" w:hAnsi="Arial"/>
          <w:sz w:val="14"/>
          <w:szCs w:val="14"/>
          <w:color w:val="333740"/>
        </w:rPr>
        <w:t>2009</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Committees: </w:t>
      </w:r>
      <w:r>
        <w:rPr>
          <w:rFonts w:ascii="Arial" w:cs="Arial" w:eastAsia="Arial" w:hAnsi="Arial"/>
          <w:sz w:val="14"/>
          <w:szCs w:val="14"/>
          <w:color w:val="333740"/>
        </w:rPr>
        <w:t>Audit,</w:t>
      </w:r>
    </w:p>
    <w:p>
      <w:pPr>
        <w:spacing w:after="0" w:line="21" w:lineRule="exact"/>
        <w:rPr>
          <w:sz w:val="20"/>
          <w:szCs w:val="20"/>
          <w:color w:val="auto"/>
        </w:rPr>
      </w:pPr>
    </w:p>
    <w:p>
      <w:pPr>
        <w:ind w:left="144"/>
        <w:spacing w:after="0"/>
        <w:rPr>
          <w:sz w:val="20"/>
          <w:szCs w:val="20"/>
          <w:color w:val="auto"/>
        </w:rPr>
      </w:pPr>
      <w:r>
        <w:rPr>
          <w:rFonts w:ascii="Arial" w:cs="Arial" w:eastAsia="Arial" w:hAnsi="Arial"/>
          <w:sz w:val="14"/>
          <w:szCs w:val="14"/>
          <w:color w:val="333740"/>
        </w:rPr>
        <w:t>Compensation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4" w:hanging="564"/>
        <w:spacing w:after="0"/>
        <w:tabs>
          <w:tab w:leader="none" w:pos="564" w:val="left"/>
        </w:tabs>
        <w:numPr>
          <w:ilvl w:val="0"/>
          <w:numId w:val="152"/>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-159385</wp:posOffset>
            </wp:positionV>
            <wp:extent cx="7148195" cy="213233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8195" cy="2132330"/>
                    </a:xfrm>
                    <a:prstGeom prst="rect">
                      <a:avLst/>
                    </a:prstGeom>
                    <a:noFill/>
                  </pic:spPr>
                </pic:pic>
              </a:graphicData>
            </a:graphic>
          </wp:anchor>
        </w:drawing>
      </w:r>
    </w:p>
    <w:p>
      <w:pPr>
        <w:spacing w:after="0" w:line="4"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Mr. Rinaldi is the Managing Partner of Fennecourt Partners, LLC, an investment management and consulting firm.</w:t>
      </w:r>
    </w:p>
    <w:p>
      <w:pPr>
        <w:spacing w:after="0" w:line="102" w:lineRule="exact"/>
        <w:rPr>
          <w:sz w:val="20"/>
          <w:szCs w:val="20"/>
          <w:color w:val="auto"/>
        </w:rPr>
      </w:pPr>
    </w:p>
    <w:p>
      <w:pPr>
        <w:jc w:val="both"/>
        <w:ind w:left="160" w:right="40" w:hanging="142"/>
        <w:spacing w:after="0"/>
        <w:rPr>
          <w:sz w:val="20"/>
          <w:szCs w:val="20"/>
          <w:color w:val="auto"/>
        </w:rPr>
      </w:pPr>
      <w:r>
        <w:rPr>
          <w:sz w:val="1"/>
          <w:szCs w:val="1"/>
          <w:color w:val="auto"/>
        </w:rPr>
        <w:drawing>
          <wp:inline distT="0" distB="0" distL="0" distR="0">
            <wp:extent cx="45720" cy="75565"/>
            <wp:effectExtent l="0" t="0" r="0" b="0"/>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He is a retired partner in the international law firm of Davis Polk &amp; Wardwell, where he advised on public and private takeovers, private equity transactions, M&amp;A, corporate governance, and securities and corporate law, with particular focus on international matters.</w:t>
      </w:r>
    </w:p>
    <w:p>
      <w:pPr>
        <w:spacing w:after="0" w:line="79" w:lineRule="exact"/>
        <w:rPr>
          <w:sz w:val="20"/>
          <w:szCs w:val="20"/>
          <w:color w:val="auto"/>
        </w:rPr>
      </w:pPr>
    </w:p>
    <w:p>
      <w:pPr>
        <w:ind w:left="160" w:hanging="142"/>
        <w:spacing w:after="0"/>
        <w:rPr>
          <w:sz w:val="20"/>
          <w:szCs w:val="20"/>
          <w:color w:val="auto"/>
        </w:rPr>
      </w:pPr>
      <w:r>
        <w:rPr>
          <w:sz w:val="1"/>
          <w:szCs w:val="1"/>
          <w:color w:val="auto"/>
        </w:rPr>
        <w:drawing>
          <wp:inline distT="0" distB="0" distL="0" distR="0">
            <wp:extent cx="45720" cy="75565"/>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From 2002 to 2007, he was the senior partner in the Paris office of Davis Polk &amp; Wardwell, after joining in 1984 and becoming a partner in 1990.</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Key Skills &amp; Qualifications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Extensive corporate legal and international expertise</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Significant experience structuring strategic transactions to implement corporate strategy</w:t>
      </w:r>
    </w:p>
    <w:p>
      <w:pPr>
        <w:spacing w:after="0" w:line="102" w:lineRule="exact"/>
        <w:rPr>
          <w:sz w:val="20"/>
          <w:szCs w:val="20"/>
          <w:color w:val="auto"/>
        </w:rPr>
      </w:pPr>
    </w:p>
    <w:p>
      <w:pPr>
        <w:ind w:left="160" w:hanging="142"/>
        <w:spacing w:after="0"/>
        <w:rPr>
          <w:sz w:val="20"/>
          <w:szCs w:val="20"/>
          <w:color w:val="auto"/>
        </w:rPr>
      </w:pPr>
      <w:r>
        <w:rPr>
          <w:sz w:val="1"/>
          <w:szCs w:val="1"/>
          <w:color w:val="auto"/>
        </w:rPr>
        <w:drawing>
          <wp:inline distT="0" distB="0" distL="0" distR="0">
            <wp:extent cx="45720" cy="75565"/>
            <wp:effectExtent l="0" t="0" r="0" b="0"/>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Valuable insight related to the significant political and regulatory requirements in countries where the Company has a significant presence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Other Public Company Directorships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Current: None</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Formerly Held in Past Five Years: Technip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375920</wp:posOffset>
            </wp:positionV>
            <wp:extent cx="7148195" cy="152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2224" w:space="720"/>
            <w:col w:w="8240"/>
          </w:cols>
          <w:pgMar w:left="316" w:top="128" w:right="399" w:bottom="1440" w:gutter="0" w:footer="0" w:header="0"/>
        </w:sectPr>
      </w:pPr>
    </w:p>
    <w:bookmarkStart w:id="123" w:name="page124"/>
    <w:bookmarkEnd w:id="123"/>
    <w:p>
      <w:pPr>
        <w:ind w:left="24"/>
        <w:spacing w:after="0"/>
        <w:rPr>
          <w:sz w:val="20"/>
          <w:szCs w:val="20"/>
          <w:color w:val="auto"/>
        </w:rPr>
      </w:pPr>
      <w:r>
        <w:rPr>
          <w:rFonts w:ascii="Arial" w:cs="Arial" w:eastAsia="Arial" w:hAnsi="Arial"/>
          <w:sz w:val="12"/>
          <w:szCs w:val="12"/>
          <w:b w:val="1"/>
          <w:bCs w:val="1"/>
          <w:color w:val="481F6E"/>
        </w:rPr>
        <w:t>TechnipFMC Proxy Statement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James M. Ringler</w:t>
      </w:r>
    </w:p>
    <w:p>
      <w:pPr>
        <w:spacing w:after="0" w:line="2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Independent</w:t>
      </w:r>
    </w:p>
    <w:p>
      <w:pPr>
        <w:spacing w:after="0" w:line="156"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Age: </w:t>
      </w:r>
      <w:r>
        <w:rPr>
          <w:rFonts w:ascii="Arial" w:cs="Arial" w:eastAsia="Arial" w:hAnsi="Arial"/>
          <w:sz w:val="14"/>
          <w:szCs w:val="14"/>
          <w:color w:val="333740"/>
        </w:rPr>
        <w:t>74</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Director Since: </w:t>
      </w:r>
      <w:r>
        <w:rPr>
          <w:rFonts w:ascii="Arial" w:cs="Arial" w:eastAsia="Arial" w:hAnsi="Arial"/>
          <w:sz w:val="14"/>
          <w:szCs w:val="14"/>
          <w:color w:val="333740"/>
        </w:rPr>
        <w:t>2017</w:t>
      </w:r>
    </w:p>
    <w:p>
      <w:pPr>
        <w:spacing w:after="0" w:line="3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Legacy Director Since: </w:t>
      </w:r>
      <w:r>
        <w:rPr>
          <w:rFonts w:ascii="Arial" w:cs="Arial" w:eastAsia="Arial" w:hAnsi="Arial"/>
          <w:sz w:val="14"/>
          <w:szCs w:val="14"/>
          <w:color w:val="333740"/>
        </w:rPr>
        <w:t>2001</w:t>
      </w:r>
    </w:p>
    <w:p>
      <w:pPr>
        <w:spacing w:after="0" w:line="42" w:lineRule="exact"/>
        <w:rPr>
          <w:sz w:val="20"/>
          <w:szCs w:val="20"/>
          <w:color w:val="auto"/>
        </w:rPr>
      </w:pPr>
    </w:p>
    <w:p>
      <w:pPr>
        <w:ind w:left="144" w:right="240"/>
        <w:spacing w:after="0" w:line="316" w:lineRule="auto"/>
        <w:rPr>
          <w:sz w:val="20"/>
          <w:szCs w:val="20"/>
          <w:color w:val="auto"/>
        </w:rPr>
      </w:pPr>
      <w:r>
        <w:rPr>
          <w:rFonts w:ascii="Arial" w:cs="Arial" w:eastAsia="Arial" w:hAnsi="Arial"/>
          <w:sz w:val="14"/>
          <w:szCs w:val="14"/>
          <w:b w:val="1"/>
          <w:bCs w:val="1"/>
          <w:color w:val="333740"/>
        </w:rPr>
        <w:t xml:space="preserve">Committees: </w:t>
      </w:r>
      <w:r>
        <w:rPr>
          <w:rFonts w:ascii="Arial" w:cs="Arial" w:eastAsia="Arial" w:hAnsi="Arial"/>
          <w:sz w:val="14"/>
          <w:szCs w:val="14"/>
          <w:color w:val="333740"/>
        </w:rPr>
        <w:t>Compensation</w:t>
      </w:r>
      <w:r>
        <w:rPr>
          <w:rFonts w:ascii="Arial" w:cs="Arial" w:eastAsia="Arial" w:hAnsi="Arial"/>
          <w:sz w:val="14"/>
          <w:szCs w:val="14"/>
          <w:b w:val="1"/>
          <w:bCs w:val="1"/>
          <w:color w:val="333740"/>
        </w:rPr>
        <w:t xml:space="preserve"> </w:t>
      </w:r>
      <w:r>
        <w:rPr>
          <w:rFonts w:ascii="Arial" w:cs="Arial" w:eastAsia="Arial" w:hAnsi="Arial"/>
          <w:sz w:val="14"/>
          <w:szCs w:val="14"/>
          <w:color w:val="333740"/>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4" w:hanging="564"/>
        <w:spacing w:after="0"/>
        <w:tabs>
          <w:tab w:leader="none" w:pos="564" w:val="left"/>
        </w:tabs>
        <w:numPr>
          <w:ilvl w:val="0"/>
          <w:numId w:val="153"/>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-159385</wp:posOffset>
            </wp:positionV>
            <wp:extent cx="7148195" cy="28606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8195" cy="2860675"/>
                    </a:xfrm>
                    <a:prstGeom prst="rect">
                      <a:avLst/>
                    </a:prstGeom>
                    <a:noFill/>
                  </pic:spPr>
                </pic:pic>
              </a:graphicData>
            </a:graphic>
          </wp:anchor>
        </w:drawing>
      </w:r>
    </w:p>
    <w:p>
      <w:pPr>
        <w:spacing w:after="0" w:line="4" w:lineRule="exact"/>
        <w:rPr>
          <w:sz w:val="20"/>
          <w:szCs w:val="20"/>
          <w:color w:val="auto"/>
        </w:rPr>
      </w:pPr>
    </w:p>
    <w:p>
      <w:pPr>
        <w:ind w:left="160" w:right="260" w:hanging="142"/>
        <w:spacing w:after="0"/>
        <w:rPr>
          <w:sz w:val="20"/>
          <w:szCs w:val="20"/>
          <w:color w:val="auto"/>
        </w:rPr>
      </w:pPr>
      <w:r>
        <w:rPr>
          <w:sz w:val="1"/>
          <w:szCs w:val="1"/>
          <w:color w:val="auto"/>
        </w:rPr>
        <w:drawing>
          <wp:inline distT="0" distB="0" distL="0" distR="0">
            <wp:extent cx="45720" cy="75565"/>
            <wp:effectExtent l="0" t="0" r="0"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Mr. Ringler served as non-executive Chairman of the Board of Teradata Corporation, a provider of database software, data warehousing, and analytics, from October 2007 until January 2019.</w:t>
      </w:r>
    </w:p>
    <w:p>
      <w:pPr>
        <w:spacing w:after="0" w:line="67" w:lineRule="exact"/>
        <w:rPr>
          <w:sz w:val="20"/>
          <w:szCs w:val="20"/>
          <w:color w:val="auto"/>
        </w:rPr>
      </w:pPr>
    </w:p>
    <w:p>
      <w:pPr>
        <w:ind w:left="160" w:hanging="142"/>
        <w:spacing w:after="0"/>
        <w:rPr>
          <w:sz w:val="20"/>
          <w:szCs w:val="20"/>
          <w:color w:val="auto"/>
        </w:rPr>
      </w:pPr>
      <w:r>
        <w:rPr>
          <w:sz w:val="1"/>
          <w:szCs w:val="1"/>
          <w:color w:val="auto"/>
        </w:rPr>
        <w:drawing>
          <wp:inline distT="0" distB="0" distL="0" distR="0">
            <wp:extent cx="45720" cy="75565"/>
            <wp:effectExtent l="0" t="0" r="0" b="0"/>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Mr. Ringler served as Vice Chairman of Illinois Tool Works Inc., a global manufacturer of specialty products, until his retirement in 2004.</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Prior to joining Illinois Tool Works, he was Chairman, President, and Chief Executive Officer of Premark International, Inc.</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w:t>
      </w:r>
      <w:r>
        <w:rPr>
          <w:rFonts w:ascii="Arial" w:cs="Arial" w:eastAsia="Arial" w:hAnsi="Arial"/>
          <w:sz w:val="14"/>
          <w:szCs w:val="14"/>
          <w:b w:val="1"/>
          <w:bCs w:val="1"/>
          <w:color w:val="333740"/>
        </w:rPr>
        <w:t>Premark</w:t>
      </w:r>
      <w:r>
        <w:rPr>
          <w:rFonts w:ascii="Arial" w:cs="Arial" w:eastAsia="Arial" w:hAnsi="Arial"/>
          <w:sz w:val="14"/>
          <w:szCs w:val="14"/>
          <w:color w:val="333740"/>
        </w:rPr>
        <w:t>”) from October 1996 until Premark merged with Illinois Tool Works in November 1999.</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Mr. Ringler joined Premark in 1990 and served as Executive Vice President and Chief Operating Officer until 1996.</w:t>
      </w:r>
    </w:p>
    <w:p>
      <w:pPr>
        <w:spacing w:after="0" w:line="102" w:lineRule="exact"/>
        <w:rPr>
          <w:sz w:val="20"/>
          <w:szCs w:val="20"/>
          <w:color w:val="auto"/>
        </w:rPr>
      </w:pPr>
    </w:p>
    <w:p>
      <w:pPr>
        <w:ind w:left="160" w:right="180" w:hanging="142"/>
        <w:spacing w:after="0"/>
        <w:rPr>
          <w:sz w:val="20"/>
          <w:szCs w:val="20"/>
          <w:color w:val="auto"/>
        </w:rPr>
      </w:pPr>
      <w:r>
        <w:rPr>
          <w:sz w:val="1"/>
          <w:szCs w:val="1"/>
          <w:color w:val="auto"/>
        </w:rPr>
        <w:drawing>
          <wp:inline distT="0" distB="0" distL="0" distR="0">
            <wp:extent cx="45720" cy="75565"/>
            <wp:effectExtent l="0" t="0" r="0" b="0"/>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From 1986 to 1990, he was President of White Consolidated Industries’ Major Appliance Group, and, from 1982 to 1986, he was President and Chief Operating Officer of The Tappan Company.</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Key Skills &amp; Qualifications</w:t>
      </w:r>
    </w:p>
    <w:p>
      <w:pPr>
        <w:spacing w:after="0" w:line="79" w:lineRule="exact"/>
        <w:rPr>
          <w:sz w:val="20"/>
          <w:szCs w:val="20"/>
          <w:color w:val="auto"/>
        </w:rPr>
      </w:pPr>
    </w:p>
    <w:p>
      <w:pPr>
        <w:ind w:left="160" w:right="140" w:hanging="142"/>
        <w:spacing w:after="0"/>
        <w:rPr>
          <w:sz w:val="20"/>
          <w:szCs w:val="20"/>
          <w:color w:val="auto"/>
        </w:rPr>
      </w:pPr>
      <w:r>
        <w:rPr>
          <w:sz w:val="1"/>
          <w:szCs w:val="1"/>
          <w:color w:val="auto"/>
        </w:rPr>
        <w:drawing>
          <wp:inline distT="0" distB="0" distL="0" distR="0">
            <wp:extent cx="45720" cy="75565"/>
            <wp:effectExtent l="0" t="0" r="0" b="0"/>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Executive management experience as a chief executive officer and senior executive of several major U.S. organizations with international operations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Financial, risk management, and strategy expertise</w:t>
      </w:r>
    </w:p>
    <w:p>
      <w:pPr>
        <w:spacing w:after="0" w:line="78" w:lineRule="exact"/>
        <w:rPr>
          <w:sz w:val="20"/>
          <w:szCs w:val="20"/>
          <w:color w:val="auto"/>
        </w:rPr>
      </w:pPr>
    </w:p>
    <w:p>
      <w:pPr>
        <w:ind w:left="180" w:right="1280"/>
        <w:spacing w:after="0" w:line="383" w:lineRule="auto"/>
        <w:rPr>
          <w:sz w:val="20"/>
          <w:szCs w:val="20"/>
          <w:color w:val="auto"/>
        </w:rPr>
      </w:pPr>
      <w:r>
        <w:rPr>
          <w:rFonts w:ascii="Arial" w:cs="Arial" w:eastAsia="Arial" w:hAnsi="Arial"/>
          <w:sz w:val="14"/>
          <w:szCs w:val="14"/>
          <w:color w:val="333740"/>
        </w:rPr>
        <w:t>Experience as a board member of public and private companies with international operations Experience in a variety of industries that provides diversity of perspective</w:t>
      </w:r>
    </w:p>
    <w:p>
      <w:pPr>
        <w:ind w:left="180"/>
        <w:spacing w:after="0"/>
        <w:rPr>
          <w:sz w:val="20"/>
          <w:szCs w:val="20"/>
          <w:color w:val="auto"/>
        </w:rPr>
      </w:pPr>
      <w:r>
        <w:rPr>
          <w:rFonts w:ascii="Arial" w:cs="Arial" w:eastAsia="Arial" w:hAnsi="Arial"/>
          <w:sz w:val="14"/>
          <w:szCs w:val="14"/>
          <w:color w:val="333740"/>
        </w:rPr>
        <w:t>Experience implementing business strategy via transformative transactions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Other Public Company Directorships</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Current: Autoliv Inc., John Bean Technologies Corporation, Teradata Corporation, Veoneer Inc.</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Formerly Held in the Past Five Years: DowDuPont, Inc., FMC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351790</wp:posOffset>
            </wp:positionV>
            <wp:extent cx="7148195" cy="152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2224" w:space="720"/>
            <w:col w:w="8180"/>
          </w:cols>
          <w:pgMar w:left="316" w:top="128" w:right="459" w:bottom="1440" w:gutter="0" w:footer="0" w:header="0"/>
        </w:sectPr>
      </w:pPr>
    </w:p>
    <w:bookmarkStart w:id="124" w:name="page125"/>
    <w:bookmarkEnd w:id="124"/>
    <w:p>
      <w:pPr>
        <w:ind w:left="24"/>
        <w:spacing w:after="0"/>
        <w:rPr>
          <w:sz w:val="20"/>
          <w:szCs w:val="20"/>
          <w:color w:val="auto"/>
        </w:rPr>
      </w:pPr>
      <w:r>
        <w:rPr>
          <w:rFonts w:ascii="Arial" w:cs="Arial" w:eastAsia="Arial" w:hAnsi="Arial"/>
          <w:sz w:val="12"/>
          <w:szCs w:val="12"/>
          <w:b w:val="1"/>
          <w:bCs w:val="1"/>
          <w:color w:val="481F6E"/>
        </w:rPr>
        <w:t>TechnipFMC Proxy Statement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John Yearwood</w:t>
      </w:r>
    </w:p>
    <w:p>
      <w:pPr>
        <w:spacing w:after="0" w:line="24"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481F6E"/>
        </w:rPr>
        <w:t>Independent</w:t>
      </w:r>
    </w:p>
    <w:p>
      <w:pPr>
        <w:spacing w:after="0" w:line="156"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Age: </w:t>
      </w:r>
      <w:r>
        <w:rPr>
          <w:rFonts w:ascii="Arial" w:cs="Arial" w:eastAsia="Arial" w:hAnsi="Arial"/>
          <w:sz w:val="14"/>
          <w:szCs w:val="14"/>
          <w:color w:val="333740"/>
        </w:rPr>
        <w:t>60</w:t>
      </w:r>
    </w:p>
    <w:p>
      <w:pPr>
        <w:spacing w:after="0" w:line="42"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Director Since: </w:t>
      </w:r>
      <w:r>
        <w:rPr>
          <w:rFonts w:ascii="Arial" w:cs="Arial" w:eastAsia="Arial" w:hAnsi="Arial"/>
          <w:sz w:val="14"/>
          <w:szCs w:val="14"/>
          <w:color w:val="333740"/>
        </w:rPr>
        <w:t>2019</w:t>
      </w:r>
    </w:p>
    <w:p>
      <w:pPr>
        <w:spacing w:after="0" w:line="30" w:lineRule="exact"/>
        <w:rPr>
          <w:sz w:val="20"/>
          <w:szCs w:val="20"/>
          <w:color w:val="auto"/>
        </w:rPr>
      </w:pPr>
    </w:p>
    <w:p>
      <w:pPr>
        <w:ind w:left="144"/>
        <w:spacing w:after="0"/>
        <w:rPr>
          <w:sz w:val="20"/>
          <w:szCs w:val="20"/>
          <w:color w:val="auto"/>
        </w:rPr>
      </w:pPr>
      <w:r>
        <w:rPr>
          <w:rFonts w:ascii="Arial" w:cs="Arial" w:eastAsia="Arial" w:hAnsi="Arial"/>
          <w:sz w:val="14"/>
          <w:szCs w:val="14"/>
          <w:b w:val="1"/>
          <w:bCs w:val="1"/>
          <w:color w:val="333740"/>
        </w:rPr>
        <w:t xml:space="preserve">Committees: </w:t>
      </w:r>
      <w:r>
        <w:rPr>
          <w:rFonts w:ascii="Arial" w:cs="Arial" w:eastAsia="Arial" w:hAnsi="Arial"/>
          <w:sz w:val="14"/>
          <w:szCs w:val="14"/>
          <w:color w:val="333740"/>
        </w:rPr>
        <w:t>Compensation,</w:t>
      </w:r>
    </w:p>
    <w:p>
      <w:pPr>
        <w:spacing w:after="0" w:line="21" w:lineRule="exact"/>
        <w:rPr>
          <w:sz w:val="20"/>
          <w:szCs w:val="20"/>
          <w:color w:val="auto"/>
        </w:rPr>
      </w:pPr>
    </w:p>
    <w:p>
      <w:pPr>
        <w:ind w:left="144"/>
        <w:spacing w:after="0"/>
        <w:rPr>
          <w:sz w:val="20"/>
          <w:szCs w:val="20"/>
          <w:color w:val="auto"/>
        </w:rPr>
      </w:pPr>
      <w:r>
        <w:rPr>
          <w:rFonts w:ascii="Arial" w:cs="Arial" w:eastAsia="Arial" w:hAnsi="Arial"/>
          <w:sz w:val="14"/>
          <w:szCs w:val="14"/>
          <w:color w:val="333740"/>
        </w:rPr>
        <w:t>Nominating and Corporate</w:t>
      </w:r>
    </w:p>
    <w:p>
      <w:pPr>
        <w:spacing w:after="0" w:line="6" w:lineRule="exact"/>
        <w:rPr>
          <w:sz w:val="20"/>
          <w:szCs w:val="20"/>
          <w:color w:val="auto"/>
        </w:rPr>
      </w:pPr>
    </w:p>
    <w:p>
      <w:pPr>
        <w:ind w:left="144"/>
        <w:spacing w:after="0"/>
        <w:rPr>
          <w:sz w:val="20"/>
          <w:szCs w:val="20"/>
          <w:color w:val="auto"/>
        </w:rPr>
      </w:pPr>
      <w:r>
        <w:rPr>
          <w:rFonts w:ascii="Arial" w:cs="Arial" w:eastAsia="Arial" w:hAnsi="Arial"/>
          <w:sz w:val="14"/>
          <w:szCs w:val="14"/>
          <w:color w:val="333740"/>
        </w:rPr>
        <w:t>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4" w:hanging="564"/>
        <w:spacing w:after="0"/>
        <w:tabs>
          <w:tab w:leader="none" w:pos="564" w:val="left"/>
        </w:tabs>
        <w:numPr>
          <w:ilvl w:val="0"/>
          <w:numId w:val="15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-159385</wp:posOffset>
            </wp:positionV>
            <wp:extent cx="7148195" cy="282257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8195" cy="2822575"/>
                    </a:xfrm>
                    <a:prstGeom prst="rect">
                      <a:avLst/>
                    </a:prstGeom>
                    <a:noFill/>
                  </pic:spPr>
                </pic:pic>
              </a:graphicData>
            </a:graphic>
          </wp:anchor>
        </w:drawing>
      </w:r>
    </w:p>
    <w:p>
      <w:pPr>
        <w:spacing w:after="0" w:line="28" w:lineRule="exact"/>
        <w:rPr>
          <w:sz w:val="20"/>
          <w:szCs w:val="20"/>
          <w:color w:val="auto"/>
        </w:rPr>
      </w:pPr>
    </w:p>
    <w:p>
      <w:pPr>
        <w:ind w:left="160" w:right="100" w:hanging="142"/>
        <w:spacing w:after="0"/>
        <w:rPr>
          <w:sz w:val="20"/>
          <w:szCs w:val="20"/>
          <w:color w:val="auto"/>
        </w:rPr>
      </w:pPr>
      <w:r>
        <w:rPr>
          <w:sz w:val="1"/>
          <w:szCs w:val="1"/>
          <w:color w:val="auto"/>
        </w:rPr>
        <w:drawing>
          <wp:inline distT="0" distB="0" distL="0" distR="0">
            <wp:extent cx="45720" cy="75565"/>
            <wp:effectExtent l="0" t="0" r="0" b="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Mr. Yearwood served as President, Chief Executive Officer, and Chief Operating Officer of Smith International, Inc., a Houston-based company specializing in the provision of services and the manufacturing of products used by the drilling industry from 2009 until August 2010, when the company merged with Schlumberger Limited.</w:t>
      </w:r>
    </w:p>
    <w:p>
      <w:pPr>
        <w:spacing w:after="0" w:line="55" w:lineRule="exact"/>
        <w:rPr>
          <w:sz w:val="20"/>
          <w:szCs w:val="20"/>
          <w:color w:val="auto"/>
        </w:rPr>
      </w:pPr>
    </w:p>
    <w:p>
      <w:pPr>
        <w:ind w:left="160" w:hanging="142"/>
        <w:spacing w:after="0"/>
        <w:rPr>
          <w:sz w:val="20"/>
          <w:szCs w:val="20"/>
          <w:color w:val="auto"/>
        </w:rPr>
      </w:pPr>
      <w:r>
        <w:rPr>
          <w:sz w:val="1"/>
          <w:szCs w:val="1"/>
          <w:color w:val="auto"/>
        </w:rPr>
        <w:drawing>
          <wp:inline distT="0" distB="0" distL="0" distR="0">
            <wp:extent cx="45720" cy="75565"/>
            <wp:effectExtent l="0" t="0" r="0" b="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Prior to joining Smith International, Inc., he spent over 26 years at Schlumberger Limited in a succession of executive leadership positions, including President of North and South America Oilfield Services from 2004 to 2006, Vice President, Finance, WesternGeco and OFS Controller from 2000 to 2004, and Vice President, Marketing from 1999 to 2000.</w:t>
      </w:r>
    </w:p>
    <w:p>
      <w:pPr>
        <w:spacing w:after="0" w:line="91" w:lineRule="exact"/>
        <w:rPr>
          <w:sz w:val="20"/>
          <w:szCs w:val="20"/>
          <w:color w:val="auto"/>
        </w:rPr>
      </w:pPr>
    </w:p>
    <w:p>
      <w:pPr>
        <w:ind w:left="160" w:right="160" w:hanging="142"/>
        <w:spacing w:after="0"/>
        <w:rPr>
          <w:sz w:val="20"/>
          <w:szCs w:val="20"/>
          <w:color w:val="auto"/>
        </w:rPr>
      </w:pPr>
      <w:r>
        <w:rPr>
          <w:sz w:val="1"/>
          <w:szCs w:val="1"/>
          <w:color w:val="auto"/>
        </w:rPr>
        <w:drawing>
          <wp:inline distT="0" distB="0" distL="0" distR="0">
            <wp:extent cx="45720" cy="75565"/>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He began his career serving in numerous management and technical positions for Schlumberger and Dowell Schlumberger, a joint venture with Dow Chemical.</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Key Skills &amp; Qualifications</w:t>
      </w:r>
    </w:p>
    <w:p>
      <w:pPr>
        <w:spacing w:after="0" w:line="29" w:lineRule="exact"/>
        <w:rPr>
          <w:sz w:val="20"/>
          <w:szCs w:val="20"/>
          <w:color w:val="auto"/>
        </w:rPr>
      </w:pPr>
    </w:p>
    <w:p>
      <w:pPr>
        <w:ind w:left="160" w:right="460" w:hanging="142"/>
        <w:spacing w:after="0"/>
        <w:rPr>
          <w:sz w:val="20"/>
          <w:szCs w:val="20"/>
          <w:color w:val="auto"/>
        </w:rPr>
      </w:pPr>
      <w:r>
        <w:rPr>
          <w:sz w:val="1"/>
          <w:szCs w:val="1"/>
          <w:color w:val="auto"/>
        </w:rPr>
        <w:drawing>
          <wp:inline distT="0" distB="0" distL="0" distR="0">
            <wp:extent cx="45720" cy="75565"/>
            <wp:effectExtent l="0" t="0" r="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5720" cy="75565"/>
                    </a:xfrm>
                    <a:prstGeom prst="rect">
                      <a:avLst/>
                    </a:prstGeom>
                    <a:noFill/>
                    <a:ln>
                      <a:noFill/>
                    </a:ln>
                  </pic:spPr>
                </pic:pic>
              </a:graphicData>
            </a:graphic>
          </wp:inline>
        </w:drawing>
      </w:r>
      <w:r>
        <w:rPr>
          <w:rFonts w:ascii="Arial" w:cs="Arial" w:eastAsia="Arial" w:hAnsi="Arial"/>
          <w:sz w:val="14"/>
          <w:szCs w:val="14"/>
          <w:color w:val="333740"/>
        </w:rPr>
        <w:t xml:space="preserve"> Significant executive management experience, including as President and Chief Executive Oﬃcer of Smith International, Inc.</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Experience as a board member of public and private companies with international operations</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Technology, strategy, governance, and M&amp;A expertise</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Oil and gas exploration and production experience</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International experience in countries where the Company has a significant presence</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Diversity in geographic origin that enhances the Board’s perspective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333740"/>
        </w:rPr>
        <w:t>Other Public Company Directorships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333740"/>
        </w:rPr>
        <w:t>Current: Nabors Industries Ltd. (Lead Director)</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333740"/>
        </w:rPr>
        <w:t>Formerly Held in Past Five Years: Sabine Oil &amp;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351790</wp:posOffset>
            </wp:positionV>
            <wp:extent cx="7148195" cy="152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2224" w:space="720"/>
            <w:col w:w="8280"/>
          </w:cols>
          <w:pgMar w:left="316" w:top="128" w:right="359" w:bottom="1440" w:gutter="0" w:footer="0" w:header="0"/>
        </w:sectPr>
      </w:pPr>
    </w:p>
    <w:bookmarkStart w:id="125" w:name="page126"/>
    <w:bookmarkEnd w:id="125"/>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57"/>
          <w:szCs w:val="57"/>
          <w:color w:val="481F6E"/>
        </w:rPr>
        <w:t>Proposal 2 –</w:t>
      </w:r>
    </w:p>
    <w:p>
      <w:pPr>
        <w:spacing w:after="0" w:line="4" w:lineRule="exact"/>
        <w:rPr>
          <w:sz w:val="20"/>
          <w:szCs w:val="20"/>
          <w:color w:val="auto"/>
        </w:rPr>
      </w:pPr>
    </w:p>
    <w:p>
      <w:pPr>
        <w:ind w:left="4"/>
        <w:spacing w:after="0"/>
        <w:rPr>
          <w:sz w:val="20"/>
          <w:szCs w:val="20"/>
          <w:color w:val="auto"/>
        </w:rPr>
      </w:pPr>
      <w:r>
        <w:rPr>
          <w:rFonts w:ascii="Arial" w:cs="Arial" w:eastAsia="Arial" w:hAnsi="Arial"/>
          <w:sz w:val="57"/>
          <w:szCs w:val="57"/>
          <w:color w:val="481F6E"/>
        </w:rPr>
        <w:t>2019 Say-on-Pay for NEOs</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What am I voting on?</w:t>
      </w:r>
    </w:p>
    <w:p>
      <w:pPr>
        <w:spacing w:after="0" w:line="28" w:lineRule="exact"/>
        <w:rPr>
          <w:sz w:val="20"/>
          <w:szCs w:val="20"/>
          <w:color w:val="auto"/>
        </w:rPr>
      </w:pPr>
    </w:p>
    <w:p>
      <w:pPr>
        <w:ind w:left="4" w:right="160"/>
        <w:spacing w:after="0" w:line="256" w:lineRule="auto"/>
        <w:rPr>
          <w:sz w:val="20"/>
          <w:szCs w:val="20"/>
          <w:color w:val="auto"/>
        </w:rPr>
      </w:pPr>
      <w:r>
        <w:rPr>
          <w:rFonts w:ascii="Arial" w:cs="Arial" w:eastAsia="Arial" w:hAnsi="Arial"/>
          <w:sz w:val="16"/>
          <w:szCs w:val="16"/>
          <w:color w:val="333740"/>
        </w:rPr>
        <w:t>Executive compensation is an important matter to the Company, the Board, the Compensation Committee, and the Company’s shareholders. Our executive compensation program is reviewed by the Compensation Committee with the objective of developing a program that balances the Company’s implementation of business plans in the short term, while remaining focused on long-term strategy.</w:t>
      </w:r>
    </w:p>
    <w:p>
      <w:pPr>
        <w:spacing w:after="0" w:line="56" w:lineRule="exact"/>
        <w:rPr>
          <w:sz w:val="20"/>
          <w:szCs w:val="20"/>
          <w:color w:val="auto"/>
        </w:rPr>
      </w:pPr>
    </w:p>
    <w:p>
      <w:pPr>
        <w:ind w:left="4" w:right="120"/>
        <w:spacing w:after="0" w:line="236" w:lineRule="auto"/>
        <w:rPr>
          <w:sz w:val="20"/>
          <w:szCs w:val="20"/>
          <w:color w:val="auto"/>
        </w:rPr>
      </w:pPr>
      <w:r>
        <w:rPr>
          <w:rFonts w:ascii="Arial" w:cs="Arial" w:eastAsia="Arial" w:hAnsi="Arial"/>
          <w:sz w:val="16"/>
          <w:szCs w:val="16"/>
          <w:color w:val="333740"/>
        </w:rPr>
        <w:t>Our Say-on-Pay vote gives our shareholders the opportunity to vote on a non-binding, advisory resolution to approve the compensation of our NEOs as disclosed in this Proxy Statement, including the Compensation Discussion and Analysis, compensation tables, and narrative discussion. We currently include this advisory vote on an annual basis. While the Say-on-Pay vote is advisory and therefore not binding, our Board and Compensation Committee value the diverse perspectives of our shareholders, which we receive through a number of channels, including the Say-on-Pay vote. We carefully consider our shareholders’ feedback throughout the year in evaluating our executive compensation program. We are asking our shareholders to approve the compensation of our NEOs by casting a vote “FOR” the following resolution:</w:t>
      </w:r>
    </w:p>
    <w:p>
      <w:pPr>
        <w:spacing w:after="0" w:line="86" w:lineRule="exact"/>
        <w:rPr>
          <w:sz w:val="20"/>
          <w:szCs w:val="20"/>
          <w:color w:val="auto"/>
        </w:rPr>
      </w:pPr>
    </w:p>
    <w:p>
      <w:pPr>
        <w:ind w:left="4"/>
        <w:spacing w:after="0" w:line="244" w:lineRule="auto"/>
        <w:rPr>
          <w:sz w:val="20"/>
          <w:szCs w:val="20"/>
          <w:color w:val="auto"/>
        </w:rPr>
      </w:pPr>
      <w:r>
        <w:rPr>
          <w:rFonts w:ascii="Arial" w:cs="Arial" w:eastAsia="Arial" w:hAnsi="Arial"/>
          <w:sz w:val="16"/>
          <w:szCs w:val="16"/>
          <w:color w:val="333740"/>
        </w:rPr>
        <w:t>RESOLVED, that the compensation paid to the Company’s NEOs, as disclosed pursuant to Item 402 of Regulation S-K, including the Compensation Discussion and Analysis, compensation tables, and narrative discussion is hereby APPROVED.</w:t>
      </w:r>
    </w:p>
    <w:p>
      <w:pPr>
        <w:spacing w:after="0" w:line="6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What are some of our executive compensation program highlights?</w:t>
      </w:r>
    </w:p>
    <w:p>
      <w:pPr>
        <w:spacing w:after="0" w:line="119" w:lineRule="exact"/>
        <w:rPr>
          <w:sz w:val="20"/>
          <w:szCs w:val="20"/>
          <w:color w:val="auto"/>
        </w:rPr>
      </w:pPr>
    </w:p>
    <w:p>
      <w:pPr>
        <w:ind w:left="4" w:right="60"/>
        <w:spacing w:after="0" w:line="265" w:lineRule="auto"/>
        <w:rPr>
          <w:sz w:val="20"/>
          <w:szCs w:val="20"/>
          <w:color w:val="auto"/>
        </w:rPr>
      </w:pPr>
      <w:r>
        <w:rPr>
          <w:rFonts w:ascii="Arial" w:cs="Arial" w:eastAsia="Arial" w:hAnsi="Arial"/>
          <w:sz w:val="16"/>
          <w:szCs w:val="16"/>
          <w:color w:val="333740"/>
        </w:rPr>
        <w:t>The “</w:t>
      </w:r>
      <w:r>
        <w:rPr>
          <w:rFonts w:ascii="Arial" w:cs="Arial" w:eastAsia="Arial" w:hAnsi="Arial"/>
          <w:sz w:val="16"/>
          <w:szCs w:val="16"/>
          <w:i w:val="1"/>
          <w:iCs w:val="1"/>
          <w:color w:val="333740"/>
        </w:rPr>
        <w:t>Executive Compensation Discussion and Analysis</w:t>
      </w:r>
      <w:r>
        <w:rPr>
          <w:rFonts w:ascii="Arial" w:cs="Arial" w:eastAsia="Arial" w:hAnsi="Arial"/>
          <w:sz w:val="16"/>
          <w:szCs w:val="16"/>
          <w:color w:val="333740"/>
        </w:rPr>
        <w:t>” section of this Proxy Statement describes in detail our executive compensation program and decisions made by our Compensation Committee for 2019.</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Is this vote binding on the Board or the Compensation Committee?</w:t>
      </w:r>
    </w:p>
    <w:p>
      <w:pPr>
        <w:spacing w:after="0" w:line="51" w:lineRule="exact"/>
        <w:rPr>
          <w:sz w:val="20"/>
          <w:szCs w:val="20"/>
          <w:color w:val="auto"/>
        </w:rPr>
      </w:pPr>
    </w:p>
    <w:p>
      <w:pPr>
        <w:ind w:left="4" w:right="80"/>
        <w:spacing w:after="0" w:line="239" w:lineRule="auto"/>
        <w:rPr>
          <w:sz w:val="20"/>
          <w:szCs w:val="20"/>
          <w:color w:val="auto"/>
        </w:rPr>
      </w:pPr>
      <w:r>
        <w:rPr>
          <w:rFonts w:ascii="Arial" w:cs="Arial" w:eastAsia="Arial" w:hAnsi="Arial"/>
          <w:sz w:val="16"/>
          <w:szCs w:val="16"/>
          <w:color w:val="333740"/>
        </w:rPr>
        <w:t>This vote is advisory only, pursuant to Section 14(a) of the Exchange Act, and our NEOs’ 2019 compensation is not conditional on it. The vote will not be binding upon the Board or the Compensation Committee, and neither the Board nor the Compensation Committee will be required to take any action (or refrain from taking any action) as a result of the outcome of the vote on this proposal.</w:t>
      </w:r>
    </w:p>
    <w:p>
      <w:pPr>
        <w:spacing w:after="0" w:line="84" w:lineRule="exact"/>
        <w:rPr>
          <w:sz w:val="20"/>
          <w:szCs w:val="20"/>
          <w:color w:val="auto"/>
        </w:rPr>
      </w:pPr>
    </w:p>
    <w:p>
      <w:pPr>
        <w:ind w:left="4" w:right="140"/>
        <w:spacing w:after="0" w:line="236" w:lineRule="auto"/>
        <w:rPr>
          <w:sz w:val="20"/>
          <w:szCs w:val="20"/>
          <w:color w:val="auto"/>
        </w:rPr>
      </w:pPr>
      <w:r>
        <w:rPr>
          <w:rFonts w:ascii="Arial" w:cs="Arial" w:eastAsia="Arial" w:hAnsi="Arial"/>
          <w:sz w:val="16"/>
          <w:szCs w:val="16"/>
          <w:color w:val="333740"/>
        </w:rPr>
        <w:t>The Board values shareholders’ feedback, and the Compensation Committee will review and consider the outcome of the vote, as well as feedback received directly from shareholders from our shareholder engagement program, in connection with the ongoing review of the Company’s executive compensation program. However, shareholders should note that because the advisory vote on executive compensation occurs well after the beginning of the compensation year, and because the different elements of our executive compensation programs are designed to operate in an integrated manner and to complement one another, in many cases it may not be appropriate or feasible to change our executive compensation programs in consideration of any one year’s advisory vote on executive compensation by the time of the following year’s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48195" cy="3263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48195" cy="326390"/>
                    </a:xfrm>
                    <a:prstGeom prst="rect">
                      <a:avLst/>
                    </a:prstGeom>
                    <a:noFill/>
                  </pic:spPr>
                </pic:pic>
              </a:graphicData>
            </a:graphic>
          </wp:anchor>
        </w:drawing>
      </w:r>
    </w:p>
    <w:p>
      <w:pPr>
        <w:spacing w:after="0" w:line="90" w:lineRule="exact"/>
        <w:rPr>
          <w:sz w:val="20"/>
          <w:szCs w:val="20"/>
          <w:color w:val="auto"/>
        </w:rPr>
      </w:pPr>
    </w:p>
    <w:p>
      <w:pPr>
        <w:ind w:left="64"/>
        <w:spacing w:after="0"/>
        <w:rPr>
          <w:sz w:val="20"/>
          <w:szCs w:val="20"/>
          <w:color w:val="auto"/>
        </w:rPr>
      </w:pPr>
      <w:r>
        <w:rPr>
          <w:rFonts w:ascii="Arial" w:cs="Arial" w:eastAsia="Arial" w:hAnsi="Arial"/>
          <w:sz w:val="14"/>
          <w:szCs w:val="14"/>
          <w:b w:val="1"/>
          <w:bCs w:val="1"/>
          <w:color w:val="333740"/>
        </w:rPr>
        <w:t>How does the Board recommend that I vote?</w:t>
      </w:r>
    </w:p>
    <w:p>
      <w:pPr>
        <w:spacing w:after="0" w:line="64" w:lineRule="exact"/>
        <w:rPr>
          <w:sz w:val="20"/>
          <w:szCs w:val="20"/>
          <w:color w:val="auto"/>
        </w:rPr>
      </w:pPr>
    </w:p>
    <w:p>
      <w:pPr>
        <w:ind w:left="64"/>
        <w:spacing w:after="0"/>
        <w:rPr>
          <w:sz w:val="20"/>
          <w:szCs w:val="20"/>
          <w:color w:val="auto"/>
        </w:rPr>
      </w:pPr>
      <w:r>
        <w:rPr>
          <w:rFonts w:ascii="Arial" w:cs="Arial" w:eastAsia="Arial" w:hAnsi="Arial"/>
          <w:sz w:val="14"/>
          <w:szCs w:val="14"/>
          <w:b w:val="1"/>
          <w:bCs w:val="1"/>
          <w:color w:val="333740"/>
        </w:rPr>
        <w:t>The Board recommends that you vote “FOR” this proposal.</w:t>
      </w:r>
    </w:p>
    <w:p>
      <w:pPr>
        <w:spacing w:after="0" w:line="200" w:lineRule="exact"/>
        <w:rPr>
          <w:sz w:val="20"/>
          <w:szCs w:val="20"/>
          <w:color w:val="auto"/>
        </w:rPr>
      </w:pPr>
    </w:p>
    <w:p>
      <w:pPr>
        <w:spacing w:after="0" w:line="219" w:lineRule="exact"/>
        <w:rPr>
          <w:sz w:val="20"/>
          <w:szCs w:val="20"/>
          <w:color w:val="auto"/>
        </w:rPr>
      </w:pPr>
    </w:p>
    <w:p>
      <w:pPr>
        <w:ind w:left="564" w:hanging="564"/>
        <w:spacing w:after="0"/>
        <w:tabs>
          <w:tab w:leader="none" w:pos="564" w:val="left"/>
        </w:tabs>
        <w:numPr>
          <w:ilvl w:val="0"/>
          <w:numId w:val="155"/>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128" w:right="339" w:bottom="1440" w:gutter="0" w:footer="0" w:header="0"/>
        </w:sectPr>
      </w:pPr>
    </w:p>
    <w:bookmarkStart w:id="126" w:name="page127"/>
    <w:bookmarkEnd w:id="126"/>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54" w:lineRule="exact"/>
        <w:rPr>
          <w:sz w:val="20"/>
          <w:szCs w:val="20"/>
          <w:color w:val="auto"/>
        </w:rPr>
      </w:pPr>
    </w:p>
    <w:p>
      <w:pPr>
        <w:ind w:left="4" w:right="5140"/>
        <w:spacing w:after="0" w:line="263" w:lineRule="auto"/>
        <w:rPr>
          <w:sz w:val="20"/>
          <w:szCs w:val="20"/>
          <w:color w:val="auto"/>
        </w:rPr>
      </w:pPr>
      <w:r>
        <w:rPr>
          <w:rFonts w:ascii="Arial" w:cs="Arial" w:eastAsia="Arial" w:hAnsi="Arial"/>
          <w:sz w:val="57"/>
          <w:szCs w:val="57"/>
          <w:color w:val="481F6E"/>
        </w:rPr>
        <w:t>Proposal 3 – 2019 Directors’ Remuneration Report</w:t>
      </w:r>
    </w:p>
    <w:p>
      <w:pPr>
        <w:spacing w:after="0" w:line="7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What am I voting on?</w:t>
      </w:r>
    </w:p>
    <w:p>
      <w:pPr>
        <w:spacing w:after="0" w:line="51" w:lineRule="exact"/>
        <w:rPr>
          <w:sz w:val="20"/>
          <w:szCs w:val="20"/>
          <w:color w:val="auto"/>
        </w:rPr>
      </w:pPr>
    </w:p>
    <w:p>
      <w:pPr>
        <w:ind w:left="4" w:right="200"/>
        <w:spacing w:after="0" w:line="237" w:lineRule="auto"/>
        <w:rPr>
          <w:sz w:val="20"/>
          <w:szCs w:val="20"/>
          <w:color w:val="auto"/>
        </w:rPr>
      </w:pPr>
      <w:r>
        <w:rPr>
          <w:rFonts w:ascii="Arial" w:cs="Arial" w:eastAsia="Arial" w:hAnsi="Arial"/>
          <w:sz w:val="16"/>
          <w:szCs w:val="16"/>
          <w:color w:val="333740"/>
        </w:rPr>
        <w:t>All U.K. incorporated companies that are “quoted companies” under the Companies Act are required to submit their directors’ remuneration report to shareholders on an annual basis. As such, we are asking our shareholders to approve, on a non-binding advisory basis, the 2019 Directors’ Remuneration Report of our U.K. Annual Report and Accounts, which reports our 2019 executive and non-executive directors’ compensation. Please see the discussion under “</w:t>
      </w:r>
      <w:r>
        <w:rPr>
          <w:rFonts w:ascii="Arial" w:cs="Arial" w:eastAsia="Arial" w:hAnsi="Arial"/>
          <w:sz w:val="16"/>
          <w:szCs w:val="16"/>
          <w:i w:val="1"/>
          <w:iCs w:val="1"/>
          <w:color w:val="333740"/>
        </w:rPr>
        <w:t>Proposal 2—Say-on-Pay for NEOs</w:t>
      </w:r>
      <w:r>
        <w:rPr>
          <w:rFonts w:ascii="Arial" w:cs="Arial" w:eastAsia="Arial" w:hAnsi="Arial"/>
          <w:sz w:val="16"/>
          <w:szCs w:val="16"/>
          <w:color w:val="333740"/>
        </w:rPr>
        <w:t>” above for the reasons why the Board is recommending that the shareholders vote “FOR” the 2019 Directors’ Remuneration Report.</w:t>
      </w:r>
    </w:p>
    <w:p>
      <w:pPr>
        <w:spacing w:after="0" w:line="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Is this vote binding on the Board or the Compensation Committee?</w:t>
      </w:r>
    </w:p>
    <w:p>
      <w:pPr>
        <w:spacing w:after="0" w:line="51" w:lineRule="exact"/>
        <w:rPr>
          <w:sz w:val="20"/>
          <w:szCs w:val="20"/>
          <w:color w:val="auto"/>
        </w:rPr>
      </w:pPr>
    </w:p>
    <w:p>
      <w:pPr>
        <w:jc w:val="both"/>
        <w:ind w:left="4" w:right="20"/>
        <w:spacing w:after="0" w:line="244" w:lineRule="auto"/>
        <w:rPr>
          <w:sz w:val="20"/>
          <w:szCs w:val="20"/>
          <w:color w:val="auto"/>
        </w:rPr>
      </w:pPr>
      <w:r>
        <w:rPr>
          <w:rFonts w:ascii="Arial" w:cs="Arial" w:eastAsia="Arial" w:hAnsi="Arial"/>
          <w:sz w:val="16"/>
          <w:szCs w:val="16"/>
          <w:color w:val="333740"/>
        </w:rPr>
        <w:t>This vote is advisory only, pursuant to the Companies Act, and our directors’ entitlement to receive remuneration is not conditional on it. Payments made or promised to directors will not have to be repaid, reduced, or withheld in the event that the resolution is not passed.</w:t>
      </w:r>
    </w:p>
    <w:p>
      <w:pPr>
        <w:spacing w:after="0" w:line="68" w:lineRule="exact"/>
        <w:rPr>
          <w:sz w:val="20"/>
          <w:szCs w:val="20"/>
          <w:color w:val="auto"/>
        </w:rPr>
      </w:pPr>
    </w:p>
    <w:p>
      <w:pPr>
        <w:jc w:val="both"/>
        <w:ind w:left="4"/>
        <w:spacing w:after="0" w:line="239" w:lineRule="auto"/>
        <w:rPr>
          <w:sz w:val="20"/>
          <w:szCs w:val="20"/>
          <w:color w:val="auto"/>
        </w:rPr>
      </w:pPr>
      <w:r>
        <w:rPr>
          <w:rFonts w:ascii="Arial" w:cs="Arial" w:eastAsia="Arial" w:hAnsi="Arial"/>
          <w:sz w:val="16"/>
          <w:szCs w:val="16"/>
          <w:color w:val="333740"/>
        </w:rPr>
        <w:t>The resolution and vote are a means of providing shareholder feedback to the Board. The Board values shareholders’ feedback, and the Compensation Committee will review and consider the outcome of the vote in connection with the ongoing review of the Company’s executive director and non-executive director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148195" cy="29591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8195" cy="295910"/>
                    </a:xfrm>
                    <a:prstGeom prst="rect">
                      <a:avLst/>
                    </a:prstGeom>
                    <a:noFill/>
                  </pic:spPr>
                </pic:pic>
              </a:graphicData>
            </a:graphic>
          </wp:anchor>
        </w:drawing>
      </w:r>
    </w:p>
    <w:p>
      <w:pPr>
        <w:spacing w:after="0" w:line="77" w:lineRule="exact"/>
        <w:rPr>
          <w:sz w:val="20"/>
          <w:szCs w:val="20"/>
          <w:color w:val="auto"/>
        </w:rPr>
      </w:pPr>
    </w:p>
    <w:p>
      <w:pPr>
        <w:ind w:left="44"/>
        <w:spacing w:after="0"/>
        <w:rPr>
          <w:sz w:val="20"/>
          <w:szCs w:val="20"/>
          <w:color w:val="auto"/>
        </w:rPr>
      </w:pPr>
      <w:r>
        <w:rPr>
          <w:rFonts w:ascii="Arial" w:cs="Arial" w:eastAsia="Arial" w:hAnsi="Arial"/>
          <w:sz w:val="14"/>
          <w:szCs w:val="14"/>
          <w:b w:val="1"/>
          <w:bCs w:val="1"/>
          <w:color w:val="333740"/>
        </w:rPr>
        <w:t>How does the Board recommend that I vote?</w:t>
      </w:r>
    </w:p>
    <w:p>
      <w:pPr>
        <w:spacing w:after="0" w:line="64" w:lineRule="exact"/>
        <w:rPr>
          <w:sz w:val="20"/>
          <w:szCs w:val="20"/>
          <w:color w:val="auto"/>
        </w:rPr>
      </w:pPr>
    </w:p>
    <w:p>
      <w:pPr>
        <w:ind w:left="44"/>
        <w:spacing w:after="0"/>
        <w:rPr>
          <w:sz w:val="20"/>
          <w:szCs w:val="20"/>
          <w:color w:val="auto"/>
        </w:rPr>
      </w:pPr>
      <w:r>
        <w:rPr>
          <w:rFonts w:ascii="Arial" w:cs="Arial" w:eastAsia="Arial" w:hAnsi="Arial"/>
          <w:sz w:val="14"/>
          <w:szCs w:val="14"/>
          <w:b w:val="1"/>
          <w:bCs w:val="1"/>
          <w:color w:val="333740"/>
        </w:rPr>
        <w:t>The Board recommends that you vote “FOR” this proposal.</w:t>
      </w:r>
    </w:p>
    <w:p>
      <w:pPr>
        <w:spacing w:after="0" w:line="395" w:lineRule="exact"/>
        <w:rPr>
          <w:sz w:val="20"/>
          <w:szCs w:val="20"/>
          <w:color w:val="auto"/>
        </w:rPr>
      </w:pPr>
    </w:p>
    <w:p>
      <w:pPr>
        <w:ind w:left="564" w:hanging="564"/>
        <w:spacing w:after="0"/>
        <w:tabs>
          <w:tab w:leader="none" w:pos="564" w:val="left"/>
        </w:tabs>
        <w:numPr>
          <w:ilvl w:val="0"/>
          <w:numId w:val="15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127" w:name="page128"/>
    <w:bookmarkEnd w:id="127"/>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57"/>
          <w:szCs w:val="57"/>
          <w:color w:val="481F6E"/>
        </w:rPr>
        <w:t>Proposal 4 –</w:t>
      </w:r>
    </w:p>
    <w:p>
      <w:pPr>
        <w:spacing w:after="0" w:line="3" w:lineRule="exact"/>
        <w:rPr>
          <w:sz w:val="20"/>
          <w:szCs w:val="20"/>
          <w:color w:val="auto"/>
        </w:rPr>
      </w:pPr>
    </w:p>
    <w:p>
      <w:pPr>
        <w:ind w:left="4" w:right="2540"/>
        <w:spacing w:after="0" w:line="286" w:lineRule="auto"/>
        <w:rPr>
          <w:sz w:val="20"/>
          <w:szCs w:val="20"/>
          <w:color w:val="auto"/>
        </w:rPr>
      </w:pPr>
      <w:r>
        <w:rPr>
          <w:rFonts w:ascii="Arial" w:cs="Arial" w:eastAsia="Arial" w:hAnsi="Arial"/>
          <w:sz w:val="57"/>
          <w:szCs w:val="57"/>
          <w:color w:val="481F6E"/>
        </w:rPr>
        <w:t>Receipt of U.K. Annual Report and Accounts</w:t>
      </w:r>
    </w:p>
    <w:p>
      <w:pPr>
        <w:spacing w:after="0" w:line="1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What am I voting on?</w:t>
      </w:r>
    </w:p>
    <w:p>
      <w:pPr>
        <w:spacing w:after="0" w:line="51" w:lineRule="exact"/>
        <w:rPr>
          <w:sz w:val="20"/>
          <w:szCs w:val="20"/>
          <w:color w:val="auto"/>
        </w:rPr>
      </w:pPr>
    </w:p>
    <w:p>
      <w:pPr>
        <w:ind w:left="4"/>
        <w:spacing w:after="0" w:line="276" w:lineRule="auto"/>
        <w:rPr>
          <w:sz w:val="20"/>
          <w:szCs w:val="20"/>
          <w:color w:val="auto"/>
        </w:rPr>
      </w:pPr>
      <w:r>
        <w:rPr>
          <w:rFonts w:ascii="Arial" w:cs="Arial" w:eastAsia="Arial" w:hAnsi="Arial"/>
          <w:sz w:val="15"/>
          <w:szCs w:val="15"/>
          <w:color w:val="333740"/>
        </w:rPr>
        <w:t>Along with this Proxy Statement, the Company is providing its U.K. Annual Report and Accounts, including the related directors’ and auditor’s report, for the year ended December 31, 2019. Under the Companies Act, our shareholders must vote to receive the U.K. Annual Report and Accounts and related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8195" cy="3263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8195" cy="326390"/>
                    </a:xfrm>
                    <a:prstGeom prst="rect">
                      <a:avLst/>
                    </a:prstGeom>
                    <a:noFill/>
                  </pic:spPr>
                </pic:pic>
              </a:graphicData>
            </a:graphic>
          </wp:anchor>
        </w:drawing>
      </w:r>
    </w:p>
    <w:p>
      <w:pPr>
        <w:spacing w:after="0" w:line="3" w:lineRule="exact"/>
        <w:rPr>
          <w:sz w:val="20"/>
          <w:szCs w:val="20"/>
          <w:color w:val="auto"/>
        </w:rPr>
      </w:pPr>
    </w:p>
    <w:p>
      <w:pPr>
        <w:ind w:left="64"/>
        <w:spacing w:after="0"/>
        <w:rPr>
          <w:sz w:val="20"/>
          <w:szCs w:val="20"/>
          <w:color w:val="auto"/>
        </w:rPr>
      </w:pPr>
      <w:r>
        <w:rPr>
          <w:rFonts w:ascii="Arial" w:cs="Arial" w:eastAsia="Arial" w:hAnsi="Arial"/>
          <w:sz w:val="14"/>
          <w:szCs w:val="14"/>
          <w:b w:val="1"/>
          <w:bCs w:val="1"/>
          <w:color w:val="333740"/>
        </w:rPr>
        <w:t>How does the Board recommend that I vote?</w:t>
      </w:r>
    </w:p>
    <w:p>
      <w:pPr>
        <w:spacing w:after="0" w:line="64" w:lineRule="exact"/>
        <w:rPr>
          <w:sz w:val="20"/>
          <w:szCs w:val="20"/>
          <w:color w:val="auto"/>
        </w:rPr>
      </w:pPr>
    </w:p>
    <w:p>
      <w:pPr>
        <w:ind w:left="64"/>
        <w:spacing w:after="0"/>
        <w:rPr>
          <w:sz w:val="20"/>
          <w:szCs w:val="20"/>
          <w:color w:val="auto"/>
        </w:rPr>
      </w:pPr>
      <w:r>
        <w:rPr>
          <w:rFonts w:ascii="Arial" w:cs="Arial" w:eastAsia="Arial" w:hAnsi="Arial"/>
          <w:sz w:val="14"/>
          <w:szCs w:val="14"/>
          <w:b w:val="1"/>
          <w:bCs w:val="1"/>
          <w:color w:val="333740"/>
        </w:rPr>
        <w:t>The Board recommends that you vote “FOR” this proposal.</w:t>
      </w:r>
    </w:p>
    <w:p>
      <w:pPr>
        <w:spacing w:after="0" w:line="200" w:lineRule="exact"/>
        <w:rPr>
          <w:sz w:val="20"/>
          <w:szCs w:val="20"/>
          <w:color w:val="auto"/>
        </w:rPr>
      </w:pPr>
    </w:p>
    <w:p>
      <w:pPr>
        <w:spacing w:after="0" w:line="254" w:lineRule="exact"/>
        <w:rPr>
          <w:sz w:val="20"/>
          <w:szCs w:val="20"/>
          <w:color w:val="auto"/>
        </w:rPr>
      </w:pPr>
    </w:p>
    <w:p>
      <w:pPr>
        <w:ind w:left="564" w:hanging="564"/>
        <w:spacing w:after="0"/>
        <w:tabs>
          <w:tab w:leader="none" w:pos="564" w:val="left"/>
        </w:tabs>
        <w:numPr>
          <w:ilvl w:val="0"/>
          <w:numId w:val="157"/>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24"/>
          </w:cols>
          <w:pgMar w:left="316" w:top="128" w:right="559" w:bottom="1440" w:gutter="0" w:footer="0" w:header="0"/>
        </w:sectPr>
      </w:pPr>
    </w:p>
    <w:bookmarkStart w:id="128" w:name="page129"/>
    <w:bookmarkEnd w:id="128"/>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p>
    <w:p>
      <w:pPr>
        <w:ind w:left="4"/>
        <w:spacing w:after="0"/>
        <w:rPr>
          <w:sz w:val="20"/>
          <w:szCs w:val="20"/>
          <w:color w:val="auto"/>
        </w:rPr>
      </w:pPr>
      <w:r>
        <w:rPr>
          <w:rFonts w:ascii="Arial" w:cs="Arial" w:eastAsia="Arial" w:hAnsi="Arial"/>
          <w:sz w:val="57"/>
          <w:szCs w:val="57"/>
          <w:color w:val="481F6E"/>
        </w:rPr>
        <w:t>Proposal 5 –</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57"/>
          <w:szCs w:val="57"/>
          <w:color w:val="481F6E"/>
        </w:rPr>
        <w:t>Ratification of U.S. Auditor</w:t>
      </w:r>
    </w:p>
    <w:p>
      <w:pPr>
        <w:spacing w:after="0" w:line="10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What am I voting on?</w:t>
      </w:r>
    </w:p>
    <w:p>
      <w:pPr>
        <w:spacing w:after="0" w:line="51" w:lineRule="exact"/>
        <w:rPr>
          <w:sz w:val="20"/>
          <w:szCs w:val="20"/>
          <w:color w:val="auto"/>
        </w:rPr>
      </w:pPr>
    </w:p>
    <w:p>
      <w:pPr>
        <w:ind w:left="4" w:right="40"/>
        <w:spacing w:after="0" w:line="238" w:lineRule="auto"/>
        <w:rPr>
          <w:sz w:val="20"/>
          <w:szCs w:val="20"/>
          <w:color w:val="auto"/>
        </w:rPr>
      </w:pPr>
      <w:r>
        <w:rPr>
          <w:rFonts w:ascii="Arial" w:cs="Arial" w:eastAsia="Arial" w:hAnsi="Arial"/>
          <w:sz w:val="16"/>
          <w:szCs w:val="16"/>
          <w:color w:val="333740"/>
        </w:rPr>
        <w:t>The Audit Committee has appointed PwC as the Company’s U.S. independent registered public accounting firm for the fiscal year ending December 31, 2020, subject to ratification by the Company’s shareholders. Although the ratification of this appointment is not required to be submitted to a vote of the shareholders, the Board believes it appropriate as a matter of policy to request that the shareholders ratify the appointment of the independent registered public accounting firm for the year ending December 31, 2020.</w:t>
      </w:r>
    </w:p>
    <w:p>
      <w:pPr>
        <w:spacing w:after="0" w:line="83" w:lineRule="exact"/>
        <w:rPr>
          <w:sz w:val="20"/>
          <w:szCs w:val="20"/>
          <w:color w:val="auto"/>
        </w:rPr>
      </w:pPr>
    </w:p>
    <w:p>
      <w:pPr>
        <w:ind w:left="4"/>
        <w:spacing w:after="0"/>
        <w:rPr>
          <w:sz w:val="20"/>
          <w:szCs w:val="20"/>
          <w:color w:val="auto"/>
        </w:rPr>
      </w:pPr>
      <w:r>
        <w:rPr>
          <w:rFonts w:ascii="Arial" w:cs="Arial" w:eastAsia="Arial" w:hAnsi="Arial"/>
          <w:sz w:val="16"/>
          <w:szCs w:val="16"/>
          <w:color w:val="333740"/>
        </w:rPr>
        <w:t>If this proposal is not approved, the Audit Committee will reconsider the appointment, but may decide to maintain its appointment of PwC.</w:t>
      </w:r>
    </w:p>
    <w:p>
      <w:pPr>
        <w:spacing w:after="0" w:line="79" w:lineRule="exact"/>
        <w:rPr>
          <w:sz w:val="20"/>
          <w:szCs w:val="20"/>
          <w:color w:val="auto"/>
        </w:rPr>
      </w:pPr>
    </w:p>
    <w:p>
      <w:pPr>
        <w:ind w:left="4" w:right="420"/>
        <w:spacing w:after="0" w:line="244" w:lineRule="auto"/>
        <w:rPr>
          <w:sz w:val="20"/>
          <w:szCs w:val="20"/>
          <w:color w:val="auto"/>
        </w:rPr>
      </w:pPr>
      <w:r>
        <w:rPr>
          <w:rFonts w:ascii="Arial" w:cs="Arial" w:eastAsia="Arial" w:hAnsi="Arial"/>
          <w:sz w:val="16"/>
          <w:szCs w:val="16"/>
          <w:color w:val="333740"/>
        </w:rPr>
        <w:t>Representatives of PwC are expected to be present at the Annual Meeting. They will have an opportunity to make a statement if they so desire and will be available to respond to appropriate questions.</w:t>
      </w:r>
    </w:p>
    <w:p>
      <w:pPr>
        <w:spacing w:after="0" w:line="6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How much was the independent registered public accounting firm paid for 2019 and 2018?</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6"/>
          <w:szCs w:val="16"/>
          <w:color w:val="333740"/>
        </w:rPr>
        <w:t>Set forth below is summary information with respect to PwC’s fees for services provided in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6078220</wp:posOffset>
            </wp:positionH>
            <wp:positionV relativeFrom="paragraph">
              <wp:posOffset>126365</wp:posOffset>
            </wp:positionV>
            <wp:extent cx="7620" cy="17462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620" cy="17462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126365</wp:posOffset>
            </wp:positionV>
            <wp:extent cx="7620" cy="17462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620" cy="174625"/>
                    </a:xfrm>
                    <a:prstGeom prst="rect">
                      <a:avLst/>
                    </a:prstGeom>
                    <a:noFill/>
                  </pic:spPr>
                </pic:pic>
              </a:graphicData>
            </a:graphic>
          </wp:anchor>
        </w:drawing>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255"/>
        </w:trPr>
        <w:tc>
          <w:tcPr>
            <w:tcW w:w="4700" w:type="dxa"/>
            <w:vAlign w:val="bottom"/>
            <w:tcBorders>
              <w:bottom w:val="single" w:sz="8" w:color="481F6E"/>
            </w:tcBorders>
            <w:shd w:val="clear" w:color="auto" w:fill="481F6E"/>
          </w:tcPr>
          <w:p>
            <w:pPr>
              <w:ind w:left="20"/>
              <w:spacing w:after="0"/>
              <w:rPr>
                <w:sz w:val="20"/>
                <w:szCs w:val="20"/>
                <w:color w:val="auto"/>
              </w:rPr>
            </w:pPr>
            <w:r>
              <w:rPr>
                <w:rFonts w:ascii="Arial" w:cs="Arial" w:eastAsia="Arial" w:hAnsi="Arial"/>
                <w:sz w:val="16"/>
                <w:szCs w:val="16"/>
                <w:b w:val="1"/>
                <w:bCs w:val="1"/>
                <w:color w:val="FFFFFF"/>
              </w:rPr>
              <w:t>Type of Fees</w:t>
            </w:r>
          </w:p>
        </w:tc>
        <w:tc>
          <w:tcPr>
            <w:tcW w:w="4980" w:type="dxa"/>
            <w:vAlign w:val="bottom"/>
            <w:tcBorders>
              <w:bottom w:val="single" w:sz="8" w:color="481F6E"/>
            </w:tcBorders>
            <w:shd w:val="clear" w:color="auto" w:fill="481F6E"/>
          </w:tcPr>
          <w:p>
            <w:pPr>
              <w:jc w:val="right"/>
              <w:ind w:right="167"/>
              <w:spacing w:after="0"/>
              <w:rPr>
                <w:sz w:val="20"/>
                <w:szCs w:val="20"/>
                <w:color w:val="auto"/>
              </w:rPr>
            </w:pPr>
            <w:r>
              <w:rPr>
                <w:rFonts w:ascii="Arial" w:cs="Arial" w:eastAsia="Arial" w:hAnsi="Arial"/>
                <w:sz w:val="16"/>
                <w:szCs w:val="16"/>
                <w:b w:val="1"/>
                <w:bCs w:val="1"/>
                <w:color w:val="FFFFFF"/>
              </w:rPr>
              <w:t>2019 (in millions)</w:t>
            </w:r>
          </w:p>
        </w:tc>
        <w:tc>
          <w:tcPr>
            <w:tcW w:w="1580" w:type="dxa"/>
            <w:vAlign w:val="bottom"/>
            <w:tcBorders>
              <w:bottom w:val="single" w:sz="8" w:color="481F6E"/>
            </w:tcBorders>
            <w:shd w:val="clear" w:color="auto" w:fill="481F6E"/>
          </w:tcPr>
          <w:p>
            <w:pPr>
              <w:jc w:val="right"/>
              <w:spacing w:after="0"/>
              <w:rPr>
                <w:sz w:val="20"/>
                <w:szCs w:val="20"/>
                <w:color w:val="auto"/>
              </w:rPr>
            </w:pPr>
            <w:r>
              <w:rPr>
                <w:rFonts w:ascii="Arial" w:cs="Arial" w:eastAsia="Arial" w:hAnsi="Arial"/>
                <w:sz w:val="16"/>
                <w:szCs w:val="16"/>
                <w:b w:val="1"/>
                <w:bCs w:val="1"/>
                <w:color w:val="FFFFFF"/>
              </w:rPr>
              <w:t>2018 (in millions)</w:t>
            </w:r>
          </w:p>
        </w:tc>
      </w:tr>
      <w:tr>
        <w:trPr>
          <w:trHeight w:val="221"/>
        </w:trPr>
        <w:tc>
          <w:tcPr>
            <w:tcW w:w="4700" w:type="dxa"/>
            <w:vAlign w:val="bottom"/>
          </w:tcPr>
          <w:p>
            <w:pPr>
              <w:ind w:left="20"/>
              <w:spacing w:after="0"/>
              <w:rPr>
                <w:sz w:val="20"/>
                <w:szCs w:val="20"/>
                <w:color w:val="auto"/>
              </w:rPr>
            </w:pPr>
            <w:r>
              <w:rPr>
                <w:rFonts w:ascii="Arial" w:cs="Arial" w:eastAsia="Arial" w:hAnsi="Arial"/>
                <w:sz w:val="14"/>
                <w:szCs w:val="14"/>
                <w:color w:val="333740"/>
              </w:rPr>
              <w:t>Audit Fees</w:t>
            </w:r>
          </w:p>
        </w:tc>
        <w:tc>
          <w:tcPr>
            <w:tcW w:w="4980" w:type="dxa"/>
            <w:vAlign w:val="bottom"/>
          </w:tcPr>
          <w:p>
            <w:pPr>
              <w:jc w:val="right"/>
              <w:ind w:right="167"/>
              <w:spacing w:after="0"/>
              <w:rPr>
                <w:sz w:val="20"/>
                <w:szCs w:val="20"/>
                <w:color w:val="auto"/>
              </w:rPr>
            </w:pPr>
            <w:r>
              <w:rPr>
                <w:rFonts w:ascii="Arial" w:cs="Arial" w:eastAsia="Arial" w:hAnsi="Arial"/>
                <w:sz w:val="14"/>
                <w:szCs w:val="14"/>
                <w:color w:val="333740"/>
              </w:rPr>
              <w:t>$22.80</w:t>
            </w:r>
          </w:p>
        </w:tc>
        <w:tc>
          <w:tcPr>
            <w:tcW w:w="1580" w:type="dxa"/>
            <w:vAlign w:val="bottom"/>
          </w:tcPr>
          <w:p>
            <w:pPr>
              <w:jc w:val="right"/>
              <w:spacing w:after="0"/>
              <w:rPr>
                <w:sz w:val="20"/>
                <w:szCs w:val="20"/>
                <w:color w:val="auto"/>
              </w:rPr>
            </w:pPr>
            <w:r>
              <w:rPr>
                <w:rFonts w:ascii="Arial" w:cs="Arial" w:eastAsia="Arial" w:hAnsi="Arial"/>
                <w:sz w:val="14"/>
                <w:szCs w:val="14"/>
                <w:color w:val="333740"/>
              </w:rPr>
              <w:t>$15.52</w:t>
            </w:r>
          </w:p>
        </w:tc>
      </w:tr>
      <w:tr>
        <w:trPr>
          <w:trHeight w:val="34"/>
        </w:trPr>
        <w:tc>
          <w:tcPr>
            <w:tcW w:w="4700" w:type="dxa"/>
            <w:vAlign w:val="bottom"/>
            <w:tcBorders>
              <w:bottom w:val="single" w:sz="8" w:color="D7D8D6"/>
            </w:tcBorders>
          </w:tcPr>
          <w:p>
            <w:pPr>
              <w:spacing w:after="0"/>
              <w:rPr>
                <w:sz w:val="2"/>
                <w:szCs w:val="2"/>
                <w:color w:val="auto"/>
              </w:rPr>
            </w:pPr>
          </w:p>
        </w:tc>
        <w:tc>
          <w:tcPr>
            <w:tcW w:w="4980" w:type="dxa"/>
            <w:vAlign w:val="bottom"/>
            <w:tcBorders>
              <w:bottom w:val="single" w:sz="8" w:color="D7D8D6"/>
            </w:tcBorders>
          </w:tcPr>
          <w:p>
            <w:pPr>
              <w:spacing w:after="0"/>
              <w:rPr>
                <w:sz w:val="2"/>
                <w:szCs w:val="2"/>
                <w:color w:val="auto"/>
              </w:rPr>
            </w:pPr>
          </w:p>
        </w:tc>
        <w:tc>
          <w:tcPr>
            <w:tcW w:w="1580" w:type="dxa"/>
            <w:vAlign w:val="bottom"/>
            <w:tcBorders>
              <w:bottom w:val="single" w:sz="8" w:color="D7D8D6"/>
            </w:tcBorders>
          </w:tcPr>
          <w:p>
            <w:pPr>
              <w:spacing w:after="0"/>
              <w:rPr>
                <w:sz w:val="2"/>
                <w:szCs w:val="2"/>
                <w:color w:val="auto"/>
              </w:rPr>
            </w:pPr>
          </w:p>
        </w:tc>
      </w:tr>
      <w:tr>
        <w:trPr>
          <w:trHeight w:val="243"/>
        </w:trPr>
        <w:tc>
          <w:tcPr>
            <w:tcW w:w="470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Audit-Related Fees</w:t>
            </w:r>
          </w:p>
        </w:tc>
        <w:tc>
          <w:tcPr>
            <w:tcW w:w="4980" w:type="dxa"/>
            <w:vAlign w:val="bottom"/>
            <w:tcBorders>
              <w:bottom w:val="single" w:sz="8" w:color="D7D8D6"/>
            </w:tcBorders>
          </w:tcPr>
          <w:p>
            <w:pPr>
              <w:jc w:val="right"/>
              <w:ind w:right="167"/>
              <w:spacing w:after="0"/>
              <w:rPr>
                <w:sz w:val="20"/>
                <w:szCs w:val="20"/>
                <w:color w:val="auto"/>
              </w:rPr>
            </w:pPr>
            <w:r>
              <w:rPr>
                <w:rFonts w:ascii="Arial" w:cs="Arial" w:eastAsia="Arial" w:hAnsi="Arial"/>
                <w:sz w:val="14"/>
                <w:szCs w:val="14"/>
                <w:color w:val="333740"/>
              </w:rPr>
              <w:t>$0.06</w:t>
            </w:r>
          </w:p>
        </w:tc>
        <w:tc>
          <w:tcPr>
            <w:tcW w:w="15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0.25</w:t>
            </w:r>
          </w:p>
        </w:tc>
      </w:tr>
      <w:tr>
        <w:trPr>
          <w:trHeight w:val="243"/>
        </w:trPr>
        <w:tc>
          <w:tcPr>
            <w:tcW w:w="470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Tax Fees</w:t>
            </w:r>
          </w:p>
        </w:tc>
        <w:tc>
          <w:tcPr>
            <w:tcW w:w="4980" w:type="dxa"/>
            <w:vAlign w:val="bottom"/>
            <w:tcBorders>
              <w:bottom w:val="single" w:sz="8" w:color="D7D8D6"/>
            </w:tcBorders>
          </w:tcPr>
          <w:p>
            <w:pPr>
              <w:jc w:val="right"/>
              <w:ind w:right="167"/>
              <w:spacing w:after="0"/>
              <w:rPr>
                <w:sz w:val="20"/>
                <w:szCs w:val="20"/>
                <w:color w:val="auto"/>
              </w:rPr>
            </w:pPr>
            <w:r>
              <w:rPr>
                <w:rFonts w:ascii="Arial" w:cs="Arial" w:eastAsia="Arial" w:hAnsi="Arial"/>
                <w:sz w:val="14"/>
                <w:szCs w:val="14"/>
                <w:color w:val="333740"/>
              </w:rPr>
              <w:t>$0.13</w:t>
            </w:r>
          </w:p>
        </w:tc>
        <w:tc>
          <w:tcPr>
            <w:tcW w:w="15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0.51</w:t>
            </w:r>
          </w:p>
        </w:tc>
      </w:tr>
      <w:tr>
        <w:trPr>
          <w:trHeight w:val="243"/>
        </w:trPr>
        <w:tc>
          <w:tcPr>
            <w:tcW w:w="4700" w:type="dxa"/>
            <w:vAlign w:val="bottom"/>
            <w:tcBorders>
              <w:bottom w:val="single" w:sz="8" w:color="5F6369"/>
            </w:tcBorders>
          </w:tcPr>
          <w:p>
            <w:pPr>
              <w:ind w:left="20"/>
              <w:spacing w:after="0"/>
              <w:rPr>
                <w:sz w:val="20"/>
                <w:szCs w:val="20"/>
                <w:color w:val="auto"/>
              </w:rPr>
            </w:pPr>
            <w:r>
              <w:rPr>
                <w:rFonts w:ascii="Arial" w:cs="Arial" w:eastAsia="Arial" w:hAnsi="Arial"/>
                <w:sz w:val="14"/>
                <w:szCs w:val="14"/>
                <w:color w:val="333740"/>
              </w:rPr>
              <w:t>Other Fees</w:t>
            </w:r>
          </w:p>
        </w:tc>
        <w:tc>
          <w:tcPr>
            <w:tcW w:w="4980" w:type="dxa"/>
            <w:vAlign w:val="bottom"/>
            <w:tcBorders>
              <w:bottom w:val="single" w:sz="8" w:color="5F6369"/>
            </w:tcBorders>
          </w:tcPr>
          <w:p>
            <w:pPr>
              <w:jc w:val="right"/>
              <w:ind w:right="167"/>
              <w:spacing w:after="0"/>
              <w:rPr>
                <w:sz w:val="20"/>
                <w:szCs w:val="20"/>
                <w:color w:val="auto"/>
              </w:rPr>
            </w:pPr>
            <w:r>
              <w:rPr>
                <w:rFonts w:ascii="Arial" w:cs="Arial" w:eastAsia="Arial" w:hAnsi="Arial"/>
                <w:sz w:val="14"/>
                <w:szCs w:val="14"/>
                <w:color w:val="333740"/>
              </w:rPr>
              <w:t>$0</w:t>
            </w:r>
          </w:p>
        </w:tc>
        <w:tc>
          <w:tcPr>
            <w:tcW w:w="1580" w:type="dxa"/>
            <w:vAlign w:val="bottom"/>
            <w:tcBorders>
              <w:bottom w:val="single" w:sz="8" w:color="5F6369"/>
            </w:tcBorders>
          </w:tcPr>
          <w:p>
            <w:pPr>
              <w:jc w:val="right"/>
              <w:spacing w:after="0"/>
              <w:rPr>
                <w:sz w:val="20"/>
                <w:szCs w:val="20"/>
                <w:color w:val="auto"/>
              </w:rPr>
            </w:pPr>
            <w:r>
              <w:rPr>
                <w:rFonts w:ascii="Arial" w:cs="Arial" w:eastAsia="Arial" w:hAnsi="Arial"/>
                <w:sz w:val="14"/>
                <w:szCs w:val="14"/>
                <w:color w:val="333740"/>
              </w:rPr>
              <w:t>0.93</w:t>
            </w:r>
          </w:p>
        </w:tc>
      </w:tr>
      <w:tr>
        <w:trPr>
          <w:trHeight w:val="243"/>
        </w:trPr>
        <w:tc>
          <w:tcPr>
            <w:tcW w:w="4700" w:type="dxa"/>
            <w:vAlign w:val="bottom"/>
            <w:tcBorders>
              <w:bottom w:val="single" w:sz="8" w:color="D7D8D6"/>
            </w:tcBorders>
          </w:tcPr>
          <w:p>
            <w:pPr>
              <w:ind w:left="20"/>
              <w:spacing w:after="0"/>
              <w:rPr>
                <w:sz w:val="20"/>
                <w:szCs w:val="20"/>
                <w:color w:val="auto"/>
              </w:rPr>
            </w:pPr>
            <w:r>
              <w:rPr>
                <w:rFonts w:ascii="Arial" w:cs="Arial" w:eastAsia="Arial" w:hAnsi="Arial"/>
                <w:sz w:val="14"/>
                <w:szCs w:val="14"/>
                <w:b w:val="1"/>
                <w:bCs w:val="1"/>
                <w:color w:val="333740"/>
              </w:rPr>
              <w:t>Total</w:t>
            </w:r>
          </w:p>
        </w:tc>
        <w:tc>
          <w:tcPr>
            <w:tcW w:w="4980" w:type="dxa"/>
            <w:vAlign w:val="bottom"/>
            <w:tcBorders>
              <w:bottom w:val="single" w:sz="8" w:color="D7D8D6"/>
            </w:tcBorders>
          </w:tcPr>
          <w:p>
            <w:pPr>
              <w:jc w:val="right"/>
              <w:ind w:right="167"/>
              <w:spacing w:after="0"/>
              <w:rPr>
                <w:sz w:val="20"/>
                <w:szCs w:val="20"/>
                <w:color w:val="auto"/>
              </w:rPr>
            </w:pPr>
            <w:r>
              <w:rPr>
                <w:rFonts w:ascii="Arial" w:cs="Arial" w:eastAsia="Arial" w:hAnsi="Arial"/>
                <w:sz w:val="14"/>
                <w:szCs w:val="14"/>
                <w:color w:val="333740"/>
              </w:rPr>
              <w:t>$22.99</w:t>
            </w:r>
          </w:p>
        </w:tc>
        <w:tc>
          <w:tcPr>
            <w:tcW w:w="15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$17.21</w:t>
            </w:r>
          </w:p>
        </w:tc>
      </w:tr>
    </w:tbl>
    <w:p>
      <w:pPr>
        <w:spacing w:after="0" w:line="83" w:lineRule="exact"/>
        <w:rPr>
          <w:sz w:val="20"/>
          <w:szCs w:val="20"/>
          <w:color w:val="auto"/>
        </w:rPr>
      </w:pPr>
    </w:p>
    <w:p>
      <w:pPr>
        <w:ind w:left="4" w:right="120"/>
        <w:spacing w:after="0" w:line="256" w:lineRule="auto"/>
        <w:rPr>
          <w:sz w:val="20"/>
          <w:szCs w:val="20"/>
          <w:color w:val="auto"/>
        </w:rPr>
      </w:pPr>
      <w:r>
        <w:rPr>
          <w:rFonts w:ascii="Arial" w:cs="Arial" w:eastAsia="Arial" w:hAnsi="Arial"/>
          <w:sz w:val="15"/>
          <w:szCs w:val="15"/>
          <w:color w:val="333740"/>
        </w:rPr>
        <w:t>“Audit Fees” includes fees for audit services, which relate to the annual integrated audit of consolidated financial statements, foreign statutory audits, and reviews of interim financial statements in Quarterly Reports on Form 10-Q. For 2019, “Audit Fees” also include approximately $7 million in additional audit fees associated with the announced spin-off of transaction. “Audit-Related Fees” includes fees for audit-related services, which primarily consist of consultation on financial reporting standards. “Tax Fees” includes fees for tax services, consisting of tax compliance services and tax planning and consultation with respect to various corporate tax matters. “Other Fees” includes fees for other services, including fees for services of expatriates and miscellaneous services.</w:t>
      </w:r>
    </w:p>
    <w:p>
      <w:pPr>
        <w:spacing w:after="0" w:line="5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What are the Company’s pre-approval policies and procedures?</w:t>
      </w:r>
    </w:p>
    <w:p>
      <w:pPr>
        <w:spacing w:after="0" w:line="51" w:lineRule="exact"/>
        <w:rPr>
          <w:sz w:val="20"/>
          <w:szCs w:val="20"/>
          <w:color w:val="auto"/>
        </w:rPr>
      </w:pPr>
    </w:p>
    <w:p>
      <w:pPr>
        <w:ind w:left="4" w:right="100"/>
        <w:spacing w:after="0" w:line="236" w:lineRule="auto"/>
        <w:rPr>
          <w:sz w:val="20"/>
          <w:szCs w:val="20"/>
          <w:color w:val="auto"/>
        </w:rPr>
      </w:pPr>
      <w:r>
        <w:rPr>
          <w:rFonts w:ascii="Arial" w:cs="Arial" w:eastAsia="Arial" w:hAnsi="Arial"/>
          <w:sz w:val="16"/>
          <w:szCs w:val="16"/>
          <w:color w:val="333740"/>
        </w:rPr>
        <w:t>The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The Audit Committee’s practice is to consider for approval, at its regularly scheduled meetings, all audit and non-audit services proposed to be provided by our independent registered public accounting firm. The Audit Committee reviews all relationships between our independent registered public accounting firm and us that may relate to the independent registered public accounting firm’s independence.</w:t>
      </w:r>
    </w:p>
    <w:p>
      <w:pPr>
        <w:spacing w:after="0" w:line="8" w:lineRule="exact"/>
        <w:rPr>
          <w:sz w:val="20"/>
          <w:szCs w:val="20"/>
          <w:color w:val="auto"/>
        </w:rPr>
      </w:pPr>
    </w:p>
    <w:p>
      <w:pPr>
        <w:ind w:left="4" w:right="260"/>
        <w:spacing w:after="0" w:line="296" w:lineRule="auto"/>
        <w:rPr>
          <w:sz w:val="20"/>
          <w:szCs w:val="20"/>
          <w:color w:val="auto"/>
        </w:rPr>
      </w:pPr>
      <w:r>
        <w:rPr>
          <w:rFonts w:ascii="Arial" w:cs="Arial" w:eastAsia="Arial" w:hAnsi="Arial"/>
          <w:sz w:val="16"/>
          <w:szCs w:val="16"/>
          <w:color w:val="333740"/>
        </w:rPr>
        <w:t>The Audit Committee pre-approved all audit, audit-related, tax, and other services provided by PwC for 2019 and 2018 and the estimated costs of those services.</w:t>
      </w:r>
    </w:p>
    <w:p>
      <w:pPr>
        <w:ind w:left="144"/>
        <w:spacing w:after="0"/>
        <w:rPr>
          <w:sz w:val="20"/>
          <w:szCs w:val="20"/>
          <w:color w:val="auto"/>
        </w:rPr>
      </w:pPr>
      <w:r>
        <w:rPr>
          <w:rFonts w:ascii="Arial" w:cs="Arial" w:eastAsia="Arial" w:hAnsi="Arial"/>
          <w:sz w:val="16"/>
          <w:szCs w:val="16"/>
          <w:b w:val="1"/>
          <w:bCs w:val="1"/>
          <w:color w:val="333740"/>
        </w:rPr>
        <w:t>How does the Board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148195" cy="28067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8195" cy="280670"/>
                    </a:xfrm>
                    <a:prstGeom prst="rect">
                      <a:avLst/>
                    </a:prstGeom>
                    <a:noFill/>
                  </pic:spPr>
                </pic:pic>
              </a:graphicData>
            </a:graphic>
          </wp:anchor>
        </w:drawing>
      </w:r>
    </w:p>
    <w:p>
      <w:pPr>
        <w:spacing w:after="0" w:line="25" w:lineRule="exact"/>
        <w:rPr>
          <w:sz w:val="20"/>
          <w:szCs w:val="20"/>
          <w:color w:val="auto"/>
        </w:rPr>
      </w:pPr>
    </w:p>
    <w:p>
      <w:pPr>
        <w:ind w:left="144"/>
        <w:spacing w:after="0"/>
        <w:rPr>
          <w:sz w:val="20"/>
          <w:szCs w:val="20"/>
          <w:color w:val="auto"/>
        </w:rPr>
      </w:pPr>
      <w:r>
        <w:rPr>
          <w:rFonts w:ascii="Arial" w:cs="Arial" w:eastAsia="Arial" w:hAnsi="Arial"/>
          <w:sz w:val="16"/>
          <w:szCs w:val="16"/>
          <w:b w:val="1"/>
          <w:bCs w:val="1"/>
          <w:color w:val="333740"/>
        </w:rPr>
        <w:t>The Board recommends that you vote “FOR” this proposal.</w:t>
      </w:r>
    </w:p>
    <w:p>
      <w:pPr>
        <w:spacing w:after="0" w:line="374" w:lineRule="exact"/>
        <w:rPr>
          <w:sz w:val="20"/>
          <w:szCs w:val="20"/>
          <w:color w:val="auto"/>
        </w:rPr>
      </w:pPr>
    </w:p>
    <w:p>
      <w:pPr>
        <w:ind w:left="564" w:hanging="564"/>
        <w:spacing w:after="0"/>
        <w:tabs>
          <w:tab w:leader="none" w:pos="564" w:val="left"/>
        </w:tabs>
        <w:numPr>
          <w:ilvl w:val="0"/>
          <w:numId w:val="158"/>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129" w:name="page130"/>
    <w:bookmarkEnd w:id="129"/>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p>
    <w:p>
      <w:pPr>
        <w:ind w:left="4" w:right="4420"/>
        <w:spacing w:after="0" w:line="290" w:lineRule="auto"/>
        <w:rPr>
          <w:sz w:val="20"/>
          <w:szCs w:val="20"/>
          <w:color w:val="auto"/>
        </w:rPr>
      </w:pPr>
      <w:r>
        <w:rPr>
          <w:rFonts w:ascii="Arial" w:cs="Arial" w:eastAsia="Arial" w:hAnsi="Arial"/>
          <w:sz w:val="57"/>
          <w:szCs w:val="57"/>
          <w:color w:val="481F6E"/>
        </w:rPr>
        <w:t>Proposal 6 – Reappointment of U.K. Statutory Auditor</w:t>
      </w:r>
    </w:p>
    <w:p>
      <w:pPr>
        <w:spacing w:after="0" w:line="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What am I voting on?</w:t>
      </w:r>
    </w:p>
    <w:p>
      <w:pPr>
        <w:spacing w:after="0" w:line="51" w:lineRule="exact"/>
        <w:rPr>
          <w:sz w:val="20"/>
          <w:szCs w:val="20"/>
          <w:color w:val="auto"/>
        </w:rPr>
      </w:pPr>
    </w:p>
    <w:p>
      <w:pPr>
        <w:ind w:left="4"/>
        <w:spacing w:after="0" w:line="238" w:lineRule="auto"/>
        <w:rPr>
          <w:sz w:val="20"/>
          <w:szCs w:val="20"/>
          <w:color w:val="auto"/>
        </w:rPr>
      </w:pPr>
      <w:r>
        <w:rPr>
          <w:rFonts w:ascii="Arial" w:cs="Arial" w:eastAsia="Arial" w:hAnsi="Arial"/>
          <w:sz w:val="16"/>
          <w:szCs w:val="16"/>
          <w:color w:val="333740"/>
        </w:rPr>
        <w:t>Under the Companies Act, the Company’s U.K. statutory auditor must be reappointed at each meeting at which the U.K. annual report and accounts are presented to shareholders. The Company’s current U.K. statutory auditor is PwC. We are asking shareholders to approve the reappointment of PwC as the Company’s U.K. statutory auditor to hold office from the conclusion of the Annual Meeting until the next annual general meeting of shareholders at which accounts are laid.</w:t>
      </w:r>
    </w:p>
    <w:p>
      <w:pPr>
        <w:spacing w:after="0" w:line="29" w:lineRule="exact"/>
        <w:rPr>
          <w:sz w:val="20"/>
          <w:szCs w:val="20"/>
          <w:color w:val="auto"/>
        </w:rPr>
      </w:pPr>
    </w:p>
    <w:p>
      <w:pPr>
        <w:ind w:left="4"/>
        <w:spacing w:after="0"/>
        <w:rPr>
          <w:sz w:val="20"/>
          <w:szCs w:val="20"/>
          <w:color w:val="auto"/>
        </w:rPr>
      </w:pPr>
      <w:r>
        <w:rPr>
          <w:rFonts w:ascii="Arial" w:cs="Arial" w:eastAsia="Arial" w:hAnsi="Arial"/>
          <w:sz w:val="16"/>
          <w:szCs w:val="16"/>
          <w:color w:val="333740"/>
        </w:rPr>
        <w:t>If this proposal is not approved, the Board may appoint an auditor to fill the vacancy.</w:t>
      </w:r>
    </w:p>
    <w:p>
      <w:pPr>
        <w:spacing w:after="0" w:line="115" w:lineRule="exact"/>
        <w:rPr>
          <w:sz w:val="20"/>
          <w:szCs w:val="20"/>
          <w:color w:val="auto"/>
        </w:rPr>
      </w:pPr>
    </w:p>
    <w:p>
      <w:pPr>
        <w:ind w:left="144"/>
        <w:spacing w:after="0"/>
        <w:rPr>
          <w:sz w:val="20"/>
          <w:szCs w:val="20"/>
          <w:color w:val="auto"/>
        </w:rPr>
      </w:pPr>
      <w:r>
        <w:rPr>
          <w:rFonts w:ascii="Arial" w:cs="Arial" w:eastAsia="Arial" w:hAnsi="Arial"/>
          <w:sz w:val="16"/>
          <w:szCs w:val="16"/>
          <w:b w:val="1"/>
          <w:bCs w:val="1"/>
          <w:color w:val="333740"/>
        </w:rPr>
        <w:t>How does the Board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148195" cy="3111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8195" cy="311150"/>
                    </a:xfrm>
                    <a:prstGeom prst="rect">
                      <a:avLst/>
                    </a:prstGeom>
                    <a:noFill/>
                  </pic:spPr>
                </pic:pic>
              </a:graphicData>
            </a:graphic>
          </wp:anchor>
        </w:drawing>
      </w:r>
    </w:p>
    <w:p>
      <w:pPr>
        <w:spacing w:after="0" w:line="37" w:lineRule="exact"/>
        <w:rPr>
          <w:sz w:val="20"/>
          <w:szCs w:val="20"/>
          <w:color w:val="auto"/>
        </w:rPr>
      </w:pPr>
    </w:p>
    <w:p>
      <w:pPr>
        <w:ind w:left="144"/>
        <w:spacing w:after="0"/>
        <w:rPr>
          <w:sz w:val="20"/>
          <w:szCs w:val="20"/>
          <w:color w:val="auto"/>
        </w:rPr>
      </w:pPr>
      <w:r>
        <w:rPr>
          <w:rFonts w:ascii="Arial" w:cs="Arial" w:eastAsia="Arial" w:hAnsi="Arial"/>
          <w:sz w:val="16"/>
          <w:szCs w:val="16"/>
          <w:b w:val="1"/>
          <w:bCs w:val="1"/>
          <w:color w:val="333740"/>
        </w:rPr>
        <w:t>The Board recommends that you vote “FOR” this proposal.</w:t>
      </w:r>
    </w:p>
    <w:p>
      <w:pPr>
        <w:spacing w:after="0" w:line="200" w:lineRule="exact"/>
        <w:rPr>
          <w:sz w:val="20"/>
          <w:szCs w:val="20"/>
          <w:color w:val="auto"/>
        </w:rPr>
      </w:pPr>
    </w:p>
    <w:p>
      <w:pPr>
        <w:spacing w:after="0" w:line="222" w:lineRule="exact"/>
        <w:rPr>
          <w:sz w:val="20"/>
          <w:szCs w:val="20"/>
          <w:color w:val="auto"/>
        </w:rPr>
      </w:pPr>
    </w:p>
    <w:p>
      <w:pPr>
        <w:ind w:left="564" w:hanging="564"/>
        <w:spacing w:after="0"/>
        <w:tabs>
          <w:tab w:leader="none" w:pos="564" w:val="left"/>
        </w:tabs>
        <w:numPr>
          <w:ilvl w:val="0"/>
          <w:numId w:val="159"/>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904"/>
          </w:cols>
          <w:pgMar w:left="316" w:top="128" w:right="679" w:bottom="1440" w:gutter="0" w:footer="0" w:header="0"/>
        </w:sectPr>
      </w:pPr>
    </w:p>
    <w:bookmarkStart w:id="130" w:name="page131"/>
    <w:bookmarkEnd w:id="130"/>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p>
    <w:p>
      <w:pPr>
        <w:ind w:left="4"/>
        <w:spacing w:after="0"/>
        <w:rPr>
          <w:sz w:val="20"/>
          <w:szCs w:val="20"/>
          <w:color w:val="auto"/>
        </w:rPr>
      </w:pPr>
      <w:r>
        <w:rPr>
          <w:rFonts w:ascii="Arial" w:cs="Arial" w:eastAsia="Arial" w:hAnsi="Arial"/>
          <w:sz w:val="57"/>
          <w:szCs w:val="57"/>
          <w:color w:val="481F6E"/>
        </w:rPr>
        <w:t>Proposal 7 –</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57"/>
          <w:szCs w:val="57"/>
          <w:color w:val="481F6E"/>
        </w:rPr>
        <w:t>Approval of U.K. Statutory</w:t>
      </w:r>
    </w:p>
    <w:p>
      <w:pPr>
        <w:spacing w:after="0" w:line="14" w:lineRule="exact"/>
        <w:rPr>
          <w:sz w:val="20"/>
          <w:szCs w:val="20"/>
          <w:color w:val="auto"/>
        </w:rPr>
      </w:pPr>
    </w:p>
    <w:p>
      <w:pPr>
        <w:ind w:left="4"/>
        <w:spacing w:after="0"/>
        <w:rPr>
          <w:sz w:val="20"/>
          <w:szCs w:val="20"/>
          <w:color w:val="auto"/>
        </w:rPr>
      </w:pPr>
      <w:r>
        <w:rPr>
          <w:rFonts w:ascii="Arial" w:cs="Arial" w:eastAsia="Arial" w:hAnsi="Arial"/>
          <w:sz w:val="57"/>
          <w:szCs w:val="57"/>
          <w:color w:val="481F6E"/>
        </w:rPr>
        <w:t>Auditor Fees</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What am I voting on?</w:t>
      </w:r>
    </w:p>
    <w:p>
      <w:pPr>
        <w:spacing w:after="0" w:line="28"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333740"/>
        </w:rPr>
        <w:t>Under the Companies Act, the remuneration of the Company’s U.K. statutory auditor must be fixed in a general meeting or in such manner as may be determined in a general meeting. The Company is asking its shareholders to authorize the Board and/or the Audit Committee to determine the remuneration of PwC in its capacity as the Company’s U.K. statutory auditor under the Companies Act for the year ending December 31, 2020. The Board delegates this authority to determine the remuneration of the Company’s U.K. statutory auditor to the Audit Committee in accordance with the Board’s procedures and applicable law.</w:t>
      </w:r>
    </w:p>
    <w:p>
      <w:pPr>
        <w:spacing w:after="0" w:line="31" w:lineRule="exact"/>
        <w:rPr>
          <w:sz w:val="20"/>
          <w:szCs w:val="20"/>
          <w:color w:val="auto"/>
        </w:rPr>
      </w:pPr>
    </w:p>
    <w:p>
      <w:pPr>
        <w:ind w:left="144"/>
        <w:spacing w:after="0"/>
        <w:rPr>
          <w:sz w:val="20"/>
          <w:szCs w:val="20"/>
          <w:color w:val="auto"/>
        </w:rPr>
      </w:pPr>
      <w:r>
        <w:rPr>
          <w:rFonts w:ascii="Arial" w:cs="Arial" w:eastAsia="Arial" w:hAnsi="Arial"/>
          <w:sz w:val="16"/>
          <w:szCs w:val="16"/>
          <w:b w:val="1"/>
          <w:bCs w:val="1"/>
          <w:color w:val="333740"/>
        </w:rPr>
        <w:t>How does the Board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148195" cy="3111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8195" cy="311150"/>
                    </a:xfrm>
                    <a:prstGeom prst="rect">
                      <a:avLst/>
                    </a:prstGeom>
                    <a:noFill/>
                  </pic:spPr>
                </pic:pic>
              </a:graphicData>
            </a:graphic>
          </wp:anchor>
        </w:drawing>
      </w:r>
    </w:p>
    <w:p>
      <w:pPr>
        <w:spacing w:after="0" w:line="46" w:lineRule="exact"/>
        <w:rPr>
          <w:sz w:val="20"/>
          <w:szCs w:val="20"/>
          <w:color w:val="auto"/>
        </w:rPr>
      </w:pPr>
    </w:p>
    <w:p>
      <w:pPr>
        <w:ind w:left="144"/>
        <w:spacing w:after="0"/>
        <w:rPr>
          <w:sz w:val="20"/>
          <w:szCs w:val="20"/>
          <w:color w:val="auto"/>
        </w:rPr>
      </w:pPr>
      <w:r>
        <w:rPr>
          <w:rFonts w:ascii="Arial" w:cs="Arial" w:eastAsia="Arial" w:hAnsi="Arial"/>
          <w:sz w:val="16"/>
          <w:szCs w:val="16"/>
          <w:b w:val="1"/>
          <w:bCs w:val="1"/>
          <w:color w:val="333740"/>
        </w:rPr>
        <w:t>The Board recommends that you vote “FOR” this proposal.</w:t>
      </w:r>
    </w:p>
    <w:p>
      <w:pPr>
        <w:spacing w:after="0" w:line="390" w:lineRule="exact"/>
        <w:rPr>
          <w:sz w:val="20"/>
          <w:szCs w:val="20"/>
          <w:color w:val="auto"/>
        </w:rPr>
      </w:pPr>
    </w:p>
    <w:p>
      <w:pPr>
        <w:ind w:left="564" w:hanging="564"/>
        <w:spacing w:after="0"/>
        <w:tabs>
          <w:tab w:leader="none" w:pos="564" w:val="left"/>
        </w:tabs>
        <w:numPr>
          <w:ilvl w:val="0"/>
          <w:numId w:val="160"/>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4"/>
          </w:cols>
          <w:pgMar w:left="316" w:top="128" w:right="379" w:bottom="1440" w:gutter="0" w:footer="0" w:header="0"/>
        </w:sectPr>
      </w:pPr>
    </w:p>
    <w:bookmarkStart w:id="131" w:name="page132"/>
    <w:bookmarkEnd w:id="131"/>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p>
    <w:p>
      <w:pPr>
        <w:ind w:left="4"/>
        <w:spacing w:after="0"/>
        <w:rPr>
          <w:sz w:val="20"/>
          <w:szCs w:val="20"/>
          <w:color w:val="auto"/>
        </w:rPr>
      </w:pPr>
      <w:r>
        <w:rPr>
          <w:rFonts w:ascii="Arial" w:cs="Arial" w:eastAsia="Arial" w:hAnsi="Arial"/>
          <w:sz w:val="57"/>
          <w:szCs w:val="57"/>
          <w:color w:val="481F6E"/>
        </w:rPr>
        <w:t>Transactions with</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57"/>
          <w:szCs w:val="57"/>
          <w:color w:val="481F6E"/>
        </w:rPr>
        <w:t>Related Persons</w:t>
      </w:r>
    </w:p>
    <w:p>
      <w:pPr>
        <w:spacing w:after="0" w:line="270" w:lineRule="exact"/>
        <w:rPr>
          <w:sz w:val="20"/>
          <w:szCs w:val="20"/>
          <w:color w:val="auto"/>
        </w:rPr>
      </w:pPr>
    </w:p>
    <w:p>
      <w:pPr>
        <w:ind w:left="4"/>
        <w:spacing w:after="0" w:line="239" w:lineRule="auto"/>
        <w:rPr>
          <w:sz w:val="20"/>
          <w:szCs w:val="20"/>
          <w:color w:val="auto"/>
        </w:rPr>
      </w:pPr>
      <w:r>
        <w:rPr>
          <w:rFonts w:ascii="Arial" w:cs="Arial" w:eastAsia="Arial" w:hAnsi="Arial"/>
          <w:sz w:val="16"/>
          <w:szCs w:val="16"/>
          <w:color w:val="333740"/>
        </w:rPr>
        <w:t>The Company’s Nominating and Corporate Governance Committee considers questions of possible conflicts of interest for related persons and recommends to our Board the appropriate resolution of any conflict of interest or any related person transaction. In reviewing and approving any related person transactions, our Nominating and Corporate Governance Committee follows procedures pursuant to which transactions are reviewed, approved, or ratified.</w:t>
      </w:r>
    </w:p>
    <w:p>
      <w:pPr>
        <w:spacing w:after="0" w:line="84" w:lineRule="exact"/>
        <w:rPr>
          <w:sz w:val="20"/>
          <w:szCs w:val="20"/>
          <w:color w:val="auto"/>
        </w:rPr>
      </w:pPr>
    </w:p>
    <w:p>
      <w:pPr>
        <w:ind w:left="4" w:right="380"/>
        <w:spacing w:after="0" w:line="244" w:lineRule="auto"/>
        <w:rPr>
          <w:sz w:val="20"/>
          <w:szCs w:val="20"/>
          <w:color w:val="auto"/>
        </w:rPr>
      </w:pPr>
      <w:r>
        <w:rPr>
          <w:rFonts w:ascii="Arial" w:cs="Arial" w:eastAsia="Arial" w:hAnsi="Arial"/>
          <w:sz w:val="16"/>
          <w:szCs w:val="16"/>
          <w:color w:val="333740"/>
        </w:rPr>
        <w:t>Under the SEC rules, “related persons” include any director, executive officer, director nominee, or greater than 5% shareholder of the Company, and their immediate family members. Our review procedures apply to any transaction in which:</w:t>
      </w:r>
    </w:p>
    <w:p>
      <w:pPr>
        <w:spacing w:after="0" w:line="70" w:lineRule="exact"/>
        <w:rPr>
          <w:sz w:val="20"/>
          <w:szCs w:val="20"/>
          <w:color w:val="auto"/>
        </w:rPr>
      </w:pPr>
    </w:p>
    <w:p>
      <w:pPr>
        <w:ind w:left="304" w:hanging="209"/>
        <w:spacing w:after="0"/>
        <w:tabs>
          <w:tab w:leader="none" w:pos="304" w:val="left"/>
        </w:tabs>
        <w:numPr>
          <w:ilvl w:val="0"/>
          <w:numId w:val="161"/>
        </w:numPr>
        <w:rPr>
          <w:rFonts w:ascii="Arial" w:cs="Arial" w:eastAsia="Arial" w:hAnsi="Arial"/>
          <w:sz w:val="14"/>
          <w:szCs w:val="14"/>
          <w:color w:val="333740"/>
        </w:rPr>
      </w:pPr>
      <w:r>
        <w:rPr>
          <w:rFonts w:ascii="Arial" w:cs="Arial" w:eastAsia="Arial" w:hAnsi="Arial"/>
          <w:sz w:val="14"/>
          <w:szCs w:val="14"/>
          <w:color w:val="333740"/>
        </w:rPr>
        <w:t>the Company is a participant;</w:t>
      </w:r>
    </w:p>
    <w:p>
      <w:pPr>
        <w:spacing w:after="0" w:line="137" w:lineRule="exact"/>
        <w:rPr>
          <w:rFonts w:ascii="Arial" w:cs="Arial" w:eastAsia="Arial" w:hAnsi="Arial"/>
          <w:sz w:val="14"/>
          <w:szCs w:val="14"/>
          <w:color w:val="333740"/>
        </w:rPr>
      </w:pPr>
    </w:p>
    <w:p>
      <w:pPr>
        <w:ind w:left="304" w:hanging="209"/>
        <w:spacing w:after="0"/>
        <w:tabs>
          <w:tab w:leader="none" w:pos="304" w:val="left"/>
        </w:tabs>
        <w:numPr>
          <w:ilvl w:val="0"/>
          <w:numId w:val="161"/>
        </w:numPr>
        <w:rPr>
          <w:rFonts w:ascii="Arial" w:cs="Arial" w:eastAsia="Arial" w:hAnsi="Arial"/>
          <w:sz w:val="14"/>
          <w:szCs w:val="14"/>
          <w:color w:val="333740"/>
        </w:rPr>
      </w:pPr>
      <w:r>
        <w:rPr>
          <w:rFonts w:ascii="Arial" w:cs="Arial" w:eastAsia="Arial" w:hAnsi="Arial"/>
          <w:sz w:val="14"/>
          <w:szCs w:val="14"/>
          <w:color w:val="333740"/>
        </w:rPr>
        <w:t>any related person has a direct or indirect material interest; and</w:t>
      </w:r>
    </w:p>
    <w:p>
      <w:pPr>
        <w:spacing w:after="0" w:line="125" w:lineRule="exact"/>
        <w:rPr>
          <w:rFonts w:ascii="Arial" w:cs="Arial" w:eastAsia="Arial" w:hAnsi="Arial"/>
          <w:sz w:val="14"/>
          <w:szCs w:val="14"/>
          <w:color w:val="333740"/>
        </w:rPr>
      </w:pPr>
    </w:p>
    <w:p>
      <w:pPr>
        <w:ind w:left="304" w:hanging="209"/>
        <w:spacing w:after="0"/>
        <w:tabs>
          <w:tab w:leader="none" w:pos="304" w:val="left"/>
        </w:tabs>
        <w:numPr>
          <w:ilvl w:val="0"/>
          <w:numId w:val="161"/>
        </w:numPr>
        <w:rPr>
          <w:rFonts w:ascii="Arial" w:cs="Arial" w:eastAsia="Arial" w:hAnsi="Arial"/>
          <w:sz w:val="14"/>
          <w:szCs w:val="14"/>
          <w:color w:val="333740"/>
        </w:rPr>
      </w:pPr>
      <w:r>
        <w:rPr>
          <w:rFonts w:ascii="Arial" w:cs="Arial" w:eastAsia="Arial" w:hAnsi="Arial"/>
          <w:sz w:val="14"/>
          <w:szCs w:val="14"/>
          <w:color w:val="333740"/>
        </w:rPr>
        <w:t>the amount involved exceeds $120,000, but excludes any transaction that does not require disclosure under Item 404(a) of SEC Regulation S-K.</w:t>
      </w:r>
    </w:p>
    <w:p>
      <w:pPr>
        <w:spacing w:after="0" w:line="88" w:lineRule="exact"/>
        <w:rPr>
          <w:sz w:val="20"/>
          <w:szCs w:val="20"/>
          <w:color w:val="auto"/>
        </w:rPr>
      </w:pPr>
    </w:p>
    <w:p>
      <w:pPr>
        <w:ind w:left="4" w:right="200"/>
        <w:spacing w:after="0" w:line="258" w:lineRule="auto"/>
        <w:rPr>
          <w:sz w:val="20"/>
          <w:szCs w:val="20"/>
          <w:color w:val="auto"/>
        </w:rPr>
      </w:pPr>
      <w:r>
        <w:rPr>
          <w:rFonts w:ascii="Arial" w:cs="Arial" w:eastAsia="Arial" w:hAnsi="Arial"/>
          <w:sz w:val="15"/>
          <w:szCs w:val="15"/>
          <w:color w:val="333740"/>
        </w:rPr>
        <w:t>The Nominating and Corporate Governance Committee is responsible for reviewing, and where appropriate, approving or ratifying any related person transaction involving the Company or its subsidiaries and related persons. The committee approves only those transactions that are in our best interests and the best interests of our shareholders, and considers factors such as: (a) the benefit of the transaction to us and our shareholders; (b) any alternatives to the transaction; and (c) whether the transaction is on terms comparable to those that could be obtained in arm’s-length dealings with an unrelated third party.</w:t>
      </w:r>
    </w:p>
    <w:p>
      <w:pPr>
        <w:spacing w:after="0" w:line="71" w:lineRule="exact"/>
        <w:rPr>
          <w:sz w:val="20"/>
          <w:szCs w:val="20"/>
          <w:color w:val="auto"/>
        </w:rPr>
      </w:pPr>
    </w:p>
    <w:p>
      <w:pPr>
        <w:ind w:left="4" w:right="60"/>
        <w:spacing w:after="0" w:line="239" w:lineRule="auto"/>
        <w:rPr>
          <w:sz w:val="20"/>
          <w:szCs w:val="20"/>
          <w:color w:val="auto"/>
        </w:rPr>
      </w:pPr>
      <w:r>
        <w:rPr>
          <w:rFonts w:ascii="Arial" w:cs="Arial" w:eastAsia="Arial" w:hAnsi="Arial"/>
          <w:sz w:val="16"/>
          <w:szCs w:val="16"/>
          <w:color w:val="333740"/>
        </w:rPr>
        <w:t>In addition, our Governance Guidelines and Code of Business Conduct require directors and executive officers to disclose potential conflicts of interest, and directors must recuse themselves from discussing or voting on any issue for which they may have a conflict. Directors and executive officers also complete an annual questionnaire that contains questions regarding related person transactions.</w:t>
      </w:r>
    </w:p>
    <w:p>
      <w:pPr>
        <w:spacing w:after="0" w:line="84" w:lineRule="exact"/>
        <w:rPr>
          <w:sz w:val="20"/>
          <w:szCs w:val="20"/>
          <w:color w:val="auto"/>
        </w:rPr>
      </w:pPr>
    </w:p>
    <w:p>
      <w:pPr>
        <w:ind w:left="4" w:right="520"/>
        <w:spacing w:after="0" w:line="244" w:lineRule="auto"/>
        <w:rPr>
          <w:sz w:val="20"/>
          <w:szCs w:val="20"/>
          <w:color w:val="auto"/>
        </w:rPr>
      </w:pPr>
      <w:r>
        <w:rPr>
          <w:rFonts w:ascii="Arial" w:cs="Arial" w:eastAsia="Arial" w:hAnsi="Arial"/>
          <w:sz w:val="16"/>
          <w:szCs w:val="16"/>
          <w:color w:val="333740"/>
        </w:rPr>
        <w:t>In 2019, we were not a participant in any transaction, or series of related transactions, in which any “related person” had, or will have, a direct or indirect material interest and in which the amount involved exceeded $120,000.</w:t>
      </w:r>
    </w:p>
    <w:p>
      <w:pPr>
        <w:spacing w:after="0" w:line="324" w:lineRule="exact"/>
        <w:rPr>
          <w:sz w:val="20"/>
          <w:szCs w:val="20"/>
          <w:color w:val="auto"/>
        </w:rPr>
      </w:pPr>
    </w:p>
    <w:p>
      <w:pPr>
        <w:ind w:left="564" w:hanging="564"/>
        <w:spacing w:after="0"/>
        <w:tabs>
          <w:tab w:leader="none" w:pos="564" w:val="left"/>
        </w:tabs>
        <w:numPr>
          <w:ilvl w:val="0"/>
          <w:numId w:val="162"/>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4"/>
          </w:cols>
          <w:pgMar w:left="316" w:top="128" w:right="379" w:bottom="1440" w:gutter="0" w:footer="0" w:header="0"/>
        </w:sectPr>
      </w:pPr>
    </w:p>
    <w:bookmarkStart w:id="132" w:name="page133"/>
    <w:bookmarkEnd w:id="132"/>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p>
    <w:p>
      <w:pPr>
        <w:ind w:left="4" w:right="3700"/>
        <w:spacing w:after="0" w:line="265" w:lineRule="auto"/>
        <w:rPr>
          <w:sz w:val="20"/>
          <w:szCs w:val="20"/>
          <w:color w:val="auto"/>
        </w:rPr>
      </w:pPr>
      <w:r>
        <w:rPr>
          <w:rFonts w:ascii="Arial" w:cs="Arial" w:eastAsia="Arial" w:hAnsi="Arial"/>
          <w:sz w:val="57"/>
          <w:szCs w:val="57"/>
          <w:color w:val="481F6E"/>
        </w:rPr>
        <w:t>Security Ownership of Our Management and Holders of More Than 5% of Our Outstanding Ordinary Shares</w:t>
      </w:r>
    </w:p>
    <w:p>
      <w:pPr>
        <w:spacing w:after="0" w:line="161" w:lineRule="exact"/>
        <w:rPr>
          <w:sz w:val="20"/>
          <w:szCs w:val="20"/>
          <w:color w:val="auto"/>
        </w:rPr>
      </w:pPr>
    </w:p>
    <w:p>
      <w:pPr>
        <w:jc w:val="both"/>
        <w:ind w:left="4" w:right="20"/>
        <w:spacing w:after="0" w:line="239" w:lineRule="auto"/>
        <w:rPr>
          <w:sz w:val="20"/>
          <w:szCs w:val="20"/>
          <w:color w:val="auto"/>
        </w:rPr>
      </w:pPr>
      <w:r>
        <w:rPr>
          <w:rFonts w:ascii="Arial" w:cs="Arial" w:eastAsia="Arial" w:hAnsi="Arial"/>
          <w:sz w:val="16"/>
          <w:szCs w:val="16"/>
          <w:color w:val="333740"/>
        </w:rPr>
        <w:t>The following table shows, as of February 28, 2020, the number of our Ordinary Shares beneficially owned by each of our NEOs, directors, and all directors and executive officers as a group. No director or NEO beneficially owns more than 1% of our Ordinary Shares, as designated in the “Percent of Class” column in the table below.</w:t>
      </w:r>
    </w:p>
    <w:p>
      <w:pPr>
        <w:spacing w:after="0" w:line="168" w:lineRule="exact"/>
        <w:rPr>
          <w:sz w:val="20"/>
          <w:szCs w:val="20"/>
          <w:color w:val="auto"/>
        </w:rPr>
      </w:pPr>
    </w:p>
    <w:tbl>
      <w:tblPr>
        <w:tblLayout w:type="fixed"/>
        <w:tblInd w:w="4" w:type="dxa"/>
        <w:tblCellMar>
          <w:top w:w="0" w:type="dxa"/>
          <w:left w:w="0" w:type="dxa"/>
          <w:bottom w:w="0" w:type="dxa"/>
          <w:right w:w="0" w:type="dxa"/>
        </w:tblCellMar>
      </w:tblPr>
      <w:tr>
        <w:trPr>
          <w:trHeight w:val="299"/>
        </w:trPr>
        <w:tc>
          <w:tcPr>
            <w:tcW w:w="7780" w:type="dxa"/>
            <w:vAlign w:val="bottom"/>
            <w:tcBorders>
              <w:right w:val="single" w:sz="8" w:color="auto"/>
            </w:tcBorders>
            <w:shd w:val="clear" w:color="auto" w:fill="481F6E"/>
          </w:tcPr>
          <w:p>
            <w:pPr>
              <w:ind w:left="60"/>
              <w:spacing w:after="0"/>
              <w:rPr>
                <w:sz w:val="20"/>
                <w:szCs w:val="20"/>
                <w:color w:val="auto"/>
              </w:rPr>
            </w:pPr>
            <w:r>
              <w:rPr>
                <w:rFonts w:ascii="Arial" w:cs="Arial" w:eastAsia="Arial" w:hAnsi="Arial"/>
                <w:sz w:val="16"/>
                <w:szCs w:val="16"/>
                <w:b w:val="1"/>
                <w:bCs w:val="1"/>
                <w:color w:val="FFFFFF"/>
              </w:rPr>
              <w:t>Name</w:t>
            </w:r>
          </w:p>
        </w:tc>
        <w:tc>
          <w:tcPr>
            <w:tcW w:w="1800" w:type="dxa"/>
            <w:vAlign w:val="bottom"/>
            <w:tcBorders>
              <w:right w:val="single" w:sz="8" w:color="auto"/>
            </w:tcBorders>
            <w:shd w:val="clear" w:color="auto" w:fill="481F6E"/>
          </w:tcPr>
          <w:p>
            <w:pPr>
              <w:jc w:val="right"/>
              <w:ind w:right="68"/>
              <w:spacing w:after="0"/>
              <w:rPr>
                <w:sz w:val="20"/>
                <w:szCs w:val="20"/>
                <w:color w:val="auto"/>
              </w:rPr>
            </w:pPr>
            <w:r>
              <w:rPr>
                <w:rFonts w:ascii="Arial" w:cs="Arial" w:eastAsia="Arial" w:hAnsi="Arial"/>
                <w:sz w:val="16"/>
                <w:szCs w:val="16"/>
                <w:b w:val="1"/>
                <w:bCs w:val="1"/>
                <w:color w:val="FFFFFF"/>
              </w:rPr>
              <w:t>Shares</w:t>
            </w:r>
          </w:p>
        </w:tc>
        <w:tc>
          <w:tcPr>
            <w:tcW w:w="1680" w:type="dxa"/>
            <w:vAlign w:val="bottom"/>
            <w:shd w:val="clear" w:color="auto" w:fill="481F6E"/>
          </w:tcPr>
          <w:p>
            <w:pPr>
              <w:jc w:val="right"/>
              <w:spacing w:after="0"/>
              <w:rPr>
                <w:sz w:val="20"/>
                <w:szCs w:val="20"/>
                <w:color w:val="auto"/>
              </w:rPr>
            </w:pPr>
            <w:r>
              <w:rPr>
                <w:rFonts w:ascii="Arial" w:cs="Arial" w:eastAsia="Arial" w:hAnsi="Arial"/>
                <w:sz w:val="16"/>
                <w:szCs w:val="16"/>
                <w:b w:val="1"/>
                <w:bCs w:val="1"/>
                <w:color w:val="FFFFFF"/>
              </w:rPr>
              <w:t>Percent of Class</w:t>
            </w:r>
            <w:r>
              <w:rPr>
                <w:rFonts w:ascii="Arial" w:cs="Arial" w:eastAsia="Arial" w:hAnsi="Arial"/>
                <w:sz w:val="26"/>
                <w:szCs w:val="26"/>
                <w:b w:val="1"/>
                <w:bCs w:val="1"/>
                <w:color w:val="FFFFFF"/>
                <w:vertAlign w:val="superscript"/>
              </w:rPr>
              <w:t>1</w:t>
            </w:r>
          </w:p>
        </w:tc>
      </w:tr>
      <w:tr>
        <w:trPr>
          <w:trHeight w:val="267"/>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Eleazar de Carvalho Filho</w:t>
            </w:r>
          </w:p>
        </w:tc>
        <w:tc>
          <w:tcPr>
            <w:tcW w:w="1800" w:type="dxa"/>
            <w:vAlign w:val="bottom"/>
            <w:tcBorders>
              <w:bottom w:val="single" w:sz="8" w:color="D7D8D6"/>
            </w:tcBorders>
          </w:tcPr>
          <w:p>
            <w:pPr>
              <w:jc w:val="right"/>
              <w:ind w:right="68"/>
              <w:spacing w:after="0" w:line="263" w:lineRule="exact"/>
              <w:rPr>
                <w:sz w:val="20"/>
                <w:szCs w:val="20"/>
                <w:color w:val="auto"/>
              </w:rPr>
            </w:pPr>
            <w:r>
              <w:rPr>
                <w:rFonts w:ascii="Arial" w:cs="Arial" w:eastAsia="Arial" w:hAnsi="Arial"/>
                <w:sz w:val="14"/>
                <w:szCs w:val="14"/>
                <w:color w:val="333740"/>
              </w:rPr>
              <w:t>35,060</w:t>
            </w:r>
            <w:r>
              <w:rPr>
                <w:rFonts w:ascii="Arial" w:cs="Arial" w:eastAsia="Arial" w:hAnsi="Arial"/>
                <w:sz w:val="23"/>
                <w:szCs w:val="23"/>
                <w:color w:val="333740"/>
                <w:vertAlign w:val="superscript"/>
              </w:rPr>
              <w:t>³</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Arnaud Caudoux</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0³</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Pascal Colombani</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11,675³</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Marie-Ange Debon</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11,685³</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Claire S. Farley</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65,364³</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Didier Houssin</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11,655³</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Maryann T. Mannen</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403,909²</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Peter Mellbye</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21,848³</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John O’Leary</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14,455³</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Douglas J. Pferdehirt</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796,060²</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Olivier Piou</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13,000³</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Kay G. Priestly</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20,016³</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Dianne B. Ralston</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147,551²</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Joseph Rinaldi</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11,655³</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James M. Ringler</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180,312³</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Justin Rounce</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37,517²</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55"/>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Nello Uccelletti</w:t>
            </w:r>
          </w:p>
        </w:tc>
        <w:tc>
          <w:tcPr>
            <w:tcW w:w="1800" w:type="dxa"/>
            <w:vAlign w:val="bottom"/>
            <w:tcBorders>
              <w:bottom w:val="single" w:sz="8" w:color="D7D8D6"/>
            </w:tcBorders>
          </w:tcPr>
          <w:p>
            <w:pPr>
              <w:jc w:val="right"/>
              <w:ind w:right="68"/>
              <w:spacing w:after="0"/>
              <w:rPr>
                <w:sz w:val="20"/>
                <w:szCs w:val="20"/>
                <w:color w:val="auto"/>
              </w:rPr>
            </w:pPr>
            <w:r>
              <w:rPr>
                <w:rFonts w:ascii="Arial" w:cs="Arial" w:eastAsia="Arial" w:hAnsi="Arial"/>
                <w:sz w:val="14"/>
                <w:szCs w:val="14"/>
                <w:color w:val="333740"/>
              </w:rPr>
              <w:t>215,031²</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19"/>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John Yearwood</w:t>
            </w:r>
          </w:p>
        </w:tc>
        <w:tc>
          <w:tcPr>
            <w:tcW w:w="1800" w:type="dxa"/>
            <w:vAlign w:val="bottom"/>
            <w:tcBorders>
              <w:bottom w:val="single" w:sz="8" w:color="D7D8D6"/>
            </w:tcBorders>
          </w:tcPr>
          <w:p>
            <w:pPr>
              <w:jc w:val="right"/>
              <w:ind w:right="68"/>
              <w:spacing w:after="0" w:line="215" w:lineRule="exact"/>
              <w:rPr>
                <w:sz w:val="20"/>
                <w:szCs w:val="20"/>
                <w:color w:val="auto"/>
              </w:rPr>
            </w:pPr>
            <w:r>
              <w:rPr>
                <w:rFonts w:ascii="Arial" w:cs="Arial" w:eastAsia="Arial" w:hAnsi="Arial"/>
                <w:sz w:val="14"/>
                <w:szCs w:val="14"/>
                <w:color w:val="333740"/>
              </w:rPr>
              <w:t>0</w:t>
            </w:r>
            <w:r>
              <w:rPr>
                <w:rFonts w:ascii="Arial" w:cs="Arial" w:eastAsia="Arial" w:hAnsi="Arial"/>
                <w:sz w:val="23"/>
                <w:szCs w:val="23"/>
                <w:color w:val="333740"/>
                <w:vertAlign w:val="superscript"/>
              </w:rPr>
              <w:t>3</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r>
        <w:trPr>
          <w:trHeight w:val="219"/>
        </w:trPr>
        <w:tc>
          <w:tcPr>
            <w:tcW w:w="7780" w:type="dxa"/>
            <w:vAlign w:val="bottom"/>
            <w:tcBorders>
              <w:bottom w:val="single" w:sz="8" w:color="D7D8D6"/>
            </w:tcBorders>
          </w:tcPr>
          <w:p>
            <w:pPr>
              <w:ind w:left="20"/>
              <w:spacing w:after="0"/>
              <w:rPr>
                <w:sz w:val="20"/>
                <w:szCs w:val="20"/>
                <w:color w:val="auto"/>
              </w:rPr>
            </w:pPr>
            <w:r>
              <w:rPr>
                <w:rFonts w:ascii="Arial" w:cs="Arial" w:eastAsia="Arial" w:hAnsi="Arial"/>
                <w:sz w:val="14"/>
                <w:szCs w:val="14"/>
                <w:color w:val="333740"/>
              </w:rPr>
              <w:t>All directors and executive officers as a group (24 persons)</w:t>
            </w:r>
          </w:p>
        </w:tc>
        <w:tc>
          <w:tcPr>
            <w:tcW w:w="1800" w:type="dxa"/>
            <w:vAlign w:val="bottom"/>
            <w:tcBorders>
              <w:bottom w:val="single" w:sz="8" w:color="D7D8D6"/>
            </w:tcBorders>
          </w:tcPr>
          <w:p>
            <w:pPr>
              <w:jc w:val="right"/>
              <w:ind w:right="68"/>
              <w:spacing w:after="0" w:line="215" w:lineRule="exact"/>
              <w:rPr>
                <w:sz w:val="20"/>
                <w:szCs w:val="20"/>
                <w:color w:val="auto"/>
              </w:rPr>
            </w:pPr>
            <w:r>
              <w:rPr>
                <w:rFonts w:ascii="Arial" w:cs="Arial" w:eastAsia="Arial" w:hAnsi="Arial"/>
                <w:sz w:val="14"/>
                <w:szCs w:val="14"/>
                <w:color w:val="333740"/>
              </w:rPr>
              <w:t>2,258,734</w:t>
            </w:r>
            <w:r>
              <w:rPr>
                <w:rFonts w:ascii="Arial" w:cs="Arial" w:eastAsia="Arial" w:hAnsi="Arial"/>
                <w:sz w:val="23"/>
                <w:szCs w:val="23"/>
                <w:color w:val="333740"/>
                <w:vertAlign w:val="superscript"/>
              </w:rPr>
              <w:t>⁴</w:t>
            </w:r>
          </w:p>
        </w:tc>
        <w:tc>
          <w:tcPr>
            <w:tcW w:w="1680" w:type="dxa"/>
            <w:vAlign w:val="bottom"/>
            <w:tcBorders>
              <w:bottom w:val="single" w:sz="8" w:color="D7D8D6"/>
            </w:tcBorders>
          </w:tcPr>
          <w:p>
            <w:pPr>
              <w:jc w:val="right"/>
              <w:spacing w:after="0"/>
              <w:rPr>
                <w:sz w:val="20"/>
                <w:szCs w:val="20"/>
                <w:color w:val="auto"/>
              </w:rPr>
            </w:pPr>
            <w:r>
              <w:rPr>
                <w:rFonts w:ascii="Arial" w:cs="Arial" w:eastAsia="Arial" w:hAnsi="Arial"/>
                <w:sz w:val="14"/>
                <w:szCs w:val="14"/>
                <w:color w:val="333740"/>
              </w:rPr>
              <w:t>*</w:t>
            </w:r>
          </w:p>
        </w:tc>
      </w:tr>
    </w:tbl>
    <w:p>
      <w:pPr>
        <w:spacing w:after="0" w:line="179" w:lineRule="exact"/>
        <w:rPr>
          <w:sz w:val="20"/>
          <w:szCs w:val="20"/>
          <w:color w:val="auto"/>
        </w:rPr>
      </w:pPr>
    </w:p>
    <w:p>
      <w:pPr>
        <w:ind w:left="4"/>
        <w:spacing w:after="0"/>
        <w:rPr>
          <w:sz w:val="20"/>
          <w:szCs w:val="20"/>
          <w:color w:val="auto"/>
        </w:rPr>
      </w:pPr>
      <w:r>
        <w:rPr>
          <w:rFonts w:ascii="Arial" w:cs="Arial" w:eastAsia="Arial" w:hAnsi="Arial"/>
          <w:sz w:val="11"/>
          <w:szCs w:val="11"/>
          <w:color w:val="333740"/>
        </w:rPr>
        <w:t>* Less than 1%</w:t>
      </w:r>
    </w:p>
    <w:p>
      <w:pPr>
        <w:ind w:left="164" w:hanging="164"/>
        <w:spacing w:after="0" w:line="226" w:lineRule="auto"/>
        <w:tabs>
          <w:tab w:leader="none" w:pos="164" w:val="left"/>
        </w:tabs>
        <w:numPr>
          <w:ilvl w:val="0"/>
          <w:numId w:val="163"/>
        </w:numPr>
        <w:rPr>
          <w:rFonts w:ascii="Arial" w:cs="Arial" w:eastAsia="Arial" w:hAnsi="Arial"/>
          <w:sz w:val="11"/>
          <w:szCs w:val="11"/>
          <w:color w:val="333740"/>
        </w:rPr>
      </w:pPr>
      <w:r>
        <w:rPr>
          <w:rFonts w:ascii="Arial" w:cs="Arial" w:eastAsia="Arial" w:hAnsi="Arial"/>
          <w:sz w:val="11"/>
          <w:szCs w:val="11"/>
          <w:color w:val="333740"/>
        </w:rPr>
        <w:t>The calculation of percentage of ownership of each listed beneficial owner is based on 447,446,836 Ordinary Shares outstanding on February 28, 2020.</w:t>
      </w:r>
    </w:p>
    <w:p>
      <w:pPr>
        <w:ind w:left="164" w:right="240" w:hanging="164"/>
        <w:spacing w:after="0" w:line="226" w:lineRule="auto"/>
        <w:tabs>
          <w:tab w:leader="none" w:pos="164" w:val="left"/>
        </w:tabs>
        <w:numPr>
          <w:ilvl w:val="0"/>
          <w:numId w:val="163"/>
        </w:numPr>
        <w:rPr>
          <w:rFonts w:ascii="Arial" w:cs="Arial" w:eastAsia="Arial" w:hAnsi="Arial"/>
          <w:sz w:val="11"/>
          <w:szCs w:val="11"/>
          <w:color w:val="333740"/>
        </w:rPr>
      </w:pPr>
      <w:r>
        <w:rPr>
          <w:rFonts w:ascii="Arial" w:cs="Arial" w:eastAsia="Arial" w:hAnsi="Arial"/>
          <w:sz w:val="11"/>
          <w:szCs w:val="11"/>
          <w:color w:val="333740"/>
        </w:rPr>
        <w:t>Includes: (i) Ordinary Shares owned by the individual; and (ii) Ordinary Shares subject to stock options that are exercisable within 60 days of February 28, 2020. Mr. Pferdehirt’s ownership includes 80,304 Ordinary Shares held by a family trust for the benefit of his children, and his spouse is trustee of the family trust. The Ordinary Shares included in item (ii), in the aggregate, amount to 224,835 Ordinary Shares for Mr. Pferdehirt, 66,148 Ordinary Shares for Ms. Mannen, 44,810 Ordinary Shares for Ms. Ralston, 0 Ordinary Shares for Mr. Rounce, and 95,224 Ordinary Shares for Mr. Uccelletti.</w:t>
      </w:r>
    </w:p>
    <w:p>
      <w:pPr>
        <w:spacing w:after="0" w:line="1" w:lineRule="exact"/>
        <w:rPr>
          <w:rFonts w:ascii="Arial" w:cs="Arial" w:eastAsia="Arial" w:hAnsi="Arial"/>
          <w:sz w:val="11"/>
          <w:szCs w:val="11"/>
          <w:color w:val="333740"/>
        </w:rPr>
      </w:pPr>
    </w:p>
    <w:p>
      <w:pPr>
        <w:ind w:left="164" w:right="220" w:hanging="164"/>
        <w:spacing w:after="0" w:line="239" w:lineRule="auto"/>
        <w:tabs>
          <w:tab w:leader="none" w:pos="164" w:val="left"/>
        </w:tabs>
        <w:numPr>
          <w:ilvl w:val="0"/>
          <w:numId w:val="163"/>
        </w:numPr>
        <w:rPr>
          <w:rFonts w:ascii="Arial" w:cs="Arial" w:eastAsia="Arial" w:hAnsi="Arial"/>
          <w:sz w:val="11"/>
          <w:szCs w:val="11"/>
          <w:color w:val="333740"/>
        </w:rPr>
      </w:pPr>
      <w:r>
        <w:rPr>
          <w:rFonts w:ascii="Arial" w:cs="Arial" w:eastAsia="Arial" w:hAnsi="Arial"/>
          <w:sz w:val="11"/>
          <w:szCs w:val="11"/>
          <w:color w:val="333740"/>
        </w:rPr>
        <w:t>Includes Ordinary Shares owned by the individual and Ordinary Shares subject to RSUs credited to individual accounts of non-employee directors under our incentive plan. As of February 28, 2020, the number of Ordinary Shares subject to RSUs credited to each non-employee director</w:t>
      </w:r>
    </w:p>
    <w:p>
      <w:pPr>
        <w:spacing w:after="0" w:line="331" w:lineRule="exact"/>
        <w:rPr>
          <w:sz w:val="20"/>
          <w:szCs w:val="20"/>
          <w:color w:val="auto"/>
        </w:rPr>
      </w:pPr>
    </w:p>
    <w:p>
      <w:pPr>
        <w:ind w:left="564" w:hanging="564"/>
        <w:spacing w:after="0"/>
        <w:tabs>
          <w:tab w:leader="none" w:pos="564" w:val="left"/>
        </w:tabs>
        <w:numPr>
          <w:ilvl w:val="0"/>
          <w:numId w:val="16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7" w:right="319" w:bottom="1440" w:gutter="0" w:footer="0" w:header="0"/>
        </w:sectPr>
      </w:pPr>
    </w:p>
    <w:bookmarkStart w:id="133" w:name="page134"/>
    <w:bookmarkEnd w:id="133"/>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7" w:lineRule="exact"/>
        <w:rPr>
          <w:sz w:val="20"/>
          <w:szCs w:val="20"/>
          <w:color w:val="auto"/>
        </w:rPr>
      </w:pPr>
    </w:p>
    <w:p>
      <w:pPr>
        <w:ind w:left="164" w:right="140"/>
        <w:spacing w:after="0" w:line="259" w:lineRule="auto"/>
        <w:rPr>
          <w:sz w:val="20"/>
          <w:szCs w:val="20"/>
          <w:color w:val="auto"/>
        </w:rPr>
      </w:pPr>
      <w:r>
        <w:rPr>
          <w:rFonts w:ascii="Arial" w:cs="Arial" w:eastAsia="Arial" w:hAnsi="Arial"/>
          <w:sz w:val="11"/>
          <w:szCs w:val="11"/>
          <w:color w:val="333740"/>
        </w:rPr>
        <w:t>under the incentive plan was 10,855, except for Messrs. Piou and Yearwood, who joined the Board in June 2019, and Mr. Caudoux who waived his cash and equity remuneration because of the policies of his employer, Bpifrance. These directors have no power to vote or dispose of shares underlying the RSUs until they are distributed upon the cessation of their service on our Board. Until such distribution, these directors have an unsecured claim against us for such units.</w:t>
      </w:r>
    </w:p>
    <w:p>
      <w:pPr>
        <w:spacing w:after="0" w:line="1" w:lineRule="exact"/>
        <w:rPr>
          <w:sz w:val="20"/>
          <w:szCs w:val="20"/>
          <w:color w:val="auto"/>
        </w:rPr>
      </w:pPr>
    </w:p>
    <w:p>
      <w:pPr>
        <w:ind w:left="4"/>
        <w:spacing w:after="0"/>
        <w:rPr>
          <w:sz w:val="20"/>
          <w:szCs w:val="20"/>
          <w:color w:val="auto"/>
        </w:rPr>
      </w:pPr>
      <w:r>
        <w:rPr>
          <w:rFonts w:ascii="Arial" w:cs="Arial" w:eastAsia="Arial" w:hAnsi="Arial"/>
          <w:sz w:val="11"/>
          <w:szCs w:val="11"/>
          <w:color w:val="333740"/>
        </w:rPr>
        <w:t>(4) Includes, in the aggregate, stock options to purchase 495,696 Ordinary Shares that are currently exercisable by our NEOs and three other executive officers.</w:t>
      </w:r>
    </w:p>
    <w:p>
      <w:pPr>
        <w:spacing w:after="0" w:line="201" w:lineRule="exact"/>
        <w:rPr>
          <w:sz w:val="20"/>
          <w:szCs w:val="20"/>
          <w:color w:val="auto"/>
        </w:rPr>
      </w:pPr>
    </w:p>
    <w:p>
      <w:pPr>
        <w:ind w:left="4" w:right="420"/>
        <w:spacing w:after="0" w:line="244" w:lineRule="auto"/>
        <w:rPr>
          <w:sz w:val="20"/>
          <w:szCs w:val="20"/>
          <w:color w:val="auto"/>
        </w:rPr>
      </w:pPr>
      <w:r>
        <w:rPr>
          <w:rFonts w:ascii="Arial" w:cs="Arial" w:eastAsia="Arial" w:hAnsi="Arial"/>
          <w:sz w:val="16"/>
          <w:szCs w:val="16"/>
          <w:color w:val="333740"/>
        </w:rPr>
        <w:t>The following table sets forth beneficial ownership information about persons or groups that own or have the right to acquire more than 5% of our Ordinary Shares, based on information contained in Schedules 13G or 13D filed with the SEC.</w:t>
      </w:r>
    </w:p>
    <w:p>
      <w:pPr>
        <w:spacing w:after="0" w:line="116" w:lineRule="exact"/>
        <w:rPr>
          <w:sz w:val="20"/>
          <w:szCs w:val="20"/>
          <w:color w:val="auto"/>
        </w:rPr>
      </w:pPr>
    </w:p>
    <w:tbl>
      <w:tblPr>
        <w:tblLayout w:type="fixed"/>
        <w:tblInd w:w="4" w:type="dxa"/>
        <w:tblCellMar>
          <w:top w:w="0" w:type="dxa"/>
          <w:left w:w="0" w:type="dxa"/>
          <w:bottom w:w="0" w:type="dxa"/>
          <w:right w:w="0" w:type="dxa"/>
        </w:tblCellMar>
      </w:tblPr>
      <w:tr>
        <w:trPr>
          <w:trHeight w:val="299"/>
        </w:trPr>
        <w:tc>
          <w:tcPr>
            <w:tcW w:w="7900" w:type="dxa"/>
            <w:vAlign w:val="bottom"/>
            <w:tcBorders>
              <w:right w:val="single" w:sz="8" w:color="auto"/>
            </w:tcBorders>
            <w:shd w:val="clear" w:color="auto" w:fill="481F6E"/>
          </w:tcPr>
          <w:p>
            <w:pPr>
              <w:ind w:left="40"/>
              <w:spacing w:after="0"/>
              <w:rPr>
                <w:sz w:val="20"/>
                <w:szCs w:val="20"/>
                <w:color w:val="auto"/>
              </w:rPr>
            </w:pPr>
            <w:r>
              <w:rPr>
                <w:rFonts w:ascii="Arial" w:cs="Arial" w:eastAsia="Arial" w:hAnsi="Arial"/>
                <w:sz w:val="16"/>
                <w:szCs w:val="16"/>
                <w:b w:val="1"/>
                <w:bCs w:val="1"/>
                <w:color w:val="FFFFFF"/>
              </w:rPr>
              <w:t>Name and Address of Beneficial Owner</w:t>
            </w:r>
          </w:p>
        </w:tc>
        <w:tc>
          <w:tcPr>
            <w:tcW w:w="1800" w:type="dxa"/>
            <w:vAlign w:val="bottom"/>
            <w:tcBorders>
              <w:right w:val="single" w:sz="8" w:color="auto"/>
            </w:tcBorders>
            <w:shd w:val="clear" w:color="auto" w:fill="481F6E"/>
          </w:tcPr>
          <w:p>
            <w:pPr>
              <w:jc w:val="right"/>
              <w:ind w:right="67"/>
              <w:spacing w:after="0"/>
              <w:rPr>
                <w:sz w:val="20"/>
                <w:szCs w:val="20"/>
                <w:color w:val="auto"/>
              </w:rPr>
            </w:pPr>
            <w:r>
              <w:rPr>
                <w:rFonts w:ascii="Arial" w:cs="Arial" w:eastAsia="Arial" w:hAnsi="Arial"/>
                <w:sz w:val="16"/>
                <w:szCs w:val="16"/>
                <w:b w:val="1"/>
                <w:bCs w:val="1"/>
                <w:color w:val="FFFFFF"/>
              </w:rPr>
              <w:t>Shares</w:t>
            </w:r>
          </w:p>
        </w:tc>
        <w:tc>
          <w:tcPr>
            <w:tcW w:w="1560" w:type="dxa"/>
            <w:vAlign w:val="bottom"/>
            <w:shd w:val="clear" w:color="auto" w:fill="481F6E"/>
          </w:tcPr>
          <w:p>
            <w:pPr>
              <w:jc w:val="right"/>
              <w:spacing w:after="0"/>
              <w:rPr>
                <w:sz w:val="20"/>
                <w:szCs w:val="20"/>
                <w:color w:val="auto"/>
              </w:rPr>
            </w:pPr>
            <w:r>
              <w:rPr>
                <w:rFonts w:ascii="Arial" w:cs="Arial" w:eastAsia="Arial" w:hAnsi="Arial"/>
                <w:sz w:val="16"/>
                <w:szCs w:val="16"/>
                <w:b w:val="1"/>
                <w:bCs w:val="1"/>
                <w:color w:val="FFFFFF"/>
              </w:rPr>
              <w:t>Percent of Class</w:t>
            </w:r>
            <w:r>
              <w:rPr>
                <w:rFonts w:ascii="Arial" w:cs="Arial" w:eastAsia="Arial" w:hAnsi="Arial"/>
                <w:sz w:val="26"/>
                <w:szCs w:val="26"/>
                <w:b w:val="1"/>
                <w:bCs w:val="1"/>
                <w:color w:val="FFFFFF"/>
                <w:vertAlign w:val="superscript"/>
              </w:rPr>
              <w:t>1</w:t>
            </w:r>
          </w:p>
        </w:tc>
      </w:tr>
      <w:tr>
        <w:trPr>
          <w:trHeight w:val="241"/>
        </w:trPr>
        <w:tc>
          <w:tcPr>
            <w:tcW w:w="7900" w:type="dxa"/>
            <w:vAlign w:val="bottom"/>
          </w:tcPr>
          <w:p>
            <w:pPr>
              <w:spacing w:after="0"/>
              <w:rPr>
                <w:sz w:val="20"/>
                <w:szCs w:val="20"/>
                <w:color w:val="auto"/>
              </w:rPr>
            </w:pPr>
            <w:r>
              <w:rPr>
                <w:rFonts w:ascii="Arial" w:cs="Arial" w:eastAsia="Arial" w:hAnsi="Arial"/>
                <w:sz w:val="14"/>
                <w:szCs w:val="14"/>
                <w:color w:val="333740"/>
              </w:rPr>
              <w:t>Invesco Ltd.</w:t>
            </w:r>
          </w:p>
        </w:tc>
        <w:tc>
          <w:tcPr>
            <w:tcW w:w="1800" w:type="dxa"/>
            <w:vAlign w:val="bottom"/>
          </w:tcPr>
          <w:p>
            <w:pPr>
              <w:jc w:val="right"/>
              <w:ind w:right="67"/>
              <w:spacing w:after="0"/>
              <w:rPr>
                <w:sz w:val="20"/>
                <w:szCs w:val="20"/>
                <w:color w:val="auto"/>
              </w:rPr>
            </w:pPr>
            <w:r>
              <w:rPr>
                <w:rFonts w:ascii="Arial" w:cs="Arial" w:eastAsia="Arial" w:hAnsi="Arial"/>
                <w:sz w:val="14"/>
                <w:szCs w:val="14"/>
                <w:color w:val="333740"/>
              </w:rPr>
              <w:t>34,142,771</w:t>
            </w:r>
            <w:r>
              <w:rPr>
                <w:rFonts w:ascii="Arial" w:cs="Arial" w:eastAsia="Arial" w:hAnsi="Arial"/>
                <w:sz w:val="6"/>
                <w:szCs w:val="6"/>
                <w:color w:val="333740"/>
              </w:rPr>
              <w:t>2</w:t>
            </w:r>
          </w:p>
        </w:tc>
        <w:tc>
          <w:tcPr>
            <w:tcW w:w="1560" w:type="dxa"/>
            <w:vAlign w:val="bottom"/>
          </w:tcPr>
          <w:p>
            <w:pPr>
              <w:jc w:val="right"/>
              <w:spacing w:after="0"/>
              <w:rPr>
                <w:sz w:val="20"/>
                <w:szCs w:val="20"/>
                <w:color w:val="auto"/>
              </w:rPr>
            </w:pPr>
            <w:r>
              <w:rPr>
                <w:rFonts w:ascii="Arial" w:cs="Arial" w:eastAsia="Arial" w:hAnsi="Arial"/>
                <w:sz w:val="14"/>
                <w:szCs w:val="14"/>
                <w:color w:val="333740"/>
              </w:rPr>
              <w:t>7.63%</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333740"/>
              </w:rPr>
              <w:t>1555 Peachtree Street NE, Suite 1800</w:t>
            </w: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0"/>
        </w:trPr>
        <w:tc>
          <w:tcPr>
            <w:tcW w:w="7900" w:type="dxa"/>
            <w:vAlign w:val="bottom"/>
            <w:tcBorders>
              <w:bottom w:val="single" w:sz="8" w:color="D7D8D6"/>
            </w:tcBorders>
          </w:tcPr>
          <w:p>
            <w:pPr>
              <w:spacing w:after="0"/>
              <w:rPr>
                <w:sz w:val="20"/>
                <w:szCs w:val="20"/>
                <w:color w:val="auto"/>
              </w:rPr>
            </w:pPr>
            <w:r>
              <w:rPr>
                <w:rFonts w:ascii="Arial" w:cs="Arial" w:eastAsia="Arial" w:hAnsi="Arial"/>
                <w:sz w:val="14"/>
                <w:szCs w:val="14"/>
                <w:color w:val="333740"/>
              </w:rPr>
              <w:t>Atlanta, Georgia 30309</w:t>
            </w:r>
          </w:p>
        </w:tc>
        <w:tc>
          <w:tcPr>
            <w:tcW w:w="1800" w:type="dxa"/>
            <w:vAlign w:val="bottom"/>
            <w:tcBorders>
              <w:bottom w:val="single" w:sz="8" w:color="D7D8D6"/>
            </w:tcBorders>
          </w:tcPr>
          <w:p>
            <w:pPr>
              <w:spacing w:after="0"/>
              <w:rPr>
                <w:sz w:val="14"/>
                <w:szCs w:val="14"/>
                <w:color w:val="auto"/>
              </w:rPr>
            </w:pPr>
          </w:p>
        </w:tc>
        <w:tc>
          <w:tcPr>
            <w:tcW w:w="1560" w:type="dxa"/>
            <w:vAlign w:val="bottom"/>
            <w:tcBorders>
              <w:bottom w:val="single" w:sz="8" w:color="D7D8D6"/>
            </w:tcBorders>
          </w:tcPr>
          <w:p>
            <w:pPr>
              <w:spacing w:after="0"/>
              <w:rPr>
                <w:sz w:val="14"/>
                <w:szCs w:val="14"/>
                <w:color w:val="auto"/>
              </w:rPr>
            </w:pPr>
          </w:p>
        </w:tc>
      </w:tr>
      <w:tr>
        <w:trPr>
          <w:trHeight w:val="191"/>
        </w:trPr>
        <w:tc>
          <w:tcPr>
            <w:tcW w:w="7900" w:type="dxa"/>
            <w:vAlign w:val="bottom"/>
          </w:tcPr>
          <w:p>
            <w:pPr>
              <w:spacing w:after="0"/>
              <w:rPr>
                <w:sz w:val="20"/>
                <w:szCs w:val="20"/>
                <w:color w:val="auto"/>
              </w:rPr>
            </w:pPr>
            <w:r>
              <w:rPr>
                <w:rFonts w:ascii="Arial" w:cs="Arial" w:eastAsia="Arial" w:hAnsi="Arial"/>
                <w:sz w:val="14"/>
                <w:szCs w:val="14"/>
                <w:color w:val="333740"/>
              </w:rPr>
              <w:t>First Eagle Investment Management, LLC</w:t>
            </w:r>
          </w:p>
        </w:tc>
        <w:tc>
          <w:tcPr>
            <w:tcW w:w="1800" w:type="dxa"/>
            <w:vAlign w:val="bottom"/>
          </w:tcPr>
          <w:p>
            <w:pPr>
              <w:jc w:val="right"/>
              <w:ind w:right="67"/>
              <w:spacing w:after="0"/>
              <w:rPr>
                <w:sz w:val="20"/>
                <w:szCs w:val="20"/>
                <w:color w:val="auto"/>
              </w:rPr>
            </w:pPr>
            <w:r>
              <w:rPr>
                <w:rFonts w:ascii="Arial" w:cs="Arial" w:eastAsia="Arial" w:hAnsi="Arial"/>
                <w:sz w:val="14"/>
                <w:szCs w:val="14"/>
                <w:color w:val="333740"/>
              </w:rPr>
              <w:t>32,271,892</w:t>
            </w:r>
            <w:r>
              <w:rPr>
                <w:rFonts w:ascii="Arial" w:cs="Arial" w:eastAsia="Arial" w:hAnsi="Arial"/>
                <w:sz w:val="6"/>
                <w:szCs w:val="6"/>
                <w:color w:val="333740"/>
              </w:rPr>
              <w:t>3</w:t>
            </w:r>
          </w:p>
        </w:tc>
        <w:tc>
          <w:tcPr>
            <w:tcW w:w="1560" w:type="dxa"/>
            <w:vAlign w:val="bottom"/>
          </w:tcPr>
          <w:p>
            <w:pPr>
              <w:jc w:val="right"/>
              <w:spacing w:after="0"/>
              <w:rPr>
                <w:sz w:val="20"/>
                <w:szCs w:val="20"/>
                <w:color w:val="auto"/>
              </w:rPr>
            </w:pPr>
            <w:r>
              <w:rPr>
                <w:rFonts w:ascii="Arial" w:cs="Arial" w:eastAsia="Arial" w:hAnsi="Arial"/>
                <w:sz w:val="14"/>
                <w:szCs w:val="14"/>
                <w:color w:val="333740"/>
              </w:rPr>
              <w:t>7.21%</w:t>
            </w:r>
          </w:p>
        </w:tc>
      </w:tr>
      <w:tr>
        <w:trPr>
          <w:trHeight w:val="205"/>
        </w:trPr>
        <w:tc>
          <w:tcPr>
            <w:tcW w:w="7900" w:type="dxa"/>
            <w:vAlign w:val="bottom"/>
          </w:tcPr>
          <w:p>
            <w:pPr>
              <w:spacing w:after="0"/>
              <w:rPr>
                <w:sz w:val="20"/>
                <w:szCs w:val="20"/>
                <w:color w:val="auto"/>
              </w:rPr>
            </w:pPr>
            <w:r>
              <w:rPr>
                <w:rFonts w:ascii="Arial" w:cs="Arial" w:eastAsia="Arial" w:hAnsi="Arial"/>
                <w:sz w:val="14"/>
                <w:szCs w:val="14"/>
                <w:color w:val="333740"/>
              </w:rPr>
              <w:t>1345 Avenue of the Americas</w:t>
            </w:r>
          </w:p>
        </w:tc>
        <w:tc>
          <w:tcPr>
            <w:tcW w:w="18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70"/>
        </w:trPr>
        <w:tc>
          <w:tcPr>
            <w:tcW w:w="7900" w:type="dxa"/>
            <w:vAlign w:val="bottom"/>
            <w:tcBorders>
              <w:bottom w:val="single" w:sz="8" w:color="D7D8D6"/>
            </w:tcBorders>
          </w:tcPr>
          <w:p>
            <w:pPr>
              <w:spacing w:after="0"/>
              <w:rPr>
                <w:sz w:val="20"/>
                <w:szCs w:val="20"/>
                <w:color w:val="auto"/>
              </w:rPr>
            </w:pPr>
            <w:r>
              <w:rPr>
                <w:rFonts w:ascii="Arial" w:cs="Arial" w:eastAsia="Arial" w:hAnsi="Arial"/>
                <w:sz w:val="14"/>
                <w:szCs w:val="14"/>
                <w:color w:val="333740"/>
              </w:rPr>
              <w:t>New York, New York 10105</w:t>
            </w:r>
          </w:p>
        </w:tc>
        <w:tc>
          <w:tcPr>
            <w:tcW w:w="1800" w:type="dxa"/>
            <w:vAlign w:val="bottom"/>
            <w:tcBorders>
              <w:bottom w:val="single" w:sz="8" w:color="D7D8D6"/>
            </w:tcBorders>
          </w:tcPr>
          <w:p>
            <w:pPr>
              <w:spacing w:after="0"/>
              <w:rPr>
                <w:sz w:val="14"/>
                <w:szCs w:val="14"/>
                <w:color w:val="auto"/>
              </w:rPr>
            </w:pPr>
          </w:p>
        </w:tc>
        <w:tc>
          <w:tcPr>
            <w:tcW w:w="1560" w:type="dxa"/>
            <w:vAlign w:val="bottom"/>
            <w:tcBorders>
              <w:bottom w:val="single" w:sz="8" w:color="D7D8D6"/>
            </w:tcBorders>
          </w:tcPr>
          <w:p>
            <w:pPr>
              <w:spacing w:after="0"/>
              <w:rPr>
                <w:sz w:val="14"/>
                <w:szCs w:val="14"/>
                <w:color w:val="auto"/>
              </w:rPr>
            </w:pPr>
          </w:p>
        </w:tc>
      </w:tr>
      <w:tr>
        <w:trPr>
          <w:trHeight w:val="191"/>
        </w:trPr>
        <w:tc>
          <w:tcPr>
            <w:tcW w:w="7900" w:type="dxa"/>
            <w:vAlign w:val="bottom"/>
          </w:tcPr>
          <w:p>
            <w:pPr>
              <w:spacing w:after="0"/>
              <w:rPr>
                <w:sz w:val="20"/>
                <w:szCs w:val="20"/>
                <w:color w:val="auto"/>
              </w:rPr>
            </w:pPr>
            <w:r>
              <w:rPr>
                <w:rFonts w:ascii="Arial" w:cs="Arial" w:eastAsia="Arial" w:hAnsi="Arial"/>
                <w:sz w:val="14"/>
                <w:szCs w:val="14"/>
                <w:color w:val="333740"/>
              </w:rPr>
              <w:t>The Vanguard Group, Inc.</w:t>
            </w:r>
          </w:p>
        </w:tc>
        <w:tc>
          <w:tcPr>
            <w:tcW w:w="1800" w:type="dxa"/>
            <w:vAlign w:val="bottom"/>
          </w:tcPr>
          <w:p>
            <w:pPr>
              <w:jc w:val="right"/>
              <w:ind w:right="67"/>
              <w:spacing w:after="0"/>
              <w:rPr>
                <w:sz w:val="20"/>
                <w:szCs w:val="20"/>
                <w:color w:val="auto"/>
              </w:rPr>
            </w:pPr>
            <w:r>
              <w:rPr>
                <w:rFonts w:ascii="Arial" w:cs="Arial" w:eastAsia="Arial" w:hAnsi="Arial"/>
                <w:sz w:val="14"/>
                <w:szCs w:val="14"/>
                <w:color w:val="333740"/>
              </w:rPr>
              <w:t>29,406,224</w:t>
            </w:r>
            <w:r>
              <w:rPr>
                <w:rFonts w:ascii="Arial" w:cs="Arial" w:eastAsia="Arial" w:hAnsi="Arial"/>
                <w:sz w:val="6"/>
                <w:szCs w:val="6"/>
                <w:color w:val="333740"/>
              </w:rPr>
              <w:t>4</w:t>
            </w:r>
          </w:p>
        </w:tc>
        <w:tc>
          <w:tcPr>
            <w:tcW w:w="1560" w:type="dxa"/>
            <w:vAlign w:val="bottom"/>
          </w:tcPr>
          <w:p>
            <w:pPr>
              <w:jc w:val="right"/>
              <w:spacing w:after="0"/>
              <w:rPr>
                <w:sz w:val="20"/>
                <w:szCs w:val="20"/>
                <w:color w:val="auto"/>
              </w:rPr>
            </w:pPr>
            <w:r>
              <w:rPr>
                <w:rFonts w:ascii="Arial" w:cs="Arial" w:eastAsia="Arial" w:hAnsi="Arial"/>
                <w:sz w:val="14"/>
                <w:szCs w:val="14"/>
                <w:color w:val="333740"/>
              </w:rPr>
              <w:t>6.57%</w:t>
            </w:r>
          </w:p>
        </w:tc>
      </w:tr>
      <w:tr>
        <w:trPr>
          <w:trHeight w:val="205"/>
        </w:trPr>
        <w:tc>
          <w:tcPr>
            <w:tcW w:w="7900" w:type="dxa"/>
            <w:vAlign w:val="bottom"/>
          </w:tcPr>
          <w:p>
            <w:pPr>
              <w:spacing w:after="0"/>
              <w:rPr>
                <w:sz w:val="20"/>
                <w:szCs w:val="20"/>
                <w:color w:val="auto"/>
              </w:rPr>
            </w:pPr>
            <w:r>
              <w:rPr>
                <w:rFonts w:ascii="Arial" w:cs="Arial" w:eastAsia="Arial" w:hAnsi="Arial"/>
                <w:sz w:val="14"/>
                <w:szCs w:val="14"/>
                <w:color w:val="333740"/>
              </w:rPr>
              <w:t>100 Vanguard Boulevard</w:t>
            </w:r>
          </w:p>
        </w:tc>
        <w:tc>
          <w:tcPr>
            <w:tcW w:w="18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70"/>
        </w:trPr>
        <w:tc>
          <w:tcPr>
            <w:tcW w:w="7900" w:type="dxa"/>
            <w:vAlign w:val="bottom"/>
            <w:tcBorders>
              <w:bottom w:val="single" w:sz="8" w:color="D7D8D6"/>
            </w:tcBorders>
          </w:tcPr>
          <w:p>
            <w:pPr>
              <w:spacing w:after="0"/>
              <w:rPr>
                <w:sz w:val="20"/>
                <w:szCs w:val="20"/>
                <w:color w:val="auto"/>
              </w:rPr>
            </w:pPr>
            <w:r>
              <w:rPr>
                <w:rFonts w:ascii="Arial" w:cs="Arial" w:eastAsia="Arial" w:hAnsi="Arial"/>
                <w:sz w:val="14"/>
                <w:szCs w:val="14"/>
                <w:color w:val="333740"/>
              </w:rPr>
              <w:t>Malvern, Pennsylvania 19355</w:t>
            </w:r>
          </w:p>
        </w:tc>
        <w:tc>
          <w:tcPr>
            <w:tcW w:w="1800" w:type="dxa"/>
            <w:vAlign w:val="bottom"/>
            <w:tcBorders>
              <w:bottom w:val="single" w:sz="8" w:color="D7D8D6"/>
            </w:tcBorders>
          </w:tcPr>
          <w:p>
            <w:pPr>
              <w:spacing w:after="0"/>
              <w:rPr>
                <w:sz w:val="14"/>
                <w:szCs w:val="14"/>
                <w:color w:val="auto"/>
              </w:rPr>
            </w:pPr>
          </w:p>
        </w:tc>
        <w:tc>
          <w:tcPr>
            <w:tcW w:w="1560" w:type="dxa"/>
            <w:vAlign w:val="bottom"/>
            <w:tcBorders>
              <w:bottom w:val="single" w:sz="8" w:color="D7D8D6"/>
            </w:tcBorders>
          </w:tcPr>
          <w:p>
            <w:pPr>
              <w:spacing w:after="0"/>
              <w:rPr>
                <w:sz w:val="14"/>
                <w:szCs w:val="14"/>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4"/>
                <w:szCs w:val="14"/>
                <w:color w:val="333740"/>
              </w:rPr>
              <w:t>Bpifrance Participations S.A.</w:t>
            </w:r>
          </w:p>
        </w:tc>
        <w:tc>
          <w:tcPr>
            <w:tcW w:w="1800" w:type="dxa"/>
            <w:vAlign w:val="bottom"/>
          </w:tcPr>
          <w:p>
            <w:pPr>
              <w:jc w:val="right"/>
              <w:ind w:right="67"/>
              <w:spacing w:after="0"/>
              <w:rPr>
                <w:sz w:val="20"/>
                <w:szCs w:val="20"/>
                <w:color w:val="auto"/>
              </w:rPr>
            </w:pPr>
            <w:r>
              <w:rPr>
                <w:rFonts w:ascii="Arial" w:cs="Arial" w:eastAsia="Arial" w:hAnsi="Arial"/>
                <w:sz w:val="14"/>
                <w:szCs w:val="14"/>
                <w:color w:val="333740"/>
              </w:rPr>
              <w:t>24,688,691</w:t>
            </w:r>
            <w:r>
              <w:rPr>
                <w:rFonts w:ascii="Arial" w:cs="Arial" w:eastAsia="Arial" w:hAnsi="Arial"/>
                <w:sz w:val="6"/>
                <w:szCs w:val="6"/>
                <w:color w:val="333740"/>
              </w:rPr>
              <w:t>5</w:t>
            </w:r>
          </w:p>
        </w:tc>
        <w:tc>
          <w:tcPr>
            <w:tcW w:w="1560" w:type="dxa"/>
            <w:vAlign w:val="bottom"/>
          </w:tcPr>
          <w:p>
            <w:pPr>
              <w:jc w:val="right"/>
              <w:spacing w:after="0"/>
              <w:rPr>
                <w:sz w:val="20"/>
                <w:szCs w:val="20"/>
                <w:color w:val="auto"/>
              </w:rPr>
            </w:pPr>
            <w:r>
              <w:rPr>
                <w:rFonts w:ascii="Arial" w:cs="Arial" w:eastAsia="Arial" w:hAnsi="Arial"/>
                <w:sz w:val="14"/>
                <w:szCs w:val="14"/>
                <w:color w:val="333740"/>
              </w:rPr>
              <w:t>5.51%</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333740"/>
              </w:rPr>
              <w:t>27–31, avenue du Général Leclerc</w:t>
            </w: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333740"/>
              </w:rPr>
              <w:t>94710 Maisons-Alfort Cedex</w:t>
            </w: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0"/>
        </w:trPr>
        <w:tc>
          <w:tcPr>
            <w:tcW w:w="7900" w:type="dxa"/>
            <w:vAlign w:val="bottom"/>
            <w:tcBorders>
              <w:bottom w:val="single" w:sz="8" w:color="D7D8D6"/>
            </w:tcBorders>
          </w:tcPr>
          <w:p>
            <w:pPr>
              <w:spacing w:after="0"/>
              <w:rPr>
                <w:sz w:val="20"/>
                <w:szCs w:val="20"/>
                <w:color w:val="auto"/>
              </w:rPr>
            </w:pPr>
            <w:r>
              <w:rPr>
                <w:rFonts w:ascii="Arial" w:cs="Arial" w:eastAsia="Arial" w:hAnsi="Arial"/>
                <w:sz w:val="14"/>
                <w:szCs w:val="14"/>
                <w:color w:val="333740"/>
              </w:rPr>
              <w:t>France</w:t>
            </w:r>
          </w:p>
        </w:tc>
        <w:tc>
          <w:tcPr>
            <w:tcW w:w="1800" w:type="dxa"/>
            <w:vAlign w:val="bottom"/>
            <w:tcBorders>
              <w:bottom w:val="single" w:sz="8" w:color="D7D8D6"/>
            </w:tcBorders>
          </w:tcPr>
          <w:p>
            <w:pPr>
              <w:spacing w:after="0"/>
              <w:rPr>
                <w:sz w:val="14"/>
                <w:szCs w:val="14"/>
                <w:color w:val="auto"/>
              </w:rPr>
            </w:pPr>
          </w:p>
        </w:tc>
        <w:tc>
          <w:tcPr>
            <w:tcW w:w="1560" w:type="dxa"/>
            <w:vAlign w:val="bottom"/>
            <w:tcBorders>
              <w:bottom w:val="single" w:sz="8" w:color="D7D8D6"/>
            </w:tcBorders>
          </w:tcPr>
          <w:p>
            <w:pPr>
              <w:spacing w:after="0"/>
              <w:rPr>
                <w:sz w:val="14"/>
                <w:szCs w:val="14"/>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4"/>
                <w:szCs w:val="14"/>
                <w:color w:val="333740"/>
              </w:rPr>
              <w:t>BlackRock, Inc.</w:t>
            </w:r>
          </w:p>
        </w:tc>
        <w:tc>
          <w:tcPr>
            <w:tcW w:w="1800" w:type="dxa"/>
            <w:vAlign w:val="bottom"/>
          </w:tcPr>
          <w:p>
            <w:pPr>
              <w:jc w:val="right"/>
              <w:ind w:right="67"/>
              <w:spacing w:after="0"/>
              <w:rPr>
                <w:sz w:val="20"/>
                <w:szCs w:val="20"/>
                <w:color w:val="auto"/>
              </w:rPr>
            </w:pPr>
            <w:r>
              <w:rPr>
                <w:rFonts w:ascii="Arial" w:cs="Arial" w:eastAsia="Arial" w:hAnsi="Arial"/>
                <w:sz w:val="14"/>
                <w:szCs w:val="14"/>
                <w:color w:val="333740"/>
              </w:rPr>
              <w:t>22,701,632</w:t>
            </w:r>
            <w:r>
              <w:rPr>
                <w:rFonts w:ascii="Arial" w:cs="Arial" w:eastAsia="Arial" w:hAnsi="Arial"/>
                <w:sz w:val="6"/>
                <w:szCs w:val="6"/>
                <w:color w:val="333740"/>
              </w:rPr>
              <w:t>6</w:t>
            </w:r>
          </w:p>
        </w:tc>
        <w:tc>
          <w:tcPr>
            <w:tcW w:w="1560" w:type="dxa"/>
            <w:vAlign w:val="bottom"/>
          </w:tcPr>
          <w:p>
            <w:pPr>
              <w:jc w:val="right"/>
              <w:spacing w:after="0"/>
              <w:rPr>
                <w:sz w:val="20"/>
                <w:szCs w:val="20"/>
                <w:color w:val="auto"/>
              </w:rPr>
            </w:pPr>
            <w:r>
              <w:rPr>
                <w:rFonts w:ascii="Arial" w:cs="Arial" w:eastAsia="Arial" w:hAnsi="Arial"/>
                <w:sz w:val="14"/>
                <w:szCs w:val="14"/>
                <w:color w:val="333740"/>
              </w:rPr>
              <w:t>5.07%</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333740"/>
              </w:rPr>
              <w:t>55 East 52nd Street</w:t>
            </w: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0"/>
        </w:trPr>
        <w:tc>
          <w:tcPr>
            <w:tcW w:w="7900" w:type="dxa"/>
            <w:vAlign w:val="bottom"/>
            <w:tcBorders>
              <w:bottom w:val="single" w:sz="8" w:color="D7D8D6"/>
            </w:tcBorders>
          </w:tcPr>
          <w:p>
            <w:pPr>
              <w:spacing w:after="0"/>
              <w:rPr>
                <w:sz w:val="20"/>
                <w:szCs w:val="20"/>
                <w:color w:val="auto"/>
              </w:rPr>
            </w:pPr>
            <w:r>
              <w:rPr>
                <w:rFonts w:ascii="Arial" w:cs="Arial" w:eastAsia="Arial" w:hAnsi="Arial"/>
                <w:sz w:val="14"/>
                <w:szCs w:val="14"/>
                <w:color w:val="333740"/>
              </w:rPr>
              <w:t>New York, New York 10055</w:t>
            </w:r>
          </w:p>
        </w:tc>
        <w:tc>
          <w:tcPr>
            <w:tcW w:w="1800" w:type="dxa"/>
            <w:vAlign w:val="bottom"/>
            <w:tcBorders>
              <w:bottom w:val="single" w:sz="8" w:color="D7D8D6"/>
            </w:tcBorders>
          </w:tcPr>
          <w:p>
            <w:pPr>
              <w:spacing w:after="0"/>
              <w:rPr>
                <w:sz w:val="14"/>
                <w:szCs w:val="14"/>
                <w:color w:val="auto"/>
              </w:rPr>
            </w:pPr>
          </w:p>
        </w:tc>
        <w:tc>
          <w:tcPr>
            <w:tcW w:w="1560" w:type="dxa"/>
            <w:vAlign w:val="bottom"/>
            <w:tcBorders>
              <w:bottom w:val="single" w:sz="8" w:color="D7D8D6"/>
            </w:tcBorders>
          </w:tcPr>
          <w:p>
            <w:pPr>
              <w:spacing w:after="0"/>
              <w:rPr>
                <w:sz w:val="14"/>
                <w:szCs w:val="14"/>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4"/>
                <w:szCs w:val="14"/>
                <w:color w:val="333740"/>
              </w:rPr>
              <w:t>State Street Corporation</w:t>
            </w:r>
          </w:p>
        </w:tc>
        <w:tc>
          <w:tcPr>
            <w:tcW w:w="1800" w:type="dxa"/>
            <w:vAlign w:val="bottom"/>
          </w:tcPr>
          <w:p>
            <w:pPr>
              <w:jc w:val="right"/>
              <w:ind w:right="67"/>
              <w:spacing w:after="0"/>
              <w:rPr>
                <w:sz w:val="20"/>
                <w:szCs w:val="20"/>
                <w:color w:val="auto"/>
              </w:rPr>
            </w:pPr>
            <w:r>
              <w:rPr>
                <w:rFonts w:ascii="Arial" w:cs="Arial" w:eastAsia="Arial" w:hAnsi="Arial"/>
                <w:sz w:val="14"/>
                <w:szCs w:val="14"/>
                <w:color w:val="333740"/>
              </w:rPr>
              <w:t>21,353,029</w:t>
            </w:r>
            <w:r>
              <w:rPr>
                <w:rFonts w:ascii="Arial" w:cs="Arial" w:eastAsia="Arial" w:hAnsi="Arial"/>
                <w:sz w:val="6"/>
                <w:szCs w:val="6"/>
                <w:color w:val="333740"/>
              </w:rPr>
              <w:t>7</w:t>
            </w:r>
          </w:p>
        </w:tc>
        <w:tc>
          <w:tcPr>
            <w:tcW w:w="1560" w:type="dxa"/>
            <w:vAlign w:val="bottom"/>
          </w:tcPr>
          <w:p>
            <w:pPr>
              <w:jc w:val="right"/>
              <w:spacing w:after="0"/>
              <w:rPr>
                <w:sz w:val="20"/>
                <w:szCs w:val="20"/>
                <w:color w:val="auto"/>
              </w:rPr>
            </w:pPr>
            <w:r>
              <w:rPr>
                <w:rFonts w:ascii="Arial" w:cs="Arial" w:eastAsia="Arial" w:hAnsi="Arial"/>
                <w:sz w:val="14"/>
                <w:szCs w:val="14"/>
                <w:color w:val="333740"/>
              </w:rPr>
              <w:t>4.77%</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333740"/>
              </w:rPr>
              <w:t>One Lincoln Street</w:t>
            </w: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0"/>
        </w:trPr>
        <w:tc>
          <w:tcPr>
            <w:tcW w:w="7900" w:type="dxa"/>
            <w:vAlign w:val="bottom"/>
            <w:tcBorders>
              <w:bottom w:val="single" w:sz="8" w:color="D7D8D6"/>
            </w:tcBorders>
          </w:tcPr>
          <w:p>
            <w:pPr>
              <w:spacing w:after="0"/>
              <w:rPr>
                <w:sz w:val="20"/>
                <w:szCs w:val="20"/>
                <w:color w:val="auto"/>
              </w:rPr>
            </w:pPr>
            <w:r>
              <w:rPr>
                <w:rFonts w:ascii="Arial" w:cs="Arial" w:eastAsia="Arial" w:hAnsi="Arial"/>
                <w:sz w:val="14"/>
                <w:szCs w:val="14"/>
                <w:color w:val="333740"/>
              </w:rPr>
              <w:t>Boston, Massachusetts 02111</w:t>
            </w:r>
          </w:p>
        </w:tc>
        <w:tc>
          <w:tcPr>
            <w:tcW w:w="1800" w:type="dxa"/>
            <w:vAlign w:val="bottom"/>
            <w:tcBorders>
              <w:bottom w:val="single" w:sz="8" w:color="D7D8D6"/>
            </w:tcBorders>
          </w:tcPr>
          <w:p>
            <w:pPr>
              <w:spacing w:after="0"/>
              <w:rPr>
                <w:sz w:val="14"/>
                <w:szCs w:val="14"/>
                <w:color w:val="auto"/>
              </w:rPr>
            </w:pPr>
          </w:p>
        </w:tc>
        <w:tc>
          <w:tcPr>
            <w:tcW w:w="1560" w:type="dxa"/>
            <w:vAlign w:val="bottom"/>
            <w:tcBorders>
              <w:bottom w:val="single" w:sz="8" w:color="D7D8D6"/>
            </w:tcBorders>
          </w:tcPr>
          <w:p>
            <w:pPr>
              <w:spacing w:after="0"/>
              <w:rPr>
                <w:sz w:val="14"/>
                <w:szCs w:val="14"/>
                <w:color w:val="auto"/>
              </w:rPr>
            </w:pPr>
          </w:p>
        </w:tc>
      </w:tr>
    </w:tbl>
    <w:p>
      <w:pPr>
        <w:spacing w:after="0" w:line="179" w:lineRule="exact"/>
        <w:rPr>
          <w:sz w:val="20"/>
          <w:szCs w:val="20"/>
          <w:color w:val="auto"/>
        </w:rPr>
      </w:pPr>
    </w:p>
    <w:p>
      <w:pPr>
        <w:ind w:left="164" w:hanging="164"/>
        <w:spacing w:after="0"/>
        <w:tabs>
          <w:tab w:leader="none" w:pos="164" w:val="left"/>
        </w:tabs>
        <w:numPr>
          <w:ilvl w:val="0"/>
          <w:numId w:val="165"/>
        </w:numPr>
        <w:rPr>
          <w:rFonts w:ascii="Arial" w:cs="Arial" w:eastAsia="Arial" w:hAnsi="Arial"/>
          <w:sz w:val="11"/>
          <w:szCs w:val="11"/>
          <w:color w:val="333740"/>
        </w:rPr>
      </w:pPr>
      <w:r>
        <w:rPr>
          <w:rFonts w:ascii="Arial" w:cs="Arial" w:eastAsia="Arial" w:hAnsi="Arial"/>
          <w:sz w:val="11"/>
          <w:szCs w:val="11"/>
          <w:color w:val="333740"/>
        </w:rPr>
        <w:t>The calculation of percentage of ownership of each listed beneficial owner is based on 447,446,836 Ordinary Shares outstanding on February 28, 2020.</w:t>
      </w:r>
    </w:p>
    <w:p>
      <w:pPr>
        <w:ind w:left="164" w:right="180" w:hanging="164"/>
        <w:spacing w:after="0" w:line="226" w:lineRule="auto"/>
        <w:tabs>
          <w:tab w:leader="none" w:pos="164" w:val="left"/>
        </w:tabs>
        <w:numPr>
          <w:ilvl w:val="0"/>
          <w:numId w:val="165"/>
        </w:numPr>
        <w:rPr>
          <w:rFonts w:ascii="Arial" w:cs="Arial" w:eastAsia="Arial" w:hAnsi="Arial"/>
          <w:sz w:val="11"/>
          <w:szCs w:val="11"/>
          <w:color w:val="333740"/>
        </w:rPr>
      </w:pPr>
      <w:r>
        <w:rPr>
          <w:rFonts w:ascii="Arial" w:cs="Arial" w:eastAsia="Arial" w:hAnsi="Arial"/>
          <w:sz w:val="11"/>
          <w:szCs w:val="11"/>
          <w:color w:val="333740"/>
        </w:rPr>
        <w:t>Based on a Schedule 13G/A filed with the SEC on February 12, 2020, Invesco Ltd. has sole voting power over 32,768,781 Ordinary Shares and sole dispositive power over 34,142,596 Ordinary Shares. Invesco Ltd., in its capacity as a parent holding company to its investment advisers, may be deemed to beneficially own 34,142,771 Ordinary Shares. However, no one individual has greater than 5% economic ownership. The shareholders of the Fund have the right to receive or the power to direct the receipt of dividends and proceeds from the sale of securities.</w:t>
      </w:r>
    </w:p>
    <w:p>
      <w:pPr>
        <w:spacing w:after="0" w:line="1" w:lineRule="exact"/>
        <w:rPr>
          <w:rFonts w:ascii="Arial" w:cs="Arial" w:eastAsia="Arial" w:hAnsi="Arial"/>
          <w:sz w:val="11"/>
          <w:szCs w:val="11"/>
          <w:color w:val="333740"/>
        </w:rPr>
      </w:pPr>
    </w:p>
    <w:p>
      <w:pPr>
        <w:ind w:left="164" w:right="160" w:hanging="164"/>
        <w:spacing w:after="0" w:line="226" w:lineRule="auto"/>
        <w:tabs>
          <w:tab w:leader="none" w:pos="164" w:val="left"/>
        </w:tabs>
        <w:numPr>
          <w:ilvl w:val="0"/>
          <w:numId w:val="165"/>
        </w:numPr>
        <w:rPr>
          <w:rFonts w:ascii="Arial" w:cs="Arial" w:eastAsia="Arial" w:hAnsi="Arial"/>
          <w:sz w:val="11"/>
          <w:szCs w:val="11"/>
          <w:color w:val="333740"/>
        </w:rPr>
      </w:pPr>
      <w:r>
        <w:rPr>
          <w:rFonts w:ascii="Arial" w:cs="Arial" w:eastAsia="Arial" w:hAnsi="Arial"/>
          <w:sz w:val="11"/>
          <w:szCs w:val="11"/>
          <w:color w:val="333740"/>
        </w:rPr>
        <w:t>Based on a Schedule 13G/A filed with the SEC on February 10, 2020, First Eagle Investment Management, LLC (“</w:t>
      </w:r>
      <w:r>
        <w:rPr>
          <w:rFonts w:ascii="Arial" w:cs="Arial" w:eastAsia="Arial" w:hAnsi="Arial"/>
          <w:sz w:val="11"/>
          <w:szCs w:val="11"/>
          <w:b w:val="1"/>
          <w:bCs w:val="1"/>
          <w:color w:val="333740"/>
        </w:rPr>
        <w:t>FEIM</w:t>
      </w:r>
      <w:r>
        <w:rPr>
          <w:rFonts w:ascii="Arial" w:cs="Arial" w:eastAsia="Arial" w:hAnsi="Arial"/>
          <w:sz w:val="11"/>
          <w:szCs w:val="11"/>
          <w:color w:val="333740"/>
        </w:rPr>
        <w:t>”) has sole voting power over 30,730,041 Ordinary Shares and sole dispositive power over 32,271,892 Ordinary Shares. FEIM, an investment adviser registered under Section 203 of the Investment Advisers Act of 1940, is deemed to be the beneficial owner of 32,271,892 Ordinary Shares as a result of acting as investment adviser to various clients. Clients of FEIM have the right to receive and the ultimate power to direct the receipt of dividends from, or the proceeds of the sale of, such securities.</w:t>
      </w:r>
    </w:p>
    <w:p>
      <w:pPr>
        <w:spacing w:after="0" w:line="1" w:lineRule="exact"/>
        <w:rPr>
          <w:rFonts w:ascii="Arial" w:cs="Arial" w:eastAsia="Arial" w:hAnsi="Arial"/>
          <w:sz w:val="11"/>
          <w:szCs w:val="11"/>
          <w:color w:val="333740"/>
        </w:rPr>
      </w:pPr>
    </w:p>
    <w:p>
      <w:pPr>
        <w:ind w:left="164" w:right="160" w:hanging="164"/>
        <w:spacing w:after="0" w:line="226" w:lineRule="auto"/>
        <w:tabs>
          <w:tab w:leader="none" w:pos="164" w:val="left"/>
        </w:tabs>
        <w:numPr>
          <w:ilvl w:val="0"/>
          <w:numId w:val="165"/>
        </w:numPr>
        <w:rPr>
          <w:rFonts w:ascii="Arial" w:cs="Arial" w:eastAsia="Arial" w:hAnsi="Arial"/>
          <w:sz w:val="11"/>
          <w:szCs w:val="11"/>
          <w:color w:val="333740"/>
        </w:rPr>
      </w:pPr>
      <w:r>
        <w:rPr>
          <w:rFonts w:ascii="Arial" w:cs="Arial" w:eastAsia="Arial" w:hAnsi="Arial"/>
          <w:sz w:val="11"/>
          <w:szCs w:val="11"/>
          <w:color w:val="333740"/>
        </w:rPr>
        <w:t>Based on a Schedule 13G/A filed with the SEC on February 12, 2020, The Vanguard Group, Inc. has sole voting power over 748,097 Ordinary Shares, shared voting power over 129,243 Ordinary Shares, sole dispositive power over 28,553,856 Ordinary Shares, and shared dispositive power over 852,368 Ordinary Shares. Vanguard Fiduciary Trust Company, a wholly owned subsidiary of The Vanguard Group, Inc., is the beneficial owner of 610,922 Ordinary Shares as a result of its serving as investment manager of collective trust accounts. Vanguard Investments Australia, Ltd., a wholly owned subsidiary of The Vanguard Group, Inc., is the beneficial owner of 370,927 Ordinary Shares as a result of its serving as investment manager of Australian investment offerings.</w:t>
      </w:r>
    </w:p>
    <w:p>
      <w:pPr>
        <w:spacing w:after="0" w:line="1" w:lineRule="exact"/>
        <w:rPr>
          <w:rFonts w:ascii="Arial" w:cs="Arial" w:eastAsia="Arial" w:hAnsi="Arial"/>
          <w:sz w:val="11"/>
          <w:szCs w:val="11"/>
          <w:color w:val="333740"/>
        </w:rPr>
      </w:pPr>
    </w:p>
    <w:p>
      <w:pPr>
        <w:ind w:left="164" w:right="160" w:hanging="164"/>
        <w:spacing w:after="0" w:line="226" w:lineRule="auto"/>
        <w:tabs>
          <w:tab w:leader="none" w:pos="164" w:val="left"/>
        </w:tabs>
        <w:numPr>
          <w:ilvl w:val="0"/>
          <w:numId w:val="165"/>
        </w:numPr>
        <w:rPr>
          <w:rFonts w:ascii="Arial" w:cs="Arial" w:eastAsia="Arial" w:hAnsi="Arial"/>
          <w:sz w:val="11"/>
          <w:szCs w:val="11"/>
          <w:color w:val="333740"/>
        </w:rPr>
      </w:pPr>
      <w:r>
        <w:rPr>
          <w:rFonts w:ascii="Arial" w:cs="Arial" w:eastAsia="Arial" w:hAnsi="Arial"/>
          <w:sz w:val="11"/>
          <w:szCs w:val="11"/>
          <w:color w:val="333740"/>
        </w:rPr>
        <w:t>Based on a Schedule 13D filed with the SEC on May 30, 2017, Bpifrance Participations S.A., jointly with Caisse des Dépôts et Consignations, EPIC Bpifrance, and Bpifrance S.A., have shared voting power over 24,688,691 Ordinary Shares and shared dispositive power over 24,688,691 Ordinary Shares.</w:t>
      </w:r>
    </w:p>
    <w:p>
      <w:pPr>
        <w:ind w:left="164" w:right="60" w:hanging="164"/>
        <w:spacing w:after="0" w:line="226" w:lineRule="auto"/>
        <w:tabs>
          <w:tab w:leader="none" w:pos="164" w:val="left"/>
        </w:tabs>
        <w:numPr>
          <w:ilvl w:val="0"/>
          <w:numId w:val="165"/>
        </w:numPr>
        <w:rPr>
          <w:rFonts w:ascii="Arial" w:cs="Arial" w:eastAsia="Arial" w:hAnsi="Arial"/>
          <w:sz w:val="11"/>
          <w:szCs w:val="11"/>
          <w:color w:val="333740"/>
        </w:rPr>
      </w:pPr>
      <w:r>
        <w:rPr>
          <w:rFonts w:ascii="Arial" w:cs="Arial" w:eastAsia="Arial" w:hAnsi="Arial"/>
          <w:sz w:val="11"/>
          <w:szCs w:val="11"/>
          <w:color w:val="333740"/>
        </w:rPr>
        <w:t>Based on a Schedule 13G filed with the SEC on February 7, 2020, BlackRock, Inc. has sole voting power over 19,747,763 Ordinary Shares and sole dispositive power over 22,701,632 Ordinary Shares. BlackRock, Inc. reports that various persons have the right to receive or the power to direct the receipt of dividends from, or the proceeds from, the sale of Ordinary Shares, and no one person’s interest in the Company is more than 5% of the total outstanding Ordinary Shares.</w:t>
      </w:r>
    </w:p>
    <w:p>
      <w:pPr>
        <w:spacing w:after="0" w:line="1" w:lineRule="exact"/>
        <w:rPr>
          <w:rFonts w:ascii="Arial" w:cs="Arial" w:eastAsia="Arial" w:hAnsi="Arial"/>
          <w:sz w:val="11"/>
          <w:szCs w:val="11"/>
          <w:color w:val="333740"/>
        </w:rPr>
      </w:pPr>
    </w:p>
    <w:p>
      <w:pPr>
        <w:ind w:left="164" w:right="20" w:hanging="164"/>
        <w:spacing w:after="0" w:line="239" w:lineRule="auto"/>
        <w:tabs>
          <w:tab w:leader="none" w:pos="164" w:val="left"/>
        </w:tabs>
        <w:numPr>
          <w:ilvl w:val="0"/>
          <w:numId w:val="165"/>
        </w:numPr>
        <w:rPr>
          <w:rFonts w:ascii="Arial" w:cs="Arial" w:eastAsia="Arial" w:hAnsi="Arial"/>
          <w:sz w:val="11"/>
          <w:szCs w:val="11"/>
          <w:color w:val="333740"/>
        </w:rPr>
      </w:pPr>
      <w:r>
        <w:rPr>
          <w:rFonts w:ascii="Arial" w:cs="Arial" w:eastAsia="Arial" w:hAnsi="Arial"/>
          <w:sz w:val="11"/>
          <w:szCs w:val="11"/>
          <w:color w:val="333740"/>
        </w:rPr>
        <w:t>Based on a Schedule 13G filed with the SEC on February 13, 2020, State Street Corporation and its direct or indirect subsidiaries have shared voting power over 18,454,907 Ordinary Shares and shared dispositive power over 21,350,343 Ordinary Shares.</w:t>
      </w:r>
    </w:p>
    <w:p>
      <w:pPr>
        <w:spacing w:after="0" w:line="331" w:lineRule="exact"/>
        <w:rPr>
          <w:sz w:val="20"/>
          <w:szCs w:val="20"/>
          <w:color w:val="auto"/>
        </w:rPr>
      </w:pPr>
    </w:p>
    <w:p>
      <w:pPr>
        <w:ind w:left="564" w:hanging="564"/>
        <w:spacing w:after="0"/>
        <w:tabs>
          <w:tab w:leader="none" w:pos="564" w:val="left"/>
        </w:tabs>
        <w:numPr>
          <w:ilvl w:val="0"/>
          <w:numId w:val="16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7" w:right="319" w:bottom="1440" w:gutter="0" w:footer="0" w:header="0"/>
        </w:sectPr>
      </w:pPr>
    </w:p>
    <w:bookmarkStart w:id="134" w:name="page135"/>
    <w:bookmarkEnd w:id="134"/>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p>
    <w:p>
      <w:pPr>
        <w:ind w:left="4" w:right="1620"/>
        <w:spacing w:after="0" w:line="312" w:lineRule="auto"/>
        <w:rPr>
          <w:sz w:val="20"/>
          <w:szCs w:val="20"/>
          <w:color w:val="auto"/>
        </w:rPr>
      </w:pPr>
      <w:r>
        <w:rPr>
          <w:rFonts w:ascii="Arial" w:cs="Arial" w:eastAsia="Arial" w:hAnsi="Arial"/>
          <w:sz w:val="57"/>
          <w:szCs w:val="57"/>
          <w:color w:val="481F6E"/>
        </w:rPr>
        <w:t>Section 16(a) Beneficial Ownership Reporting Compliance</w:t>
      </w:r>
    </w:p>
    <w:p>
      <w:pPr>
        <w:spacing w:after="0" w:line="4"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Delinquent Section 16(a) Reports</w:t>
      </w:r>
    </w:p>
    <w:p>
      <w:pPr>
        <w:spacing w:after="0" w:line="91" w:lineRule="exact"/>
        <w:rPr>
          <w:sz w:val="20"/>
          <w:szCs w:val="20"/>
          <w:color w:val="auto"/>
        </w:rPr>
      </w:pPr>
    </w:p>
    <w:p>
      <w:pPr>
        <w:ind w:left="4"/>
        <w:spacing w:after="0" w:line="258" w:lineRule="auto"/>
        <w:rPr>
          <w:sz w:val="20"/>
          <w:szCs w:val="20"/>
          <w:color w:val="auto"/>
        </w:rPr>
      </w:pPr>
      <w:r>
        <w:rPr>
          <w:rFonts w:ascii="Arial" w:cs="Arial" w:eastAsia="Arial" w:hAnsi="Arial"/>
          <w:sz w:val="15"/>
          <w:szCs w:val="15"/>
          <w:color w:val="333740"/>
        </w:rPr>
        <w:t>Section 16(a) of the Exchange Act requires our directors and executive officers, and persons who beneficially own more than 10% of our Ordinary Shares, to file reports of ownership and changes in ownership with the SEC and to provide us with copies of all such reports. Based solely upon a review of the forms filed and written representations provided by executive officers and directors, we believe that all Section 16(a) reporting requirements were satisfied during 2019 on a timely basis, except that, due to an administrative error, a late Form 4 was filed on behalf of Mr. Pieton in connection with shares sold by his spouse.</w:t>
      </w:r>
    </w:p>
    <w:p>
      <w:pPr>
        <w:spacing w:after="0" w:line="315" w:lineRule="exact"/>
        <w:rPr>
          <w:sz w:val="20"/>
          <w:szCs w:val="20"/>
          <w:color w:val="auto"/>
        </w:rPr>
      </w:pPr>
    </w:p>
    <w:p>
      <w:pPr>
        <w:ind w:left="564" w:hanging="564"/>
        <w:spacing w:after="0"/>
        <w:tabs>
          <w:tab w:leader="none" w:pos="564" w:val="left"/>
        </w:tabs>
        <w:numPr>
          <w:ilvl w:val="0"/>
          <w:numId w:val="167"/>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4"/>
          </w:cols>
          <w:pgMar w:left="316" w:top="128" w:right="379" w:bottom="1440" w:gutter="0" w:footer="0" w:header="0"/>
        </w:sectPr>
      </w:pPr>
    </w:p>
    <w:bookmarkStart w:id="135" w:name="page136"/>
    <w:bookmarkEnd w:id="135"/>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p>
    <w:p>
      <w:pPr>
        <w:ind w:left="4" w:right="4320"/>
        <w:spacing w:after="0" w:line="290" w:lineRule="auto"/>
        <w:rPr>
          <w:sz w:val="20"/>
          <w:szCs w:val="20"/>
          <w:color w:val="auto"/>
        </w:rPr>
      </w:pPr>
      <w:r>
        <w:rPr>
          <w:rFonts w:ascii="Arial" w:cs="Arial" w:eastAsia="Arial" w:hAnsi="Arial"/>
          <w:sz w:val="57"/>
          <w:szCs w:val="57"/>
          <w:color w:val="481F6E"/>
        </w:rPr>
        <w:t>Proposals for the 2021 Annual General Meeting of Shareholders</w:t>
      </w:r>
    </w:p>
    <w:p>
      <w:pPr>
        <w:spacing w:after="0" w:line="23" w:lineRule="exact"/>
        <w:rPr>
          <w:sz w:val="20"/>
          <w:szCs w:val="20"/>
          <w:color w:val="auto"/>
        </w:rPr>
      </w:pPr>
    </w:p>
    <w:p>
      <w:pPr>
        <w:ind w:left="4" w:right="60"/>
        <w:spacing w:after="0" w:line="239" w:lineRule="auto"/>
        <w:rPr>
          <w:sz w:val="20"/>
          <w:szCs w:val="20"/>
          <w:color w:val="auto"/>
        </w:rPr>
      </w:pPr>
      <w:r>
        <w:rPr>
          <w:rFonts w:ascii="Arial" w:cs="Arial" w:eastAsia="Arial" w:hAnsi="Arial"/>
          <w:sz w:val="16"/>
          <w:szCs w:val="16"/>
          <w:color w:val="333740"/>
        </w:rPr>
        <w:t>If a shareholder wishes to submit a proposal for possible inclusion in our 2021 Proxy Statement and form of proxy for our 2021 Annual Meeting, the notice must be in proper form, comply with Rule 14a-8 of the Exchange Act, and be received no later than November 13, 2020, at One St. Paul’s Churchyard, London EC4M 8AP, United Kingdom, Attention: Corporate Secretary.</w:t>
      </w:r>
    </w:p>
    <w:p>
      <w:pPr>
        <w:spacing w:after="0" w:line="84" w:lineRule="exact"/>
        <w:rPr>
          <w:sz w:val="20"/>
          <w:szCs w:val="20"/>
          <w:color w:val="auto"/>
        </w:rPr>
      </w:pPr>
    </w:p>
    <w:p>
      <w:pPr>
        <w:ind w:left="4"/>
        <w:spacing w:after="0" w:line="235" w:lineRule="auto"/>
        <w:rPr>
          <w:sz w:val="20"/>
          <w:szCs w:val="20"/>
          <w:color w:val="auto"/>
        </w:rPr>
      </w:pPr>
      <w:r>
        <w:rPr>
          <w:rFonts w:ascii="Arial" w:cs="Arial" w:eastAsia="Arial" w:hAnsi="Arial"/>
          <w:sz w:val="16"/>
          <w:szCs w:val="16"/>
          <w:color w:val="333740"/>
        </w:rPr>
        <w:t>Without prejudice to the rights of a shareholder of record under the Companies Act, if a shareholder wishes to submit a proposal at our 2021 Annual Meeting other than for inclusion in our 2021 Proxy Statement and form of proxy, our Articles require the shareholder to deliver written notice thereof, setting forth the information specified in our Articles, to the Corporate Secretary at our principal executive offices no earlier than December 25, 2020 and no later than January 24, 2021; provided, however, that the subject of the proposal must otherwise be a proper matter for shareholder action. In the event that the date of the annual meeting is more than 30 days before or more than 70 days after April 24, 2021, however, a shareholder must deliver notice no earlier than the 120th day prior to such annual meeting and not later than the close of business on the later of: (a) the 90th day prior to such annual meeting; or (b) the 10th day following the day on which we first make a public announcement of the date of such meeting. A copy of our Articles may be obtained by writing to One St. Paul’s Churchyard, London EC4M 8AP, United Kingdom, Attention: Corporate Secretary.</w:t>
      </w:r>
    </w:p>
    <w:p>
      <w:pPr>
        <w:spacing w:after="0" w:line="76" w:lineRule="exact"/>
        <w:rPr>
          <w:sz w:val="20"/>
          <w:szCs w:val="20"/>
          <w:color w:val="auto"/>
        </w:rPr>
      </w:pPr>
    </w:p>
    <w:p>
      <w:pPr>
        <w:ind w:left="4" w:right="20"/>
        <w:spacing w:after="0" w:line="237" w:lineRule="auto"/>
        <w:rPr>
          <w:sz w:val="20"/>
          <w:szCs w:val="20"/>
          <w:color w:val="auto"/>
        </w:rPr>
      </w:pPr>
      <w:r>
        <w:rPr>
          <w:rFonts w:ascii="Arial" w:cs="Arial" w:eastAsia="Arial" w:hAnsi="Arial"/>
          <w:sz w:val="16"/>
          <w:szCs w:val="16"/>
          <w:color w:val="333740"/>
        </w:rPr>
        <w:t>Under sections 338 and 338A of the Companies Act, shareholders of record meeting the threshold requirements in those sections may require the Company to include: (i) a resolution in its notice of annual general meeting; or (ii) any matter (other than a proposed resolution) in the business to be dealt with at the 2021 Annual Meeting. Provided that the appropriate thresholds are met, notice of the resolution or matter must be received by the Company at One St. Paul’s Churchyard, London EC4M 8AP, United Kingdom, Attention: Corporate Secretary, at least six weeks prior to the date of the 2021 Annual Meeting or, if later, at the time notice of the annual general meeting is delivered to shareholders.</w:t>
      </w:r>
    </w:p>
    <w:p>
      <w:pPr>
        <w:spacing w:after="0" w:line="83" w:lineRule="exact"/>
        <w:rPr>
          <w:sz w:val="20"/>
          <w:szCs w:val="20"/>
          <w:color w:val="auto"/>
        </w:rPr>
      </w:pPr>
    </w:p>
    <w:p>
      <w:pPr>
        <w:ind w:left="4" w:right="440"/>
        <w:spacing w:after="0" w:line="244" w:lineRule="auto"/>
        <w:rPr>
          <w:sz w:val="20"/>
          <w:szCs w:val="20"/>
          <w:color w:val="auto"/>
        </w:rPr>
      </w:pPr>
      <w:r>
        <w:rPr>
          <w:rFonts w:ascii="Arial" w:cs="Arial" w:eastAsia="Arial" w:hAnsi="Arial"/>
          <w:sz w:val="16"/>
          <w:szCs w:val="16"/>
          <w:color w:val="333740"/>
        </w:rPr>
        <w:t xml:space="preserve">Please note that we may move our principal headquarters after our spin-off transaction is completed. If and when this happens, please visit our website at </w:t>
      </w:r>
      <w:r>
        <w:rPr>
          <w:rFonts w:ascii="Arial" w:cs="Arial" w:eastAsia="Arial" w:hAnsi="Arial"/>
          <w:sz w:val="16"/>
          <w:szCs w:val="16"/>
          <w:b w:val="1"/>
          <w:bCs w:val="1"/>
          <w:i w:val="1"/>
          <w:iCs w:val="1"/>
          <w:color w:val="481F6E"/>
        </w:rPr>
        <w:t xml:space="preserve">www.TechnipFMC.com </w:t>
      </w:r>
      <w:r>
        <w:rPr>
          <w:rFonts w:ascii="Arial" w:cs="Arial" w:eastAsia="Arial" w:hAnsi="Arial"/>
          <w:sz w:val="16"/>
          <w:szCs w:val="16"/>
          <w:color w:val="333740"/>
        </w:rPr>
        <w:t>for our new address.</w:t>
      </w:r>
    </w:p>
    <w:p>
      <w:pPr>
        <w:spacing w:after="0" w:line="80" w:lineRule="exact"/>
        <w:rPr>
          <w:sz w:val="20"/>
          <w:szCs w:val="20"/>
          <w:color w:val="auto"/>
        </w:rPr>
      </w:pPr>
    </w:p>
    <w:p>
      <w:pPr>
        <w:ind w:left="4"/>
        <w:spacing w:after="0" w:line="237" w:lineRule="auto"/>
        <w:rPr>
          <w:sz w:val="20"/>
          <w:szCs w:val="20"/>
          <w:color w:val="auto"/>
        </w:rPr>
      </w:pPr>
      <w:r>
        <w:rPr>
          <w:rFonts w:ascii="Arial" w:cs="Arial" w:eastAsia="Arial" w:hAnsi="Arial"/>
          <w:sz w:val="16"/>
          <w:szCs w:val="16"/>
          <w:color w:val="333740"/>
        </w:rPr>
        <w:t>In addition, under section 527 of the Companies Act, shareholders of record meeting the threshold requirements set out therein have the right, without expense, to require the Company to publish on its website a statement setting out any matter relating to: (i) the audit of the Company’s accounts (including the auditor’s report and the conduct of the audit) that are to be laid before the Annual Meeting; or (ii) any circumstance connected with an auditor of the Company ceasing to hold office since the previous meeting at which the annual accounts and reports were laid. The business that may be dealt with at the Annual Meeting would include any statement that the Company has been required to publish in accordance with section 527 of the Companies Act.</w:t>
      </w:r>
    </w:p>
    <w:p>
      <w:pPr>
        <w:spacing w:after="0" w:line="327" w:lineRule="exact"/>
        <w:rPr>
          <w:sz w:val="20"/>
          <w:szCs w:val="20"/>
          <w:color w:val="auto"/>
        </w:rPr>
      </w:pPr>
    </w:p>
    <w:p>
      <w:pPr>
        <w:ind w:left="564" w:hanging="564"/>
        <w:spacing w:after="0"/>
        <w:tabs>
          <w:tab w:leader="none" w:pos="564" w:val="left"/>
        </w:tabs>
        <w:numPr>
          <w:ilvl w:val="0"/>
          <w:numId w:val="168"/>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128" w:right="339" w:bottom="1440" w:gutter="0" w:footer="0" w:header="0"/>
        </w:sectPr>
      </w:pPr>
    </w:p>
    <w:bookmarkStart w:id="136" w:name="page137"/>
    <w:bookmarkEnd w:id="136"/>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p>
    <w:p>
      <w:pPr>
        <w:ind w:left="4" w:right="5060"/>
        <w:spacing w:after="0" w:line="316" w:lineRule="auto"/>
        <w:rPr>
          <w:sz w:val="20"/>
          <w:szCs w:val="20"/>
          <w:color w:val="auto"/>
        </w:rPr>
      </w:pPr>
      <w:r>
        <w:rPr>
          <w:rFonts w:ascii="Arial" w:cs="Arial" w:eastAsia="Arial" w:hAnsi="Arial"/>
          <w:sz w:val="57"/>
          <w:szCs w:val="57"/>
          <w:color w:val="481F6E"/>
        </w:rPr>
        <w:t>Shareholders Sharing an Address</w:t>
      </w:r>
    </w:p>
    <w:p>
      <w:pPr>
        <w:spacing w:after="0" w:line="4" w:lineRule="exact"/>
        <w:rPr>
          <w:sz w:val="20"/>
          <w:szCs w:val="20"/>
          <w:color w:val="auto"/>
        </w:rPr>
      </w:pPr>
    </w:p>
    <w:p>
      <w:pPr>
        <w:ind w:left="4"/>
        <w:spacing w:after="0" w:line="237" w:lineRule="auto"/>
        <w:rPr>
          <w:sz w:val="20"/>
          <w:szCs w:val="20"/>
          <w:color w:val="auto"/>
        </w:rPr>
      </w:pPr>
      <w:r>
        <w:rPr>
          <w:rFonts w:ascii="Arial" w:cs="Arial" w:eastAsia="Arial" w:hAnsi="Arial"/>
          <w:sz w:val="16"/>
          <w:szCs w:val="16"/>
          <w:color w:val="333740"/>
        </w:rPr>
        <w:t>We have adopted a procedure approved by the SEC called “householding.” Under this procedure, shareholders who have the same address and last name and do not participate in electronic delivery of Proxy Materials will receive only one copy of our Proxy Materials, unless one or more of the shareholders at that address notifies us that they wish to continue receiving individual copies. Each shareholder will continue to receive a separate proxy card or voting instruction card. We believe this procedure provides greater convenience to our shareholders and reinforces the Company’s Foundational Belief of sustainability by reducing wasteful duplicate mailings, as well as printing and mailing costs and fees.</w:t>
      </w:r>
    </w:p>
    <w:p>
      <w:pPr>
        <w:spacing w:after="0" w:line="83" w:lineRule="exact"/>
        <w:rPr>
          <w:sz w:val="20"/>
          <w:szCs w:val="20"/>
          <w:color w:val="auto"/>
        </w:rPr>
      </w:pPr>
    </w:p>
    <w:p>
      <w:pPr>
        <w:ind w:left="4" w:right="360"/>
        <w:spacing w:after="0" w:line="236" w:lineRule="auto"/>
        <w:rPr>
          <w:sz w:val="20"/>
          <w:szCs w:val="20"/>
          <w:color w:val="auto"/>
        </w:rPr>
      </w:pPr>
      <w:r>
        <w:rPr>
          <w:rFonts w:ascii="Arial" w:cs="Arial" w:eastAsia="Arial" w:hAnsi="Arial"/>
          <w:sz w:val="16"/>
          <w:szCs w:val="16"/>
          <w:color w:val="333740"/>
        </w:rPr>
        <w:t>The Company will promptly deliver, upon written or oral request, individual copies of the Proxy Materials to any shareholder at the shared address to which single copies of those documents were delivered. If you would like to request separate copies of the Proxy Materials or do not wish to participate in householding in the future, please contact Broadridge Investor Communication Services (“</w:t>
      </w:r>
      <w:r>
        <w:rPr>
          <w:rFonts w:ascii="Arial" w:cs="Arial" w:eastAsia="Arial" w:hAnsi="Arial"/>
          <w:sz w:val="16"/>
          <w:szCs w:val="16"/>
          <w:b w:val="1"/>
          <w:bCs w:val="1"/>
          <w:color w:val="333740"/>
        </w:rPr>
        <w:t>Broadridge</w:t>
      </w:r>
      <w:r>
        <w:rPr>
          <w:rFonts w:ascii="Arial" w:cs="Arial" w:eastAsia="Arial" w:hAnsi="Arial"/>
          <w:sz w:val="16"/>
          <w:szCs w:val="16"/>
          <w:color w:val="333740"/>
        </w:rPr>
        <w:t>”), our proxy distributor, by calling toll-free 800-542-1061, or by writing to Broadridge Financial Solutions, Inc., Householding Department, 51 Mercedes Way, Edgewood, New York 11717. If you are currently receiving multiple copies of our Proxy Materials and wish to receive only one copy for your household, please contact Broadridge at the same telephone number and address listed above.</w:t>
      </w:r>
    </w:p>
    <w:p>
      <w:pPr>
        <w:spacing w:after="0" w:line="74" w:lineRule="exact"/>
        <w:rPr>
          <w:sz w:val="20"/>
          <w:szCs w:val="20"/>
          <w:color w:val="auto"/>
        </w:rPr>
      </w:pPr>
    </w:p>
    <w:p>
      <w:pPr>
        <w:ind w:left="4" w:right="20"/>
        <w:spacing w:after="0" w:line="244" w:lineRule="auto"/>
        <w:rPr>
          <w:sz w:val="20"/>
          <w:szCs w:val="20"/>
          <w:color w:val="auto"/>
        </w:rPr>
      </w:pPr>
      <w:r>
        <w:rPr>
          <w:rFonts w:ascii="Arial" w:cs="Arial" w:eastAsia="Arial" w:hAnsi="Arial"/>
          <w:sz w:val="16"/>
          <w:szCs w:val="16"/>
          <w:color w:val="333740"/>
        </w:rPr>
        <w:t>A number of brokerage firms have instituted householding. If you hold your Ordinary Shares in street name, please contact your bank, broker, or other nominee to request information about householding.</w:t>
      </w:r>
    </w:p>
    <w:p>
      <w:pPr>
        <w:spacing w:after="0" w:line="324" w:lineRule="exact"/>
        <w:rPr>
          <w:sz w:val="20"/>
          <w:szCs w:val="20"/>
          <w:color w:val="auto"/>
        </w:rPr>
      </w:pPr>
    </w:p>
    <w:p>
      <w:pPr>
        <w:ind w:left="564" w:hanging="564"/>
        <w:spacing w:after="0"/>
        <w:tabs>
          <w:tab w:leader="none" w:pos="564" w:val="left"/>
        </w:tabs>
        <w:numPr>
          <w:ilvl w:val="0"/>
          <w:numId w:val="169"/>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137" w:name="page138"/>
    <w:bookmarkEnd w:id="137"/>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20" w:lineRule="exact"/>
        <w:rPr>
          <w:sz w:val="20"/>
          <w:szCs w:val="20"/>
          <w:color w:val="auto"/>
        </w:rPr>
      </w:pPr>
    </w:p>
    <w:p>
      <w:pPr>
        <w:ind w:left="4" w:right="320"/>
        <w:spacing w:after="0" w:line="312" w:lineRule="auto"/>
        <w:rPr>
          <w:sz w:val="20"/>
          <w:szCs w:val="20"/>
          <w:color w:val="auto"/>
        </w:rPr>
      </w:pPr>
      <w:r>
        <w:rPr>
          <w:rFonts w:ascii="Arial" w:cs="Arial" w:eastAsia="Arial" w:hAnsi="Arial"/>
          <w:sz w:val="57"/>
          <w:szCs w:val="57"/>
          <w:color w:val="481F6E"/>
        </w:rPr>
        <w:t>General Information about the Annual Meeting</w:t>
      </w:r>
    </w:p>
    <w:p>
      <w:pPr>
        <w:spacing w:after="0" w:line="4"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What is the location of the Annual Meeting?</w:t>
      </w:r>
    </w:p>
    <w:p>
      <w:pPr>
        <w:spacing w:after="0" w:line="91" w:lineRule="exact"/>
        <w:rPr>
          <w:sz w:val="20"/>
          <w:szCs w:val="20"/>
          <w:color w:val="auto"/>
        </w:rPr>
      </w:pPr>
    </w:p>
    <w:p>
      <w:pPr>
        <w:ind w:left="4" w:right="60"/>
        <w:spacing w:after="0" w:line="244" w:lineRule="auto"/>
        <w:rPr>
          <w:sz w:val="20"/>
          <w:szCs w:val="20"/>
          <w:color w:val="auto"/>
        </w:rPr>
      </w:pPr>
      <w:r>
        <w:rPr>
          <w:rFonts w:ascii="Arial" w:cs="Arial" w:eastAsia="Arial" w:hAnsi="Arial"/>
          <w:sz w:val="16"/>
          <w:szCs w:val="16"/>
          <w:color w:val="333740"/>
        </w:rPr>
        <w:t>The Annual Meeting will be held on Friday, April 24, 2020 at 10:00 a.m., London time, at One St. Paul’s Churchyard, London EC4M 8AP, United Kingdom, or at such other time and place to which the Annual Meeting may be adjourned or postponed.</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What is a proxy statement?</w:t>
      </w:r>
    </w:p>
    <w:p>
      <w:pPr>
        <w:spacing w:after="0" w:line="91" w:lineRule="exact"/>
        <w:rPr>
          <w:sz w:val="20"/>
          <w:szCs w:val="20"/>
          <w:color w:val="auto"/>
        </w:rPr>
      </w:pPr>
    </w:p>
    <w:p>
      <w:pPr>
        <w:ind w:left="4" w:right="120"/>
        <w:spacing w:after="0" w:line="244" w:lineRule="auto"/>
        <w:rPr>
          <w:sz w:val="20"/>
          <w:szCs w:val="20"/>
          <w:color w:val="auto"/>
        </w:rPr>
      </w:pPr>
      <w:r>
        <w:rPr>
          <w:rFonts w:ascii="Arial" w:cs="Arial" w:eastAsia="Arial" w:hAnsi="Arial"/>
          <w:sz w:val="16"/>
          <w:szCs w:val="16"/>
          <w:color w:val="333740"/>
        </w:rPr>
        <w:t>A proxy statement is a document that the rules and regulations of the United States, including those promulgated by the SEC, require the Company to provide to shareholders to ensure shareholders can make informed decisions about the matters to be voted on at the Annual Meeting.</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What is a proxy?</w:t>
      </w:r>
    </w:p>
    <w:p>
      <w:pPr>
        <w:spacing w:after="0" w:line="91" w:lineRule="exact"/>
        <w:rPr>
          <w:sz w:val="20"/>
          <w:szCs w:val="20"/>
          <w:color w:val="auto"/>
        </w:rPr>
      </w:pPr>
    </w:p>
    <w:p>
      <w:pPr>
        <w:ind w:left="4" w:right="60"/>
        <w:spacing w:after="0" w:line="244" w:lineRule="auto"/>
        <w:rPr>
          <w:sz w:val="20"/>
          <w:szCs w:val="20"/>
          <w:color w:val="auto"/>
        </w:rPr>
      </w:pPr>
      <w:r>
        <w:rPr>
          <w:rFonts w:ascii="Arial" w:cs="Arial" w:eastAsia="Arial" w:hAnsi="Arial"/>
          <w:sz w:val="16"/>
          <w:szCs w:val="16"/>
          <w:color w:val="333740"/>
        </w:rPr>
        <w:t>A proxy is: (a) your legal designation to another person to vote the Ordinary Shares that you own; and (b) the term for such designee. If you delegate someone as your proxy in a written document, that document is called a proxy card.</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How will the Company distribute Proxy Materials?</w:t>
      </w:r>
    </w:p>
    <w:p>
      <w:pPr>
        <w:spacing w:after="0" w:line="86" w:lineRule="exact"/>
        <w:rPr>
          <w:sz w:val="20"/>
          <w:szCs w:val="20"/>
          <w:color w:val="auto"/>
        </w:rPr>
      </w:pPr>
    </w:p>
    <w:p>
      <w:pPr>
        <w:ind w:left="4"/>
        <w:spacing w:after="0"/>
        <w:rPr>
          <w:sz w:val="20"/>
          <w:szCs w:val="20"/>
          <w:color w:val="auto"/>
        </w:rPr>
      </w:pPr>
      <w:r>
        <w:rPr>
          <w:rFonts w:ascii="Arial" w:cs="Arial" w:eastAsia="Arial" w:hAnsi="Arial"/>
          <w:sz w:val="16"/>
          <w:szCs w:val="16"/>
          <w:color w:val="333740"/>
        </w:rPr>
        <w:t>The Company utilizes the “Notice and Access” method of providing the Proxy Materials to shareholders. With “Notice and Access,” we are permitted to furnish</w:t>
      </w:r>
    </w:p>
    <w:p>
      <w:pPr>
        <w:ind w:left="4"/>
        <w:spacing w:after="0" w:line="233" w:lineRule="auto"/>
        <w:rPr>
          <w:sz w:val="20"/>
          <w:szCs w:val="20"/>
          <w:color w:val="auto"/>
        </w:rPr>
      </w:pPr>
      <w:r>
        <w:rPr>
          <w:rFonts w:ascii="Arial" w:cs="Arial" w:eastAsia="Arial" w:hAnsi="Arial"/>
          <w:sz w:val="16"/>
          <w:szCs w:val="16"/>
          <w:color w:val="333740"/>
        </w:rPr>
        <w:t>Proxy Materials to our shareholders by providing access to such documents on the internet instead of mailing printed copies. Shareholders may receive our</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333740"/>
        </w:rPr>
        <w:t>Proxy Materials in one of the following ways:</w:t>
      </w:r>
    </w:p>
    <w:p>
      <w:pPr>
        <w:spacing w:after="0" w:line="39" w:lineRule="exact"/>
        <w:rPr>
          <w:sz w:val="20"/>
          <w:szCs w:val="20"/>
          <w:color w:val="auto"/>
        </w:rPr>
      </w:pPr>
    </w:p>
    <w:p>
      <w:pPr>
        <w:ind w:left="284"/>
        <w:spacing w:after="0" w:line="258" w:lineRule="auto"/>
        <w:rPr>
          <w:sz w:val="20"/>
          <w:szCs w:val="20"/>
          <w:color w:val="auto"/>
        </w:rPr>
      </w:pPr>
      <w:r>
        <w:rPr>
          <w:rFonts w:ascii="Arial" w:cs="Arial" w:eastAsia="Arial" w:hAnsi="Arial"/>
          <w:sz w:val="14"/>
          <w:szCs w:val="14"/>
          <w:b w:val="1"/>
          <w:bCs w:val="1"/>
          <w:color w:val="333740"/>
        </w:rPr>
        <w:t xml:space="preserve">Notice and Access: </w:t>
      </w:r>
      <w:r>
        <w:rPr>
          <w:rFonts w:ascii="Arial" w:cs="Arial" w:eastAsia="Arial" w:hAnsi="Arial"/>
          <w:sz w:val="14"/>
          <w:szCs w:val="14"/>
          <w:color w:val="333740"/>
        </w:rPr>
        <w:t>Most shareholders will not receive printed copies of the Proxy Materials unless they request them. Instead, the Notice of Materials, which was mailed to</w:t>
      </w:r>
      <w:r>
        <w:rPr>
          <w:rFonts w:ascii="Arial" w:cs="Arial" w:eastAsia="Arial" w:hAnsi="Arial"/>
          <w:sz w:val="14"/>
          <w:szCs w:val="14"/>
          <w:b w:val="1"/>
          <w:bCs w:val="1"/>
          <w:color w:val="333740"/>
        </w:rPr>
        <w:t xml:space="preserve"> </w:t>
      </w:r>
      <w:r>
        <w:rPr>
          <w:rFonts w:ascii="Arial" w:cs="Arial" w:eastAsia="Arial" w:hAnsi="Arial"/>
          <w:sz w:val="14"/>
          <w:szCs w:val="14"/>
          <w:color w:val="333740"/>
        </w:rPr>
        <w:t xml:space="preserve">most of our shareholders beginning on or about March 13, 2020, will instruct you on how to access and review all of the Proxy Materials at </w:t>
      </w:r>
      <w:r>
        <w:rPr>
          <w:rFonts w:ascii="Arial" w:cs="Arial" w:eastAsia="Arial" w:hAnsi="Arial"/>
          <w:sz w:val="14"/>
          <w:szCs w:val="14"/>
          <w:b w:val="1"/>
          <w:bCs w:val="1"/>
          <w:i w:val="1"/>
          <w:iCs w:val="1"/>
          <w:color w:val="481F6E"/>
        </w:rPr>
        <w:t>www.proxyvote.com</w:t>
      </w:r>
      <w:r>
        <w:rPr>
          <w:rFonts w:ascii="Arial" w:cs="Arial" w:eastAsia="Arial" w:hAnsi="Arial"/>
          <w:sz w:val="14"/>
          <w:szCs w:val="14"/>
          <w:color w:val="333740"/>
        </w:rPr>
        <w:t xml:space="preserve">. Such notice also instructs you on how you may submit your proxy on the internet. If you would like to receive a paper or email copy of our Proxy Materials, you should follow the instructions for requesting such materials in the Notice of Materials. </w:t>
      </w:r>
      <w:r>
        <w:rPr>
          <w:rFonts w:ascii="Arial" w:cs="Arial" w:eastAsia="Arial" w:hAnsi="Arial"/>
          <w:sz w:val="14"/>
          <w:szCs w:val="14"/>
          <w:color w:val="000000"/>
        </w:rPr>
        <w:t>Any request to receive Proxy Materials by mail or email will remain in effect until you revoke it.</w:t>
      </w:r>
      <w:r>
        <w:rPr>
          <w:rFonts w:ascii="Arial" w:cs="Arial" w:eastAsia="Arial" w:hAnsi="Arial"/>
          <w:sz w:val="14"/>
          <w:szCs w:val="14"/>
          <w:color w:val="333740"/>
        </w:rPr>
        <w:t xml:space="preserve"> </w:t>
      </w:r>
      <w:r>
        <w:rPr>
          <w:rFonts w:ascii="Arial" w:cs="Arial" w:eastAsia="Arial" w:hAnsi="Arial"/>
          <w:sz w:val="14"/>
          <w:szCs w:val="14"/>
          <w:color w:val="000000"/>
        </w:rPr>
        <w:t>Shareholders who do not receive a Notice of Materials will receive a paper copy of the Proxy Materials by mail or an electronic copy of the Proxy Materials by email (see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-538480</wp:posOffset>
            </wp:positionV>
            <wp:extent cx="38100" cy="7556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90" w:lineRule="exact"/>
        <w:rPr>
          <w:sz w:val="20"/>
          <w:szCs w:val="20"/>
          <w:color w:val="auto"/>
        </w:rPr>
      </w:pPr>
    </w:p>
    <w:p>
      <w:pPr>
        <w:ind w:left="284" w:right="120"/>
        <w:spacing w:after="0" w:line="292" w:lineRule="auto"/>
        <w:rPr>
          <w:sz w:val="20"/>
          <w:szCs w:val="20"/>
          <w:color w:val="auto"/>
        </w:rPr>
      </w:pPr>
      <w:r>
        <w:rPr>
          <w:rFonts w:ascii="Arial" w:cs="Arial" w:eastAsia="Arial" w:hAnsi="Arial"/>
          <w:sz w:val="14"/>
          <w:szCs w:val="14"/>
          <w:b w:val="1"/>
          <w:bCs w:val="1"/>
          <w:color w:val="333740"/>
        </w:rPr>
        <w:t xml:space="preserve">Email Access to Proxy Materials: </w:t>
      </w:r>
      <w:r>
        <w:rPr>
          <w:rFonts w:ascii="Arial" w:cs="Arial" w:eastAsia="Arial" w:hAnsi="Arial"/>
          <w:sz w:val="14"/>
          <w:szCs w:val="14"/>
          <w:color w:val="333740"/>
        </w:rPr>
        <w:t>Shareholders who previously elected to receive notice of access to Proxy Materials via email will not receive the Notice of Materials in</w:t>
      </w:r>
      <w:r>
        <w:rPr>
          <w:rFonts w:ascii="Arial" w:cs="Arial" w:eastAsia="Arial" w:hAnsi="Arial"/>
          <w:sz w:val="14"/>
          <w:szCs w:val="14"/>
          <w:b w:val="1"/>
          <w:bCs w:val="1"/>
          <w:color w:val="333740"/>
        </w:rPr>
        <w:t xml:space="preserve"> </w:t>
      </w:r>
      <w:r>
        <w:rPr>
          <w:rFonts w:ascii="Arial" w:cs="Arial" w:eastAsia="Arial" w:hAnsi="Arial"/>
          <w:sz w:val="14"/>
          <w:szCs w:val="14"/>
          <w:color w:val="333740"/>
        </w:rPr>
        <w:t>the mail. You should have received an email with links to the Proxy Materials and online proxy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-237490</wp:posOffset>
            </wp:positionV>
            <wp:extent cx="38100" cy="7556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ind w:left="284" w:right="180"/>
        <w:spacing w:after="0" w:line="260" w:lineRule="auto"/>
        <w:rPr>
          <w:sz w:val="20"/>
          <w:szCs w:val="20"/>
          <w:color w:val="auto"/>
        </w:rPr>
      </w:pPr>
      <w:r>
        <w:rPr>
          <w:rFonts w:ascii="Arial" w:cs="Arial" w:eastAsia="Arial" w:hAnsi="Arial"/>
          <w:sz w:val="14"/>
          <w:szCs w:val="14"/>
          <w:b w:val="1"/>
          <w:bCs w:val="1"/>
          <w:color w:val="333740"/>
        </w:rPr>
        <w:t xml:space="preserve">Paper Copy of Proxy Materials with Proxy Card: </w:t>
      </w:r>
      <w:r>
        <w:rPr>
          <w:rFonts w:ascii="Arial" w:cs="Arial" w:eastAsia="Arial" w:hAnsi="Arial"/>
          <w:sz w:val="14"/>
          <w:szCs w:val="14"/>
          <w:color w:val="333740"/>
        </w:rPr>
        <w:t>All shareholders of record and shareholders who previously requested paper copies of the Proxy Materials will not</w:t>
      </w:r>
      <w:r>
        <w:rPr>
          <w:rFonts w:ascii="Arial" w:cs="Arial" w:eastAsia="Arial" w:hAnsi="Arial"/>
          <w:sz w:val="14"/>
          <w:szCs w:val="14"/>
          <w:b w:val="1"/>
          <w:bCs w:val="1"/>
          <w:color w:val="333740"/>
        </w:rPr>
        <w:t xml:space="preserve"> </w:t>
      </w:r>
      <w:r>
        <w:rPr>
          <w:rFonts w:ascii="Arial" w:cs="Arial" w:eastAsia="Arial" w:hAnsi="Arial"/>
          <w:sz w:val="14"/>
          <w:szCs w:val="14"/>
          <w:color w:val="333740"/>
        </w:rPr>
        <w:t>receive the Notice of Materials. Instead, such shareholders will continue to receive a paper copy of the Proxy Materials until a request is submitted to change delivery methods. You can eliminate all such paper mailings in the future by electing to receive an email that provides internet links to these documents. Opting to receive all future Proxy Materials online will save us the cost of producing and mailing documents to your home or business and help us conserve natural resources. To request electronic delivery, please follow the instructions on your proxy card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-542925</wp:posOffset>
            </wp:positionV>
            <wp:extent cx="38100" cy="7556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300" w:lineRule="exact"/>
        <w:rPr>
          <w:sz w:val="20"/>
          <w:szCs w:val="20"/>
          <w:color w:val="auto"/>
        </w:rPr>
      </w:pPr>
    </w:p>
    <w:p>
      <w:pPr>
        <w:ind w:left="564" w:hanging="564"/>
        <w:spacing w:after="0"/>
        <w:tabs>
          <w:tab w:leader="none" w:pos="564" w:val="left"/>
        </w:tabs>
        <w:numPr>
          <w:ilvl w:val="0"/>
          <w:numId w:val="170"/>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138" w:name="page139"/>
    <w:bookmarkEnd w:id="138"/>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33" w:lineRule="exact"/>
        <w:rPr>
          <w:sz w:val="20"/>
          <w:szCs w:val="20"/>
          <w:color w:val="auto"/>
        </w:rPr>
      </w:pPr>
    </w:p>
    <w:p>
      <w:pPr>
        <w:ind w:left="284" w:right="260"/>
        <w:spacing w:after="0" w:line="270" w:lineRule="auto"/>
        <w:rPr>
          <w:sz w:val="20"/>
          <w:szCs w:val="20"/>
          <w:color w:val="auto"/>
        </w:rPr>
      </w:pPr>
      <w:r>
        <w:rPr>
          <w:rFonts w:ascii="Arial" w:cs="Arial" w:eastAsia="Arial" w:hAnsi="Arial"/>
          <w:sz w:val="14"/>
          <w:szCs w:val="14"/>
          <w:b w:val="1"/>
          <w:bCs w:val="1"/>
          <w:color w:val="333740"/>
        </w:rPr>
        <w:t xml:space="preserve">Request through Bank/Broker: </w:t>
      </w:r>
      <w:r>
        <w:rPr>
          <w:rFonts w:ascii="Arial" w:cs="Arial" w:eastAsia="Arial" w:hAnsi="Arial"/>
          <w:sz w:val="14"/>
          <w:szCs w:val="14"/>
          <w:color w:val="333740"/>
        </w:rPr>
        <w:t>Shareholders holding Ordinary Shares in anonymous form (</w:t>
      </w:r>
      <w:r>
        <w:rPr>
          <w:rFonts w:ascii="Arial" w:cs="Arial" w:eastAsia="Arial" w:hAnsi="Arial"/>
          <w:sz w:val="14"/>
          <w:szCs w:val="14"/>
          <w:i w:val="1"/>
          <w:iCs w:val="1"/>
          <w:color w:val="333740"/>
        </w:rPr>
        <w:t>au porteur</w:t>
      </w:r>
      <w:r>
        <w:rPr>
          <w:rFonts w:ascii="Arial" w:cs="Arial" w:eastAsia="Arial" w:hAnsi="Arial"/>
          <w:sz w:val="14"/>
          <w:szCs w:val="14"/>
          <w:color w:val="333740"/>
        </w:rPr>
        <w:t>) through Euroclear France must contact their bank, broker, or</w:t>
      </w:r>
      <w:r>
        <w:rPr>
          <w:rFonts w:ascii="Arial" w:cs="Arial" w:eastAsia="Arial" w:hAnsi="Arial"/>
          <w:sz w:val="14"/>
          <w:szCs w:val="14"/>
          <w:b w:val="1"/>
          <w:bCs w:val="1"/>
          <w:color w:val="333740"/>
        </w:rPr>
        <w:t xml:space="preserve"> </w:t>
      </w:r>
      <w:r>
        <w:rPr>
          <w:rFonts w:ascii="Arial" w:cs="Arial" w:eastAsia="Arial" w:hAnsi="Arial"/>
          <w:sz w:val="14"/>
          <w:szCs w:val="14"/>
          <w:color w:val="333740"/>
        </w:rPr>
        <w:t>financial intermediary to request the Proxy Materials, including a proxy card that will enable shareholders to vote, request an admission ticket, or authorize a proxy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-334010</wp:posOffset>
            </wp:positionV>
            <wp:extent cx="38100" cy="7556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56" w:lineRule="exact"/>
        <w:rPr>
          <w:sz w:val="20"/>
          <w:szCs w:val="20"/>
          <w:color w:val="auto"/>
        </w:rPr>
      </w:pPr>
    </w:p>
    <w:p>
      <w:pPr>
        <w:ind w:left="4" w:right="120"/>
        <w:spacing w:after="0" w:line="267" w:lineRule="auto"/>
        <w:rPr>
          <w:sz w:val="20"/>
          <w:szCs w:val="20"/>
          <w:color w:val="auto"/>
        </w:rPr>
      </w:pPr>
      <w:r>
        <w:rPr>
          <w:rFonts w:ascii="Arial" w:cs="Arial" w:eastAsia="Arial" w:hAnsi="Arial"/>
          <w:sz w:val="16"/>
          <w:szCs w:val="16"/>
          <w:color w:val="333740"/>
        </w:rPr>
        <w:t xml:space="preserve">Proxy Materials will also be made available on our website at </w:t>
      </w:r>
      <w:r>
        <w:rPr>
          <w:rFonts w:ascii="Arial" w:cs="Arial" w:eastAsia="Arial" w:hAnsi="Arial"/>
          <w:sz w:val="16"/>
          <w:szCs w:val="16"/>
          <w:b w:val="1"/>
          <w:bCs w:val="1"/>
          <w:i w:val="1"/>
          <w:iCs w:val="1"/>
          <w:color w:val="481F6E"/>
        </w:rPr>
        <w:t>www.TechnipFMC.com</w:t>
      </w:r>
      <w:r>
        <w:rPr>
          <w:rFonts w:ascii="Arial" w:cs="Arial" w:eastAsia="Arial" w:hAnsi="Arial"/>
          <w:sz w:val="16"/>
          <w:szCs w:val="16"/>
          <w:color w:val="333740"/>
        </w:rPr>
        <w:t xml:space="preserve"> under the heading “</w:t>
      </w:r>
      <w:r>
        <w:rPr>
          <w:rFonts w:ascii="Arial" w:cs="Arial" w:eastAsia="Arial" w:hAnsi="Arial"/>
          <w:sz w:val="16"/>
          <w:szCs w:val="16"/>
          <w:i w:val="1"/>
          <w:iCs w:val="1"/>
          <w:color w:val="333740"/>
        </w:rPr>
        <w:t>Investors &gt; Events &amp; presentations &gt; Shareholders’</w:t>
      </w:r>
      <w:r>
        <w:rPr>
          <w:rFonts w:ascii="Arial" w:cs="Arial" w:eastAsia="Arial" w:hAnsi="Arial"/>
          <w:sz w:val="16"/>
          <w:szCs w:val="16"/>
          <w:color w:val="333740"/>
        </w:rPr>
        <w:t xml:space="preserve"> </w:t>
      </w:r>
      <w:r>
        <w:rPr>
          <w:rFonts w:ascii="Arial" w:cs="Arial" w:eastAsia="Arial" w:hAnsi="Arial"/>
          <w:sz w:val="16"/>
          <w:szCs w:val="16"/>
          <w:i w:val="1"/>
          <w:iCs w:val="1"/>
          <w:color w:val="333740"/>
        </w:rPr>
        <w:t>meeting</w:t>
      </w:r>
      <w:r>
        <w:rPr>
          <w:rFonts w:ascii="Arial" w:cs="Arial" w:eastAsia="Arial" w:hAnsi="Arial"/>
          <w:sz w:val="16"/>
          <w:szCs w:val="16"/>
          <w:color w:val="333740"/>
        </w:rPr>
        <w:t>” as well as at</w:t>
      </w:r>
      <w:r>
        <w:rPr>
          <w:rFonts w:ascii="Arial" w:cs="Arial" w:eastAsia="Arial" w:hAnsi="Arial"/>
          <w:sz w:val="16"/>
          <w:szCs w:val="16"/>
          <w:i w:val="1"/>
          <w:iCs w:val="1"/>
          <w:color w:val="333740"/>
        </w:rPr>
        <w:t xml:space="preserve"> </w:t>
      </w:r>
      <w:r>
        <w:rPr>
          <w:rFonts w:ascii="Arial" w:cs="Arial" w:eastAsia="Arial" w:hAnsi="Arial"/>
          <w:sz w:val="16"/>
          <w:szCs w:val="16"/>
          <w:b w:val="1"/>
          <w:bCs w:val="1"/>
          <w:i w:val="1"/>
          <w:iCs w:val="1"/>
          <w:color w:val="481F6E"/>
        </w:rPr>
        <w:t>www.proxyvote.com</w:t>
      </w:r>
      <w:r>
        <w:rPr>
          <w:rFonts w:ascii="Arial" w:cs="Arial" w:eastAsia="Arial" w:hAnsi="Arial"/>
          <w:sz w:val="16"/>
          <w:szCs w:val="16"/>
          <w:color w:val="333740"/>
        </w:rPr>
        <w:t>.</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Where can I find governance documents related to the Company?</w:t>
      </w:r>
    </w:p>
    <w:p>
      <w:pPr>
        <w:spacing w:after="0" w:line="91" w:lineRule="exact"/>
        <w:rPr>
          <w:sz w:val="20"/>
          <w:szCs w:val="20"/>
          <w:color w:val="auto"/>
        </w:rPr>
      </w:pPr>
    </w:p>
    <w:p>
      <w:pPr>
        <w:ind w:left="4" w:right="40"/>
        <w:spacing w:after="0" w:line="237" w:lineRule="auto"/>
        <w:rPr>
          <w:sz w:val="20"/>
          <w:szCs w:val="20"/>
          <w:color w:val="auto"/>
        </w:rPr>
      </w:pPr>
      <w:r>
        <w:rPr>
          <w:rFonts w:ascii="Arial" w:cs="Arial" w:eastAsia="Arial" w:hAnsi="Arial"/>
          <w:sz w:val="16"/>
          <w:szCs w:val="16"/>
          <w:color w:val="333740"/>
        </w:rPr>
        <w:t xml:space="preserve">Our Governance Guidelines, our Code of Business Conduct (including our core values and Foundational Beliefs), the charters for our Audit Committee, Compensation Committee, Nominating and Corporate Governance Committee, and Strategy Committee, and other corporate governance and sustainability information are available on our website at </w:t>
      </w:r>
      <w:r>
        <w:rPr>
          <w:rFonts w:ascii="Arial" w:cs="Arial" w:eastAsia="Arial" w:hAnsi="Arial"/>
          <w:sz w:val="16"/>
          <w:szCs w:val="16"/>
          <w:b w:val="1"/>
          <w:bCs w:val="1"/>
          <w:i w:val="1"/>
          <w:iCs w:val="1"/>
          <w:color w:val="481F6E"/>
        </w:rPr>
        <w:t>www.TechnipFMC.com</w:t>
      </w:r>
      <w:r>
        <w:rPr>
          <w:rFonts w:ascii="Arial" w:cs="Arial" w:eastAsia="Arial" w:hAnsi="Arial"/>
          <w:sz w:val="16"/>
          <w:szCs w:val="16"/>
          <w:color w:val="333740"/>
        </w:rPr>
        <w:t xml:space="preserve"> under the heading “</w:t>
      </w:r>
      <w:r>
        <w:rPr>
          <w:rFonts w:ascii="Arial" w:cs="Arial" w:eastAsia="Arial" w:hAnsi="Arial"/>
          <w:sz w:val="16"/>
          <w:szCs w:val="16"/>
          <w:i w:val="1"/>
          <w:iCs w:val="1"/>
          <w:color w:val="333740"/>
        </w:rPr>
        <w:t>About us</w:t>
      </w:r>
      <w:r>
        <w:rPr>
          <w:rFonts w:ascii="Arial" w:cs="Arial" w:eastAsia="Arial" w:hAnsi="Arial"/>
          <w:sz w:val="16"/>
          <w:szCs w:val="16"/>
          <w:color w:val="333740"/>
        </w:rPr>
        <w:t>.” These materials are also available in print, free of charge, to any shareholder upon written request submitted to One St. Paul’s Churchyard, London EC4M 8AP, United Kingdom, Attention: Corporate Secretary. The information on our website is not a part of this Proxy Statement and is not incorporated into any of our filings made with the SEC.</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Who is entitled to vote at the Annual Meeting?</w:t>
      </w:r>
    </w:p>
    <w:p>
      <w:pPr>
        <w:spacing w:after="0" w:line="91" w:lineRule="exact"/>
        <w:rPr>
          <w:sz w:val="20"/>
          <w:szCs w:val="20"/>
          <w:color w:val="auto"/>
        </w:rPr>
      </w:pPr>
    </w:p>
    <w:p>
      <w:pPr>
        <w:jc w:val="both"/>
        <w:ind w:left="4" w:right="100"/>
        <w:spacing w:after="0" w:line="239" w:lineRule="auto"/>
        <w:rPr>
          <w:sz w:val="20"/>
          <w:szCs w:val="20"/>
          <w:color w:val="auto"/>
        </w:rPr>
      </w:pPr>
      <w:r>
        <w:rPr>
          <w:rFonts w:ascii="Arial" w:cs="Arial" w:eastAsia="Arial" w:hAnsi="Arial"/>
          <w:sz w:val="16"/>
          <w:szCs w:val="16"/>
          <w:color w:val="333740"/>
        </w:rPr>
        <w:t>You can vote at the Annual Meeting or any adjournment or postponement thereof if you are a shareholder of record or beneficial owner of our Ordinary Shares as of 5:00 p.m., New York time, on February 27, 2020 (the “</w:t>
      </w:r>
      <w:r>
        <w:rPr>
          <w:rFonts w:ascii="Arial" w:cs="Arial" w:eastAsia="Arial" w:hAnsi="Arial"/>
          <w:sz w:val="16"/>
          <w:szCs w:val="16"/>
          <w:b w:val="1"/>
          <w:bCs w:val="1"/>
          <w:color w:val="333740"/>
        </w:rPr>
        <w:t>Record Date</w:t>
      </w:r>
      <w:r>
        <w:rPr>
          <w:rFonts w:ascii="Arial" w:cs="Arial" w:eastAsia="Arial" w:hAnsi="Arial"/>
          <w:sz w:val="16"/>
          <w:szCs w:val="16"/>
          <w:color w:val="333740"/>
        </w:rPr>
        <w:t>”). In addition, provisions under the Companies Act allow shareholders of record as of 10:00 a.m., London time, on April 22, 2020, to vote at the Annual Meeting (the “</w:t>
      </w:r>
      <w:r>
        <w:rPr>
          <w:rFonts w:ascii="Arial" w:cs="Arial" w:eastAsia="Arial" w:hAnsi="Arial"/>
          <w:sz w:val="16"/>
          <w:szCs w:val="16"/>
          <w:b w:val="1"/>
          <w:bCs w:val="1"/>
          <w:color w:val="333740"/>
        </w:rPr>
        <w:t>CA Record Date</w:t>
      </w:r>
      <w:r>
        <w:rPr>
          <w:rFonts w:ascii="Arial" w:cs="Arial" w:eastAsia="Arial" w:hAnsi="Arial"/>
          <w:sz w:val="16"/>
          <w:szCs w:val="16"/>
          <w:color w:val="333740"/>
        </w:rPr>
        <w:t>”).</w:t>
      </w:r>
    </w:p>
    <w:p>
      <w:pPr>
        <w:spacing w:after="0" w:line="72" w:lineRule="exact"/>
        <w:rPr>
          <w:sz w:val="20"/>
          <w:szCs w:val="20"/>
          <w:color w:val="auto"/>
        </w:rPr>
      </w:pPr>
    </w:p>
    <w:p>
      <w:pPr>
        <w:ind w:left="4" w:right="60"/>
        <w:spacing w:after="0" w:line="238" w:lineRule="auto"/>
        <w:rPr>
          <w:sz w:val="20"/>
          <w:szCs w:val="20"/>
          <w:color w:val="auto"/>
        </w:rPr>
      </w:pPr>
      <w:r>
        <w:rPr>
          <w:rFonts w:ascii="Arial" w:cs="Arial" w:eastAsia="Arial" w:hAnsi="Arial"/>
          <w:sz w:val="16"/>
          <w:szCs w:val="16"/>
          <w:color w:val="333740"/>
        </w:rPr>
        <w:t>Beneficial owners must comply with the February 27, 2020 Record Date, as the CA Record Date only applies to shareholders of record. Please see the question below for an explanation of the difference between a shareholder of record and a beneficial owner. Unless otherwise restricted from voting in accordance with applicable law and/or the Articles, you will have one vote for each Ordinary Share per proposal. As of February 27, 2020, we had 447,064,767 Ordinary Shares outstanding and entitled to vote.</w:t>
      </w:r>
    </w:p>
    <w:p>
      <w:pPr>
        <w:spacing w:after="0" w:line="83" w:lineRule="exact"/>
        <w:rPr>
          <w:sz w:val="20"/>
          <w:szCs w:val="20"/>
          <w:color w:val="auto"/>
        </w:rPr>
      </w:pPr>
    </w:p>
    <w:p>
      <w:pPr>
        <w:jc w:val="both"/>
        <w:ind w:left="4"/>
        <w:spacing w:after="0" w:line="239" w:lineRule="auto"/>
        <w:rPr>
          <w:sz w:val="20"/>
          <w:szCs w:val="20"/>
          <w:color w:val="auto"/>
        </w:rPr>
      </w:pPr>
      <w:r>
        <w:rPr>
          <w:rFonts w:ascii="Arial" w:cs="Arial" w:eastAsia="Arial" w:hAnsi="Arial"/>
          <w:sz w:val="16"/>
          <w:szCs w:val="16"/>
          <w:color w:val="333740"/>
        </w:rPr>
        <w:t>Any corporate or institutional shareholder may, by resolution of its articles or other governing body, authorize another person to act as its representative at the Annual Meeting, and such authorized person will (on production of a certified copy of such resolution at the Annual Meeting) be entitled to exercise the same powers on behalf of the corporation as that corporation could exercise if it was an individual shareholder of the Company.</w:t>
      </w:r>
    </w:p>
    <w:p>
      <w:pPr>
        <w:spacing w:after="0" w:line="84" w:lineRule="exact"/>
        <w:rPr>
          <w:sz w:val="20"/>
          <w:szCs w:val="20"/>
          <w:color w:val="auto"/>
        </w:rPr>
      </w:pPr>
    </w:p>
    <w:p>
      <w:pPr>
        <w:ind w:left="4" w:right="460"/>
        <w:spacing w:after="0" w:line="244" w:lineRule="auto"/>
        <w:rPr>
          <w:sz w:val="20"/>
          <w:szCs w:val="20"/>
          <w:color w:val="auto"/>
        </w:rPr>
      </w:pPr>
      <w:r>
        <w:rPr>
          <w:rFonts w:ascii="Arial" w:cs="Arial" w:eastAsia="Arial" w:hAnsi="Arial"/>
          <w:sz w:val="16"/>
          <w:szCs w:val="16"/>
          <w:color w:val="333740"/>
        </w:rPr>
        <w:t>Any beneficial owner who would like to vote in person at the Annual Meeting must obtain a legal proxy from his or her bank, broker, or other nominee and present it to the inspector of elections, together with his or her voting card, at the Annual Meeting.</w:t>
      </w:r>
    </w:p>
    <w:p>
      <w:pPr>
        <w:spacing w:after="0" w:line="68" w:lineRule="exact"/>
        <w:rPr>
          <w:sz w:val="20"/>
          <w:szCs w:val="20"/>
          <w:color w:val="auto"/>
        </w:rPr>
      </w:pPr>
    </w:p>
    <w:p>
      <w:pPr>
        <w:ind w:left="4" w:right="140"/>
        <w:spacing w:after="0" w:line="239" w:lineRule="auto"/>
        <w:rPr>
          <w:sz w:val="20"/>
          <w:szCs w:val="20"/>
          <w:color w:val="auto"/>
        </w:rPr>
      </w:pPr>
      <w:r>
        <w:rPr>
          <w:rFonts w:ascii="Arial" w:cs="Arial" w:eastAsia="Arial" w:hAnsi="Arial"/>
          <w:sz w:val="16"/>
          <w:szCs w:val="16"/>
          <w:color w:val="333740"/>
        </w:rPr>
        <w:t>In the case of joint holders, the vote of the senior holder who submits a vote will be accepted to the exclusion of the vote of the other joint holders, with seniority determined by the order in which the names of the holders appear in the register of members of our transfer agent, Computershare Investor Services plc (“</w:t>
      </w:r>
      <w:r>
        <w:rPr>
          <w:rFonts w:ascii="Arial" w:cs="Arial" w:eastAsia="Arial" w:hAnsi="Arial"/>
          <w:sz w:val="16"/>
          <w:szCs w:val="16"/>
          <w:b w:val="1"/>
          <w:bCs w:val="1"/>
          <w:color w:val="333740"/>
        </w:rPr>
        <w:t>Computershare</w:t>
      </w:r>
      <w:r>
        <w:rPr>
          <w:rFonts w:ascii="Arial" w:cs="Arial" w:eastAsia="Arial" w:hAnsi="Arial"/>
          <w:sz w:val="16"/>
          <w:szCs w:val="16"/>
          <w:color w:val="333740"/>
        </w:rPr>
        <w:t>”).</w:t>
      </w:r>
    </w:p>
    <w:p>
      <w:pPr>
        <w:spacing w:after="0" w:line="84" w:lineRule="exact"/>
        <w:rPr>
          <w:sz w:val="20"/>
          <w:szCs w:val="20"/>
          <w:color w:val="auto"/>
        </w:rPr>
      </w:pPr>
    </w:p>
    <w:p>
      <w:pPr>
        <w:ind w:left="4"/>
        <w:spacing w:after="0" w:line="239" w:lineRule="auto"/>
        <w:rPr>
          <w:sz w:val="20"/>
          <w:szCs w:val="20"/>
          <w:color w:val="auto"/>
        </w:rPr>
      </w:pPr>
      <w:r>
        <w:rPr>
          <w:rFonts w:ascii="Arial" w:cs="Arial" w:eastAsia="Arial" w:hAnsi="Arial"/>
          <w:sz w:val="16"/>
          <w:szCs w:val="16"/>
          <w:color w:val="333740"/>
        </w:rPr>
        <w:t>A complete list of shareholders of record entitled to vote will be open to the examination of any shareholder for any purpose relevant to the Annual Meeting for a period of 10 days prior to the Annual Meeting at our office at One St. Paul’s Churchyard, London EC4M 8AP, United Kingdom, during ordinary business hours. This list will also be available at the location of the Annual Meeting and open to the examination of any shareholder present at the Annual Meeting.</w:t>
      </w:r>
    </w:p>
    <w:p>
      <w:pPr>
        <w:spacing w:after="0" w:line="328" w:lineRule="exact"/>
        <w:rPr>
          <w:sz w:val="20"/>
          <w:szCs w:val="20"/>
          <w:color w:val="auto"/>
        </w:rPr>
      </w:pPr>
    </w:p>
    <w:p>
      <w:pPr>
        <w:ind w:left="564" w:hanging="564"/>
        <w:spacing w:after="0"/>
        <w:tabs>
          <w:tab w:leader="none" w:pos="564" w:val="left"/>
        </w:tabs>
        <w:numPr>
          <w:ilvl w:val="0"/>
          <w:numId w:val="171"/>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128" w:right="339" w:bottom="1440" w:gutter="0" w:footer="0" w:header="0"/>
        </w:sectPr>
      </w:pPr>
    </w:p>
    <w:bookmarkStart w:id="139" w:name="page140"/>
    <w:bookmarkEnd w:id="139"/>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98" w:lineRule="exact"/>
        <w:rPr>
          <w:sz w:val="20"/>
          <w:szCs w:val="20"/>
          <w:color w:val="auto"/>
        </w:rPr>
      </w:pPr>
    </w:p>
    <w:p>
      <w:pPr>
        <w:ind w:left="4" w:right="420"/>
        <w:spacing w:after="0" w:line="286" w:lineRule="auto"/>
        <w:rPr>
          <w:sz w:val="20"/>
          <w:szCs w:val="20"/>
          <w:color w:val="auto"/>
        </w:rPr>
      </w:pPr>
      <w:r>
        <w:rPr>
          <w:rFonts w:ascii="Arial" w:cs="Arial" w:eastAsia="Arial" w:hAnsi="Arial"/>
          <w:sz w:val="21"/>
          <w:szCs w:val="21"/>
          <w:b w:val="1"/>
          <w:bCs w:val="1"/>
          <w:color w:val="481F6E"/>
        </w:rPr>
        <w:t>What is the diﬀerence between holding Ordinary Shares as a shareholder of record and as a beneficial owner?</w:t>
      </w:r>
    </w:p>
    <w:p>
      <w:pPr>
        <w:ind w:left="4"/>
        <w:spacing w:after="0"/>
        <w:rPr>
          <w:sz w:val="20"/>
          <w:szCs w:val="20"/>
          <w:color w:val="auto"/>
        </w:rPr>
      </w:pPr>
      <w:r>
        <w:rPr>
          <w:rFonts w:ascii="Arial" w:cs="Arial" w:eastAsia="Arial" w:hAnsi="Arial"/>
          <w:sz w:val="16"/>
          <w:szCs w:val="16"/>
          <w:color w:val="333740"/>
        </w:rPr>
        <w:t>As summarized below, there are some differences between Ordinary Shares held of record and those owned beneficially in street name.</w:t>
      </w:r>
    </w:p>
    <w:p>
      <w:pPr>
        <w:spacing w:after="0" w:line="39" w:lineRule="exact"/>
        <w:rPr>
          <w:sz w:val="20"/>
          <w:szCs w:val="20"/>
          <w:color w:val="auto"/>
        </w:rPr>
      </w:pPr>
    </w:p>
    <w:p>
      <w:pPr>
        <w:jc w:val="both"/>
        <w:ind w:left="284" w:right="60"/>
        <w:spacing w:after="0" w:line="270" w:lineRule="auto"/>
        <w:rPr>
          <w:sz w:val="20"/>
          <w:szCs w:val="20"/>
          <w:color w:val="auto"/>
        </w:rPr>
      </w:pPr>
      <w:r>
        <w:rPr>
          <w:rFonts w:ascii="Arial" w:cs="Arial" w:eastAsia="Arial" w:hAnsi="Arial"/>
          <w:sz w:val="14"/>
          <w:szCs w:val="14"/>
          <w:b w:val="1"/>
          <w:bCs w:val="1"/>
          <w:color w:val="333740"/>
        </w:rPr>
        <w:t xml:space="preserve">Shareholders of Record. </w:t>
      </w:r>
      <w:r>
        <w:rPr>
          <w:rFonts w:ascii="Arial" w:cs="Arial" w:eastAsia="Arial" w:hAnsi="Arial"/>
          <w:sz w:val="14"/>
          <w:szCs w:val="14"/>
          <w:color w:val="333740"/>
        </w:rPr>
        <w:t>If your Ordinary Shares are registered directly in your name on the register of members with Computershare, you are considered the shareholder</w:t>
      </w:r>
      <w:r>
        <w:rPr>
          <w:rFonts w:ascii="Arial" w:cs="Arial" w:eastAsia="Arial" w:hAnsi="Arial"/>
          <w:sz w:val="14"/>
          <w:szCs w:val="14"/>
          <w:b w:val="1"/>
          <w:bCs w:val="1"/>
          <w:color w:val="333740"/>
        </w:rPr>
        <w:t xml:space="preserve"> </w:t>
      </w:r>
      <w:r>
        <w:rPr>
          <w:rFonts w:ascii="Arial" w:cs="Arial" w:eastAsia="Arial" w:hAnsi="Arial"/>
          <w:sz w:val="14"/>
          <w:szCs w:val="14"/>
          <w:color w:val="333740"/>
        </w:rPr>
        <w:t>of record with respect to those shares, and the Proxy Materials, including a proxy card, are being sent directly to you. As a shareholder of record, you have the right to grant your voting proxy directly to us, to vote electronically, or to vote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-334010</wp:posOffset>
            </wp:positionV>
            <wp:extent cx="38100" cy="7556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2" w:lineRule="exact"/>
        <w:rPr>
          <w:sz w:val="20"/>
          <w:szCs w:val="20"/>
          <w:color w:val="auto"/>
        </w:rPr>
      </w:pPr>
    </w:p>
    <w:p>
      <w:pPr>
        <w:ind w:left="284" w:right="20"/>
        <w:spacing w:after="0" w:line="258" w:lineRule="auto"/>
        <w:rPr>
          <w:sz w:val="20"/>
          <w:szCs w:val="20"/>
          <w:color w:val="auto"/>
        </w:rPr>
      </w:pPr>
      <w:r>
        <w:rPr>
          <w:rFonts w:ascii="Arial" w:cs="Arial" w:eastAsia="Arial" w:hAnsi="Arial"/>
          <w:sz w:val="14"/>
          <w:szCs w:val="14"/>
          <w:b w:val="1"/>
          <w:bCs w:val="1"/>
          <w:color w:val="333740"/>
        </w:rPr>
        <w:t xml:space="preserve">Beneficial Owners. </w:t>
      </w:r>
      <w:r>
        <w:rPr>
          <w:rFonts w:ascii="Arial" w:cs="Arial" w:eastAsia="Arial" w:hAnsi="Arial"/>
          <w:sz w:val="14"/>
          <w:szCs w:val="14"/>
          <w:color w:val="333740"/>
        </w:rPr>
        <w:t>If your Ordinary Shares are held in a stock brokerage account, or by a bank or other nominee, you are considered the beneficial owner of shares held in</w:t>
      </w:r>
      <w:r>
        <w:rPr>
          <w:rFonts w:ascii="Arial" w:cs="Arial" w:eastAsia="Arial" w:hAnsi="Arial"/>
          <w:sz w:val="14"/>
          <w:szCs w:val="14"/>
          <w:b w:val="1"/>
          <w:bCs w:val="1"/>
          <w:color w:val="333740"/>
        </w:rPr>
        <w:t xml:space="preserve"> </w:t>
      </w:r>
      <w:r>
        <w:rPr>
          <w:rFonts w:ascii="Arial" w:cs="Arial" w:eastAsia="Arial" w:hAnsi="Arial"/>
          <w:sz w:val="14"/>
          <w:szCs w:val="14"/>
          <w:color w:val="333740"/>
        </w:rPr>
        <w:t>“street name,” and the Notice of Materials or Proxy Materials are being forwarded to you by your bank, broker, or nominee through whom you hold the shares. Most of our shareholders hold their Ordinary Shares in this manner rather than directly in their own name. As the beneficial owner, you have the right to direct your bank, broker, or other nominee on how to vote your Ordinary Shares by following the instructions contained in the Notice of Materials or Proxy Materials. If you requested printed Proxy Materials, your bank, broker, or other nominee has enclosed a voting instruction card for you to use in directing the bank, broker, or other nominee regarding how to vote your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-538480</wp:posOffset>
            </wp:positionV>
            <wp:extent cx="38100" cy="7556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28" w:lineRule="exact"/>
        <w:rPr>
          <w:sz w:val="20"/>
          <w:szCs w:val="20"/>
          <w:color w:val="auto"/>
        </w:rPr>
      </w:pPr>
    </w:p>
    <w:p>
      <w:pPr>
        <w:ind w:left="344" w:right="500"/>
        <w:spacing w:after="0" w:line="255" w:lineRule="auto"/>
        <w:rPr>
          <w:sz w:val="20"/>
          <w:szCs w:val="20"/>
          <w:color w:val="auto"/>
        </w:rPr>
      </w:pPr>
      <w:r>
        <w:rPr>
          <w:rFonts w:ascii="Arial" w:cs="Arial" w:eastAsia="Arial" w:hAnsi="Arial"/>
          <w:sz w:val="16"/>
          <w:szCs w:val="16"/>
          <w:color w:val="333740"/>
        </w:rPr>
        <w:t xml:space="preserve">If you are a beneficial owner holding Ordinary Shares in anonymous “bearer” form </w:t>
      </w:r>
      <w:r>
        <w:rPr>
          <w:rFonts w:ascii="Arial" w:cs="Arial" w:eastAsia="Arial" w:hAnsi="Arial"/>
          <w:sz w:val="16"/>
          <w:szCs w:val="16"/>
          <w:i w:val="1"/>
          <w:iCs w:val="1"/>
          <w:color w:val="333740"/>
        </w:rPr>
        <w:t>(au porteur)</w:t>
      </w:r>
      <w:r>
        <w:rPr>
          <w:rFonts w:ascii="Arial" w:cs="Arial" w:eastAsia="Arial" w:hAnsi="Arial"/>
          <w:sz w:val="16"/>
          <w:szCs w:val="16"/>
          <w:color w:val="333740"/>
        </w:rPr>
        <w:t xml:space="preserve"> in Euroclear France, your bank, broker, or financial intermediary shall provide you, upon request, with the specific proxy form prepared by Société Générale Securities Services, our local centralization agent, which will enable you to vote, request an admission ticket, or authorize a proxy for the Annual Meeting. Please see “</w:t>
      </w:r>
      <w:r>
        <w:rPr>
          <w:rFonts w:ascii="Arial" w:cs="Arial" w:eastAsia="Arial" w:hAnsi="Arial"/>
          <w:sz w:val="16"/>
          <w:szCs w:val="16"/>
          <w:i w:val="1"/>
          <w:iCs w:val="1"/>
          <w:color w:val="333740"/>
        </w:rPr>
        <w:t>How do I</w:t>
      </w:r>
      <w:r>
        <w:rPr>
          <w:rFonts w:ascii="Arial" w:cs="Arial" w:eastAsia="Arial" w:hAnsi="Arial"/>
          <w:sz w:val="16"/>
          <w:szCs w:val="16"/>
          <w:color w:val="333740"/>
        </w:rPr>
        <w:t xml:space="preserve"> </w:t>
      </w:r>
      <w:r>
        <w:rPr>
          <w:rFonts w:ascii="Arial" w:cs="Arial" w:eastAsia="Arial" w:hAnsi="Arial"/>
          <w:sz w:val="16"/>
          <w:szCs w:val="16"/>
          <w:i w:val="1"/>
          <w:iCs w:val="1"/>
          <w:color w:val="333740"/>
        </w:rPr>
        <w:t>vote?</w:t>
      </w:r>
      <w:r>
        <w:rPr>
          <w:rFonts w:ascii="Arial" w:cs="Arial" w:eastAsia="Arial" w:hAnsi="Arial"/>
          <w:sz w:val="16"/>
          <w:szCs w:val="16"/>
          <w:color w:val="333740"/>
        </w:rPr>
        <w:t>” below.</w:t>
      </w:r>
    </w:p>
    <w:p>
      <w:pPr>
        <w:spacing w:after="0" w:line="130"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Do I have to attend the Annual Meeting to vote?</w:t>
      </w:r>
    </w:p>
    <w:p>
      <w:pPr>
        <w:spacing w:after="0" w:line="49" w:lineRule="exact"/>
        <w:rPr>
          <w:sz w:val="20"/>
          <w:szCs w:val="20"/>
          <w:color w:val="auto"/>
        </w:rPr>
      </w:pPr>
    </w:p>
    <w:p>
      <w:pPr>
        <w:ind w:left="4" w:right="80"/>
        <w:spacing w:after="0" w:line="276" w:lineRule="auto"/>
        <w:rPr>
          <w:sz w:val="20"/>
          <w:szCs w:val="20"/>
          <w:color w:val="auto"/>
        </w:rPr>
      </w:pPr>
      <w:r>
        <w:rPr>
          <w:rFonts w:ascii="Arial" w:cs="Arial" w:eastAsia="Arial" w:hAnsi="Arial"/>
          <w:sz w:val="16"/>
          <w:szCs w:val="16"/>
          <w:color w:val="333740"/>
        </w:rPr>
        <w:t>No, attendance at the Annual Meeting is not required for shareholders to vote their Ordinary Shares. Please see “</w:t>
      </w:r>
      <w:r>
        <w:rPr>
          <w:rFonts w:ascii="Arial" w:cs="Arial" w:eastAsia="Arial" w:hAnsi="Arial"/>
          <w:sz w:val="16"/>
          <w:szCs w:val="16"/>
          <w:i w:val="1"/>
          <w:iCs w:val="1"/>
          <w:color w:val="333740"/>
        </w:rPr>
        <w:t>How do I vote</w:t>
      </w:r>
      <w:r>
        <w:rPr>
          <w:rFonts w:ascii="Arial" w:cs="Arial" w:eastAsia="Arial" w:hAnsi="Arial"/>
          <w:sz w:val="16"/>
          <w:szCs w:val="16"/>
          <w:color w:val="333740"/>
        </w:rPr>
        <w:t>?” below for the various voting methods available to shareholders. Shareholders who desire to attend the Annual Meeting in person must obtain an admission ticket. Please see “</w:t>
      </w:r>
      <w:r>
        <w:rPr>
          <w:rFonts w:ascii="Arial" w:cs="Arial" w:eastAsia="Arial" w:hAnsi="Arial"/>
          <w:sz w:val="16"/>
          <w:szCs w:val="16"/>
          <w:i w:val="1"/>
          <w:iCs w:val="1"/>
          <w:color w:val="333740"/>
        </w:rPr>
        <w:t>Who</w:t>
      </w:r>
      <w:r>
        <w:rPr>
          <w:rFonts w:ascii="Arial" w:cs="Arial" w:eastAsia="Arial" w:hAnsi="Arial"/>
          <w:sz w:val="16"/>
          <w:szCs w:val="16"/>
          <w:color w:val="333740"/>
        </w:rPr>
        <w:t xml:space="preserve"> </w:t>
      </w:r>
      <w:r>
        <w:rPr>
          <w:rFonts w:ascii="Arial" w:cs="Arial" w:eastAsia="Arial" w:hAnsi="Arial"/>
          <w:sz w:val="16"/>
          <w:szCs w:val="16"/>
          <w:i w:val="1"/>
          <w:iCs w:val="1"/>
          <w:color w:val="333740"/>
        </w:rPr>
        <w:t>can attend the Annual Meeting?</w:t>
      </w:r>
      <w:r>
        <w:rPr>
          <w:rFonts w:ascii="Arial" w:cs="Arial" w:eastAsia="Arial" w:hAnsi="Arial"/>
          <w:sz w:val="16"/>
          <w:szCs w:val="16"/>
          <w:color w:val="333740"/>
        </w:rPr>
        <w:t>”</w:t>
      </w:r>
      <w:r>
        <w:rPr>
          <w:rFonts w:ascii="Arial" w:cs="Arial" w:eastAsia="Arial" w:hAnsi="Arial"/>
          <w:sz w:val="16"/>
          <w:szCs w:val="16"/>
          <w:i w:val="1"/>
          <w:iCs w:val="1"/>
          <w:color w:val="333740"/>
        </w:rPr>
        <w:t xml:space="preserve"> </w:t>
      </w:r>
      <w:r>
        <w:rPr>
          <w:rFonts w:ascii="Arial" w:cs="Arial" w:eastAsia="Arial" w:hAnsi="Arial"/>
          <w:sz w:val="16"/>
          <w:szCs w:val="16"/>
          <w:color w:val="333740"/>
        </w:rPr>
        <w:t>below.</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Who can attend the Annual Meeting?</w:t>
      </w:r>
    </w:p>
    <w:p>
      <w:pPr>
        <w:spacing w:after="0" w:line="91" w:lineRule="exact"/>
        <w:rPr>
          <w:sz w:val="20"/>
          <w:szCs w:val="20"/>
          <w:color w:val="auto"/>
        </w:rPr>
      </w:pPr>
    </w:p>
    <w:p>
      <w:pPr>
        <w:ind w:left="4" w:right="340"/>
        <w:spacing w:after="0" w:line="244" w:lineRule="auto"/>
        <w:rPr>
          <w:sz w:val="20"/>
          <w:szCs w:val="20"/>
          <w:color w:val="auto"/>
        </w:rPr>
      </w:pPr>
      <w:r>
        <w:rPr>
          <w:rFonts w:ascii="Arial" w:cs="Arial" w:eastAsia="Arial" w:hAnsi="Arial"/>
          <w:sz w:val="16"/>
          <w:szCs w:val="16"/>
          <w:color w:val="333740"/>
        </w:rPr>
        <w:t>Each shareholder who attends the Annual Meeting will need to bring an admission ticket and provide valid photo identification, such as a driver’s license or passport.</w:t>
      </w:r>
    </w:p>
    <w:p>
      <w:pPr>
        <w:spacing w:after="0" w:line="68" w:lineRule="exact"/>
        <w:rPr>
          <w:sz w:val="20"/>
          <w:szCs w:val="20"/>
          <w:color w:val="auto"/>
        </w:rPr>
      </w:pPr>
    </w:p>
    <w:p>
      <w:pPr>
        <w:ind w:left="4"/>
        <w:spacing w:after="0" w:line="239" w:lineRule="auto"/>
        <w:rPr>
          <w:sz w:val="20"/>
          <w:szCs w:val="20"/>
          <w:color w:val="auto"/>
        </w:rPr>
      </w:pPr>
      <w:r>
        <w:rPr>
          <w:rFonts w:ascii="Arial" w:cs="Arial" w:eastAsia="Arial" w:hAnsi="Arial"/>
          <w:sz w:val="16"/>
          <w:szCs w:val="16"/>
          <w:color w:val="333740"/>
        </w:rPr>
        <w:t>To attend the Annual Meeting, you must have been: (a) a beneficial owner as of 5:00 p.m., New York time, on the Record Date; and/or (b) a shareholder of record as of 10:00 a.m., London time, on the CA Record Date. Beneficial owners must comply with the February 27, 2020 Record Date, as the CA Record Date only applies to shareholders of record.</w:t>
      </w:r>
    </w:p>
    <w:p>
      <w:pPr>
        <w:spacing w:after="0" w:line="6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Admission tickets can be printed up to 11:59 p.m., New York time, on April 23, 2020, by accessing the Shareholder Meeting Registration link</w:t>
      </w:r>
    </w:p>
    <w:p>
      <w:pPr>
        <w:spacing w:after="0" w:line="15" w:lineRule="exact"/>
        <w:rPr>
          <w:sz w:val="20"/>
          <w:szCs w:val="20"/>
          <w:color w:val="auto"/>
        </w:rPr>
      </w:pPr>
    </w:p>
    <w:p>
      <w:pPr>
        <w:jc w:val="both"/>
        <w:ind w:left="4" w:right="120"/>
        <w:spacing w:after="0" w:line="239" w:lineRule="auto"/>
        <w:rPr>
          <w:sz w:val="20"/>
          <w:szCs w:val="20"/>
          <w:color w:val="auto"/>
        </w:rPr>
      </w:pPr>
      <w:r>
        <w:rPr>
          <w:rFonts w:ascii="Arial" w:cs="Arial" w:eastAsia="Arial" w:hAnsi="Arial"/>
          <w:sz w:val="16"/>
          <w:szCs w:val="16"/>
          <w:b w:val="1"/>
          <w:bCs w:val="1"/>
          <w:color w:val="333740"/>
        </w:rPr>
        <w:t xml:space="preserve">at </w:t>
      </w:r>
      <w:r>
        <w:rPr>
          <w:rFonts w:ascii="Arial" w:cs="Arial" w:eastAsia="Arial" w:hAnsi="Arial"/>
          <w:sz w:val="16"/>
          <w:szCs w:val="16"/>
          <w:b w:val="1"/>
          <w:bCs w:val="1"/>
          <w:i w:val="1"/>
          <w:iCs w:val="1"/>
          <w:color w:val="481F6E"/>
        </w:rPr>
        <w:t>www.proxyvote.com</w:t>
      </w:r>
      <w:r>
        <w:rPr>
          <w:rFonts w:ascii="Arial" w:cs="Arial" w:eastAsia="Arial" w:hAnsi="Arial"/>
          <w:sz w:val="16"/>
          <w:szCs w:val="16"/>
          <w:color w:val="333740"/>
        </w:rPr>
        <w:t>. You will need the 16-digit control number printed on your Notice of Materials, proxy card, or voting instruction form from your bank,</w:t>
      </w:r>
      <w:r>
        <w:rPr>
          <w:rFonts w:ascii="Arial" w:cs="Arial" w:eastAsia="Arial" w:hAnsi="Arial"/>
          <w:sz w:val="16"/>
          <w:szCs w:val="16"/>
          <w:b w:val="1"/>
          <w:bCs w:val="1"/>
          <w:color w:val="333740"/>
        </w:rPr>
        <w:t xml:space="preserve"> </w:t>
      </w:r>
      <w:r>
        <w:rPr>
          <w:rFonts w:ascii="Arial" w:cs="Arial" w:eastAsia="Arial" w:hAnsi="Arial"/>
          <w:sz w:val="16"/>
          <w:szCs w:val="16"/>
          <w:color w:val="333740"/>
        </w:rPr>
        <w:t xml:space="preserve">broker, or other nominee. Shareholders holding Ordinary Shares in anonymous form </w:t>
      </w:r>
      <w:r>
        <w:rPr>
          <w:rFonts w:ascii="Arial" w:cs="Arial" w:eastAsia="Arial" w:hAnsi="Arial"/>
          <w:sz w:val="16"/>
          <w:szCs w:val="16"/>
          <w:i w:val="1"/>
          <w:iCs w:val="1"/>
          <w:color w:val="333740"/>
        </w:rPr>
        <w:t>(au porteur)</w:t>
      </w:r>
      <w:r>
        <w:rPr>
          <w:rFonts w:ascii="Arial" w:cs="Arial" w:eastAsia="Arial" w:hAnsi="Arial"/>
          <w:sz w:val="16"/>
          <w:szCs w:val="16"/>
          <w:color w:val="333740"/>
        </w:rPr>
        <w:t xml:space="preserve"> in Euroclear France will not be issued a 16-digit control number and must contact their bank, broker, or financial intermediary to vote and request an admission ticket (see further instructions below).</w:t>
      </w:r>
    </w:p>
    <w:p>
      <w:pPr>
        <w:spacing w:after="0" w:line="72" w:lineRule="exact"/>
        <w:rPr>
          <w:sz w:val="20"/>
          <w:szCs w:val="20"/>
          <w:color w:val="auto"/>
        </w:rPr>
      </w:pPr>
    </w:p>
    <w:p>
      <w:pPr>
        <w:ind w:left="4" w:right="80"/>
        <w:spacing w:after="0" w:line="265" w:lineRule="auto"/>
        <w:rPr>
          <w:sz w:val="20"/>
          <w:szCs w:val="20"/>
          <w:color w:val="auto"/>
        </w:rPr>
      </w:pPr>
      <w:r>
        <w:rPr>
          <w:rFonts w:ascii="Arial" w:cs="Arial" w:eastAsia="Arial" w:hAnsi="Arial"/>
          <w:sz w:val="16"/>
          <w:szCs w:val="16"/>
          <w:color w:val="333740"/>
        </w:rPr>
        <w:t>If you are the representative of a corporate or institutional shareholder, you must present your company’s admission ticket, valid photo identification, and proof that you are the representative of such shareholder. Please see “</w:t>
      </w:r>
      <w:r>
        <w:rPr>
          <w:rFonts w:ascii="Arial" w:cs="Arial" w:eastAsia="Arial" w:hAnsi="Arial"/>
          <w:sz w:val="16"/>
          <w:szCs w:val="16"/>
          <w:i w:val="1"/>
          <w:iCs w:val="1"/>
          <w:color w:val="333740"/>
        </w:rPr>
        <w:t>Who is entitled to vote at the Annual Meeting?</w:t>
      </w:r>
      <w:r>
        <w:rPr>
          <w:rFonts w:ascii="Arial" w:cs="Arial" w:eastAsia="Arial" w:hAnsi="Arial"/>
          <w:sz w:val="16"/>
          <w:szCs w:val="16"/>
          <w:color w:val="333740"/>
        </w:rPr>
        <w:t>” above.</w:t>
      </w:r>
    </w:p>
    <w:p>
      <w:pPr>
        <w:spacing w:after="0" w:line="22" w:lineRule="exact"/>
        <w:rPr>
          <w:sz w:val="20"/>
          <w:szCs w:val="20"/>
          <w:color w:val="auto"/>
        </w:rPr>
      </w:pPr>
    </w:p>
    <w:p>
      <w:pPr>
        <w:ind w:left="4" w:right="180"/>
        <w:spacing w:after="0" w:line="277" w:lineRule="auto"/>
        <w:rPr>
          <w:sz w:val="20"/>
          <w:szCs w:val="20"/>
          <w:color w:val="auto"/>
        </w:rPr>
      </w:pPr>
      <w:r>
        <w:rPr>
          <w:rFonts w:ascii="Arial" w:cs="Arial" w:eastAsia="Arial" w:hAnsi="Arial"/>
          <w:sz w:val="16"/>
          <w:szCs w:val="16"/>
          <w:color w:val="333740"/>
        </w:rPr>
        <w:t xml:space="preserve">If you are a shareholder holding Ordinary Shares in anonymous form </w:t>
      </w:r>
      <w:r>
        <w:rPr>
          <w:rFonts w:ascii="Arial" w:cs="Arial" w:eastAsia="Arial" w:hAnsi="Arial"/>
          <w:sz w:val="16"/>
          <w:szCs w:val="16"/>
          <w:i w:val="1"/>
          <w:iCs w:val="1"/>
          <w:color w:val="333740"/>
        </w:rPr>
        <w:t>(au porteur)</w:t>
      </w:r>
      <w:r>
        <w:rPr>
          <w:rFonts w:ascii="Arial" w:cs="Arial" w:eastAsia="Arial" w:hAnsi="Arial"/>
          <w:sz w:val="16"/>
          <w:szCs w:val="16"/>
          <w:color w:val="333740"/>
        </w:rPr>
        <w:t xml:space="preserve"> in Euroclear France through a bank, broker, or financial intermediary, you should contact such bank, broker, or financial intermediary who manages your</w:t>
      </w:r>
    </w:p>
    <w:p>
      <w:pPr>
        <w:spacing w:after="0" w:line="299" w:lineRule="exact"/>
        <w:rPr>
          <w:sz w:val="20"/>
          <w:szCs w:val="20"/>
          <w:color w:val="auto"/>
        </w:rPr>
      </w:pPr>
    </w:p>
    <w:p>
      <w:pPr>
        <w:ind w:left="564" w:hanging="564"/>
        <w:spacing w:after="0"/>
        <w:tabs>
          <w:tab w:leader="none" w:pos="564" w:val="left"/>
        </w:tabs>
        <w:numPr>
          <w:ilvl w:val="0"/>
          <w:numId w:val="172"/>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7" w:right="359" w:bottom="1440" w:gutter="0" w:footer="0" w:header="0"/>
        </w:sectPr>
      </w:pPr>
    </w:p>
    <w:bookmarkStart w:id="140" w:name="page141"/>
    <w:bookmarkEnd w:id="140"/>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07" w:lineRule="exact"/>
        <w:rPr>
          <w:sz w:val="20"/>
          <w:szCs w:val="20"/>
          <w:color w:val="auto"/>
        </w:rPr>
      </w:pPr>
    </w:p>
    <w:p>
      <w:pPr>
        <w:ind w:left="4" w:right="100"/>
        <w:spacing w:after="0" w:line="265" w:lineRule="auto"/>
        <w:rPr>
          <w:sz w:val="20"/>
          <w:szCs w:val="20"/>
          <w:color w:val="auto"/>
        </w:rPr>
      </w:pPr>
      <w:r>
        <w:rPr>
          <w:rFonts w:ascii="Arial" w:cs="Arial" w:eastAsia="Arial" w:hAnsi="Arial"/>
          <w:sz w:val="16"/>
          <w:szCs w:val="16"/>
          <w:color w:val="333740"/>
        </w:rPr>
        <w:t>securities account to request a specific proxy form prepared by Société Générale Securities Services, which will enable you to vote, request an admission ticket, or authorize a proxy for the Annual Meeting. You will need to return the completed proxy form to your bank, broker, or financial intermediary before April 21, 2020 to ensure suﬃcient time for your votes to be transmitted through the Euroclear France system and for an admission ticket to be issued to you.</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Procedures</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6"/>
          <w:szCs w:val="16"/>
          <w:color w:val="333740"/>
        </w:rPr>
        <w:t>Due to space constraints and other security considerations, we are not able to admit the guests of either shareholders or their legal proxy holders.</w:t>
      </w:r>
    </w:p>
    <w:p>
      <w:pPr>
        <w:spacing w:after="0" w:line="91" w:lineRule="exact"/>
        <w:rPr>
          <w:sz w:val="20"/>
          <w:szCs w:val="20"/>
          <w:color w:val="auto"/>
        </w:rPr>
      </w:pPr>
    </w:p>
    <w:p>
      <w:pPr>
        <w:ind w:left="4"/>
        <w:spacing w:after="0"/>
        <w:rPr>
          <w:sz w:val="20"/>
          <w:szCs w:val="20"/>
          <w:color w:val="auto"/>
        </w:rPr>
      </w:pPr>
      <w:r>
        <w:rPr>
          <w:rFonts w:ascii="Arial" w:cs="Arial" w:eastAsia="Arial" w:hAnsi="Arial"/>
          <w:sz w:val="16"/>
          <w:szCs w:val="16"/>
          <w:color w:val="333740"/>
        </w:rPr>
        <w:t>Arrive shortly after 9:00 a.m., London time, to ensure that you are seated by the commencement of the Annual Meeting at 10:00 a.m., London time.</w:t>
      </w:r>
    </w:p>
    <w:p>
      <w:pPr>
        <w:spacing w:after="0" w:line="91" w:lineRule="exact"/>
        <w:rPr>
          <w:sz w:val="20"/>
          <w:szCs w:val="20"/>
          <w:color w:val="auto"/>
        </w:rPr>
      </w:pPr>
    </w:p>
    <w:p>
      <w:pPr>
        <w:ind w:left="4" w:right="40"/>
        <w:spacing w:after="0" w:line="244" w:lineRule="auto"/>
        <w:rPr>
          <w:sz w:val="20"/>
          <w:szCs w:val="20"/>
          <w:color w:val="auto"/>
        </w:rPr>
      </w:pPr>
      <w:r>
        <w:rPr>
          <w:rFonts w:ascii="Arial" w:cs="Arial" w:eastAsia="Arial" w:hAnsi="Arial"/>
          <w:sz w:val="16"/>
          <w:szCs w:val="16"/>
          <w:color w:val="333740"/>
        </w:rPr>
        <w:t>Be prepared to comply with security requirements, which may include security guards searching all bags. No cameras, recording equipment, electronic devices, large bags, briefcases, or packages will be permitted into the meeting or adjacent areas.</w:t>
      </w:r>
    </w:p>
    <w:p>
      <w:pPr>
        <w:spacing w:after="0" w:line="48" w:lineRule="exact"/>
        <w:rPr>
          <w:sz w:val="20"/>
          <w:szCs w:val="20"/>
          <w:color w:val="auto"/>
        </w:rPr>
      </w:pPr>
    </w:p>
    <w:p>
      <w:pPr>
        <w:ind w:left="4" w:right="740"/>
        <w:spacing w:after="0" w:line="304" w:lineRule="auto"/>
        <w:rPr>
          <w:sz w:val="20"/>
          <w:szCs w:val="20"/>
          <w:color w:val="auto"/>
        </w:rPr>
      </w:pPr>
      <w:r>
        <w:rPr>
          <w:rFonts w:ascii="Arial" w:cs="Arial" w:eastAsia="Arial" w:hAnsi="Arial"/>
          <w:sz w:val="15"/>
          <w:szCs w:val="15"/>
          <w:b w:val="1"/>
          <w:bCs w:val="1"/>
          <w:color w:val="333740"/>
        </w:rPr>
        <w:t>IF YOU DO NOT PROVIDE AN ADMISSION TICKET, SHOW VALID PHOTO IDENTIFICATION, AND COMPLY WITH THE OTHER PROCEDURES OUTLINED ABOVE FOR ATTENDING THE ANNUAL MEETING, WE MAY BE UNABLE TO ADMIT YOU TO ATTEND THE ANNUAL MEETING.</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How do I vote?</w:t>
      </w:r>
    </w:p>
    <w:p>
      <w:pPr>
        <w:spacing w:after="0" w:line="91" w:lineRule="exact"/>
        <w:rPr>
          <w:sz w:val="20"/>
          <w:szCs w:val="20"/>
          <w:color w:val="auto"/>
        </w:rPr>
      </w:pPr>
    </w:p>
    <w:p>
      <w:pPr>
        <w:jc w:val="both"/>
        <w:ind w:left="4" w:right="600"/>
        <w:spacing w:after="0" w:line="276" w:lineRule="auto"/>
        <w:rPr>
          <w:sz w:val="20"/>
          <w:szCs w:val="20"/>
          <w:color w:val="auto"/>
        </w:rPr>
      </w:pPr>
      <w:r>
        <w:rPr>
          <w:rFonts w:ascii="Arial" w:cs="Arial" w:eastAsia="Arial" w:hAnsi="Arial"/>
          <w:sz w:val="15"/>
          <w:szCs w:val="15"/>
          <w:color w:val="333740"/>
        </w:rPr>
        <w:t xml:space="preserve">Your voting deadline will depend on where your Ordinary Shares are traded and/or how you hold your shares. Please vote your shares according to the deadline appearing on the front of your proxy card, as instructed on </w:t>
      </w:r>
      <w:r>
        <w:rPr>
          <w:rFonts w:ascii="Arial" w:cs="Arial" w:eastAsia="Arial" w:hAnsi="Arial"/>
          <w:sz w:val="15"/>
          <w:szCs w:val="15"/>
          <w:i w:val="1"/>
          <w:iCs w:val="1"/>
          <w:color w:val="481F6E"/>
        </w:rPr>
        <w:t>www.proxyvote.com</w:t>
      </w:r>
      <w:r>
        <w:rPr>
          <w:rFonts w:ascii="Arial" w:cs="Arial" w:eastAsia="Arial" w:hAnsi="Arial"/>
          <w:sz w:val="15"/>
          <w:szCs w:val="15"/>
          <w:color w:val="333740"/>
        </w:rPr>
        <w:t>, or as instructed by your bank, broker, or financial intermediary.</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Shareholders of Record</w:t>
      </w:r>
    </w:p>
    <w:p>
      <w:pPr>
        <w:spacing w:after="0" w:line="51" w:lineRule="exact"/>
        <w:rPr>
          <w:sz w:val="20"/>
          <w:szCs w:val="20"/>
          <w:color w:val="auto"/>
        </w:rPr>
      </w:pPr>
    </w:p>
    <w:p>
      <w:pPr>
        <w:ind w:left="4" w:right="220"/>
        <w:spacing w:after="0" w:line="244" w:lineRule="auto"/>
        <w:rPr>
          <w:sz w:val="20"/>
          <w:szCs w:val="20"/>
          <w:color w:val="auto"/>
        </w:rPr>
      </w:pPr>
      <w:r>
        <w:rPr>
          <w:rFonts w:ascii="Arial" w:cs="Arial" w:eastAsia="Arial" w:hAnsi="Arial"/>
          <w:sz w:val="16"/>
          <w:szCs w:val="16"/>
          <w:color w:val="333740"/>
        </w:rPr>
        <w:t>If you are a shareholder of record, you may vote your Ordinary Shares in person at the Annual Meeting or appoint another person(s) as your proxy to vote on your behalf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28575</wp:posOffset>
            </wp:positionV>
            <wp:extent cx="38100" cy="7556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27" w:lineRule="exact"/>
        <w:rPr>
          <w:sz w:val="20"/>
          <w:szCs w:val="20"/>
          <w:color w:val="auto"/>
        </w:rPr>
      </w:pPr>
    </w:p>
    <w:p>
      <w:pPr>
        <w:ind w:left="284"/>
        <w:spacing w:after="0"/>
        <w:rPr>
          <w:sz w:val="20"/>
          <w:szCs w:val="20"/>
          <w:color w:val="auto"/>
        </w:rPr>
      </w:pPr>
      <w:r>
        <w:rPr>
          <w:rFonts w:ascii="Arial" w:cs="Arial" w:eastAsia="Arial" w:hAnsi="Arial"/>
          <w:sz w:val="14"/>
          <w:szCs w:val="14"/>
          <w:color w:val="333740"/>
        </w:rPr>
        <w:t>by completing and signing the proxy card and returning it in the prepaid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3175</wp:posOffset>
            </wp:positionV>
            <wp:extent cx="38100" cy="7556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ind w:left="284" w:right="4840"/>
        <w:spacing w:after="0" w:line="265" w:lineRule="auto"/>
        <w:rPr>
          <w:sz w:val="20"/>
          <w:szCs w:val="20"/>
          <w:color w:val="auto"/>
        </w:rPr>
      </w:pPr>
      <w:r>
        <w:rPr>
          <w:rFonts w:ascii="Arial" w:cs="Arial" w:eastAsia="Arial" w:hAnsi="Arial"/>
          <w:sz w:val="14"/>
          <w:szCs w:val="14"/>
          <w:color w:val="333740"/>
        </w:rPr>
        <w:t xml:space="preserve">by submission via the internet at </w:t>
      </w:r>
      <w:r>
        <w:rPr>
          <w:rFonts w:ascii="Arial" w:cs="Arial" w:eastAsia="Arial" w:hAnsi="Arial"/>
          <w:sz w:val="14"/>
          <w:szCs w:val="14"/>
          <w:b w:val="1"/>
          <w:bCs w:val="1"/>
          <w:i w:val="1"/>
          <w:iCs w:val="1"/>
          <w:color w:val="481F6E"/>
        </w:rPr>
        <w:t>www.proxyvote.com</w:t>
      </w:r>
      <w:r>
        <w:rPr>
          <w:rFonts w:ascii="Arial" w:cs="Arial" w:eastAsia="Arial" w:hAnsi="Arial"/>
          <w:sz w:val="14"/>
          <w:szCs w:val="14"/>
          <w:color w:val="333740"/>
        </w:rPr>
        <w:t xml:space="preserve"> and following the instructions provided; or by telephone, using the toll-free telephone number shown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-120015</wp:posOffset>
            </wp:positionV>
            <wp:extent cx="38100" cy="7556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52" w:lineRule="exact"/>
        <w:rPr>
          <w:sz w:val="20"/>
          <w:szCs w:val="20"/>
          <w:color w:val="auto"/>
        </w:rPr>
      </w:pPr>
    </w:p>
    <w:p>
      <w:pPr>
        <w:ind w:left="4"/>
        <w:spacing w:after="0"/>
        <w:rPr>
          <w:sz w:val="20"/>
          <w:szCs w:val="20"/>
          <w:color w:val="auto"/>
        </w:rPr>
      </w:pPr>
      <w:r>
        <w:rPr>
          <w:rFonts w:ascii="Arial" w:cs="Arial" w:eastAsia="Arial" w:hAnsi="Arial"/>
          <w:sz w:val="16"/>
          <w:szCs w:val="16"/>
          <w:color w:val="333740"/>
        </w:rPr>
        <w:t>Please vote your shares no later than 11:59 p.m., New York time, on April 23, 2020.</w:t>
      </w:r>
    </w:p>
    <w:p>
      <w:pPr>
        <w:spacing w:after="0" w:line="43" w:lineRule="exact"/>
        <w:rPr>
          <w:sz w:val="20"/>
          <w:szCs w:val="20"/>
          <w:color w:val="auto"/>
        </w:rPr>
      </w:pPr>
    </w:p>
    <w:p>
      <w:pPr>
        <w:jc w:val="both"/>
        <w:ind w:left="4" w:right="420"/>
        <w:spacing w:after="0" w:line="239" w:lineRule="auto"/>
        <w:rPr>
          <w:sz w:val="20"/>
          <w:szCs w:val="20"/>
          <w:color w:val="auto"/>
        </w:rPr>
      </w:pPr>
      <w:r>
        <w:rPr>
          <w:rFonts w:ascii="Arial" w:cs="Arial" w:eastAsia="Arial" w:hAnsi="Arial"/>
          <w:sz w:val="16"/>
          <w:szCs w:val="16"/>
          <w:color w:val="333740"/>
        </w:rPr>
        <w:t>The return of a completed proxy card, or the submission of proxy instructions via the internet or by telephone, will not prevent a shareholder of record from attending and voting at the Annual Meeting. If you have appointed a proxy and attend the Annual Meeting and vote in person, your proxy appointment will automatically be terminated.</w:t>
      </w:r>
    </w:p>
    <w:p>
      <w:pPr>
        <w:spacing w:after="0" w:line="84" w:lineRule="exact"/>
        <w:rPr>
          <w:sz w:val="20"/>
          <w:szCs w:val="20"/>
          <w:color w:val="auto"/>
        </w:rPr>
      </w:pPr>
    </w:p>
    <w:p>
      <w:pPr>
        <w:ind w:left="4" w:right="220"/>
        <w:spacing w:after="0" w:line="244" w:lineRule="auto"/>
        <w:rPr>
          <w:sz w:val="20"/>
          <w:szCs w:val="20"/>
          <w:color w:val="auto"/>
        </w:rPr>
      </w:pPr>
      <w:r>
        <w:rPr>
          <w:rFonts w:ascii="Arial" w:cs="Arial" w:eastAsia="Arial" w:hAnsi="Arial"/>
          <w:sz w:val="16"/>
          <w:szCs w:val="16"/>
          <w:color w:val="333740"/>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p>
    <w:p>
      <w:pPr>
        <w:spacing w:after="0" w:line="80" w:lineRule="exact"/>
        <w:rPr>
          <w:sz w:val="20"/>
          <w:szCs w:val="20"/>
          <w:color w:val="auto"/>
        </w:rPr>
      </w:pPr>
    </w:p>
    <w:p>
      <w:pPr>
        <w:ind w:left="4" w:right="40"/>
        <w:spacing w:after="0" w:line="238" w:lineRule="auto"/>
        <w:rPr>
          <w:sz w:val="20"/>
          <w:szCs w:val="20"/>
          <w:color w:val="auto"/>
        </w:rPr>
      </w:pPr>
      <w:r>
        <w:rPr>
          <w:rFonts w:ascii="Arial" w:cs="Arial" w:eastAsia="Arial" w:hAnsi="Arial"/>
          <w:sz w:val="16"/>
          <w:szCs w:val="16"/>
          <w:color w:val="333740"/>
        </w:rPr>
        <w:t>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w:t>
      </w:r>
    </w:p>
    <w:p>
      <w:pPr>
        <w:spacing w:after="0" w:line="51" w:lineRule="exact"/>
        <w:rPr>
          <w:sz w:val="20"/>
          <w:szCs w:val="20"/>
          <w:color w:val="auto"/>
        </w:rPr>
      </w:pPr>
    </w:p>
    <w:p>
      <w:pPr>
        <w:jc w:val="both"/>
        <w:ind w:left="4"/>
        <w:spacing w:after="0" w:line="252" w:lineRule="auto"/>
        <w:rPr>
          <w:sz w:val="20"/>
          <w:szCs w:val="20"/>
          <w:color w:val="auto"/>
        </w:rPr>
      </w:pPr>
      <w:r>
        <w:rPr>
          <w:rFonts w:ascii="Arial" w:cs="Arial" w:eastAsia="Arial" w:hAnsi="Arial"/>
          <w:sz w:val="16"/>
          <w:szCs w:val="16"/>
          <w:color w:val="333740"/>
        </w:rPr>
        <w:t>If you are a shareholder of record and you execute and return a proxy card but do not give instructions, your proxy will be voted “</w:t>
      </w:r>
      <w:r>
        <w:rPr>
          <w:rFonts w:ascii="Arial" w:cs="Arial" w:eastAsia="Arial" w:hAnsi="Arial"/>
          <w:sz w:val="16"/>
          <w:szCs w:val="16"/>
          <w:b w:val="1"/>
          <w:bCs w:val="1"/>
          <w:color w:val="333740"/>
        </w:rPr>
        <w:t>FOR</w:t>
      </w:r>
      <w:r>
        <w:rPr>
          <w:rFonts w:ascii="Arial" w:cs="Arial" w:eastAsia="Arial" w:hAnsi="Arial"/>
          <w:sz w:val="16"/>
          <w:szCs w:val="16"/>
          <w:color w:val="333740"/>
        </w:rPr>
        <w:t>” each of Proposals 1 through 7 and otherwise in accordance with the judgment of the person or persons voting the proxy on any other matter properly brought before the Annual Meeting.</w:t>
      </w:r>
    </w:p>
    <w:p>
      <w:pPr>
        <w:spacing w:after="0" w:line="318" w:lineRule="exact"/>
        <w:rPr>
          <w:sz w:val="20"/>
          <w:szCs w:val="20"/>
          <w:color w:val="auto"/>
        </w:rPr>
      </w:pPr>
    </w:p>
    <w:p>
      <w:pPr>
        <w:ind w:left="564" w:hanging="564"/>
        <w:spacing w:after="0"/>
        <w:tabs>
          <w:tab w:leader="none" w:pos="564" w:val="left"/>
        </w:tabs>
        <w:numPr>
          <w:ilvl w:val="0"/>
          <w:numId w:val="173"/>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141" w:name="page142"/>
    <w:bookmarkEnd w:id="141"/>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0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Beneficial Owners Holding through the NYSE</w:t>
      </w:r>
    </w:p>
    <w:p>
      <w:pPr>
        <w:spacing w:after="0" w:line="73" w:lineRule="exact"/>
        <w:rPr>
          <w:sz w:val="20"/>
          <w:szCs w:val="20"/>
          <w:color w:val="auto"/>
        </w:rPr>
      </w:pPr>
    </w:p>
    <w:p>
      <w:pPr>
        <w:jc w:val="both"/>
        <w:ind w:left="4" w:right="300"/>
        <w:spacing w:after="0" w:line="239" w:lineRule="auto"/>
        <w:rPr>
          <w:sz w:val="20"/>
          <w:szCs w:val="20"/>
          <w:color w:val="auto"/>
        </w:rPr>
      </w:pPr>
      <w:r>
        <w:rPr>
          <w:rFonts w:ascii="Arial" w:cs="Arial" w:eastAsia="Arial" w:hAnsi="Arial"/>
          <w:sz w:val="16"/>
          <w:szCs w:val="16"/>
          <w:color w:val="333740"/>
        </w:rPr>
        <w:t>If you are a beneficial owner of Ordinary Shares traded on the NYSE, please follow the directions provided by your bank, broker, or other nominee. You may submit instructions by telephone or through the internet to your bank, broker, or other nominee, or request and return a paper voting instruction card to your bank, broker, or other nominee.</w:t>
      </w:r>
    </w:p>
    <w:p>
      <w:pPr>
        <w:spacing w:after="0" w:line="72" w:lineRule="exact"/>
        <w:rPr>
          <w:sz w:val="20"/>
          <w:szCs w:val="20"/>
          <w:color w:val="auto"/>
        </w:rPr>
      </w:pPr>
    </w:p>
    <w:p>
      <w:pPr>
        <w:ind w:left="4" w:right="120"/>
        <w:spacing w:after="0" w:line="244" w:lineRule="auto"/>
        <w:rPr>
          <w:sz w:val="20"/>
          <w:szCs w:val="20"/>
          <w:color w:val="auto"/>
        </w:rPr>
      </w:pPr>
      <w:r>
        <w:rPr>
          <w:rFonts w:ascii="Arial" w:cs="Arial" w:eastAsia="Arial" w:hAnsi="Arial"/>
          <w:sz w:val="16"/>
          <w:szCs w:val="16"/>
          <w:color w:val="333740"/>
        </w:rPr>
        <w:t>If you are a beneficial owner of Ordinary Shares traded on the NYSE and you wish to vote in person at the Annual Meeting, you must obtain a legal proxy from your bank, broker, or other nominee and present it to the inspector of elections together with your voting card at the Annual Meeting.</w:t>
      </w:r>
    </w:p>
    <w:p>
      <w:pPr>
        <w:spacing w:after="0" w:line="6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Beneficial Owners Holding through Euroclear France</w:t>
      </w:r>
    </w:p>
    <w:p>
      <w:pPr>
        <w:spacing w:after="0" w:line="28" w:lineRule="exact"/>
        <w:rPr>
          <w:sz w:val="20"/>
          <w:szCs w:val="20"/>
          <w:color w:val="auto"/>
        </w:rPr>
      </w:pPr>
    </w:p>
    <w:p>
      <w:pPr>
        <w:ind w:left="4"/>
        <w:spacing w:after="0"/>
        <w:rPr>
          <w:sz w:val="20"/>
          <w:szCs w:val="20"/>
          <w:color w:val="auto"/>
        </w:rPr>
      </w:pPr>
      <w:r>
        <w:rPr>
          <w:rFonts w:ascii="Arial" w:cs="Arial" w:eastAsia="Arial" w:hAnsi="Arial"/>
          <w:sz w:val="16"/>
          <w:szCs w:val="16"/>
          <w:color w:val="333740"/>
        </w:rPr>
        <w:t xml:space="preserve">If you are a shareholder holding Ordinary Shares in direct or indirect nominative form in Euroclear France </w:t>
      </w:r>
      <w:r>
        <w:rPr>
          <w:rFonts w:ascii="Arial" w:cs="Arial" w:eastAsia="Arial" w:hAnsi="Arial"/>
          <w:sz w:val="16"/>
          <w:szCs w:val="16"/>
          <w:i w:val="1"/>
          <w:iCs w:val="1"/>
          <w:color w:val="333740"/>
        </w:rPr>
        <w:t>(au nominatif pur ou administré)</w:t>
      </w:r>
      <w:r>
        <w:rPr>
          <w:rFonts w:ascii="Arial" w:cs="Arial" w:eastAsia="Arial" w:hAnsi="Arial"/>
          <w:sz w:val="16"/>
          <w:szCs w:val="16"/>
          <w:color w:val="333740"/>
        </w:rPr>
        <w:t>, you should follow the instructions provided in the Notice of Materials and the Proxy Materials to vote your shares no later than 11:59 p.m., New York time, on April 23, 2020. If you have not received a Notice of Materials, you should contact Société Générale Securities Services (if you hold in direct nominative form) or the bank, broker, or financial intermediary who manages your securities account (if you hold in indirect nominative form) to ensure that your contact details are updated and you receive the Notice of Materials.</w:t>
      </w:r>
    </w:p>
    <w:p>
      <w:pPr>
        <w:spacing w:after="0" w:line="67" w:lineRule="exact"/>
        <w:rPr>
          <w:sz w:val="20"/>
          <w:szCs w:val="20"/>
          <w:color w:val="auto"/>
        </w:rPr>
      </w:pPr>
    </w:p>
    <w:p>
      <w:pPr>
        <w:ind w:left="4" w:right="20"/>
        <w:spacing w:after="0" w:line="241" w:lineRule="auto"/>
        <w:rPr>
          <w:sz w:val="20"/>
          <w:szCs w:val="20"/>
          <w:color w:val="auto"/>
        </w:rPr>
      </w:pPr>
      <w:r>
        <w:rPr>
          <w:rFonts w:ascii="Arial" w:cs="Arial" w:eastAsia="Arial" w:hAnsi="Arial"/>
          <w:sz w:val="16"/>
          <w:szCs w:val="16"/>
          <w:color w:val="333740"/>
        </w:rPr>
        <w:t>If you are a shareholder holding Ordinary Shares in anonymous form (</w:t>
      </w:r>
      <w:r>
        <w:rPr>
          <w:rFonts w:ascii="Arial" w:cs="Arial" w:eastAsia="Arial" w:hAnsi="Arial"/>
          <w:sz w:val="16"/>
          <w:szCs w:val="16"/>
          <w:i w:val="1"/>
          <w:iCs w:val="1"/>
          <w:color w:val="333740"/>
        </w:rPr>
        <w:t>au porteur</w:t>
      </w:r>
      <w:r>
        <w:rPr>
          <w:rFonts w:ascii="Arial" w:cs="Arial" w:eastAsia="Arial" w:hAnsi="Arial"/>
          <w:sz w:val="16"/>
          <w:szCs w:val="16"/>
          <w:color w:val="333740"/>
        </w:rPr>
        <w:t>) in Euroclear France through a bank, broker, or financial intermediary, you should contact such bank, broker, or financial intermediary who manages your securities account to request a specific proxy form prepared by Société Générale Securities Services, which will enable you to vote, request an admission ticket, or authorize a proxy for the Annual Meeting. You will need to return the completed proxy form to your bank, broker, or financial intermediary before April 21, 2020 to ensure sufficient time for your votes to be transmitted through the Euroclear France system.</w:t>
      </w:r>
    </w:p>
    <w:p>
      <w:pPr>
        <w:spacing w:after="0" w:line="84" w:lineRule="exact"/>
        <w:rPr>
          <w:sz w:val="20"/>
          <w:szCs w:val="20"/>
          <w:color w:val="auto"/>
        </w:rPr>
      </w:pPr>
    </w:p>
    <w:p>
      <w:pPr>
        <w:jc w:val="both"/>
        <w:ind w:left="4" w:right="80"/>
        <w:spacing w:after="0" w:line="239" w:lineRule="auto"/>
        <w:rPr>
          <w:sz w:val="20"/>
          <w:szCs w:val="20"/>
          <w:color w:val="auto"/>
        </w:rPr>
      </w:pPr>
      <w:r>
        <w:rPr>
          <w:rFonts w:ascii="Arial" w:cs="Arial" w:eastAsia="Arial" w:hAnsi="Arial"/>
          <w:sz w:val="16"/>
          <w:szCs w:val="16"/>
          <w:color w:val="333740"/>
        </w:rPr>
        <w:t>If you acquired your Ordinary Shares on Euronext, or if you are a legacy Technip S.A. shareholder, it is likely that you own your shares in Euroclear France. If you are uncertain as to your holding status, you should reach out to the bank, broker, or other nominee with whom you hold your shares in order to be informed of your status and the corresponding voting procedure.</w:t>
      </w:r>
    </w:p>
    <w:p>
      <w:pPr>
        <w:spacing w:after="0" w:line="6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Employees Who Participate in the Legacy Technip Employee Share Purchase Program</w:t>
      </w:r>
    </w:p>
    <w:p>
      <w:pPr>
        <w:spacing w:after="0" w:line="39" w:lineRule="exact"/>
        <w:rPr>
          <w:sz w:val="20"/>
          <w:szCs w:val="20"/>
          <w:color w:val="auto"/>
        </w:rPr>
      </w:pPr>
    </w:p>
    <w:p>
      <w:pPr>
        <w:jc w:val="both"/>
        <w:ind w:left="4" w:right="80"/>
        <w:spacing w:after="0" w:line="238" w:lineRule="auto"/>
        <w:rPr>
          <w:sz w:val="20"/>
          <w:szCs w:val="20"/>
          <w:color w:val="auto"/>
        </w:rPr>
      </w:pPr>
      <w:r>
        <w:rPr>
          <w:rFonts w:ascii="Arial" w:cs="Arial" w:eastAsia="Arial" w:hAnsi="Arial"/>
          <w:sz w:val="16"/>
          <w:szCs w:val="16"/>
          <w:color w:val="333740"/>
        </w:rPr>
        <w:t>If you are a current or former employee who participates in the legacy Technip Employee Share Purchase Program (other than through a Fonds Commun de Placement d’Entreprise), you may vote the number of Ordinary Shares equivalent to your interest as credited to your account on the Record Date. You will receive instructions on how to vote your Ordinary Shares from Broadridge. Please note that you must submit your vote by 11:59 p.m., New York time, on April 23, 2020.</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Employees Who Participate in the Legacy Technip U.K. Share Incentive Plan</w:t>
      </w:r>
    </w:p>
    <w:p>
      <w:pPr>
        <w:spacing w:after="0" w:line="51" w:lineRule="exact"/>
        <w:rPr>
          <w:sz w:val="20"/>
          <w:szCs w:val="20"/>
          <w:color w:val="auto"/>
        </w:rPr>
      </w:pPr>
    </w:p>
    <w:p>
      <w:pPr>
        <w:ind w:left="4" w:right="60"/>
        <w:spacing w:after="0" w:line="237" w:lineRule="auto"/>
        <w:rPr>
          <w:sz w:val="20"/>
          <w:szCs w:val="20"/>
          <w:color w:val="auto"/>
        </w:rPr>
      </w:pPr>
      <w:r>
        <w:rPr>
          <w:rFonts w:ascii="Arial" w:cs="Arial" w:eastAsia="Arial" w:hAnsi="Arial"/>
          <w:sz w:val="16"/>
          <w:szCs w:val="16"/>
          <w:color w:val="333740"/>
        </w:rPr>
        <w:t>If you are a current or former employee who participates in the legacy Technip U.K. Share Incentive Plan you may instruct the plan trustee on how to vote on your behalf in relation to the number of Ordinary Shares equivalent to your interest as credited to your account on the Record Date. You will receive instructions on how to vote your Ordinary Shares from Equiniti Share Plan Trustees Limited, the plan administrator. Please note that you must submit your vote to Equiniti Share Plan Trustees Limited by 6:00 p.m., Paris time, on April 8, 2020 in order for the plan trustee to vote your Ordinary Shares and transmit your vote through the Euroclear France system.</w:t>
      </w:r>
    </w:p>
    <w:p>
      <w:pPr>
        <w:spacing w:after="0" w:line="327" w:lineRule="exact"/>
        <w:rPr>
          <w:sz w:val="20"/>
          <w:szCs w:val="20"/>
          <w:color w:val="auto"/>
        </w:rPr>
      </w:pPr>
    </w:p>
    <w:p>
      <w:pPr>
        <w:ind w:left="564" w:hanging="564"/>
        <w:spacing w:after="0"/>
        <w:tabs>
          <w:tab w:leader="none" w:pos="564" w:val="left"/>
        </w:tabs>
        <w:numPr>
          <w:ilvl w:val="0"/>
          <w:numId w:val="174"/>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8" w:right="319" w:bottom="1440" w:gutter="0" w:footer="0" w:header="0"/>
        </w:sectPr>
      </w:pPr>
    </w:p>
    <w:bookmarkStart w:id="142" w:name="page143"/>
    <w:bookmarkEnd w:id="142"/>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98"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Can I change my vote?</w:t>
      </w:r>
    </w:p>
    <w:p>
      <w:pPr>
        <w:spacing w:after="0" w:line="107" w:lineRule="exact"/>
        <w:rPr>
          <w:sz w:val="20"/>
          <w:szCs w:val="20"/>
          <w:color w:val="auto"/>
        </w:rPr>
      </w:pPr>
    </w:p>
    <w:p>
      <w:pPr>
        <w:ind w:left="4"/>
        <w:spacing w:after="0"/>
        <w:rPr>
          <w:sz w:val="20"/>
          <w:szCs w:val="20"/>
          <w:color w:val="auto"/>
        </w:rPr>
      </w:pPr>
      <w:r>
        <w:rPr>
          <w:rFonts w:ascii="Arial" w:cs="Arial" w:eastAsia="Arial" w:hAnsi="Arial"/>
          <w:sz w:val="16"/>
          <w:szCs w:val="16"/>
          <w:color w:val="333740"/>
        </w:rPr>
        <w:t>Yes, you may change your vote prior to the Annual Meeting as follows:</w:t>
      </w:r>
    </w:p>
    <w:p>
      <w:pPr>
        <w:spacing w:after="0" w:line="9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33740"/>
        </w:rPr>
        <w:t>Shareholders of Record</w:t>
      </w:r>
    </w:p>
    <w:p>
      <w:pPr>
        <w:spacing w:after="0" w:line="28" w:lineRule="exact"/>
        <w:rPr>
          <w:sz w:val="20"/>
          <w:szCs w:val="20"/>
          <w:color w:val="auto"/>
        </w:rPr>
      </w:pPr>
    </w:p>
    <w:p>
      <w:pPr>
        <w:ind w:left="4"/>
        <w:spacing w:after="0"/>
        <w:rPr>
          <w:sz w:val="20"/>
          <w:szCs w:val="20"/>
          <w:color w:val="auto"/>
        </w:rPr>
      </w:pPr>
      <w:r>
        <w:rPr>
          <w:rFonts w:ascii="Arial" w:cs="Arial" w:eastAsia="Arial" w:hAnsi="Arial"/>
          <w:sz w:val="16"/>
          <w:szCs w:val="16"/>
          <w:color w:val="333740"/>
        </w:rPr>
        <w:t>If you are a shareholder of record, you can change your vote or revoke your proxy at any time before the Annual Meeting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110490</wp:posOffset>
            </wp:positionV>
            <wp:extent cx="38100" cy="7556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156" w:lineRule="exact"/>
        <w:rPr>
          <w:sz w:val="20"/>
          <w:szCs w:val="20"/>
          <w:color w:val="auto"/>
        </w:rPr>
      </w:pPr>
    </w:p>
    <w:p>
      <w:pPr>
        <w:ind w:left="284"/>
        <w:spacing w:after="0"/>
        <w:rPr>
          <w:sz w:val="20"/>
          <w:szCs w:val="20"/>
          <w:color w:val="auto"/>
        </w:rPr>
      </w:pPr>
      <w:r>
        <w:rPr>
          <w:rFonts w:ascii="Arial" w:cs="Arial" w:eastAsia="Arial" w:hAnsi="Arial"/>
          <w:sz w:val="14"/>
          <w:szCs w:val="14"/>
          <w:color w:val="333740"/>
        </w:rPr>
        <w:t>entering a later-dated proxy by telephone or via the internet prior to 11:59 p.m., New York time, on April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48260</wp:posOffset>
            </wp:positionV>
            <wp:extent cx="38100" cy="7556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58" w:lineRule="exact"/>
        <w:rPr>
          <w:sz w:val="20"/>
          <w:szCs w:val="20"/>
          <w:color w:val="auto"/>
        </w:rPr>
      </w:pPr>
    </w:p>
    <w:p>
      <w:pPr>
        <w:ind w:left="284"/>
        <w:spacing w:after="0"/>
        <w:rPr>
          <w:sz w:val="20"/>
          <w:szCs w:val="20"/>
          <w:color w:val="auto"/>
        </w:rPr>
      </w:pPr>
      <w:r>
        <w:rPr>
          <w:rFonts w:ascii="Arial" w:cs="Arial" w:eastAsia="Arial" w:hAnsi="Arial"/>
          <w:sz w:val="14"/>
          <w:szCs w:val="14"/>
          <w:color w:val="333740"/>
        </w:rPr>
        <w:t>delivering a valid, later-dated proxy card that is received by Broadridge at least 24 hours prior to the start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63500</wp:posOffset>
            </wp:positionV>
            <wp:extent cx="38100" cy="755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spacing w:after="0" w:line="82" w:lineRule="exact"/>
        <w:rPr>
          <w:sz w:val="20"/>
          <w:szCs w:val="20"/>
          <w:color w:val="auto"/>
        </w:rPr>
      </w:pPr>
    </w:p>
    <w:p>
      <w:pPr>
        <w:ind w:left="284" w:right="800"/>
        <w:spacing w:after="0" w:line="366" w:lineRule="auto"/>
        <w:rPr>
          <w:sz w:val="20"/>
          <w:szCs w:val="20"/>
          <w:color w:val="auto"/>
        </w:rPr>
      </w:pPr>
      <w:r>
        <w:rPr>
          <w:rFonts w:ascii="Arial" w:cs="Arial" w:eastAsia="Arial" w:hAnsi="Arial"/>
          <w:sz w:val="14"/>
          <w:szCs w:val="14"/>
          <w:color w:val="333740"/>
        </w:rPr>
        <w:t>sending written notice to the Company Secretary at the Company’s registered office that is received at least 24 hours prior to the start of the Annual Meeting; or voting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-145415</wp:posOffset>
            </wp:positionV>
            <wp:extent cx="38100" cy="7556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8100" cy="75565"/>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b w:val="1"/>
          <w:bCs w:val="1"/>
          <w:color w:val="333740"/>
        </w:rPr>
        <w:t>Beneficial Owners</w:t>
      </w:r>
    </w:p>
    <w:p>
      <w:pPr>
        <w:spacing w:after="0" w:line="51" w:lineRule="exact"/>
        <w:rPr>
          <w:sz w:val="20"/>
          <w:szCs w:val="20"/>
          <w:color w:val="auto"/>
        </w:rPr>
      </w:pPr>
    </w:p>
    <w:p>
      <w:pPr>
        <w:ind w:left="4" w:right="200"/>
        <w:spacing w:after="0" w:line="239" w:lineRule="auto"/>
        <w:rPr>
          <w:sz w:val="20"/>
          <w:szCs w:val="20"/>
          <w:color w:val="auto"/>
        </w:rPr>
      </w:pPr>
      <w:r>
        <w:rPr>
          <w:rFonts w:ascii="Arial" w:cs="Arial" w:eastAsia="Arial" w:hAnsi="Arial"/>
          <w:sz w:val="16"/>
          <w:szCs w:val="16"/>
          <w:color w:val="333740"/>
        </w:rPr>
        <w:t>If you are a beneficial owner of Ordinary Shares, you may submit new voting instructions by contacting your bank, broker, or other nominee. However, beneficial owners holding in anonymous form (</w:t>
      </w:r>
      <w:r>
        <w:rPr>
          <w:rFonts w:ascii="Arial" w:cs="Arial" w:eastAsia="Arial" w:hAnsi="Arial"/>
          <w:sz w:val="16"/>
          <w:szCs w:val="16"/>
          <w:i w:val="1"/>
          <w:iCs w:val="1"/>
          <w:color w:val="333740"/>
        </w:rPr>
        <w:t>au porteur</w:t>
      </w:r>
      <w:r>
        <w:rPr>
          <w:rFonts w:ascii="Arial" w:cs="Arial" w:eastAsia="Arial" w:hAnsi="Arial"/>
          <w:sz w:val="16"/>
          <w:szCs w:val="16"/>
          <w:color w:val="333740"/>
        </w:rPr>
        <w:t>) in Euroclear France cannot change their vote once they have submitted the specific proxy form to their bank, broker, or other nominee.</w:t>
      </w:r>
    </w:p>
    <w:p>
      <w:pPr>
        <w:spacing w:after="0" w:line="56" w:lineRule="exact"/>
        <w:rPr>
          <w:sz w:val="20"/>
          <w:szCs w:val="20"/>
          <w:color w:val="auto"/>
        </w:rPr>
      </w:pPr>
    </w:p>
    <w:p>
      <w:pPr>
        <w:ind w:left="4"/>
        <w:spacing w:after="0"/>
        <w:rPr>
          <w:sz w:val="20"/>
          <w:szCs w:val="20"/>
          <w:color w:val="auto"/>
        </w:rPr>
      </w:pPr>
      <w:r>
        <w:rPr>
          <w:rFonts w:ascii="Arial" w:cs="Arial" w:eastAsia="Arial" w:hAnsi="Arial"/>
          <w:sz w:val="16"/>
          <w:szCs w:val="16"/>
          <w:color w:val="333740"/>
        </w:rPr>
        <w:t>You may also vote in person at the Annual Meeting if you obtain a legal proxy as described under “</w:t>
      </w:r>
      <w:r>
        <w:rPr>
          <w:rFonts w:ascii="Arial" w:cs="Arial" w:eastAsia="Arial" w:hAnsi="Arial"/>
          <w:sz w:val="16"/>
          <w:szCs w:val="16"/>
          <w:i w:val="1"/>
          <w:iCs w:val="1"/>
          <w:color w:val="333740"/>
        </w:rPr>
        <w:t>How do I vote?</w:t>
      </w:r>
      <w:r>
        <w:rPr>
          <w:rFonts w:ascii="Arial" w:cs="Arial" w:eastAsia="Arial" w:hAnsi="Arial"/>
          <w:sz w:val="16"/>
          <w:szCs w:val="16"/>
          <w:color w:val="333740"/>
        </w:rPr>
        <w:t>” above.</w:t>
      </w:r>
    </w:p>
    <w:p>
      <w:pPr>
        <w:spacing w:after="0" w:line="107" w:lineRule="exact"/>
        <w:rPr>
          <w:sz w:val="20"/>
          <w:szCs w:val="20"/>
          <w:color w:val="auto"/>
        </w:rPr>
      </w:pPr>
    </w:p>
    <w:p>
      <w:pPr>
        <w:ind w:left="4" w:right="160"/>
        <w:spacing w:after="0" w:line="244" w:lineRule="auto"/>
        <w:rPr>
          <w:sz w:val="20"/>
          <w:szCs w:val="20"/>
          <w:color w:val="auto"/>
        </w:rPr>
      </w:pPr>
      <w:r>
        <w:rPr>
          <w:rFonts w:ascii="Arial" w:cs="Arial" w:eastAsia="Arial" w:hAnsi="Arial"/>
          <w:sz w:val="16"/>
          <w:szCs w:val="16"/>
          <w:color w:val="333740"/>
        </w:rPr>
        <w:t>All Ordinary Shares that have been properly voted and not revoked will be counted in the votes at the Annual Meeting. Attending the Annual Meeting without taking further action will not automatically revoke your prior telephone or internet vote of your proxy.</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What should I do if I receive more than one proxy card?</w:t>
      </w:r>
    </w:p>
    <w:p>
      <w:pPr>
        <w:spacing w:after="0" w:line="91" w:lineRule="exact"/>
        <w:rPr>
          <w:sz w:val="20"/>
          <w:szCs w:val="20"/>
          <w:color w:val="auto"/>
        </w:rPr>
      </w:pPr>
    </w:p>
    <w:p>
      <w:pPr>
        <w:jc w:val="both"/>
        <w:ind w:left="4"/>
        <w:spacing w:after="0" w:line="263" w:lineRule="auto"/>
        <w:rPr>
          <w:sz w:val="20"/>
          <w:szCs w:val="20"/>
          <w:color w:val="auto"/>
        </w:rPr>
      </w:pPr>
      <w:r>
        <w:rPr>
          <w:rFonts w:ascii="Arial" w:cs="Arial" w:eastAsia="Arial" w:hAnsi="Arial"/>
          <w:sz w:val="15"/>
          <w:szCs w:val="15"/>
          <w:color w:val="333740"/>
        </w:rPr>
        <w:t>If you own some Ordinary Shares directly in your name as a registered holder and other Ordinary Shares as a beneficial owner holding through a bank, broker, or other nominee, or if you own Ordinary Shares through more than one bank, broker, or other nominee, you may receive multiple proxy cards. It is necessary for you to fill in, sign, and return all of the proxy cards included in the Proxy Materials you receive in order to vote all of the Ordinary Shares that you own.</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How many votes must be present to hold the Annual Meeting?</w:t>
      </w:r>
    </w:p>
    <w:p>
      <w:pPr>
        <w:spacing w:after="0" w:line="91" w:lineRule="exact"/>
        <w:rPr>
          <w:sz w:val="20"/>
          <w:szCs w:val="20"/>
          <w:color w:val="auto"/>
        </w:rPr>
      </w:pPr>
    </w:p>
    <w:p>
      <w:pPr>
        <w:ind w:left="4" w:right="20"/>
        <w:spacing w:after="0" w:line="239" w:lineRule="auto"/>
        <w:rPr>
          <w:sz w:val="20"/>
          <w:szCs w:val="20"/>
          <w:color w:val="auto"/>
        </w:rPr>
      </w:pPr>
      <w:r>
        <w:rPr>
          <w:rFonts w:ascii="Arial" w:cs="Arial" w:eastAsia="Arial" w:hAnsi="Arial"/>
          <w:sz w:val="16"/>
          <w:szCs w:val="16"/>
          <w:color w:val="333740"/>
        </w:rPr>
        <w:t>A quorum of shareholders is necessary to transact business at the Annual Meeting. A quorum exists if the holders who represent at least the majority of our outstanding Ordinary Shares entitled to vote at the Annual Meeting are present in person or by proxy at the Annual Meeting. Abstentions and broker non-votes will be counted for purposes of establishing a quorum at the Annual Meeting.</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What if I have been nominated by a shareholder of record to have information rights under the Companies Act?</w:t>
      </w:r>
    </w:p>
    <w:p>
      <w:pPr>
        <w:spacing w:after="0" w:line="31" w:lineRule="exact"/>
        <w:rPr>
          <w:sz w:val="20"/>
          <w:szCs w:val="20"/>
          <w:color w:val="auto"/>
        </w:rPr>
      </w:pPr>
    </w:p>
    <w:p>
      <w:pPr>
        <w:ind w:left="4" w:right="20"/>
        <w:spacing w:after="0" w:line="238" w:lineRule="auto"/>
        <w:rPr>
          <w:sz w:val="20"/>
          <w:szCs w:val="20"/>
          <w:color w:val="auto"/>
        </w:rPr>
      </w:pPr>
      <w:r>
        <w:rPr>
          <w:rFonts w:ascii="Arial" w:cs="Arial" w:eastAsia="Arial" w:hAnsi="Arial"/>
          <w:sz w:val="16"/>
          <w:szCs w:val="16"/>
          <w:color w:val="333740"/>
        </w:rPr>
        <w:t>A copy of this Proxy Statement has been provided “for information purposes only” to persons who have been nominated by a shareholder of record to enjoy information rights in accordance with Section 146 of the Companies Act (a “</w:t>
      </w:r>
      <w:r>
        <w:rPr>
          <w:rFonts w:ascii="Arial" w:cs="Arial" w:eastAsia="Arial" w:hAnsi="Arial"/>
          <w:sz w:val="16"/>
          <w:szCs w:val="16"/>
          <w:b w:val="1"/>
          <w:bCs w:val="1"/>
          <w:color w:val="333740"/>
        </w:rPr>
        <w:t>Nominated Person</w:t>
      </w:r>
      <w:r>
        <w:rPr>
          <w:rFonts w:ascii="Arial" w:cs="Arial" w:eastAsia="Arial" w:hAnsi="Arial"/>
          <w:sz w:val="16"/>
          <w:szCs w:val="16"/>
          <w:color w:val="333740"/>
        </w:rPr>
        <w:t>”). A Nominated Person does not possess the same rights as a shareholder of record to appoint a proxy and cannot vote at the Annual Meeting, unless such Nominated Person has an agreement with the nominating shareholder of record to be appointed as a proxy for the meeting (or to have someone else appointed as a proxy).</w:t>
      </w:r>
    </w:p>
    <w:p>
      <w:pPr>
        <w:spacing w:after="0" w:line="327" w:lineRule="exact"/>
        <w:rPr>
          <w:sz w:val="20"/>
          <w:szCs w:val="20"/>
          <w:color w:val="auto"/>
        </w:rPr>
      </w:pPr>
    </w:p>
    <w:p>
      <w:pPr>
        <w:ind w:left="564" w:hanging="564"/>
        <w:spacing w:after="0"/>
        <w:tabs>
          <w:tab w:leader="none" w:pos="564" w:val="left"/>
        </w:tabs>
        <w:numPr>
          <w:ilvl w:val="0"/>
          <w:numId w:val="175"/>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64"/>
          </w:cols>
          <w:pgMar w:left="316" w:top="127" w:right="419" w:bottom="1440" w:gutter="0" w:footer="0" w:header="0"/>
        </w:sectPr>
      </w:pPr>
    </w:p>
    <w:bookmarkStart w:id="143" w:name="page144"/>
    <w:bookmarkEnd w:id="143"/>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98"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What is a broker non-vote?</w:t>
      </w:r>
    </w:p>
    <w:p>
      <w:pPr>
        <w:spacing w:after="0" w:line="107" w:lineRule="exact"/>
        <w:rPr>
          <w:sz w:val="20"/>
          <w:szCs w:val="20"/>
          <w:color w:val="auto"/>
        </w:rPr>
      </w:pPr>
    </w:p>
    <w:p>
      <w:pPr>
        <w:ind w:left="4" w:right="220"/>
        <w:spacing w:after="0" w:line="237" w:lineRule="auto"/>
        <w:rPr>
          <w:sz w:val="20"/>
          <w:szCs w:val="20"/>
          <w:color w:val="auto"/>
        </w:rPr>
      </w:pPr>
      <w:r>
        <w:rPr>
          <w:rFonts w:ascii="Arial" w:cs="Arial" w:eastAsia="Arial" w:hAnsi="Arial"/>
          <w:sz w:val="16"/>
          <w:szCs w:val="16"/>
          <w:color w:val="333740"/>
        </w:rPr>
        <w:t>If you own your Ordinary Shares through a bank, broker, or other nominee and do not provide the organization that holds your Ordinary Shares with specific voting instructions, the bank, broker, or other nominee is generally permitted to vote your Ordinary Shares at its discretion on routine matters, but may not exercise discretion, and therefore will not vote, on non-routine matters. A broker non-vote occurs where a bank, broker, or other nominee holding Ordinary Shares on your behalf does not vote on a particular proposal because it has not received voting instructions from you and does not have discretionary voting power with respect to that proposal.</w:t>
      </w:r>
    </w:p>
    <w:p>
      <w:pPr>
        <w:spacing w:after="0" w:line="83" w:lineRule="exact"/>
        <w:rPr>
          <w:sz w:val="20"/>
          <w:szCs w:val="20"/>
          <w:color w:val="auto"/>
        </w:rPr>
      </w:pPr>
    </w:p>
    <w:p>
      <w:pPr>
        <w:ind w:left="4" w:right="680"/>
        <w:spacing w:after="0" w:line="244" w:lineRule="auto"/>
        <w:rPr>
          <w:sz w:val="20"/>
          <w:szCs w:val="20"/>
          <w:color w:val="auto"/>
        </w:rPr>
      </w:pPr>
      <w:r>
        <w:rPr>
          <w:rFonts w:ascii="Arial" w:cs="Arial" w:eastAsia="Arial" w:hAnsi="Arial"/>
          <w:sz w:val="16"/>
          <w:szCs w:val="16"/>
          <w:color w:val="333740"/>
        </w:rPr>
        <w:t>Proposals 4 through 7 are each considered a routine matter under the rules of the NYSE. A bank, broker, or other nominee may generally vote in their discretion on routine matters, and therefore, no broker non-votes are expected to occur in connection with such proposals.</w:t>
      </w:r>
    </w:p>
    <w:p>
      <w:pPr>
        <w:spacing w:after="0" w:line="80" w:lineRule="exact"/>
        <w:rPr>
          <w:sz w:val="20"/>
          <w:szCs w:val="20"/>
          <w:color w:val="auto"/>
        </w:rPr>
      </w:pPr>
    </w:p>
    <w:p>
      <w:pPr>
        <w:ind w:left="4" w:right="240"/>
        <w:spacing w:after="0" w:line="244" w:lineRule="auto"/>
        <w:rPr>
          <w:sz w:val="20"/>
          <w:szCs w:val="20"/>
          <w:color w:val="auto"/>
        </w:rPr>
      </w:pPr>
      <w:r>
        <w:rPr>
          <w:rFonts w:ascii="Arial" w:cs="Arial" w:eastAsia="Arial" w:hAnsi="Arial"/>
          <w:sz w:val="16"/>
          <w:szCs w:val="16"/>
          <w:color w:val="333740"/>
        </w:rPr>
        <w:t>Proposals 1 through 3 are matters considered non-routine under the rules of the NYSE. A bank, broker, or other nominee may not vote on these non-routine matters without specific voting instructions from the beneficial owner. As a result, there may be broker non-votes with respect to such proposals.</w:t>
      </w:r>
    </w:p>
    <w:p>
      <w:pPr>
        <w:spacing w:after="0" w:line="68" w:lineRule="exact"/>
        <w:rPr>
          <w:sz w:val="20"/>
          <w:szCs w:val="20"/>
          <w:color w:val="auto"/>
        </w:rPr>
      </w:pPr>
    </w:p>
    <w:p>
      <w:pPr>
        <w:ind w:left="4" w:right="320"/>
        <w:spacing w:after="0" w:line="276" w:lineRule="auto"/>
        <w:rPr>
          <w:sz w:val="20"/>
          <w:szCs w:val="20"/>
          <w:color w:val="auto"/>
        </w:rPr>
      </w:pPr>
      <w:r>
        <w:rPr>
          <w:rFonts w:ascii="Arial" w:cs="Arial" w:eastAsia="Arial" w:hAnsi="Arial"/>
          <w:sz w:val="15"/>
          <w:szCs w:val="15"/>
          <w:color w:val="333740"/>
        </w:rPr>
        <w:t>In summary, if you hold your Ordinary Shares in street name, your bank, broker, or other nominee will not have discretionary authority to vote your Ordinary Shares for Proposals 1 through 3 if you do not provide instructions. As such, we strongly encourage you to exercise your right to vote as a shareholder.</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What are the voting requirements to approve the resolutions?</w:t>
      </w:r>
    </w:p>
    <w:p>
      <w:pPr>
        <w:spacing w:after="0" w:line="91" w:lineRule="exact"/>
        <w:rPr>
          <w:sz w:val="20"/>
          <w:szCs w:val="20"/>
          <w:color w:val="auto"/>
        </w:rPr>
      </w:pPr>
    </w:p>
    <w:p>
      <w:pPr>
        <w:ind w:left="4" w:right="280"/>
        <w:spacing w:after="0" w:line="244" w:lineRule="auto"/>
        <w:rPr>
          <w:sz w:val="20"/>
          <w:szCs w:val="20"/>
          <w:color w:val="auto"/>
        </w:rPr>
      </w:pPr>
      <w:r>
        <w:rPr>
          <w:rFonts w:ascii="Arial" w:cs="Arial" w:eastAsia="Arial" w:hAnsi="Arial"/>
          <w:sz w:val="16"/>
          <w:szCs w:val="16"/>
          <w:color w:val="333740"/>
        </w:rPr>
        <w:t>In accordance with the Articles, all resolutions will be taken on a poll, which means that each Ordinary Share represented in person or by proxy is entitled to one vote for each proposal.</w:t>
      </w:r>
    </w:p>
    <w:p>
      <w:pPr>
        <w:spacing w:after="0" w:line="68" w:lineRule="exact"/>
        <w:rPr>
          <w:sz w:val="20"/>
          <w:szCs w:val="20"/>
          <w:color w:val="auto"/>
        </w:rPr>
      </w:pPr>
    </w:p>
    <w:p>
      <w:pPr>
        <w:ind w:left="4" w:right="120"/>
        <w:spacing w:after="0" w:line="244" w:lineRule="auto"/>
        <w:rPr>
          <w:sz w:val="20"/>
          <w:szCs w:val="20"/>
          <w:color w:val="auto"/>
        </w:rPr>
      </w:pPr>
      <w:r>
        <w:rPr>
          <w:rFonts w:ascii="Arial" w:cs="Arial" w:eastAsia="Arial" w:hAnsi="Arial"/>
          <w:sz w:val="16"/>
          <w:szCs w:val="16"/>
          <w:color w:val="333740"/>
        </w:rPr>
        <w:t>Proposals 1 through 7 will be proposed as ordinary resolutions, which means that each resolution requires the affirmative vote of the majority of the votes cast to be approved. Abstentions and broker non-votes will not be counted as a vote either for or against these resolutions.</w:t>
      </w:r>
    </w:p>
    <w:p>
      <w:pPr>
        <w:spacing w:after="0" w:line="80" w:lineRule="exact"/>
        <w:rPr>
          <w:sz w:val="20"/>
          <w:szCs w:val="20"/>
          <w:color w:val="auto"/>
        </w:rPr>
      </w:pPr>
    </w:p>
    <w:p>
      <w:pPr>
        <w:ind w:left="4" w:right="140"/>
        <w:spacing w:after="0" w:line="263" w:lineRule="auto"/>
        <w:rPr>
          <w:sz w:val="20"/>
          <w:szCs w:val="20"/>
          <w:color w:val="auto"/>
        </w:rPr>
      </w:pPr>
      <w:r>
        <w:rPr>
          <w:rFonts w:ascii="Arial" w:cs="Arial" w:eastAsia="Arial" w:hAnsi="Arial"/>
          <w:sz w:val="15"/>
          <w:szCs w:val="15"/>
          <w:color w:val="333740"/>
        </w:rPr>
        <w:t>With respect to Proposal 2 (regarding the Say-on-Pay Proposal for NEOs) and Proposal 3 (regarding the proposal for the 2019 Directors’ Remuneration Report), the results of the vote will not be legally binding on the Board or any committee thereof to take any action, or refrain from taking any action. However, our Board values the opinions of our shareholders as expressed through advisory votes and other communications and will carefully consider the outcome.</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Who will pay the costs of this proxy solicitation?</w:t>
      </w:r>
    </w:p>
    <w:p>
      <w:pPr>
        <w:spacing w:after="0" w:line="43" w:lineRule="exact"/>
        <w:rPr>
          <w:sz w:val="20"/>
          <w:szCs w:val="20"/>
          <w:color w:val="auto"/>
        </w:rPr>
      </w:pPr>
    </w:p>
    <w:p>
      <w:pPr>
        <w:ind w:left="4"/>
        <w:spacing w:after="0" w:line="235" w:lineRule="auto"/>
        <w:rPr>
          <w:sz w:val="20"/>
          <w:szCs w:val="20"/>
          <w:color w:val="auto"/>
        </w:rPr>
      </w:pPr>
      <w:r>
        <w:rPr>
          <w:rFonts w:ascii="Arial" w:cs="Arial" w:eastAsia="Arial" w:hAnsi="Arial"/>
          <w:sz w:val="16"/>
          <w:szCs w:val="16"/>
          <w:color w:val="333740"/>
        </w:rPr>
        <w:t>The Company will pay the expenses of the preparation of Proxy Materials and the solicitation of proxies for the Annual Meeting. The Company has retained Morrow Sodali LLC to assist in the solicitation of proxies at a cost estimated to be $15,500, plus reasonable out-of-pocket expenses. In addition to the solicitation of proxies by mail, solicitation may be made on our behalf by certain directors, officers, or employees of the Company and its subsidiaries telephonically, electronically, or by any other means of communication. Directors, officers, and employees of the Company and its subsidiaries will receive no additional compensation for such solicitation. In accordance with the rules of the SEC and NYSE, the Company will also reimburse banks, brokers, and other custodians, nominees, and fiduciaries for reasonable expenses incurred by them in forwarding Proxy Materials to beneficial owners of Ordinary Shares and obtaining the proxies of such owners. We have retained Broadridge to aid in the distribution of our Proxy Materials and to provide voting and tabulation services for the Annual Meeting. For these services, we will pay Broadridge a fee of approximately $13,500 and reimburse it for reasonable out-of-pocket fees and expenses. In addition, we have retained Société Générale Securities Services to act as local centralization agent for the collection of the votes of the beneficial holders holding in anonymous “bearer” form (</w:t>
      </w:r>
      <w:r>
        <w:rPr>
          <w:rFonts w:ascii="Arial" w:cs="Arial" w:eastAsia="Arial" w:hAnsi="Arial"/>
          <w:sz w:val="16"/>
          <w:szCs w:val="16"/>
          <w:i w:val="1"/>
          <w:iCs w:val="1"/>
          <w:color w:val="333740"/>
        </w:rPr>
        <w:t>au porteur</w:t>
      </w:r>
      <w:r>
        <w:rPr>
          <w:rFonts w:ascii="Arial" w:cs="Arial" w:eastAsia="Arial" w:hAnsi="Arial"/>
          <w:sz w:val="16"/>
          <w:szCs w:val="16"/>
          <w:color w:val="333740"/>
        </w:rPr>
        <w:t>) in Euroclear France, at a cost of approximately €25,000.</w:t>
      </w:r>
    </w:p>
    <w:p>
      <w:pPr>
        <w:spacing w:after="0" w:line="331" w:lineRule="exact"/>
        <w:rPr>
          <w:sz w:val="20"/>
          <w:szCs w:val="20"/>
          <w:color w:val="auto"/>
        </w:rPr>
      </w:pPr>
    </w:p>
    <w:p>
      <w:pPr>
        <w:ind w:left="564" w:hanging="564"/>
        <w:spacing w:after="0"/>
        <w:tabs>
          <w:tab w:leader="none" w:pos="564" w:val="left"/>
        </w:tabs>
        <w:numPr>
          <w:ilvl w:val="0"/>
          <w:numId w:val="176"/>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152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128" w:right="359" w:bottom="1440" w:gutter="0" w:footer="0" w:header="0"/>
        </w:sectPr>
      </w:pPr>
    </w:p>
    <w:bookmarkStart w:id="144" w:name="page145"/>
    <w:bookmarkEnd w:id="144"/>
    <w:p>
      <w:pPr>
        <w:ind w:left="24"/>
        <w:spacing w:after="0"/>
        <w:rPr>
          <w:sz w:val="20"/>
          <w:szCs w:val="20"/>
          <w:color w:val="auto"/>
        </w:rPr>
      </w:pPr>
      <w:r>
        <w:rPr>
          <w:rFonts w:ascii="Arial" w:cs="Arial" w:eastAsia="Arial" w:hAnsi="Arial"/>
          <w:sz w:val="13"/>
          <w:szCs w:val="13"/>
          <w:b w:val="1"/>
          <w:bCs w:val="1"/>
          <w:color w:val="481F6E"/>
        </w:rPr>
        <w:t>TechnipFMC Proxy Statement 2020</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481F6E"/>
        </w:rPr>
        <w:t>Where can I find the voting results of the Annual Meeting?</w:t>
      </w:r>
    </w:p>
    <w:p>
      <w:pPr>
        <w:spacing w:after="0" w:line="91" w:lineRule="exact"/>
        <w:rPr>
          <w:sz w:val="20"/>
          <w:szCs w:val="20"/>
          <w:color w:val="auto"/>
        </w:rPr>
      </w:pPr>
    </w:p>
    <w:p>
      <w:pPr>
        <w:ind w:left="4"/>
        <w:spacing w:after="0" w:line="238" w:lineRule="auto"/>
        <w:rPr>
          <w:sz w:val="20"/>
          <w:szCs w:val="20"/>
          <w:color w:val="auto"/>
        </w:rPr>
      </w:pPr>
      <w:r>
        <w:rPr>
          <w:rFonts w:ascii="Arial" w:cs="Arial" w:eastAsia="Arial" w:hAnsi="Arial"/>
          <w:sz w:val="16"/>
          <w:szCs w:val="16"/>
          <w:color w:val="333740"/>
        </w:rPr>
        <w:t>The preliminary voting results will be announced at the Annual Meeting. The final voting results will be checked by the inspector of elections and disclosed by way of an announcement via a regulatory information service in the United Kingdom and a Current Report on Form 8-K in the United States. The results of the votes on the resolutions at the Annual Meeting and any other information required by the Companies Act will be made available on the Company’s website (</w:t>
      </w:r>
      <w:r>
        <w:rPr>
          <w:rFonts w:ascii="Arial" w:cs="Arial" w:eastAsia="Arial" w:hAnsi="Arial"/>
          <w:sz w:val="16"/>
          <w:szCs w:val="16"/>
          <w:b w:val="1"/>
          <w:bCs w:val="1"/>
          <w:i w:val="1"/>
          <w:iCs w:val="1"/>
          <w:color w:val="481F6E"/>
        </w:rPr>
        <w:t>www.TechnipFMC.com</w:t>
      </w:r>
      <w:r>
        <w:rPr>
          <w:rFonts w:ascii="Arial" w:cs="Arial" w:eastAsia="Arial" w:hAnsi="Arial"/>
          <w:sz w:val="16"/>
          <w:szCs w:val="16"/>
          <w:color w:val="333740"/>
        </w:rPr>
        <w:t>) as soon as reasonably practicable after the Annual Meeting and for a period of two years thereafter.</w:t>
      </w:r>
    </w:p>
    <w:p>
      <w:pPr>
        <w:spacing w:after="0" w:line="351" w:lineRule="exact"/>
        <w:rPr>
          <w:sz w:val="20"/>
          <w:szCs w:val="20"/>
          <w:color w:val="auto"/>
        </w:rPr>
      </w:pPr>
    </w:p>
    <w:p>
      <w:pPr>
        <w:ind w:left="564" w:hanging="564"/>
        <w:spacing w:after="0"/>
        <w:tabs>
          <w:tab w:leader="none" w:pos="564" w:val="left"/>
        </w:tabs>
        <w:numPr>
          <w:ilvl w:val="0"/>
          <w:numId w:val="177"/>
        </w:numPr>
        <w:rPr>
          <w:rFonts w:ascii="Arial" w:cs="Arial" w:eastAsia="Arial" w:hAnsi="Arial"/>
          <w:sz w:val="13"/>
          <w:szCs w:val="13"/>
          <w:color w:val="auto"/>
        </w:rPr>
      </w:pPr>
      <w:r>
        <w:rPr>
          <w:rFonts w:ascii="Arial" w:cs="Arial" w:eastAsia="Arial" w:hAnsi="Arial"/>
          <w:sz w:val="13"/>
          <w:szCs w:val="13"/>
          <w:color w:val="231F20"/>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48195" cy="152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24"/>
          </w:cols>
          <w:pgMar w:left="316" w:top="127" w:right="459" w:bottom="1440" w:gutter="0" w:footer="0" w:header="0"/>
        </w:sectPr>
      </w:pPr>
    </w:p>
    <w:bookmarkStart w:id="145" w:name="page146"/>
    <w:bookmarkEnd w:id="145"/>
    <w:p>
      <w:pPr>
        <w:spacing w:after="0"/>
        <w:rPr>
          <w:sz w:val="20"/>
          <w:szCs w:val="20"/>
          <w:color w:val="auto"/>
        </w:rPr>
      </w:pPr>
      <w:r>
        <w:rPr>
          <w:rFonts w:ascii="Arial" w:cs="Arial" w:eastAsia="Arial" w:hAnsi="Arial"/>
          <w:sz w:val="12"/>
          <w:szCs w:val="12"/>
          <w:b w:val="1"/>
          <w:bCs w:val="1"/>
          <w:color w:val="481F6E"/>
        </w:rPr>
        <w:t>TechnipFMC Proxy Statement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102235</wp:posOffset>
            </wp:positionV>
            <wp:extent cx="7148195" cy="89541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8195" cy="8954135"/>
                    </a:xfrm>
                    <a:prstGeom prst="rect">
                      <a:avLst/>
                    </a:prstGeom>
                    <a:noFill/>
                  </pic:spPr>
                </pic:pic>
              </a:graphicData>
            </a:graphic>
          </wp:anchor>
        </w:drawing>
      </w:r>
    </w:p>
    <w:p>
      <w:pPr>
        <w:sectPr>
          <w:pgSz w:w="11900" w:h="16838" w:orient="portrait"/>
          <w:cols w:equalWidth="0" w:num="1">
            <w:col w:w="10119"/>
          </w:cols>
          <w:pgMar w:left="340" w:top="128" w:right="1440" w:bottom="1440" w:gutter="0" w:footer="0" w:header="0"/>
        </w:sectPr>
      </w:pPr>
    </w:p>
    <w:bookmarkStart w:id="146" w:name="page147"/>
    <w:bookmarkEnd w:id="146"/>
    <w:p>
      <w:pPr>
        <w:spacing w:after="0"/>
        <w:rPr>
          <w:sz w:val="20"/>
          <w:szCs w:val="20"/>
          <w:color w:val="auto"/>
        </w:rPr>
      </w:pPr>
      <w:r>
        <w:rPr>
          <w:rFonts w:ascii="Arial" w:cs="Arial" w:eastAsia="Arial" w:hAnsi="Arial"/>
          <w:sz w:val="12"/>
          <w:szCs w:val="12"/>
          <w:b w:val="1"/>
          <w:bCs w:val="1"/>
          <w:color w:val="481F6E"/>
        </w:rPr>
        <w:t>TechnipFMC Proxy Statement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102235</wp:posOffset>
            </wp:positionV>
            <wp:extent cx="7203440" cy="820293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03440" cy="8202930"/>
                    </a:xfrm>
                    <a:prstGeom prst="rect">
                      <a:avLst/>
                    </a:prstGeom>
                    <a:noFill/>
                  </pic:spPr>
                </pic:pic>
              </a:graphicData>
            </a:graphic>
          </wp:anchor>
        </w:drawing>
      </w:r>
    </w:p>
    <w:sectPr>
      <w:pgSz w:w="11900" w:h="16838" w:orient="portrait"/>
      <w:cols w:equalWidth="0" w:num="1">
        <w:col w:w="10119"/>
      </w:cols>
      <w:pgMar w:left="34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
      <w:numFmt w:val="bullet"/>
      <w:start w:val="1"/>
    </w:lvl>
    <w:lvl w:ilvl="1">
      <w:lvlJc w:val="left"/>
      <w:lvlText w:val="(%2)"/>
      <w:numFmt w:val="decimal"/>
      <w:start w:val="1"/>
    </w:lvl>
  </w:abstractNum>
  <w:abstractNum w:abstractNumId="5">
    <w:nsid w:val="4A2AC315"/>
    <w:multiLevelType w:val="hybridMultilevel"/>
    <w:lvl w:ilvl="0">
      <w:lvlJc w:val="left"/>
      <w:lvlText w:val="2"/>
      <w:numFmt w:val="bullet"/>
      <w:start w:val="1"/>
    </w:lvl>
  </w:abstractNum>
  <w:abstractNum w:abstractNumId="6">
    <w:nsid w:val="39EE015C"/>
    <w:multiLevelType w:val="hybridMultilevel"/>
    <w:lvl w:ilvl="0">
      <w:lvlJc w:val="left"/>
      <w:lvlText w:val="(%1)"/>
      <w:numFmt w:val="lowerLetter"/>
      <w:start w:val="1"/>
    </w:lvl>
  </w:abstractNum>
  <w:abstractNum w:abstractNumId="7">
    <w:nsid w:val="57FC4FBB"/>
    <w:multiLevelType w:val="hybridMultilevel"/>
    <w:lvl w:ilvl="0">
      <w:lvlJc w:val="left"/>
      <w:lvlText w:val="(%1)"/>
      <w:numFmt w:val="lowerLetter"/>
      <w:start w:val="3"/>
    </w:lvl>
  </w:abstractNum>
  <w:abstractNum w:abstractNumId="8">
    <w:nsid w:val="CC1016F"/>
    <w:multiLevelType w:val="hybridMultilevel"/>
    <w:lvl w:ilvl="0">
      <w:lvlJc w:val="left"/>
      <w:lvlText w:val="3"/>
      <w:numFmt w:val="bullet"/>
      <w:start w:val="1"/>
    </w:lvl>
  </w:abstractNum>
  <w:abstractNum w:abstractNumId="9">
    <w:nsid w:val="43F18422"/>
    <w:multiLevelType w:val="hybridMultilevel"/>
    <w:lvl w:ilvl="0">
      <w:lvlJc w:val="left"/>
      <w:lvlText w:val="4"/>
      <w:numFmt w:val="bullet"/>
      <w:start w:val="1"/>
    </w:lvl>
  </w:abstractNum>
  <w:abstractNum w:abstractNumId="10">
    <w:nsid w:val="60EF0119"/>
    <w:multiLevelType w:val="hybridMultilevel"/>
    <w:lvl w:ilvl="0">
      <w:lvlJc w:val="left"/>
      <w:lvlText w:val="5"/>
      <w:numFmt w:val="bullet"/>
      <w:start w:val="1"/>
    </w:lvl>
  </w:abstractNum>
  <w:abstractNum w:abstractNumId="11">
    <w:nsid w:val="26F324BA"/>
    <w:multiLevelType w:val="hybridMultilevel"/>
    <w:lvl w:ilvl="0">
      <w:lvlJc w:val="left"/>
      <w:lvlText w:val="6"/>
      <w:numFmt w:val="bullet"/>
      <w:start w:val="1"/>
    </w:lvl>
  </w:abstractNum>
  <w:abstractNum w:abstractNumId="12">
    <w:nsid w:val="7F01579B"/>
    <w:multiLevelType w:val="hybridMultilevel"/>
    <w:lvl w:ilvl="0">
      <w:lvlJc w:val="left"/>
      <w:lvlText w:val="7"/>
      <w:numFmt w:val="bullet"/>
      <w:start w:val="1"/>
    </w:lvl>
  </w:abstractNum>
  <w:abstractNum w:abstractNumId="13">
    <w:nsid w:val="49DA307D"/>
    <w:multiLevelType w:val="hybridMultilevel"/>
    <w:lvl w:ilvl="0">
      <w:lvlJc w:val="left"/>
      <w:lvlText w:val="8"/>
      <w:numFmt w:val="bullet"/>
      <w:start w:val="1"/>
    </w:lvl>
  </w:abstractNum>
  <w:abstractNum w:abstractNumId="14">
    <w:nsid w:val="7055A5F5"/>
    <w:multiLevelType w:val="hybridMultilevel"/>
    <w:lvl w:ilvl="0">
      <w:lvlJc w:val="left"/>
      <w:lvlText w:val="9"/>
      <w:numFmt w:val="bullet"/>
      <w:start w:val="1"/>
    </w:lvl>
  </w:abstractNum>
  <w:abstractNum w:abstractNumId="15">
    <w:nsid w:val="5FB8370B"/>
    <w:multiLevelType w:val="hybridMultilevel"/>
    <w:lvl w:ilvl="0">
      <w:lvlJc w:val="left"/>
      <w:lvlText w:val="%1"/>
      <w:numFmt w:val="decimal"/>
      <w:start w:val="10"/>
    </w:lvl>
  </w:abstractNum>
  <w:abstractNum w:abstractNumId="16">
    <w:nsid w:val="50801EE1"/>
    <w:multiLevelType w:val="hybridMultilevel"/>
    <w:lvl w:ilvl="0">
      <w:lvlJc w:val="left"/>
      <w:lvlText w:val="%1"/>
      <w:numFmt w:val="decimal"/>
      <w:start w:val="11"/>
    </w:lvl>
  </w:abstractNum>
  <w:abstractNum w:abstractNumId="17">
    <w:nsid w:val="488AC1A"/>
    <w:multiLevelType w:val="hybridMultilevel"/>
    <w:lvl w:ilvl="0">
      <w:lvlJc w:val="left"/>
      <w:lvlText w:val="%1"/>
      <w:numFmt w:val="decimal"/>
      <w:start w:val="12"/>
    </w:lvl>
  </w:abstractNum>
  <w:abstractNum w:abstractNumId="18">
    <w:nsid w:val="5FB8011C"/>
    <w:multiLevelType w:val="hybridMultilevel"/>
    <w:lvl w:ilvl="0">
      <w:lvlJc w:val="left"/>
      <w:lvlText w:val="(%1)"/>
      <w:numFmt w:val="decimal"/>
      <w:start w:val="1"/>
    </w:lvl>
  </w:abstractNum>
  <w:abstractNum w:abstractNumId="19">
    <w:nsid w:val="6AA78F7F"/>
    <w:multiLevelType w:val="hybridMultilevel"/>
    <w:lvl w:ilvl="0">
      <w:lvlJc w:val="left"/>
      <w:lvlText w:val="%1"/>
      <w:numFmt w:val="decimal"/>
      <w:start w:val="13"/>
    </w:lvl>
  </w:abstractNum>
  <w:abstractNum w:abstractNumId="20">
    <w:nsid w:val="7672BD23"/>
    <w:multiLevelType w:val="hybridMultilevel"/>
    <w:lvl w:ilvl="0">
      <w:lvlJc w:val="left"/>
      <w:lvlText w:val="%1"/>
      <w:numFmt w:val="decimal"/>
      <w:start w:val="14"/>
    </w:lvl>
  </w:abstractNum>
  <w:abstractNum w:abstractNumId="21">
    <w:nsid w:val="6FC75AF8"/>
    <w:multiLevelType w:val="hybridMultilevel"/>
    <w:lvl w:ilvl="0">
      <w:lvlJc w:val="left"/>
      <w:lvlText w:val="%1"/>
      <w:numFmt w:val="decimal"/>
      <w:start w:val="15"/>
    </w:lvl>
  </w:abstractNum>
  <w:abstractNum w:abstractNumId="22">
    <w:nsid w:val="6A5F7029"/>
    <w:multiLevelType w:val="hybridMultilevel"/>
    <w:lvl w:ilvl="0">
      <w:lvlJc w:val="left"/>
      <w:lvlText w:val="%1"/>
      <w:numFmt w:val="decimal"/>
      <w:start w:val="16"/>
    </w:lvl>
  </w:abstractNum>
  <w:abstractNum w:abstractNumId="23">
    <w:nsid w:val="7D5E18F8"/>
    <w:multiLevelType w:val="hybridMultilevel"/>
    <w:lvl w:ilvl="0">
      <w:lvlJc w:val="left"/>
      <w:lvlText w:val="%1"/>
      <w:numFmt w:val="decimal"/>
      <w:start w:val="17"/>
    </w:lvl>
  </w:abstractNum>
  <w:abstractNum w:abstractNumId="24">
    <w:nsid w:val="5F3534A4"/>
    <w:multiLevelType w:val="hybridMultilevel"/>
    <w:lvl w:ilvl="0">
      <w:lvlJc w:val="left"/>
      <w:lvlText w:val="%1"/>
      <w:numFmt w:val="decimal"/>
      <w:start w:val="18"/>
    </w:lvl>
  </w:abstractNum>
  <w:abstractNum w:abstractNumId="25">
    <w:nsid w:val="73A1821B"/>
    <w:multiLevelType w:val="hybridMultilevel"/>
    <w:lvl w:ilvl="0">
      <w:lvlJc w:val="left"/>
      <w:lvlText w:val="%1"/>
      <w:numFmt w:val="decimal"/>
      <w:start w:val="19"/>
    </w:lvl>
  </w:abstractNum>
  <w:abstractNum w:abstractNumId="26">
    <w:nsid w:val="7DE67713"/>
    <w:multiLevelType w:val="hybridMultilevel"/>
    <w:lvl w:ilvl="0">
      <w:lvlJc w:val="left"/>
      <w:lvlText w:val="%1"/>
      <w:numFmt w:val="decimal"/>
      <w:start w:val="20"/>
    </w:lvl>
  </w:abstractNum>
  <w:abstractNum w:abstractNumId="27">
    <w:nsid w:val="555C55B5"/>
    <w:multiLevelType w:val="hybridMultilevel"/>
    <w:lvl w:ilvl="0">
      <w:lvlJc w:val="left"/>
      <w:lvlText w:val="%1"/>
      <w:numFmt w:val="decimal"/>
      <w:start w:val="21"/>
    </w:lvl>
  </w:abstractNum>
  <w:abstractNum w:abstractNumId="28">
    <w:nsid w:val="3FA62ACA"/>
    <w:multiLevelType w:val="hybridMultilevel"/>
    <w:lvl w:ilvl="0">
      <w:lvlJc w:val="left"/>
      <w:lvlText w:val="%1"/>
      <w:numFmt w:val="decimal"/>
      <w:start w:val="22"/>
    </w:lvl>
  </w:abstractNum>
  <w:abstractNum w:abstractNumId="29">
    <w:nsid w:val="14FCE74E"/>
    <w:multiLevelType w:val="hybridMultilevel"/>
    <w:lvl w:ilvl="0">
      <w:lvlJc w:val="left"/>
      <w:lvlText w:val="%1"/>
      <w:numFmt w:val="decimal"/>
      <w:start w:val="23"/>
    </w:lvl>
  </w:abstractNum>
  <w:abstractNum w:abstractNumId="30">
    <w:nsid w:val="6A3DD3E8"/>
    <w:multiLevelType w:val="hybridMultilevel"/>
    <w:lvl w:ilvl="0">
      <w:lvlJc w:val="left"/>
      <w:lvlText w:val="%1"/>
      <w:numFmt w:val="decimal"/>
      <w:start w:val="24"/>
    </w:lvl>
  </w:abstractNum>
  <w:abstractNum w:abstractNumId="31">
    <w:nsid w:val="71C91298"/>
    <w:multiLevelType w:val="hybridMultilevel"/>
    <w:lvl w:ilvl="0">
      <w:lvlJc w:val="left"/>
      <w:lvlText w:val="&amp;"/>
      <w:numFmt w:val="bullet"/>
      <w:start w:val="1"/>
    </w:lvl>
  </w:abstractNum>
  <w:abstractNum w:abstractNumId="32">
    <w:nsid w:val="9DAF632"/>
    <w:multiLevelType w:val="hybridMultilevel"/>
    <w:lvl w:ilvl="0">
      <w:lvlJc w:val="left"/>
      <w:lvlText w:val="%1"/>
      <w:numFmt w:val="decimal"/>
      <w:start w:val="25"/>
    </w:lvl>
  </w:abstractNum>
  <w:abstractNum w:abstractNumId="33">
    <w:nsid w:val="53299938"/>
    <w:multiLevelType w:val="hybridMultilevel"/>
    <w:lvl w:ilvl="0">
      <w:lvlJc w:val="left"/>
      <w:lvlText w:val="%1"/>
      <w:numFmt w:val="decimal"/>
      <w:start w:val="26"/>
    </w:lvl>
  </w:abstractNum>
  <w:abstractNum w:abstractNumId="34">
    <w:nsid w:val="1FBFE8E0"/>
    <w:multiLevelType w:val="hybridMultilevel"/>
    <w:lvl w:ilvl="0">
      <w:lvlJc w:val="left"/>
      <w:lvlText w:val="%1"/>
      <w:numFmt w:val="decimal"/>
      <w:start w:val="27"/>
    </w:lvl>
  </w:abstractNum>
  <w:abstractNum w:abstractNumId="35">
    <w:nsid w:val="5092CA79"/>
    <w:multiLevelType w:val="hybridMultilevel"/>
    <w:lvl w:ilvl="0">
      <w:lvlJc w:val="left"/>
      <w:lvlText w:val="%1"/>
      <w:numFmt w:val="decimal"/>
      <w:start w:val="28"/>
    </w:lvl>
  </w:abstractNum>
  <w:abstractNum w:abstractNumId="36">
    <w:nsid w:val="1D545C4D"/>
    <w:multiLevelType w:val="hybridMultilevel"/>
    <w:lvl w:ilvl="0">
      <w:lvlJc w:val="left"/>
      <w:lvlText w:val="%1"/>
      <w:numFmt w:val="decimal"/>
      <w:start w:val="29"/>
    </w:lvl>
  </w:abstractNum>
  <w:abstractNum w:abstractNumId="37">
    <w:nsid w:val="59ADEA3D"/>
    <w:multiLevelType w:val="hybridMultilevel"/>
    <w:lvl w:ilvl="0">
      <w:lvlJc w:val="left"/>
      <w:lvlText w:val="1"/>
      <w:numFmt w:val="bullet"/>
      <w:start w:val="1"/>
    </w:lvl>
  </w:abstractNum>
  <w:abstractNum w:abstractNumId="38">
    <w:nsid w:val="288F1A34"/>
    <w:multiLevelType w:val="hybridMultilevel"/>
    <w:lvl w:ilvl="0">
      <w:lvlJc w:val="left"/>
      <w:lvlText w:val="%1"/>
      <w:numFmt w:val="decimal"/>
      <w:start w:val="30"/>
    </w:lvl>
  </w:abstractNum>
  <w:abstractNum w:abstractNumId="39">
    <w:nsid w:val="2A155DBC"/>
    <w:multiLevelType w:val="hybridMultilevel"/>
    <w:lvl w:ilvl="0">
      <w:lvlJc w:val="left"/>
      <w:lvlText w:val="%1"/>
      <w:numFmt w:val="decimal"/>
      <w:start w:val="31"/>
    </w:lvl>
  </w:abstractNum>
  <w:abstractNum w:abstractNumId="40">
    <w:nsid w:val="1D9F6E5F"/>
    <w:multiLevelType w:val="hybridMultilevel"/>
    <w:lvl w:ilvl="0">
      <w:lvlJc w:val="left"/>
      <w:lvlText w:val="%1"/>
      <w:numFmt w:val="decimal"/>
      <w:start w:val="32"/>
    </w:lvl>
  </w:abstractNum>
  <w:abstractNum w:abstractNumId="41">
    <w:nsid w:val="97E1B4E"/>
    <w:multiLevelType w:val="hybridMultilevel"/>
    <w:lvl w:ilvl="0">
      <w:lvlJc w:val="left"/>
      <w:lvlText w:val="(%1)"/>
      <w:numFmt w:val="lowerLetter"/>
      <w:start w:val="1"/>
    </w:lvl>
  </w:abstractNum>
  <w:abstractNum w:abstractNumId="42">
    <w:nsid w:val="51088277"/>
    <w:multiLevelType w:val="hybridMultilevel"/>
    <w:lvl w:ilvl="0">
      <w:lvlJc w:val="left"/>
      <w:lvlText w:val="%1"/>
      <w:numFmt w:val="decimal"/>
      <w:start w:val="33"/>
    </w:lvl>
  </w:abstractNum>
  <w:abstractNum w:abstractNumId="43">
    <w:nsid w:val="1CA0C5FA"/>
    <w:multiLevelType w:val="hybridMultilevel"/>
    <w:lvl w:ilvl="0">
      <w:lvlJc w:val="left"/>
      <w:lvlText w:val="%1"/>
      <w:numFmt w:val="decimal"/>
      <w:start w:val="34"/>
    </w:lvl>
  </w:abstractNum>
  <w:abstractNum w:abstractNumId="44">
    <w:nsid w:val="53584BCB"/>
    <w:multiLevelType w:val="hybridMultilevel"/>
    <w:lvl w:ilvl="0">
      <w:lvlJc w:val="left"/>
      <w:lvlText w:val="%1"/>
      <w:numFmt w:val="decimal"/>
      <w:start w:val="35"/>
    </w:lvl>
  </w:abstractNum>
  <w:abstractNum w:abstractNumId="45">
    <w:nsid w:val="415E286C"/>
    <w:multiLevelType w:val="hybridMultilevel"/>
    <w:lvl w:ilvl="0">
      <w:lvlJc w:val="left"/>
      <w:lvlText w:val="%1"/>
      <w:numFmt w:val="decimal"/>
      <w:start w:val="36"/>
    </w:lvl>
  </w:abstractNum>
  <w:abstractNum w:abstractNumId="46">
    <w:nsid w:val="7C58FD05"/>
    <w:multiLevelType w:val="hybridMultilevel"/>
    <w:lvl w:ilvl="0">
      <w:lvlJc w:val="left"/>
      <w:lvlText w:val="%1"/>
      <w:numFmt w:val="decimal"/>
      <w:start w:val="37"/>
    </w:lvl>
  </w:abstractNum>
  <w:abstractNum w:abstractNumId="47">
    <w:nsid w:val="23D86AAC"/>
    <w:multiLevelType w:val="hybridMultilevel"/>
    <w:lvl w:ilvl="0">
      <w:lvlJc w:val="left"/>
      <w:lvlText w:val="%1"/>
      <w:numFmt w:val="decimal"/>
      <w:start w:val="38"/>
    </w:lvl>
  </w:abstractNum>
  <w:abstractNum w:abstractNumId="48">
    <w:nsid w:val="45E6D486"/>
    <w:multiLevelType w:val="hybridMultilevel"/>
    <w:lvl w:ilvl="0">
      <w:lvlJc w:val="left"/>
      <w:lvlText w:val="%1"/>
      <w:numFmt w:val="decimal"/>
      <w:start w:val="39"/>
    </w:lvl>
  </w:abstractNum>
  <w:abstractNum w:abstractNumId="49">
    <w:nsid w:val="5C10FE21"/>
    <w:multiLevelType w:val="hybridMultilevel"/>
    <w:lvl w:ilvl="0">
      <w:lvlJc w:val="left"/>
      <w:lvlText w:val="%1"/>
      <w:numFmt w:val="decimal"/>
      <w:start w:val="40"/>
    </w:lvl>
  </w:abstractNum>
  <w:abstractNum w:abstractNumId="50">
    <w:nsid w:val="E7FFA2B"/>
    <w:multiLevelType w:val="hybridMultilevel"/>
    <w:lvl w:ilvl="0">
      <w:lvlJc w:val="left"/>
      <w:lvlText w:val="%1"/>
      <w:numFmt w:val="decimal"/>
      <w:start w:val="42"/>
    </w:lvl>
  </w:abstractNum>
  <w:abstractNum w:abstractNumId="51">
    <w:nsid w:val="3C5991AA"/>
    <w:multiLevelType w:val="hybridMultilevel"/>
    <w:lvl w:ilvl="0">
      <w:lvlJc w:val="left"/>
      <w:lvlText w:val="%1"/>
      <w:numFmt w:val="decimal"/>
      <w:start w:val="43"/>
    </w:lvl>
  </w:abstractNum>
  <w:abstractNum w:abstractNumId="52">
    <w:nsid w:val="4BD8591A"/>
    <w:multiLevelType w:val="hybridMultilevel"/>
    <w:lvl w:ilvl="0">
      <w:lvlJc w:val="left"/>
      <w:lvlText w:val="%1"/>
      <w:numFmt w:val="decimal"/>
      <w:start w:val="44"/>
    </w:lvl>
  </w:abstractNum>
  <w:abstractNum w:abstractNumId="53">
    <w:nsid w:val="78DF6A55"/>
    <w:multiLevelType w:val="hybridMultilevel"/>
    <w:lvl w:ilvl="0">
      <w:lvlJc w:val="left"/>
      <w:lvlText w:val="%1"/>
      <w:numFmt w:val="decimal"/>
      <w:start w:val="45"/>
    </w:lvl>
  </w:abstractNum>
  <w:abstractNum w:abstractNumId="54">
    <w:nsid w:val="39B7AAA2"/>
    <w:multiLevelType w:val="hybridMultilevel"/>
    <w:lvl w:ilvl="0">
      <w:lvlJc w:val="left"/>
      <w:lvlText w:val="%1"/>
      <w:numFmt w:val="decimal"/>
      <w:start w:val="46"/>
    </w:lvl>
  </w:abstractNum>
  <w:abstractNum w:abstractNumId="55">
    <w:nsid w:val="2B0D8DBE"/>
    <w:multiLevelType w:val="hybridMultilevel"/>
    <w:lvl w:ilvl="0">
      <w:lvlJc w:val="left"/>
      <w:lvlText w:val="%1"/>
      <w:numFmt w:val="decimal"/>
      <w:start w:val="47"/>
    </w:lvl>
  </w:abstractNum>
  <w:abstractNum w:abstractNumId="56">
    <w:nsid w:val="6C80EC70"/>
    <w:multiLevelType w:val="hybridMultilevel"/>
    <w:lvl w:ilvl="0">
      <w:lvlJc w:val="left"/>
      <w:lvlText w:val="%1"/>
      <w:numFmt w:val="decimal"/>
      <w:start w:val="48"/>
    </w:lvl>
  </w:abstractNum>
  <w:abstractNum w:abstractNumId="57">
    <w:nsid w:val="379E21B5"/>
    <w:multiLevelType w:val="hybridMultilevel"/>
    <w:lvl w:ilvl="0">
      <w:lvlJc w:val="left"/>
      <w:lvlText w:val="%1"/>
      <w:numFmt w:val="decimal"/>
      <w:start w:val="49"/>
    </w:lvl>
  </w:abstractNum>
  <w:abstractNum w:abstractNumId="58">
    <w:nsid w:val="69E373"/>
    <w:multiLevelType w:val="hybridMultilevel"/>
    <w:lvl w:ilvl="0">
      <w:lvlJc w:val="left"/>
      <w:lvlText w:val="✓"/>
      <w:numFmt w:val="bullet"/>
      <w:start w:val="1"/>
    </w:lvl>
  </w:abstractNum>
  <w:abstractNum w:abstractNumId="59">
    <w:nsid w:val="2C27173B"/>
    <w:multiLevelType w:val="hybridMultilevel"/>
    <w:lvl w:ilvl="0">
      <w:lvlJc w:val="left"/>
      <w:lvlText w:val="%1"/>
      <w:numFmt w:val="decimal"/>
      <w:start w:val="50"/>
    </w:lvl>
  </w:abstractNum>
  <w:abstractNum w:abstractNumId="60">
    <w:nsid w:val="4C9B0904"/>
    <w:multiLevelType w:val="hybridMultilevel"/>
    <w:lvl w:ilvl="0">
      <w:lvlJc w:val="left"/>
      <w:lvlText w:val="%1"/>
      <w:numFmt w:val="decimal"/>
      <w:start w:val="51"/>
    </w:lvl>
  </w:abstractNum>
  <w:abstractNum w:abstractNumId="61">
    <w:nsid w:val="6AA7B75C"/>
    <w:multiLevelType w:val="hybridMultilevel"/>
    <w:lvl w:ilvl="0">
      <w:lvlJc w:val="left"/>
      <w:lvlText w:val="(%1)"/>
      <w:numFmt w:val="decimal"/>
      <w:start w:val="1"/>
    </w:lvl>
  </w:abstractNum>
  <w:abstractNum w:abstractNumId="62">
    <w:nsid w:val="1DF029D3"/>
    <w:multiLevelType w:val="hybridMultilevel"/>
    <w:lvl w:ilvl="0">
      <w:lvlJc w:val="left"/>
      <w:lvlText w:val="(%1)"/>
      <w:numFmt w:val="decimal"/>
      <w:start w:val="3"/>
    </w:lvl>
  </w:abstractNum>
  <w:abstractNum w:abstractNumId="63">
    <w:nsid w:val="5675FF36"/>
    <w:multiLevelType w:val="hybridMultilevel"/>
    <w:lvl w:ilvl="0">
      <w:lvlJc w:val="left"/>
      <w:lvlText w:val="%1"/>
      <w:numFmt w:val="decimal"/>
      <w:start w:val="52"/>
    </w:lvl>
  </w:abstractNum>
  <w:abstractNum w:abstractNumId="64">
    <w:nsid w:val="3DD15094"/>
    <w:multiLevelType w:val="hybridMultilevel"/>
    <w:lvl w:ilvl="0">
      <w:lvlJc w:val="left"/>
      <w:lvlText w:val="%1"/>
      <w:numFmt w:val="decimal"/>
      <w:start w:val="53"/>
    </w:lvl>
  </w:abstractNum>
  <w:abstractNum w:abstractNumId="65">
    <w:nsid w:val="3DB012B3"/>
    <w:multiLevelType w:val="hybridMultilevel"/>
    <w:lvl w:ilvl="0">
      <w:lvlJc w:val="left"/>
      <w:lvlText w:val="%1"/>
      <w:numFmt w:val="decimal"/>
      <w:start w:val="54"/>
    </w:lvl>
  </w:abstractNum>
  <w:abstractNum w:abstractNumId="66">
    <w:nsid w:val="2708C9AF"/>
    <w:multiLevelType w:val="hybridMultilevel"/>
    <w:lvl w:ilvl="0">
      <w:lvlJc w:val="left"/>
      <w:lvlText w:val="%1"/>
      <w:numFmt w:val="decimal"/>
      <w:start w:val="55"/>
    </w:lvl>
  </w:abstractNum>
  <w:abstractNum w:abstractNumId="67">
    <w:nsid w:val="5B25ACE2"/>
    <w:multiLevelType w:val="hybridMultilevel"/>
    <w:lvl w:ilvl="0">
      <w:lvlJc w:val="left"/>
      <w:lvlText w:val="%1"/>
      <w:numFmt w:val="decimal"/>
      <w:start w:val="56"/>
    </w:lvl>
  </w:abstractNum>
  <w:abstractNum w:abstractNumId="68">
    <w:nsid w:val="175DFCF0"/>
    <w:multiLevelType w:val="hybridMultilevel"/>
    <w:lvl w:ilvl="0">
      <w:lvlJc w:val="left"/>
      <w:lvlText w:val="%1"/>
      <w:numFmt w:val="decimal"/>
      <w:start w:val="57"/>
    </w:lvl>
  </w:abstractNum>
  <w:abstractNum w:abstractNumId="69">
    <w:nsid w:val="4F97E3E4"/>
    <w:multiLevelType w:val="hybridMultilevel"/>
    <w:lvl w:ilvl="0">
      <w:lvlJc w:val="left"/>
      <w:lvlText w:val="*"/>
      <w:numFmt w:val="bullet"/>
      <w:start w:val="1"/>
    </w:lvl>
  </w:abstractNum>
  <w:abstractNum w:abstractNumId="70">
    <w:nsid w:val="53B0A9E"/>
    <w:multiLevelType w:val="hybridMultilevel"/>
    <w:lvl w:ilvl="0">
      <w:lvlJc w:val="left"/>
      <w:lvlText w:val="%1"/>
      <w:numFmt w:val="decimal"/>
      <w:start w:val="58"/>
    </w:lvl>
  </w:abstractNum>
  <w:abstractNum w:abstractNumId="71">
    <w:nsid w:val="34FD6B4F"/>
    <w:multiLevelType w:val="hybridMultilevel"/>
    <w:lvl w:ilvl="0">
      <w:lvlJc w:val="left"/>
      <w:lvlText w:val="%1"/>
      <w:numFmt w:val="decimal"/>
      <w:start w:val="59"/>
    </w:lvl>
  </w:abstractNum>
  <w:abstractNum w:abstractNumId="72">
    <w:nsid w:val="5915FF32"/>
    <w:multiLevelType w:val="hybridMultilevel"/>
    <w:lvl w:ilvl="0">
      <w:lvlJc w:val="left"/>
      <w:lvlText w:val="%1"/>
      <w:numFmt w:val="decimal"/>
      <w:start w:val="60"/>
    </w:lvl>
  </w:abstractNum>
  <w:abstractNum w:abstractNumId="73">
    <w:nsid w:val="56438D15"/>
    <w:multiLevelType w:val="hybridMultilevel"/>
    <w:lvl w:ilvl="0">
      <w:lvlJc w:val="left"/>
      <w:lvlText w:val="(%1)"/>
      <w:numFmt w:val="decimal"/>
      <w:start w:val="1"/>
    </w:lvl>
  </w:abstractNum>
  <w:abstractNum w:abstractNumId="74">
    <w:nsid w:val="519E3149"/>
    <w:multiLevelType w:val="hybridMultilevel"/>
    <w:lvl w:ilvl="0">
      <w:lvlJc w:val="left"/>
      <w:lvlText w:val="%1"/>
      <w:numFmt w:val="decimal"/>
      <w:start w:val="61"/>
    </w:lvl>
  </w:abstractNum>
  <w:abstractNum w:abstractNumId="75">
    <w:nsid w:val="2C6E4AFD"/>
    <w:multiLevelType w:val="hybridMultilevel"/>
    <w:lvl w:ilvl="0">
      <w:lvlJc w:val="left"/>
      <w:lvlText w:val="%1"/>
      <w:numFmt w:val="decimal"/>
      <w:start w:val="62"/>
    </w:lvl>
  </w:abstractNum>
  <w:abstractNum w:abstractNumId="76">
    <w:nsid w:val="17A1B582"/>
    <w:multiLevelType w:val="hybridMultilevel"/>
    <w:lvl w:ilvl="0">
      <w:lvlJc w:val="left"/>
      <w:lvlText w:val="*"/>
      <w:numFmt w:val="bullet"/>
      <w:start w:val="1"/>
    </w:lvl>
  </w:abstractNum>
  <w:abstractNum w:abstractNumId="77">
    <w:nsid w:val="4DF72E4E"/>
    <w:multiLevelType w:val="hybridMultilevel"/>
    <w:lvl w:ilvl="0">
      <w:lvlJc w:val="left"/>
      <w:lvlText w:val="%1"/>
      <w:numFmt w:val="decimal"/>
      <w:start w:val="63"/>
    </w:lvl>
  </w:abstractNum>
  <w:abstractNum w:abstractNumId="78">
    <w:nsid w:val="5046B5A9"/>
    <w:multiLevelType w:val="hybridMultilevel"/>
    <w:lvl w:ilvl="0">
      <w:lvlJc w:val="left"/>
      <w:lvlText w:val="%1"/>
      <w:numFmt w:val="decimal"/>
      <w:start w:val="64"/>
    </w:lvl>
  </w:abstractNum>
  <w:abstractNum w:abstractNumId="79">
    <w:nsid w:val="5D888A08"/>
    <w:multiLevelType w:val="hybridMultilevel"/>
    <w:lvl w:ilvl="0">
      <w:lvlJc w:val="left"/>
      <w:lvlText w:val="%1"/>
      <w:numFmt w:val="decimal"/>
      <w:start w:val="65"/>
    </w:lvl>
  </w:abstractNum>
  <w:abstractNum w:abstractNumId="80">
    <w:nsid w:val="2A082C70"/>
    <w:multiLevelType w:val="hybridMultilevel"/>
    <w:lvl w:ilvl="0">
      <w:lvlJc w:val="left"/>
      <w:lvlText w:val="%1"/>
      <w:numFmt w:val="decimal"/>
      <w:start w:val="66"/>
    </w:lvl>
  </w:abstractNum>
  <w:abstractNum w:abstractNumId="81">
    <w:nsid w:val="5EC6AFD4"/>
    <w:multiLevelType w:val="hybridMultilevel"/>
    <w:lvl w:ilvl="0">
      <w:lvlJc w:val="left"/>
      <w:lvlText w:val="%1"/>
      <w:numFmt w:val="decimal"/>
      <w:start w:val="67"/>
    </w:lvl>
  </w:abstractNum>
  <w:abstractNum w:abstractNumId="82">
    <w:nsid w:val="19E21BB2"/>
    <w:multiLevelType w:val="hybridMultilevel"/>
    <w:lvl w:ilvl="0">
      <w:lvlJc w:val="left"/>
      <w:lvlText w:val="%1"/>
      <w:numFmt w:val="decimal"/>
      <w:start w:val="68"/>
    </w:lvl>
  </w:abstractNum>
  <w:abstractNum w:abstractNumId="83">
    <w:nsid w:val="75E0858A"/>
    <w:multiLevelType w:val="hybridMultilevel"/>
    <w:lvl w:ilvl="0">
      <w:lvlJc w:val="left"/>
      <w:lvlText w:val="%1"/>
      <w:numFmt w:val="decimal"/>
      <w:start w:val="69"/>
    </w:lvl>
  </w:abstractNum>
  <w:abstractNum w:abstractNumId="84">
    <w:nsid w:val="57A61A29"/>
    <w:multiLevelType w:val="hybridMultilevel"/>
    <w:lvl w:ilvl="0">
      <w:lvlJc w:val="left"/>
      <w:lvlText w:val="%1"/>
      <w:numFmt w:val="decimal"/>
      <w:start w:val="70"/>
    </w:lvl>
  </w:abstractNum>
  <w:abstractNum w:abstractNumId="85">
    <w:nsid w:val="5399C654"/>
    <w:multiLevelType w:val="hybridMultilevel"/>
    <w:lvl w:ilvl="0">
      <w:lvlJc w:val="left"/>
      <w:lvlText w:val="%1"/>
      <w:numFmt w:val="decimal"/>
      <w:start w:val="71"/>
    </w:lvl>
  </w:abstractNum>
  <w:abstractNum w:abstractNumId="86">
    <w:nsid w:val="20EE1348"/>
    <w:multiLevelType w:val="hybridMultilevel"/>
    <w:lvl w:ilvl="0">
      <w:lvlJc w:val="left"/>
      <w:lvlText w:val="%1"/>
      <w:numFmt w:val="decimal"/>
      <w:start w:val="72"/>
    </w:lvl>
  </w:abstractNum>
  <w:abstractNum w:abstractNumId="87">
    <w:nsid w:val="4427069A"/>
    <w:multiLevelType w:val="hybridMultilevel"/>
    <w:lvl w:ilvl="0">
      <w:lvlJc w:val="left"/>
      <w:lvlText w:val="(%1)"/>
      <w:numFmt w:val="decimal"/>
      <w:start w:val="1"/>
    </w:lvl>
  </w:abstractNum>
  <w:abstractNum w:abstractNumId="88">
    <w:nsid w:val="B37E80A"/>
    <w:multiLevelType w:val="hybridMultilevel"/>
    <w:lvl w:ilvl="0">
      <w:lvlJc w:val="left"/>
      <w:lvlText w:val="%1"/>
      <w:numFmt w:val="decimal"/>
      <w:start w:val="74"/>
    </w:lvl>
  </w:abstractNum>
  <w:abstractNum w:abstractNumId="89">
    <w:nsid w:val="2157F6BC"/>
    <w:multiLevelType w:val="hybridMultilevel"/>
    <w:lvl w:ilvl="0">
      <w:lvlJc w:val="left"/>
      <w:lvlText w:val="%1"/>
      <w:numFmt w:val="decimal"/>
      <w:start w:val="75"/>
    </w:lvl>
  </w:abstractNum>
  <w:abstractNum w:abstractNumId="90">
    <w:nsid w:val="704E1DD5"/>
    <w:multiLevelType w:val="hybridMultilevel"/>
    <w:lvl w:ilvl="0">
      <w:lvlJc w:val="left"/>
      <w:lvlText w:val="%1"/>
      <w:numFmt w:val="decimal"/>
      <w:start w:val="76"/>
    </w:lvl>
  </w:abstractNum>
  <w:abstractNum w:abstractNumId="91">
    <w:nsid w:val="57D2F10E"/>
    <w:multiLevelType w:val="hybridMultilevel"/>
    <w:lvl w:ilvl="0">
      <w:lvlJc w:val="left"/>
      <w:lvlText w:val="%1"/>
      <w:numFmt w:val="decimal"/>
      <w:start w:val="78"/>
    </w:lvl>
  </w:abstractNum>
  <w:abstractNum w:abstractNumId="92">
    <w:nsid w:val="BFFAE18"/>
    <w:multiLevelType w:val="hybridMultilevel"/>
    <w:lvl w:ilvl="0">
      <w:lvlJc w:val="left"/>
      <w:lvlText w:val="%1"/>
      <w:numFmt w:val="decimal"/>
      <w:start w:val="79"/>
    </w:lvl>
  </w:abstractNum>
  <w:abstractNum w:abstractNumId="93">
    <w:nsid w:val="E3E47A8"/>
    <w:multiLevelType w:val="hybridMultilevel"/>
    <w:lvl w:ilvl="0">
      <w:lvlJc w:val="left"/>
      <w:lvlText w:val="%1"/>
      <w:numFmt w:val="decimal"/>
      <w:start w:val="80"/>
    </w:lvl>
  </w:abstractNum>
  <w:abstractNum w:abstractNumId="94">
    <w:nsid w:val="2E48F044"/>
    <w:multiLevelType w:val="hybridMultilevel"/>
    <w:lvl w:ilvl="0">
      <w:lvlJc w:val="left"/>
      <w:lvlText w:val="%1"/>
      <w:numFmt w:val="decimal"/>
      <w:start w:val="81"/>
    </w:lvl>
  </w:abstractNum>
  <w:abstractNum w:abstractNumId="95">
    <w:nsid w:val="49D0FEAC"/>
    <w:multiLevelType w:val="hybridMultilevel"/>
    <w:lvl w:ilvl="0">
      <w:lvlJc w:val="left"/>
      <w:lvlText w:val="%1"/>
      <w:numFmt w:val="decimal"/>
      <w:start w:val="82"/>
    </w:lvl>
  </w:abstractNum>
  <w:abstractNum w:abstractNumId="96">
    <w:nsid w:val="4BEE5A5B"/>
    <w:multiLevelType w:val="hybridMultilevel"/>
    <w:lvl w:ilvl="0">
      <w:lvlJc w:val="left"/>
      <w:lvlText w:val="%1"/>
      <w:numFmt w:val="decimal"/>
      <w:start w:val="83"/>
    </w:lvl>
  </w:abstractNum>
  <w:abstractNum w:abstractNumId="97">
    <w:nsid w:val="5551B9F3"/>
    <w:multiLevelType w:val="hybridMultilevel"/>
    <w:lvl w:ilvl="0">
      <w:lvlJc w:val="left"/>
      <w:lvlText w:val="%1"/>
      <w:numFmt w:val="decimal"/>
      <w:start w:val="84"/>
    </w:lvl>
  </w:abstractNum>
  <w:abstractNum w:abstractNumId="98">
    <w:nsid w:val="24F6AB8E"/>
    <w:multiLevelType w:val="hybridMultilevel"/>
    <w:lvl w:ilvl="0">
      <w:lvlJc w:val="left"/>
      <w:lvlText w:val="%1"/>
      <w:numFmt w:val="decimal"/>
      <w:start w:val="85"/>
    </w:lvl>
  </w:abstractNum>
  <w:abstractNum w:abstractNumId="99">
    <w:nsid w:val="634C574C"/>
    <w:multiLevelType w:val="hybridMultilevel"/>
    <w:lvl w:ilvl="0">
      <w:lvlJc w:val="left"/>
      <w:lvlText w:val="%1"/>
      <w:numFmt w:val="decimal"/>
      <w:start w:val="86"/>
    </w:lvl>
  </w:abstractNum>
  <w:abstractNum w:abstractNumId="100">
    <w:nsid w:val="24E99DD7"/>
    <w:multiLevelType w:val="hybridMultilevel"/>
    <w:lvl w:ilvl="0">
      <w:lvlJc w:val="left"/>
      <w:lvlText w:val="%1"/>
      <w:numFmt w:val="decimal"/>
      <w:start w:val="87"/>
    </w:lvl>
  </w:abstractNum>
  <w:abstractNum w:abstractNumId="101">
    <w:nsid w:val="2A31B62D"/>
    <w:multiLevelType w:val="hybridMultilevel"/>
    <w:lvl w:ilvl="0">
      <w:lvlJc w:val="left"/>
      <w:lvlText w:val="%1"/>
      <w:numFmt w:val="decimal"/>
      <w:start w:val="88"/>
    </w:lvl>
  </w:abstractNum>
  <w:abstractNum w:abstractNumId="102">
    <w:nsid w:val="1849C29B"/>
    <w:multiLevelType w:val="hybridMultilevel"/>
    <w:lvl w:ilvl="0">
      <w:lvlJc w:val="left"/>
      <w:lvlText w:val="%1"/>
      <w:numFmt w:val="decimal"/>
      <w:start w:val="89"/>
    </w:lvl>
  </w:abstractNum>
  <w:abstractNum w:abstractNumId="103">
    <w:nsid w:val="7DFF9D09"/>
    <w:multiLevelType w:val="hybridMultilevel"/>
    <w:lvl w:ilvl="0">
      <w:lvlJc w:val="left"/>
      <w:lvlText w:val="%1"/>
      <w:numFmt w:val="decimal"/>
      <w:start w:val="90"/>
    </w:lvl>
  </w:abstractNum>
  <w:abstractNum w:abstractNumId="104">
    <w:nsid w:val="754342"/>
    <w:multiLevelType w:val="hybridMultilevel"/>
    <w:lvl w:ilvl="0">
      <w:lvlJc w:val="left"/>
      <w:lvlText w:val="(%1)"/>
      <w:numFmt w:val="decimal"/>
      <w:start w:val="1"/>
    </w:lvl>
  </w:abstractNum>
  <w:abstractNum w:abstractNumId="105">
    <w:nsid w:val="69E7F3E5"/>
    <w:multiLevelType w:val="hybridMultilevel"/>
    <w:lvl w:ilvl="0">
      <w:lvlJc w:val="left"/>
      <w:lvlText w:val="(%1)"/>
      <w:numFmt w:val="decimal"/>
      <w:start w:val="2"/>
    </w:lvl>
  </w:abstractNum>
  <w:abstractNum w:abstractNumId="106">
    <w:nsid w:val="2A6DE806"/>
    <w:multiLevelType w:val="hybridMultilevel"/>
    <w:lvl w:ilvl="0">
      <w:lvlJc w:val="left"/>
      <w:lvlText w:val="%1"/>
      <w:numFmt w:val="decimal"/>
      <w:start w:val="91"/>
    </w:lvl>
  </w:abstractNum>
  <w:abstractNum w:abstractNumId="107">
    <w:nsid w:val="1816F8C4"/>
    <w:multiLevelType w:val="hybridMultilevel"/>
    <w:lvl w:ilvl="0">
      <w:lvlJc w:val="left"/>
      <w:lvlText w:val="(%1)"/>
      <w:numFmt w:val="decimal"/>
      <w:start w:val="5"/>
    </w:lvl>
  </w:abstractNum>
  <w:abstractNum w:abstractNumId="108">
    <w:nsid w:val="37DF2233"/>
    <w:multiLevelType w:val="hybridMultilevel"/>
    <w:lvl w:ilvl="0">
      <w:lvlJc w:val="left"/>
      <w:lvlText w:val="%1"/>
      <w:numFmt w:val="decimal"/>
      <w:start w:val="92"/>
    </w:lvl>
  </w:abstractNum>
  <w:abstractNum w:abstractNumId="109">
    <w:nsid w:val="7AB49DAF"/>
    <w:multiLevelType w:val="hybridMultilevel"/>
    <w:lvl w:ilvl="0">
      <w:lvlJc w:val="left"/>
      <w:lvlText w:val="(%1)"/>
      <w:numFmt w:val="decimal"/>
      <w:start w:val="1"/>
    </w:lvl>
  </w:abstractNum>
  <w:abstractNum w:abstractNumId="110">
    <w:nsid w:val="759F82CD"/>
    <w:multiLevelType w:val="hybridMultilevel"/>
    <w:lvl w:ilvl="0">
      <w:lvlJc w:val="left"/>
      <w:lvlText w:val="%1"/>
      <w:numFmt w:val="decimal"/>
      <w:start w:val="93"/>
    </w:lvl>
  </w:abstractNum>
  <w:abstractNum w:abstractNumId="111">
    <w:nsid w:val="61E74EA3"/>
    <w:multiLevelType w:val="hybridMultilevel"/>
    <w:lvl w:ilvl="0">
      <w:lvlJc w:val="left"/>
      <w:lvlText w:val="(%1)"/>
      <w:numFmt w:val="decimal"/>
      <w:start w:val="1"/>
    </w:lvl>
  </w:abstractNum>
  <w:abstractNum w:abstractNumId="112">
    <w:nsid w:val="597B4D84"/>
    <w:multiLevelType w:val="hybridMultilevel"/>
    <w:lvl w:ilvl="0">
      <w:lvlJc w:val="left"/>
      <w:lvlText w:val="%1"/>
      <w:numFmt w:val="decimal"/>
      <w:start w:val="94"/>
    </w:lvl>
  </w:abstractNum>
  <w:abstractNum w:abstractNumId="113">
    <w:nsid w:val="F819E7F"/>
    <w:multiLevelType w:val="hybridMultilevel"/>
    <w:lvl w:ilvl="0">
      <w:lvlJc w:val="left"/>
      <w:lvlText w:val="%1"/>
      <w:numFmt w:val="decimal"/>
      <w:start w:val="95"/>
    </w:lvl>
  </w:abstractNum>
  <w:abstractNum w:abstractNumId="114">
    <w:nsid w:val="57C7D42D"/>
    <w:multiLevelType w:val="hybridMultilevel"/>
    <w:lvl w:ilvl="0">
      <w:lvlJc w:val="left"/>
      <w:lvlText w:val="(%1)"/>
      <w:numFmt w:val="decimal"/>
      <w:start w:val="1"/>
    </w:lvl>
    <w:lvl w:ilvl="1">
      <w:lvlJc w:val="left"/>
      <w:lvlText w:val="\endash "/>
      <w:numFmt w:val="bullet"/>
      <w:start w:val="1"/>
    </w:lvl>
  </w:abstractNum>
  <w:abstractNum w:abstractNumId="115">
    <w:nsid w:val="312167AD"/>
    <w:multiLevelType w:val="hybridMultilevel"/>
    <w:lvl w:ilvl="0">
      <w:lvlJc w:val="left"/>
      <w:lvlText w:val="%1"/>
      <w:numFmt w:val="decimal"/>
      <w:start w:val="96"/>
    </w:lvl>
  </w:abstractNum>
  <w:abstractNum w:abstractNumId="116">
    <w:nsid w:val="631B64D4"/>
    <w:multiLevelType w:val="hybridMultilevel"/>
    <w:lvl w:ilvl="0">
      <w:lvlJc w:val="left"/>
      <w:lvlText w:val="(%1)"/>
      <w:numFmt w:val="lowerLetter"/>
      <w:start w:val="1"/>
    </w:lvl>
    <w:lvl w:ilvl="1">
      <w:lvlJc w:val="left"/>
      <w:lvlText w:val="%2."/>
      <w:numFmt w:val="lowerRoman"/>
      <w:start w:val="1"/>
    </w:lvl>
  </w:abstractNum>
  <w:abstractNum w:abstractNumId="117">
    <w:nsid w:val="78B5E776"/>
    <w:multiLevelType w:val="hybridMultilevel"/>
    <w:lvl w:ilvl="0">
      <w:lvlJc w:val="left"/>
      <w:lvlText w:val="%1"/>
      <w:numFmt w:val="decimal"/>
      <w:start w:val="97"/>
    </w:lvl>
  </w:abstractNum>
  <w:abstractNum w:abstractNumId="118">
    <w:nsid w:val="75486E47"/>
    <w:multiLevelType w:val="hybridMultilevel"/>
    <w:lvl w:ilvl="0">
      <w:lvlJc w:val="left"/>
      <w:lvlText w:val="(%1)"/>
      <w:numFmt w:val="decimal"/>
      <w:start w:val="1"/>
    </w:lvl>
  </w:abstractNum>
  <w:abstractNum w:abstractNumId="119">
    <w:nsid w:val="6E534CDE"/>
    <w:multiLevelType w:val="hybridMultilevel"/>
    <w:lvl w:ilvl="0">
      <w:lvlJc w:val="left"/>
      <w:lvlText w:val="%1"/>
      <w:numFmt w:val="decimal"/>
      <w:start w:val="98"/>
    </w:lvl>
  </w:abstractNum>
  <w:abstractNum w:abstractNumId="120">
    <w:nsid w:val="1A0DDE32"/>
    <w:multiLevelType w:val="hybridMultilevel"/>
    <w:lvl w:ilvl="0">
      <w:lvlJc w:val="left"/>
      <w:lvlText w:val="(%1)"/>
      <w:numFmt w:val="decimal"/>
      <w:start w:val="1"/>
    </w:lvl>
  </w:abstractNum>
  <w:abstractNum w:abstractNumId="121">
    <w:nsid w:val="65968C1C"/>
    <w:multiLevelType w:val="hybridMultilevel"/>
    <w:lvl w:ilvl="0">
      <w:lvlJc w:val="left"/>
      <w:lvlText w:val="%1"/>
      <w:numFmt w:val="decimal"/>
      <w:start w:val="99"/>
    </w:lvl>
  </w:abstractNum>
  <w:abstractNum w:abstractNumId="122">
    <w:nsid w:val="46263DEC"/>
    <w:multiLevelType w:val="hybridMultilevel"/>
    <w:lvl w:ilvl="0">
      <w:lvlJc w:val="left"/>
      <w:lvlText w:val="(%1)"/>
      <w:numFmt w:val="decimal"/>
      <w:start w:val="1"/>
    </w:lvl>
  </w:abstractNum>
  <w:abstractNum w:abstractNumId="123">
    <w:nsid w:val="260D8C4A"/>
    <w:multiLevelType w:val="hybridMultilevel"/>
    <w:lvl w:ilvl="0">
      <w:lvlJc w:val="left"/>
      <w:lvlText w:val="%1"/>
      <w:numFmt w:val="decimal"/>
      <w:start w:val="100"/>
    </w:lvl>
  </w:abstractNum>
  <w:abstractNum w:abstractNumId="124">
    <w:nsid w:val="73D4D3C4"/>
    <w:multiLevelType w:val="hybridMultilevel"/>
    <w:lvl w:ilvl="0">
      <w:lvlJc w:val="left"/>
      <w:lvlText w:val="(%1)"/>
      <w:numFmt w:val="decimal"/>
      <w:start w:val="1"/>
    </w:lvl>
  </w:abstractNum>
  <w:abstractNum w:abstractNumId="125">
    <w:nsid w:val="746F2E30"/>
    <w:multiLevelType w:val="hybridMultilevel"/>
    <w:lvl w:ilvl="0">
      <w:lvlJc w:val="left"/>
      <w:lvlText w:val="%1"/>
      <w:numFmt w:val="decimal"/>
      <w:start w:val="101"/>
    </w:lvl>
  </w:abstractNum>
  <w:abstractNum w:abstractNumId="126">
    <w:nsid w:val="6FDE8AF6"/>
    <w:multiLevelType w:val="hybridMultilevel"/>
    <w:lvl w:ilvl="0">
      <w:lvlJc w:val="left"/>
      <w:lvlText w:val="%1"/>
      <w:numFmt w:val="decimal"/>
      <w:start w:val="102"/>
    </w:lvl>
  </w:abstractNum>
  <w:abstractNum w:abstractNumId="127">
    <w:nsid w:val="3FC32E20"/>
    <w:multiLevelType w:val="hybridMultilevel"/>
    <w:lvl w:ilvl="0">
      <w:lvlJc w:val="left"/>
      <w:lvlText w:val="%1"/>
      <w:numFmt w:val="decimal"/>
      <w:start w:val="103"/>
    </w:lvl>
  </w:abstractNum>
  <w:abstractNum w:abstractNumId="128">
    <w:nsid w:val="49C0E823"/>
    <w:multiLevelType w:val="hybridMultilevel"/>
    <w:lvl w:ilvl="0">
      <w:lvlJc w:val="left"/>
      <w:lvlText w:val="%1"/>
      <w:numFmt w:val="decimal"/>
      <w:start w:val="104"/>
    </w:lvl>
  </w:abstractNum>
  <w:abstractNum w:abstractNumId="129">
    <w:nsid w:val="14D53685"/>
    <w:multiLevelType w:val="hybridMultilevel"/>
    <w:lvl w:ilvl="0">
      <w:lvlJc w:val="left"/>
      <w:lvlText w:val="(%1)"/>
      <w:numFmt w:val="decimal"/>
      <w:start w:val="1"/>
    </w:lvl>
  </w:abstractNum>
  <w:abstractNum w:abstractNumId="130">
    <w:nsid w:val="230F856C"/>
    <w:multiLevelType w:val="hybridMultilevel"/>
    <w:lvl w:ilvl="0">
      <w:lvlJc w:val="left"/>
      <w:lvlText w:val="(%1)"/>
      <w:numFmt w:val="decimal"/>
      <w:start w:val="4"/>
    </w:lvl>
  </w:abstractNum>
  <w:abstractNum w:abstractNumId="131">
    <w:nsid w:val="6EAA85FB"/>
    <w:multiLevelType w:val="hybridMultilevel"/>
    <w:lvl w:ilvl="0">
      <w:lvlJc w:val="left"/>
      <w:lvlText w:val="%1"/>
      <w:numFmt w:val="decimal"/>
      <w:start w:val="105"/>
    </w:lvl>
  </w:abstractNum>
  <w:abstractNum w:abstractNumId="132">
    <w:nsid w:val="3F06ECB2"/>
    <w:multiLevelType w:val="hybridMultilevel"/>
    <w:lvl w:ilvl="0">
      <w:lvlJc w:val="left"/>
      <w:lvlText w:val="(%1)"/>
      <w:numFmt w:val="decimal"/>
      <w:start w:val="1"/>
    </w:lvl>
  </w:abstractNum>
  <w:abstractNum w:abstractNumId="133">
    <w:nsid w:val="3B594807"/>
    <w:multiLevelType w:val="hybridMultilevel"/>
    <w:lvl w:ilvl="0">
      <w:lvlJc w:val="left"/>
      <w:lvlText w:val="%1"/>
      <w:numFmt w:val="decimal"/>
      <w:start w:val="106"/>
    </w:lvl>
  </w:abstractNum>
  <w:abstractNum w:abstractNumId="134">
    <w:nsid w:val="6CAA2304"/>
    <w:multiLevelType w:val="hybridMultilevel"/>
    <w:lvl w:ilvl="0">
      <w:lvlJc w:val="left"/>
      <w:lvlText w:val="%1"/>
      <w:numFmt w:val="decimal"/>
      <w:start w:val="107"/>
    </w:lvl>
  </w:abstractNum>
  <w:abstractNum w:abstractNumId="135">
    <w:nsid w:val="3F7C2FF4"/>
    <w:multiLevelType w:val="hybridMultilevel"/>
    <w:lvl w:ilvl="0">
      <w:lvlJc w:val="left"/>
      <w:lvlText w:val="%1"/>
      <w:numFmt w:val="decimal"/>
      <w:start w:val="108"/>
    </w:lvl>
  </w:abstractNum>
  <w:abstractNum w:abstractNumId="136">
    <w:nsid w:val="25413BEC"/>
    <w:multiLevelType w:val="hybridMultilevel"/>
    <w:lvl w:ilvl="0">
      <w:lvlJc w:val="left"/>
      <w:lvlText w:val="1"/>
      <w:numFmt w:val="bullet"/>
      <w:start w:val="1"/>
    </w:lvl>
  </w:abstractNum>
  <w:abstractNum w:abstractNumId="137">
    <w:nsid w:val="17180B0B"/>
    <w:multiLevelType w:val="hybridMultilevel"/>
    <w:lvl w:ilvl="0">
      <w:lvlJc w:val="left"/>
      <w:lvlText w:val="2"/>
      <w:numFmt w:val="bullet"/>
      <w:start w:val="1"/>
    </w:lvl>
  </w:abstractNum>
  <w:abstractNum w:abstractNumId="138">
    <w:nsid w:val="579328B9"/>
    <w:multiLevelType w:val="hybridMultilevel"/>
    <w:lvl w:ilvl="0">
      <w:lvlJc w:val="left"/>
      <w:lvlText w:val="%1"/>
      <w:numFmt w:val="decimal"/>
      <w:start w:val="109"/>
    </w:lvl>
  </w:abstractNum>
  <w:abstractNum w:abstractNumId="139">
    <w:nsid w:val="5D205E20"/>
    <w:multiLevelType w:val="hybridMultilevel"/>
    <w:lvl w:ilvl="0">
      <w:lvlJc w:val="left"/>
      <w:lvlText w:val="%1"/>
      <w:numFmt w:val="decimal"/>
      <w:start w:val="110"/>
    </w:lvl>
  </w:abstractNum>
  <w:abstractNum w:abstractNumId="140">
    <w:nsid w:val="11CCA8BA"/>
    <w:multiLevelType w:val="hybridMultilevel"/>
    <w:lvl w:ilvl="0">
      <w:lvlJc w:val="left"/>
      <w:lvlText w:val="%1"/>
      <w:numFmt w:val="decimal"/>
      <w:start w:val="111"/>
    </w:lvl>
  </w:abstractNum>
  <w:abstractNum w:abstractNumId="141">
    <w:nsid w:val="4D32AB86"/>
    <w:multiLevelType w:val="hybridMultilevel"/>
    <w:lvl w:ilvl="0">
      <w:lvlJc w:val="left"/>
      <w:lvlText w:val="%1"/>
      <w:numFmt w:val="decimal"/>
      <w:start w:val="112"/>
    </w:lvl>
  </w:abstractNum>
  <w:abstractNum w:abstractNumId="142">
    <w:nsid w:val="3F07ACC3"/>
    <w:multiLevelType w:val="hybridMultilevel"/>
    <w:lvl w:ilvl="0">
      <w:lvlJc w:val="left"/>
      <w:lvlText w:val="%1"/>
      <w:numFmt w:val="decimal"/>
      <w:start w:val="113"/>
    </w:lvl>
  </w:abstractNum>
  <w:abstractNum w:abstractNumId="143">
    <w:nsid w:val="6B47F63E"/>
    <w:multiLevelType w:val="hybridMultilevel"/>
    <w:lvl w:ilvl="0">
      <w:lvlJc w:val="left"/>
      <w:lvlText w:val="%1"/>
      <w:numFmt w:val="decimal"/>
      <w:start w:val="114"/>
    </w:lvl>
  </w:abstractNum>
  <w:abstractNum w:abstractNumId="144">
    <w:nsid w:val="5CB44A05"/>
    <w:multiLevelType w:val="hybridMultilevel"/>
    <w:lvl w:ilvl="0">
      <w:lvlJc w:val="left"/>
      <w:lvlText w:val="%1"/>
      <w:numFmt w:val="decimal"/>
      <w:start w:val="115"/>
    </w:lvl>
  </w:abstractNum>
  <w:abstractNum w:abstractNumId="145">
    <w:nsid w:val="16CF80F1"/>
    <w:multiLevelType w:val="hybridMultilevel"/>
    <w:lvl w:ilvl="0">
      <w:lvlJc w:val="left"/>
      <w:lvlText w:val="%1"/>
      <w:numFmt w:val="decimal"/>
      <w:start w:val="116"/>
    </w:lvl>
  </w:abstractNum>
  <w:abstractNum w:abstractNumId="146">
    <w:nsid w:val="1C695DEC"/>
    <w:multiLevelType w:val="hybridMultilevel"/>
    <w:lvl w:ilvl="0">
      <w:lvlJc w:val="left"/>
      <w:lvlText w:val="%1"/>
      <w:numFmt w:val="decimal"/>
      <w:start w:val="117"/>
    </w:lvl>
  </w:abstractNum>
  <w:abstractNum w:abstractNumId="147">
    <w:nsid w:val="3FCFAED9"/>
    <w:multiLevelType w:val="hybridMultilevel"/>
    <w:lvl w:ilvl="0">
      <w:lvlJc w:val="left"/>
      <w:lvlText w:val="%1"/>
      <w:numFmt w:val="decimal"/>
      <w:start w:val="118"/>
    </w:lvl>
  </w:abstractNum>
  <w:abstractNum w:abstractNumId="148">
    <w:nsid w:val="F856867"/>
    <w:multiLevelType w:val="hybridMultilevel"/>
    <w:lvl w:ilvl="0">
      <w:lvlJc w:val="left"/>
      <w:lvlText w:val="%1"/>
      <w:numFmt w:val="decimal"/>
      <w:start w:val="119"/>
    </w:lvl>
  </w:abstractNum>
  <w:abstractNum w:abstractNumId="149">
    <w:nsid w:val="11B1CC33"/>
    <w:multiLevelType w:val="hybridMultilevel"/>
    <w:lvl w:ilvl="0">
      <w:lvlJc w:val="left"/>
      <w:lvlText w:val="%1"/>
      <w:numFmt w:val="decimal"/>
      <w:start w:val="120"/>
    </w:lvl>
  </w:abstractNum>
  <w:abstractNum w:abstractNumId="150">
    <w:nsid w:val="2E22FBB7"/>
    <w:multiLevelType w:val="hybridMultilevel"/>
    <w:lvl w:ilvl="0">
      <w:lvlJc w:val="left"/>
      <w:lvlText w:val="%1"/>
      <w:numFmt w:val="decimal"/>
      <w:start w:val="121"/>
    </w:lvl>
  </w:abstractNum>
  <w:abstractNum w:abstractNumId="151">
    <w:nsid w:val="29934699"/>
    <w:multiLevelType w:val="hybridMultilevel"/>
    <w:lvl w:ilvl="0">
      <w:lvlJc w:val="left"/>
      <w:lvlText w:val="%1"/>
      <w:numFmt w:val="decimal"/>
      <w:start w:val="122"/>
    </w:lvl>
  </w:abstractNum>
  <w:abstractNum w:abstractNumId="152">
    <w:nsid w:val="77485850"/>
    <w:multiLevelType w:val="hybridMultilevel"/>
    <w:lvl w:ilvl="0">
      <w:lvlJc w:val="left"/>
      <w:lvlText w:val="%1"/>
      <w:numFmt w:val="decimal"/>
      <w:start w:val="123"/>
    </w:lvl>
  </w:abstractNum>
  <w:abstractNum w:abstractNumId="153">
    <w:nsid w:val="744939A3"/>
    <w:multiLevelType w:val="hybridMultilevel"/>
    <w:lvl w:ilvl="0">
      <w:lvlJc w:val="left"/>
      <w:lvlText w:val="%1"/>
      <w:numFmt w:val="decimal"/>
      <w:start w:val="124"/>
    </w:lvl>
  </w:abstractNum>
  <w:abstractNum w:abstractNumId="154">
    <w:nsid w:val="4FA0D2E3"/>
    <w:multiLevelType w:val="hybridMultilevel"/>
    <w:lvl w:ilvl="0">
      <w:lvlJc w:val="left"/>
      <w:lvlText w:val="%1"/>
      <w:numFmt w:val="decimal"/>
      <w:start w:val="125"/>
    </w:lvl>
  </w:abstractNum>
  <w:abstractNum w:abstractNumId="155">
    <w:nsid w:val="6B1D2C14"/>
    <w:multiLevelType w:val="hybridMultilevel"/>
    <w:lvl w:ilvl="0">
      <w:lvlJc w:val="left"/>
      <w:lvlText w:val="%1"/>
      <w:numFmt w:val="decimal"/>
      <w:start w:val="126"/>
    </w:lvl>
  </w:abstractNum>
  <w:abstractNum w:abstractNumId="156">
    <w:nsid w:val="68B867D3"/>
    <w:multiLevelType w:val="hybridMultilevel"/>
    <w:lvl w:ilvl="0">
      <w:lvlJc w:val="left"/>
      <w:lvlText w:val="%1"/>
      <w:numFmt w:val="decimal"/>
      <w:start w:val="127"/>
    </w:lvl>
  </w:abstractNum>
  <w:abstractNum w:abstractNumId="157">
    <w:nsid w:val="3F7F5DD9"/>
    <w:multiLevelType w:val="hybridMultilevel"/>
    <w:lvl w:ilvl="0">
      <w:lvlJc w:val="left"/>
      <w:lvlText w:val="%1"/>
      <w:numFmt w:val="decimal"/>
      <w:start w:val="128"/>
    </w:lvl>
  </w:abstractNum>
  <w:abstractNum w:abstractNumId="158">
    <w:nsid w:val="2AE05A34"/>
    <w:multiLevelType w:val="hybridMultilevel"/>
    <w:lvl w:ilvl="0">
      <w:lvlJc w:val="left"/>
      <w:lvlText w:val="%1"/>
      <w:numFmt w:val="decimal"/>
      <w:start w:val="129"/>
    </w:lvl>
  </w:abstractNum>
  <w:abstractNum w:abstractNumId="159">
    <w:nsid w:val="32794FF7"/>
    <w:multiLevelType w:val="hybridMultilevel"/>
    <w:lvl w:ilvl="0">
      <w:lvlJc w:val="left"/>
      <w:lvlText w:val="%1"/>
      <w:numFmt w:val="decimal"/>
      <w:start w:val="130"/>
    </w:lvl>
  </w:abstractNum>
  <w:abstractNum w:abstractNumId="160">
    <w:nsid w:val="5454945E"/>
    <w:multiLevelType w:val="hybridMultilevel"/>
    <w:lvl w:ilvl="0">
      <w:lvlJc w:val="left"/>
      <w:lvlText w:val="(%1)"/>
      <w:numFmt w:val="lowerLetter"/>
      <w:start w:val="1"/>
    </w:lvl>
  </w:abstractNum>
  <w:abstractNum w:abstractNumId="161">
    <w:nsid w:val="4DEFDFA0"/>
    <w:multiLevelType w:val="hybridMultilevel"/>
    <w:lvl w:ilvl="0">
      <w:lvlJc w:val="left"/>
      <w:lvlText w:val="%1"/>
      <w:numFmt w:val="decimal"/>
      <w:start w:val="131"/>
    </w:lvl>
  </w:abstractNum>
  <w:abstractNum w:abstractNumId="162">
    <w:nsid w:val="2123D5F2"/>
    <w:multiLevelType w:val="hybridMultilevel"/>
    <w:lvl w:ilvl="0">
      <w:lvlJc w:val="left"/>
      <w:lvlText w:val="(%1)"/>
      <w:numFmt w:val="decimal"/>
      <w:start w:val="1"/>
    </w:lvl>
  </w:abstractNum>
  <w:abstractNum w:abstractNumId="163">
    <w:nsid w:val="135B8110"/>
    <w:multiLevelType w:val="hybridMultilevel"/>
    <w:lvl w:ilvl="0">
      <w:lvlJc w:val="left"/>
      <w:lvlText w:val="%1"/>
      <w:numFmt w:val="decimal"/>
      <w:start w:val="132"/>
    </w:lvl>
  </w:abstractNum>
  <w:abstractNum w:abstractNumId="164">
    <w:nsid w:val="94927A8"/>
    <w:multiLevelType w:val="hybridMultilevel"/>
    <w:lvl w:ilvl="0">
      <w:lvlJc w:val="left"/>
      <w:lvlText w:val="(%1)"/>
      <w:numFmt w:val="decimal"/>
      <w:start w:val="1"/>
    </w:lvl>
  </w:abstractNum>
  <w:abstractNum w:abstractNumId="165">
    <w:nsid w:val="DCDF8F6"/>
    <w:multiLevelType w:val="hybridMultilevel"/>
    <w:lvl w:ilvl="0">
      <w:lvlJc w:val="left"/>
      <w:lvlText w:val="%1"/>
      <w:numFmt w:val="decimal"/>
      <w:start w:val="133"/>
    </w:lvl>
  </w:abstractNum>
  <w:abstractNum w:abstractNumId="166">
    <w:nsid w:val="52D7B105"/>
    <w:multiLevelType w:val="hybridMultilevel"/>
    <w:lvl w:ilvl="0">
      <w:lvlJc w:val="left"/>
      <w:lvlText w:val="%1"/>
      <w:numFmt w:val="decimal"/>
      <w:start w:val="134"/>
    </w:lvl>
  </w:abstractNum>
  <w:abstractNum w:abstractNumId="167">
    <w:nsid w:val="2E8A6394"/>
    <w:multiLevelType w:val="hybridMultilevel"/>
    <w:lvl w:ilvl="0">
      <w:lvlJc w:val="left"/>
      <w:lvlText w:val="%1"/>
      <w:numFmt w:val="decimal"/>
      <w:start w:val="135"/>
    </w:lvl>
  </w:abstractNum>
  <w:abstractNum w:abstractNumId="168">
    <w:nsid w:val="24E60401"/>
    <w:multiLevelType w:val="hybridMultilevel"/>
    <w:lvl w:ilvl="0">
      <w:lvlJc w:val="left"/>
      <w:lvlText w:val="%1"/>
      <w:numFmt w:val="decimal"/>
      <w:start w:val="136"/>
    </w:lvl>
  </w:abstractNum>
  <w:abstractNum w:abstractNumId="169">
    <w:nsid w:val="2A6AD9BE"/>
    <w:multiLevelType w:val="hybridMultilevel"/>
    <w:lvl w:ilvl="0">
      <w:lvlJc w:val="left"/>
      <w:lvlText w:val="%1"/>
      <w:numFmt w:val="decimal"/>
      <w:start w:val="137"/>
    </w:lvl>
  </w:abstractNum>
  <w:abstractNum w:abstractNumId="170">
    <w:nsid w:val="BAAC1B4"/>
    <w:multiLevelType w:val="hybridMultilevel"/>
    <w:lvl w:ilvl="0">
      <w:lvlJc w:val="left"/>
      <w:lvlText w:val="%1"/>
      <w:numFmt w:val="decimal"/>
      <w:start w:val="138"/>
    </w:lvl>
  </w:abstractNum>
  <w:abstractNum w:abstractNumId="171">
    <w:nsid w:val="36B2ACBC"/>
    <w:multiLevelType w:val="hybridMultilevel"/>
    <w:lvl w:ilvl="0">
      <w:lvlJc w:val="left"/>
      <w:lvlText w:val="%1"/>
      <w:numFmt w:val="decimal"/>
      <w:start w:val="139"/>
    </w:lvl>
  </w:abstractNum>
  <w:abstractNum w:abstractNumId="172">
    <w:nsid w:val="779D8544"/>
    <w:multiLevelType w:val="hybridMultilevel"/>
    <w:lvl w:ilvl="0">
      <w:lvlJc w:val="left"/>
      <w:lvlText w:val="%1"/>
      <w:numFmt w:val="decimal"/>
      <w:start w:val="140"/>
    </w:lvl>
  </w:abstractNum>
  <w:abstractNum w:abstractNumId="173">
    <w:nsid w:val="4AB26E78"/>
    <w:multiLevelType w:val="hybridMultilevel"/>
    <w:lvl w:ilvl="0">
      <w:lvlJc w:val="left"/>
      <w:lvlText w:val="%1"/>
      <w:numFmt w:val="decimal"/>
      <w:start w:val="141"/>
    </w:lvl>
  </w:abstractNum>
  <w:abstractNum w:abstractNumId="174">
    <w:nsid w:val="21FAA2FA"/>
    <w:multiLevelType w:val="hybridMultilevel"/>
    <w:lvl w:ilvl="0">
      <w:lvlJc w:val="left"/>
      <w:lvlText w:val="%1"/>
      <w:numFmt w:val="decimal"/>
      <w:start w:val="142"/>
    </w:lvl>
  </w:abstractNum>
  <w:abstractNum w:abstractNumId="175">
    <w:nsid w:val="5451CF49"/>
    <w:multiLevelType w:val="hybridMultilevel"/>
    <w:lvl w:ilvl="0">
      <w:lvlJc w:val="left"/>
      <w:lvlText w:val="%1"/>
      <w:numFmt w:val="decimal"/>
      <w:start w:val="143"/>
    </w:lvl>
  </w:abstractNum>
  <w:abstractNum w:abstractNumId="176">
    <w:nsid w:val="6181EF69"/>
    <w:multiLevelType w:val="hybridMultilevel"/>
    <w:lvl w:ilvl="0">
      <w:lvlJc w:val="left"/>
      <w:lvlText w:val="%1"/>
      <w:numFmt w:val="decimal"/>
      <w:start w:val="14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jpe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jpe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jpe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jpeg"/><Relationship Id="rId595" Type="http://schemas.openxmlformats.org/officeDocument/2006/relationships/image" Target="media/image588.jpeg"/><Relationship Id="rId596" Type="http://schemas.openxmlformats.org/officeDocument/2006/relationships/image" Target="media/image589.jpeg"/><Relationship Id="rId597" Type="http://schemas.openxmlformats.org/officeDocument/2006/relationships/image" Target="media/image590.jpe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jpe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jpe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2020-03-13T15:08:22Z</dcterms:created>
  <dcterms:modified xsi:type="dcterms:W3CDTF">2020-03-13T15:08:22Z</dcterms:modified>
</cp:coreProperties>
</file>