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25,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TechnipFMC plc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2"/>
              <w:spacing w:after="0"/>
              <w:rPr>
                <w:sz w:val="20"/>
                <w:szCs w:val="20"/>
                <w:color w:val="auto"/>
              </w:rPr>
            </w:pPr>
            <w:r>
              <w:rPr>
                <w:rFonts w:ascii="Arial" w:cs="Arial" w:eastAsia="Arial" w:hAnsi="Arial"/>
                <w:sz w:val="18"/>
                <w:szCs w:val="18"/>
                <w:b w:val="1"/>
                <w:bCs w:val="1"/>
                <w:color w:val="auto"/>
                <w:w w:val="90"/>
              </w:rPr>
              <w:t>001-37983</w:t>
            </w:r>
          </w:p>
        </w:tc>
        <w:tc>
          <w:tcPr>
            <w:tcW w:w="2620" w:type="dxa"/>
            <w:vAlign w:val="bottom"/>
          </w:tcPr>
          <w:p>
            <w:pPr>
              <w:jc w:val="right"/>
              <w:ind w:right="519"/>
              <w:spacing w:after="0"/>
              <w:rPr>
                <w:sz w:val="20"/>
                <w:szCs w:val="20"/>
                <w:color w:val="auto"/>
              </w:rPr>
            </w:pPr>
            <w:r>
              <w:rPr>
                <w:rFonts w:ascii="Arial" w:cs="Arial" w:eastAsia="Arial" w:hAnsi="Arial"/>
                <w:sz w:val="18"/>
                <w:szCs w:val="18"/>
                <w:b w:val="1"/>
                <w:bCs w:val="1"/>
                <w:color w:val="auto"/>
              </w:rPr>
              <w:t>98-1283037</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(State or other jurisdiction of incorporation)</w:t>
            </w:r>
          </w:p>
        </w:tc>
        <w:tc>
          <w:tcPr>
            <w:tcW w:w="4500" w:type="dxa"/>
            <w:vAlign w:val="bottom"/>
          </w:tcPr>
          <w:p>
            <w:pPr>
              <w:jc w:val="center"/>
              <w:ind w:right="2"/>
              <w:spacing w:after="0"/>
              <w:rPr>
                <w:sz w:val="20"/>
                <w:szCs w:val="20"/>
                <w:color w:val="auto"/>
              </w:rPr>
            </w:pPr>
            <w:r>
              <w:rPr>
                <w:rFonts w:ascii="Arial" w:cs="Arial" w:eastAsia="Arial" w:hAnsi="Arial"/>
                <w:sz w:val="14"/>
                <w:szCs w:val="14"/>
                <w:color w:val="auto"/>
                <w:w w:val="94"/>
              </w:rPr>
              <w:t>(Commission File Number)</w:t>
            </w: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(I.R.S. Employer Identification No.)</w:t>
            </w:r>
          </w:p>
        </w:tc>
      </w:tr>
      <w:tr>
        <w:trPr>
          <w:trHeight w:val="588"/>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One St. Paul’s Churchyard</w:t>
            </w:r>
          </w:p>
        </w:tc>
        <w:tc>
          <w:tcPr>
            <w:tcW w:w="45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London, United Kingdom</w:t>
            </w:r>
          </w:p>
        </w:tc>
        <w:tc>
          <w:tcPr>
            <w:tcW w:w="4500" w:type="dxa"/>
            <w:vAlign w:val="bottom"/>
          </w:tcPr>
          <w:p>
            <w:pPr>
              <w:spacing w:after="0"/>
              <w:rPr>
                <w:sz w:val="20"/>
                <w:szCs w:val="20"/>
                <w:color w:val="auto"/>
              </w:rPr>
            </w:pPr>
          </w:p>
        </w:tc>
        <w:tc>
          <w:tcPr>
            <w:tcW w:w="2620" w:type="dxa"/>
            <w:vAlign w:val="bottom"/>
          </w:tcPr>
          <w:p>
            <w:pPr>
              <w:jc w:val="center"/>
              <w:ind w:left="459"/>
              <w:spacing w:after="0"/>
              <w:rPr>
                <w:sz w:val="20"/>
                <w:szCs w:val="20"/>
                <w:color w:val="auto"/>
              </w:rPr>
            </w:pPr>
            <w:r>
              <w:rPr>
                <w:rFonts w:ascii="Arial" w:cs="Arial" w:eastAsia="Arial" w:hAnsi="Arial"/>
                <w:sz w:val="18"/>
                <w:szCs w:val="18"/>
                <w:b w:val="1"/>
                <w:bCs w:val="1"/>
                <w:color w:val="auto"/>
                <w:w w:val="97"/>
              </w:rPr>
              <w:t>EC4M 8AP</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(Address of principal executive offices)</w:t>
            </w:r>
          </w:p>
        </w:tc>
        <w:tc>
          <w:tcPr>
            <w:tcW w:w="4500" w:type="dxa"/>
            <w:vAlign w:val="bottom"/>
          </w:tcPr>
          <w:p>
            <w:pPr>
              <w:spacing w:after="0"/>
              <w:rPr>
                <w:sz w:val="24"/>
                <w:szCs w:val="24"/>
                <w:color w:val="auto"/>
              </w:rPr>
            </w:pP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(Zip Code)</w:t>
            </w:r>
          </w:p>
        </w:tc>
      </w:tr>
      <w:tr>
        <w:trPr>
          <w:trHeight w:val="284"/>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+44 203-429-3950</w:t>
            </w:r>
          </w:p>
        </w:tc>
        <w:tc>
          <w:tcPr>
            <w:tcW w:w="2620" w:type="dxa"/>
            <w:vAlign w:val="bottom"/>
          </w:tcPr>
          <w:p>
            <w:pPr>
              <w:spacing w:after="0"/>
              <w:rPr>
                <w:sz w:val="24"/>
                <w:szCs w:val="24"/>
                <w:color w:val="auto"/>
              </w:rPr>
            </w:pPr>
          </w:p>
        </w:tc>
      </w:tr>
      <w:tr>
        <w:trPr>
          <w:trHeight w:val="203"/>
        </w:trPr>
        <w:tc>
          <w:tcPr>
            <w:tcW w:w="2940" w:type="dxa"/>
            <w:vAlign w:val="bottom"/>
          </w:tcPr>
          <w:p>
            <w:pPr>
              <w:spacing w:after="0"/>
              <w:rPr>
                <w:sz w:val="17"/>
                <w:szCs w:val="17"/>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color w:val="auto"/>
                <w:w w:val="92"/>
              </w:rPr>
              <w:t>(Registrant's telephone number, including area code)</w:t>
            </w:r>
          </w:p>
        </w:tc>
        <w:tc>
          <w:tcPr>
            <w:tcW w:w="2620" w:type="dxa"/>
            <w:vAlign w:val="bottom"/>
          </w:tcPr>
          <w:p>
            <w:pPr>
              <w:spacing w:after="0"/>
              <w:rPr>
                <w:sz w:val="17"/>
                <w:szCs w:val="17"/>
                <w:color w:val="auto"/>
              </w:rPr>
            </w:pPr>
          </w:p>
        </w:tc>
      </w:tr>
      <w:tr>
        <w:trPr>
          <w:trHeight w:val="358"/>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8"/>
                <w:szCs w:val="18"/>
                <w:b w:val="1"/>
                <w:bCs w:val="1"/>
                <w:color w:val="auto"/>
                <w:w w:val="92"/>
              </w:rPr>
              <w:t>Not Applicable</w:t>
            </w:r>
          </w:p>
        </w:tc>
        <w:tc>
          <w:tcPr>
            <w:tcW w:w="2620" w:type="dxa"/>
            <w:vAlign w:val="bottom"/>
          </w:tcPr>
          <w:p>
            <w:pPr>
              <w:spacing w:after="0"/>
              <w:rPr>
                <w:sz w:val="24"/>
                <w:szCs w:val="24"/>
                <w:color w:val="auto"/>
              </w:rPr>
            </w:pPr>
          </w:p>
        </w:tc>
      </w:tr>
      <w:tr>
        <w:trPr>
          <w:trHeight w:val="182"/>
        </w:trPr>
        <w:tc>
          <w:tcPr>
            <w:tcW w:w="2940" w:type="dxa"/>
            <w:vAlign w:val="bottom"/>
          </w:tcPr>
          <w:p>
            <w:pPr>
              <w:spacing w:after="0"/>
              <w:rPr>
                <w:sz w:val="15"/>
                <w:szCs w:val="15"/>
                <w:color w:val="auto"/>
              </w:rPr>
            </w:pPr>
          </w:p>
        </w:tc>
        <w:tc>
          <w:tcPr>
            <w:tcW w:w="4500" w:type="dxa"/>
            <w:vAlign w:val="bottom"/>
          </w:tcPr>
          <w:p>
            <w:pPr>
              <w:jc w:val="center"/>
              <w:ind w:right="42"/>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2620" w:type="dxa"/>
            <w:vAlign w:val="bottom"/>
          </w:tcPr>
          <w:p>
            <w:pPr>
              <w:spacing w:after="0"/>
              <w:rPr>
                <w:sz w:val="15"/>
                <w:szCs w:val="15"/>
                <w:color w:val="auto"/>
              </w:rPr>
            </w:pPr>
          </w:p>
        </w:tc>
      </w:tr>
    </w:tbl>
    <w:p>
      <w:pPr>
        <w:spacing w:after="0" w:line="20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210820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125095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00"/>
          </w:cols>
          <w:pgMar w:left="240" w:top="1179" w:right="2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25, 2017, TechnipFMC plc ("TechnipFMC") issued a news release announcing its financial results for the fiscal quarter ended September 30, 2017. A copy of the news release is furnished as Exhibit 99.1 to this report and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3"/>
        </w:trPr>
        <w:tc>
          <w:tcPr>
            <w:tcW w:w="13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344"/>
        </w:trPr>
        <w:tc>
          <w:tcPr>
            <w:tcW w:w="13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448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w w:val="89"/>
              </w:rPr>
              <w:t>News Release issued by TechnipFMC dated October 25, 2017</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31750</wp:posOffset>
            </wp:positionV>
            <wp:extent cx="337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Dated: October 25, 2017</w:t>
      </w:r>
      <w:r>
        <w:rPr>
          <w:sz w:val="20"/>
          <w:szCs w:val="20"/>
          <w:color w:val="auto"/>
        </w:rPr>
        <w:tab/>
      </w:r>
      <w:r>
        <w:rPr>
          <w:rFonts w:ascii="Arial" w:cs="Arial" w:eastAsia="Arial" w:hAnsi="Arial"/>
          <w:sz w:val="16"/>
          <w:szCs w:val="16"/>
          <w:color w:val="auto"/>
        </w:rPr>
        <w:t>Name: Maryann T. Mannen</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60" w:type="dxa"/>
            <w:vAlign w:val="bottom"/>
            <w:gridSpan w:val="2"/>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3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512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5120" w:type="dxa"/>
            <w:vAlign w:val="bottom"/>
            <w:gridSpan w:val="3"/>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News Release issued by TechnipFMC plc dated October 25, 2017</w:t>
              </w:r>
            </w:hyperlink>
          </w:p>
        </w:tc>
      </w:tr>
      <w:tr>
        <w:trPr>
          <w:trHeight w:val="20"/>
        </w:trPr>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0219"/>
          </w:cols>
          <w:pgMar w:left="240" w:top="580" w:right="1440"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828282"/>
        </w:rPr>
        <w:drawing>
          <wp:anchor simplePos="0" relativeHeight="251657728" behindDoc="1" locked="0" layoutInCell="0" allowOverlap="1">
            <wp:simplePos x="0" y="0"/>
            <wp:positionH relativeFrom="page">
              <wp:posOffset>157480</wp:posOffset>
            </wp:positionH>
            <wp:positionV relativeFrom="page">
              <wp:posOffset>243205</wp:posOffset>
            </wp:positionV>
            <wp:extent cx="264160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t>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Third Quarter 2017 Results</w:t>
      </w:r>
    </w:p>
    <w:p>
      <w:pPr>
        <w:spacing w:after="0" w:line="318" w:lineRule="exact"/>
        <w:rPr>
          <w:sz w:val="20"/>
          <w:szCs w:val="20"/>
          <w:color w:val="auto"/>
        </w:rPr>
      </w:pPr>
    </w:p>
    <w:p>
      <w:pPr>
        <w:ind w:left="780" w:hanging="124"/>
        <w:spacing w:after="0"/>
        <w:tabs>
          <w:tab w:leader="none" w:pos="78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Net income of $121 million and adjusted EBITDA of $536.2 million</w:t>
      </w:r>
    </w:p>
    <w:p>
      <w:pPr>
        <w:spacing w:after="0" w:line="161" w:lineRule="exact"/>
        <w:rPr>
          <w:rFonts w:ascii="Arial" w:cs="Arial" w:eastAsia="Arial" w:hAnsi="Arial"/>
          <w:sz w:val="20"/>
          <w:szCs w:val="20"/>
          <w:b w:val="1"/>
          <w:bCs w:val="1"/>
          <w:color w:val="auto"/>
        </w:rPr>
      </w:pPr>
    </w:p>
    <w:p>
      <w:pPr>
        <w:ind w:left="660" w:right="40" w:hanging="4"/>
        <w:spacing w:after="0" w:line="272" w:lineRule="auto"/>
        <w:tabs>
          <w:tab w:leader="none" w:pos="784"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Diluted earnings per share of $0.26; excluding charges and credits of $0.13 per share, adjusted diluted earnings per share of $0.39</w:t>
      </w:r>
    </w:p>
    <w:p>
      <w:pPr>
        <w:spacing w:after="0" w:line="99" w:lineRule="exact"/>
        <w:rPr>
          <w:rFonts w:ascii="Arial" w:cs="Arial" w:eastAsia="Arial" w:hAnsi="Arial"/>
          <w:sz w:val="20"/>
          <w:szCs w:val="20"/>
          <w:b w:val="1"/>
          <w:bCs w:val="1"/>
          <w:color w:val="auto"/>
        </w:rPr>
      </w:pPr>
    </w:p>
    <w:p>
      <w:pPr>
        <w:ind w:left="780" w:hanging="124"/>
        <w:spacing w:after="0"/>
        <w:tabs>
          <w:tab w:leader="none" w:pos="78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Inbound orders of $2.5 billion, including Subsea of $980 million and Onshore/Offshore of $1.2 billion</w:t>
      </w:r>
    </w:p>
    <w:p>
      <w:pPr>
        <w:spacing w:after="0" w:line="161" w:lineRule="exact"/>
        <w:rPr>
          <w:rFonts w:ascii="Arial" w:cs="Arial" w:eastAsia="Arial" w:hAnsi="Arial"/>
          <w:sz w:val="20"/>
          <w:szCs w:val="20"/>
          <w:b w:val="1"/>
          <w:bCs w:val="1"/>
          <w:color w:val="auto"/>
        </w:rPr>
      </w:pPr>
    </w:p>
    <w:p>
      <w:pPr>
        <w:ind w:left="780" w:hanging="124"/>
        <w:spacing w:after="0"/>
        <w:tabs>
          <w:tab w:leader="none" w:pos="78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2017 guidance updated; preliminary 2018 segment guidance initiated</w:t>
      </w:r>
    </w:p>
    <w:p>
      <w:pPr>
        <w:spacing w:after="0" w:line="161" w:lineRule="exact"/>
        <w:rPr>
          <w:rFonts w:ascii="Arial" w:cs="Arial" w:eastAsia="Arial" w:hAnsi="Arial"/>
          <w:sz w:val="20"/>
          <w:szCs w:val="20"/>
          <w:b w:val="1"/>
          <w:bCs w:val="1"/>
          <w:color w:val="auto"/>
        </w:rPr>
      </w:pPr>
    </w:p>
    <w:p>
      <w:pPr>
        <w:ind w:left="780" w:hanging="124"/>
        <w:spacing w:after="0"/>
        <w:tabs>
          <w:tab w:leader="none" w:pos="78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Board of Directors declared quarterly cash dividend of $0.13 per share</w:t>
      </w:r>
    </w:p>
    <w:p>
      <w:pPr>
        <w:spacing w:after="0" w:line="162" w:lineRule="exact"/>
        <w:rPr>
          <w:sz w:val="20"/>
          <w:szCs w:val="20"/>
          <w:color w:val="auto"/>
        </w:rPr>
      </w:pPr>
    </w:p>
    <w:p>
      <w:pPr>
        <w:ind w:right="240"/>
        <w:spacing w:after="0" w:line="272" w:lineRule="auto"/>
        <w:rPr>
          <w:sz w:val="20"/>
          <w:szCs w:val="20"/>
          <w:color w:val="auto"/>
        </w:rPr>
      </w:pPr>
      <w:r>
        <w:rPr>
          <w:rFonts w:ascii="Arial" w:cs="Arial" w:eastAsia="Arial" w:hAnsi="Arial"/>
          <w:sz w:val="20"/>
          <w:szCs w:val="20"/>
          <w:b w:val="1"/>
          <w:bCs w:val="1"/>
          <w:color w:val="auto"/>
        </w:rPr>
        <w:t xml:space="preserve">LONDON, PARIS, HOUSTON, October 25, 2017 </w:t>
      </w:r>
      <w:r>
        <w:rPr>
          <w:rFonts w:ascii="Arial" w:cs="Arial" w:eastAsia="Arial" w:hAnsi="Arial"/>
          <w:sz w:val="20"/>
          <w:szCs w:val="20"/>
          <w:color w:val="auto"/>
        </w:rPr>
        <w:t>- TechnipFMC plc (NYSE: FTI) (Paris: FTI) today reported third quarter 2017</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2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Total Company net income was $121 million. Total Company revenue of $4,140.9 million was down 17.8 percent from the same quarter in the prior year, with adjusted EBITDA margin declining 100 basis points. Adjusted EBITDA, which excludes charges and credits, was $536.2 million, a decrease of 23.3 percent from the prior year; adjusted EBITDA margin was 12.9 percent.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w:t>
      </w:r>
      <w:r>
        <w:rPr>
          <w:rFonts w:ascii="Arial" w:cs="Arial" w:eastAsia="Arial" w:hAnsi="Arial"/>
          <w:sz w:val="25"/>
          <w:szCs w:val="25"/>
          <w:b w:val="1"/>
          <w:bCs w:val="1"/>
          <w:color w:val="auto"/>
          <w:vertAlign w:val="superscript"/>
        </w:rPr>
        <w:t>1</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Reconciliation of U.S. GAAP to non-GAAP financial measures are detailed in financial schedules below.</w:t>
      </w:r>
    </w:p>
    <w:p>
      <w:pPr>
        <w:spacing w:after="0" w:line="138" w:lineRule="exact"/>
        <w:rPr>
          <w:sz w:val="20"/>
          <w:szCs w:val="20"/>
          <w:color w:val="auto"/>
        </w:rPr>
      </w:pPr>
    </w:p>
    <w:tbl>
      <w:tblPr>
        <w:tblLayout w:type="fixed"/>
        <w:tblInd w:w="510" w:type="dxa"/>
        <w:tblCellMar>
          <w:top w:w="0" w:type="dxa"/>
          <w:left w:w="0" w:type="dxa"/>
          <w:bottom w:w="0" w:type="dxa"/>
          <w:right w:w="0" w:type="dxa"/>
        </w:tblCellMar>
      </w:tblPr>
      <w:tr>
        <w:trPr>
          <w:trHeight w:val="189"/>
        </w:trPr>
        <w:tc>
          <w:tcPr>
            <w:tcW w:w="5300" w:type="dxa"/>
            <w:vAlign w:val="bottom"/>
            <w:tcBorders>
              <w:top w:val="single" w:sz="8" w:color="B8CCE4"/>
              <w:left w:val="single" w:sz="8" w:color="B8CCE4"/>
              <w:right w:val="single" w:sz="8" w:color="B8CCE4"/>
            </w:tcBorders>
          </w:tcPr>
          <w:p>
            <w:pPr>
              <w:spacing w:after="0"/>
              <w:rPr>
                <w:sz w:val="16"/>
                <w:szCs w:val="16"/>
                <w:color w:val="auto"/>
              </w:rPr>
            </w:pPr>
          </w:p>
        </w:tc>
        <w:tc>
          <w:tcPr>
            <w:tcW w:w="1760" w:type="dxa"/>
            <w:vAlign w:val="bottom"/>
            <w:tcBorders>
              <w:top w:val="single" w:sz="8" w:color="B8CCE4"/>
              <w:right w:val="single" w:sz="8" w:color="B8CCE4"/>
            </w:tcBorders>
            <w:vMerge w:val="restart"/>
          </w:tcPr>
          <w:p>
            <w:pPr>
              <w:jc w:val="right"/>
              <w:ind w:right="106"/>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top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300" w:type="dxa"/>
            <w:vAlign w:val="bottom"/>
            <w:tcBorders>
              <w:left w:val="single" w:sz="8" w:color="B8CCE4"/>
              <w:right w:val="single" w:sz="8" w:color="B8CCE4"/>
            </w:tcBorders>
          </w:tcPr>
          <w:p>
            <w:pPr>
              <w:spacing w:after="0"/>
              <w:rPr>
                <w:sz w:val="7"/>
                <w:szCs w:val="7"/>
                <w:color w:val="auto"/>
              </w:rPr>
            </w:pPr>
          </w:p>
        </w:tc>
        <w:tc>
          <w:tcPr>
            <w:tcW w:w="1760" w:type="dxa"/>
            <w:vAlign w:val="bottom"/>
            <w:tcBorders>
              <w:right w:val="single" w:sz="8" w:color="B8CCE4"/>
            </w:tcBorders>
            <w:vMerge w:val="continue"/>
          </w:tcPr>
          <w:p>
            <w:pPr>
              <w:spacing w:after="0"/>
              <w:rPr>
                <w:sz w:val="7"/>
                <w:szCs w:val="7"/>
                <w:color w:val="auto"/>
              </w:rPr>
            </w:pPr>
          </w:p>
        </w:tc>
        <w:tc>
          <w:tcPr>
            <w:tcW w:w="17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September 30, 2016 (Pro</w:t>
            </w:r>
          </w:p>
        </w:tc>
        <w:tc>
          <w:tcPr>
            <w:tcW w:w="166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30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760" w:type="dxa"/>
            <w:vAlign w:val="bottom"/>
            <w:tcBorders>
              <w:right w:val="single" w:sz="8" w:color="B8CCE4"/>
            </w:tcBorders>
            <w:vMerge w:val="restart"/>
          </w:tcPr>
          <w:p>
            <w:pPr>
              <w:jc w:val="right"/>
              <w:ind w:right="146"/>
              <w:spacing w:after="0"/>
              <w:rPr>
                <w:sz w:val="20"/>
                <w:szCs w:val="20"/>
                <w:color w:val="auto"/>
              </w:rPr>
            </w:pPr>
            <w:r>
              <w:rPr>
                <w:rFonts w:ascii="Arial" w:cs="Arial" w:eastAsia="Arial" w:hAnsi="Arial"/>
                <w:sz w:val="14"/>
                <w:szCs w:val="14"/>
                <w:b w:val="1"/>
                <w:bCs w:val="1"/>
                <w:color w:val="auto"/>
              </w:rPr>
              <w:t>September 30, 2017</w:t>
            </w:r>
          </w:p>
        </w:tc>
        <w:tc>
          <w:tcPr>
            <w:tcW w:w="1740" w:type="dxa"/>
            <w:vAlign w:val="bottom"/>
            <w:tcBorders>
              <w:right w:val="single" w:sz="8" w:color="B8CCE4"/>
            </w:tcBorders>
            <w:vMerge w:val="continue"/>
          </w:tcPr>
          <w:p>
            <w:pPr>
              <w:spacing w:after="0"/>
              <w:rPr>
                <w:sz w:val="7"/>
                <w:szCs w:val="7"/>
                <w:color w:val="auto"/>
              </w:rPr>
            </w:pPr>
          </w:p>
        </w:tc>
        <w:tc>
          <w:tcPr>
            <w:tcW w:w="166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09"/>
        </w:trPr>
        <w:tc>
          <w:tcPr>
            <w:tcW w:w="5300" w:type="dxa"/>
            <w:vAlign w:val="bottom"/>
            <w:tcBorders>
              <w:left w:val="single" w:sz="8" w:color="B8CCE4"/>
              <w:right w:val="single" w:sz="8" w:color="B8CCE4"/>
            </w:tcBorders>
            <w:vMerge w:val="continue"/>
          </w:tcPr>
          <w:p>
            <w:pPr>
              <w:spacing w:after="0"/>
              <w:rPr>
                <w:sz w:val="9"/>
                <w:szCs w:val="9"/>
                <w:color w:val="auto"/>
              </w:rPr>
            </w:pPr>
          </w:p>
        </w:tc>
        <w:tc>
          <w:tcPr>
            <w:tcW w:w="1760" w:type="dxa"/>
            <w:vAlign w:val="bottom"/>
            <w:tcBorders>
              <w:right w:val="single" w:sz="8" w:color="B8CCE4"/>
            </w:tcBorders>
            <w:vMerge w:val="continue"/>
          </w:tcPr>
          <w:p>
            <w:pPr>
              <w:spacing w:after="0"/>
              <w:rPr>
                <w:sz w:val="9"/>
                <w:szCs w:val="9"/>
                <w:color w:val="auto"/>
              </w:rPr>
            </w:pPr>
          </w:p>
        </w:tc>
        <w:tc>
          <w:tcPr>
            <w:tcW w:w="17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Forma)</w:t>
            </w:r>
          </w:p>
        </w:tc>
        <w:tc>
          <w:tcPr>
            <w:tcW w:w="1660" w:type="dxa"/>
            <w:vAlign w:val="bottom"/>
            <w:tcBorders>
              <w:right w:val="single" w:sz="8" w:color="B8CCE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300" w:type="dxa"/>
            <w:vAlign w:val="bottom"/>
            <w:tcBorders>
              <w:left w:val="single" w:sz="8" w:color="B8CCE4"/>
              <w:right w:val="single" w:sz="8" w:color="B8CCE4"/>
            </w:tcBorders>
          </w:tcPr>
          <w:p>
            <w:pPr>
              <w:spacing w:after="0"/>
              <w:rPr>
                <w:sz w:val="7"/>
                <w:szCs w:val="7"/>
                <w:color w:val="auto"/>
              </w:rPr>
            </w:pPr>
          </w:p>
        </w:tc>
        <w:tc>
          <w:tcPr>
            <w:tcW w:w="1760" w:type="dxa"/>
            <w:vAlign w:val="bottom"/>
            <w:tcBorders>
              <w:right w:val="single" w:sz="8" w:color="B8CCE4"/>
            </w:tcBorders>
          </w:tcPr>
          <w:p>
            <w:pPr>
              <w:spacing w:after="0"/>
              <w:rPr>
                <w:sz w:val="7"/>
                <w:szCs w:val="7"/>
                <w:color w:val="auto"/>
              </w:rPr>
            </w:pPr>
          </w:p>
        </w:tc>
        <w:tc>
          <w:tcPr>
            <w:tcW w:w="1740" w:type="dxa"/>
            <w:vAlign w:val="bottom"/>
            <w:tcBorders>
              <w:right w:val="single" w:sz="8" w:color="B8CCE4"/>
            </w:tcBorders>
            <w:vMerge w:val="continue"/>
          </w:tcPr>
          <w:p>
            <w:pPr>
              <w:spacing w:after="0"/>
              <w:rPr>
                <w:sz w:val="7"/>
                <w:szCs w:val="7"/>
                <w:color w:val="auto"/>
              </w:rPr>
            </w:pPr>
          </w:p>
        </w:tc>
        <w:tc>
          <w:tcPr>
            <w:tcW w:w="166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5300" w:type="dxa"/>
            <w:vAlign w:val="bottom"/>
            <w:tcBorders>
              <w:left w:val="single" w:sz="8" w:color="B8CCE4"/>
              <w:bottom w:val="single" w:sz="8" w:color="B8CCE4"/>
              <w:right w:val="single" w:sz="8" w:color="B8CCE4"/>
            </w:tcBorders>
          </w:tcPr>
          <w:p>
            <w:pPr>
              <w:spacing w:after="0"/>
              <w:rPr>
                <w:sz w:val="16"/>
                <w:szCs w:val="16"/>
                <w:color w:val="auto"/>
              </w:rPr>
            </w:pPr>
          </w:p>
        </w:tc>
        <w:tc>
          <w:tcPr>
            <w:tcW w:w="1760" w:type="dxa"/>
            <w:vAlign w:val="bottom"/>
            <w:tcBorders>
              <w:bottom w:val="single" w:sz="8" w:color="B8CCE4"/>
              <w:right w:val="single" w:sz="8" w:color="B8CCE4"/>
            </w:tcBorders>
          </w:tcPr>
          <w:p>
            <w:pPr>
              <w:spacing w:after="0"/>
              <w:rPr>
                <w:sz w:val="16"/>
                <w:szCs w:val="16"/>
                <w:color w:val="auto"/>
              </w:rPr>
            </w:pPr>
          </w:p>
        </w:tc>
        <w:tc>
          <w:tcPr>
            <w:tcW w:w="1740" w:type="dxa"/>
            <w:vAlign w:val="bottom"/>
            <w:tcBorders>
              <w:bottom w:val="single" w:sz="8" w:color="B8CCE4"/>
              <w:right w:val="single" w:sz="8" w:color="B8CCE4"/>
            </w:tcBorders>
          </w:tcPr>
          <w:p>
            <w:pPr>
              <w:spacing w:after="0"/>
              <w:rPr>
                <w:sz w:val="16"/>
                <w:szCs w:val="16"/>
                <w:color w:val="auto"/>
              </w:rPr>
            </w:pPr>
          </w:p>
        </w:tc>
        <w:tc>
          <w:tcPr>
            <w:tcW w:w="166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3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60" w:type="dxa"/>
            <w:vAlign w:val="bottom"/>
            <w:tcBorders>
              <w:bottom w:val="single" w:sz="8" w:color="B8CCE4"/>
              <w:right w:val="single" w:sz="8" w:color="B8CCE4"/>
            </w:tcBorders>
          </w:tcPr>
          <w:p>
            <w:pPr>
              <w:jc w:val="right"/>
              <w:ind w:right="166"/>
              <w:spacing w:after="0"/>
              <w:rPr>
                <w:sz w:val="20"/>
                <w:szCs w:val="20"/>
                <w:color w:val="auto"/>
              </w:rPr>
            </w:pPr>
            <w:r>
              <w:rPr>
                <w:rFonts w:ascii="Arial" w:cs="Arial" w:eastAsia="Arial" w:hAnsi="Arial"/>
                <w:sz w:val="20"/>
                <w:szCs w:val="20"/>
                <w:color w:val="auto"/>
              </w:rPr>
              <w:t>$4,140.9</w:t>
            </w:r>
          </w:p>
        </w:tc>
        <w:tc>
          <w:tcPr>
            <w:tcW w:w="1740" w:type="dxa"/>
            <w:vAlign w:val="bottom"/>
            <w:tcBorders>
              <w:bottom w:val="single" w:sz="8" w:color="B8CCE4"/>
              <w:right w:val="single" w:sz="8" w:color="B8CCE4"/>
            </w:tcBorders>
          </w:tcPr>
          <w:p>
            <w:pPr>
              <w:jc w:val="right"/>
              <w:ind w:right="153"/>
              <w:spacing w:after="0"/>
              <w:rPr>
                <w:sz w:val="20"/>
                <w:szCs w:val="20"/>
                <w:color w:val="auto"/>
              </w:rPr>
            </w:pPr>
            <w:r>
              <w:rPr>
                <w:rFonts w:ascii="Arial" w:cs="Arial" w:eastAsia="Arial" w:hAnsi="Arial"/>
                <w:sz w:val="20"/>
                <w:szCs w:val="20"/>
                <w:color w:val="auto"/>
              </w:rPr>
              <w:t>$5,038.2</w:t>
            </w:r>
          </w:p>
        </w:tc>
        <w:tc>
          <w:tcPr>
            <w:tcW w:w="16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(17.8%)</w:t>
            </w:r>
          </w:p>
        </w:tc>
        <w:tc>
          <w:tcPr>
            <w:tcW w:w="0" w:type="dxa"/>
            <w:vAlign w:val="bottom"/>
          </w:tcPr>
          <w:p>
            <w:pPr>
              <w:spacing w:after="0"/>
              <w:rPr>
                <w:sz w:val="1"/>
                <w:szCs w:val="1"/>
                <w:color w:val="auto"/>
              </w:rPr>
            </w:pPr>
          </w:p>
        </w:tc>
      </w:tr>
      <w:tr>
        <w:trPr>
          <w:trHeight w:val="264"/>
        </w:trPr>
        <w:tc>
          <w:tcPr>
            <w:tcW w:w="53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w:t>
            </w:r>
          </w:p>
        </w:tc>
        <w:tc>
          <w:tcPr>
            <w:tcW w:w="1760" w:type="dxa"/>
            <w:vAlign w:val="bottom"/>
            <w:tcBorders>
              <w:bottom w:val="single" w:sz="8" w:color="B8CCE4"/>
              <w:right w:val="single" w:sz="8" w:color="B8CCE4"/>
            </w:tcBorders>
          </w:tcPr>
          <w:p>
            <w:pPr>
              <w:jc w:val="right"/>
              <w:ind w:right="166"/>
              <w:spacing w:after="0"/>
              <w:rPr>
                <w:sz w:val="20"/>
                <w:szCs w:val="20"/>
                <w:color w:val="auto"/>
              </w:rPr>
            </w:pPr>
            <w:r>
              <w:rPr>
                <w:rFonts w:ascii="Arial" w:cs="Arial" w:eastAsia="Arial" w:hAnsi="Arial"/>
                <w:sz w:val="20"/>
                <w:szCs w:val="20"/>
                <w:color w:val="auto"/>
              </w:rPr>
              <w:t>121.0</w:t>
            </w:r>
          </w:p>
        </w:tc>
        <w:tc>
          <w:tcPr>
            <w:tcW w:w="1740" w:type="dxa"/>
            <w:vAlign w:val="bottom"/>
            <w:tcBorders>
              <w:bottom w:val="single" w:sz="8" w:color="B8CCE4"/>
              <w:right w:val="single" w:sz="8" w:color="B8CCE4"/>
            </w:tcBorders>
          </w:tcPr>
          <w:p>
            <w:pPr>
              <w:jc w:val="right"/>
              <w:ind w:right="153"/>
              <w:spacing w:after="0"/>
              <w:rPr>
                <w:sz w:val="20"/>
                <w:szCs w:val="20"/>
                <w:color w:val="auto"/>
              </w:rPr>
            </w:pPr>
            <w:r>
              <w:rPr>
                <w:rFonts w:ascii="Arial" w:cs="Arial" w:eastAsia="Arial" w:hAnsi="Arial"/>
                <w:sz w:val="20"/>
                <w:szCs w:val="20"/>
                <w:color w:val="auto"/>
              </w:rPr>
              <w:t>327.0</w:t>
            </w:r>
          </w:p>
        </w:tc>
        <w:tc>
          <w:tcPr>
            <w:tcW w:w="16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(63.0%)</w:t>
            </w:r>
          </w:p>
        </w:tc>
        <w:tc>
          <w:tcPr>
            <w:tcW w:w="0" w:type="dxa"/>
            <w:vAlign w:val="bottom"/>
          </w:tcPr>
          <w:p>
            <w:pPr>
              <w:spacing w:after="0"/>
              <w:rPr>
                <w:sz w:val="1"/>
                <w:szCs w:val="1"/>
                <w:color w:val="auto"/>
              </w:rPr>
            </w:pPr>
          </w:p>
        </w:tc>
      </w:tr>
      <w:tr>
        <w:trPr>
          <w:trHeight w:val="264"/>
        </w:trPr>
        <w:tc>
          <w:tcPr>
            <w:tcW w:w="53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EPS</w:t>
            </w:r>
          </w:p>
        </w:tc>
        <w:tc>
          <w:tcPr>
            <w:tcW w:w="1760" w:type="dxa"/>
            <w:vAlign w:val="bottom"/>
            <w:tcBorders>
              <w:bottom w:val="single" w:sz="8" w:color="B8CCE4"/>
              <w:right w:val="single" w:sz="8" w:color="B8CCE4"/>
            </w:tcBorders>
          </w:tcPr>
          <w:p>
            <w:pPr>
              <w:jc w:val="right"/>
              <w:ind w:right="166"/>
              <w:spacing w:after="0"/>
              <w:rPr>
                <w:sz w:val="20"/>
                <w:szCs w:val="20"/>
                <w:color w:val="auto"/>
              </w:rPr>
            </w:pPr>
            <w:r>
              <w:rPr>
                <w:rFonts w:ascii="Arial" w:cs="Arial" w:eastAsia="Arial" w:hAnsi="Arial"/>
                <w:sz w:val="20"/>
                <w:szCs w:val="20"/>
                <w:color w:val="auto"/>
              </w:rPr>
              <w:t>$0.26</w:t>
            </w:r>
          </w:p>
        </w:tc>
        <w:tc>
          <w:tcPr>
            <w:tcW w:w="1740" w:type="dxa"/>
            <w:vAlign w:val="bottom"/>
          </w:tcPr>
          <w:p>
            <w:pPr>
              <w:spacing w:after="0"/>
              <w:rPr>
                <w:sz w:val="22"/>
                <w:szCs w:val="22"/>
                <w:color w:val="auto"/>
              </w:rPr>
            </w:pPr>
          </w:p>
        </w:tc>
        <w:tc>
          <w:tcPr>
            <w:tcW w:w="16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5300" w:type="dxa"/>
            <w:vAlign w:val="bottom"/>
            <w:tcBorders>
              <w:left w:val="single" w:sz="8" w:color="B8CCE4"/>
              <w:bottom w:val="single" w:sz="8" w:color="B8CCE4"/>
              <w:right w:val="single" w:sz="8" w:color="B8CCE4"/>
            </w:tcBorders>
          </w:tcPr>
          <w:p>
            <w:pPr>
              <w:spacing w:after="0"/>
              <w:rPr>
                <w:sz w:val="24"/>
                <w:szCs w:val="24"/>
                <w:color w:val="auto"/>
              </w:rPr>
            </w:pPr>
          </w:p>
        </w:tc>
        <w:tc>
          <w:tcPr>
            <w:tcW w:w="1760" w:type="dxa"/>
            <w:vAlign w:val="bottom"/>
            <w:tcBorders>
              <w:bottom w:val="single" w:sz="8" w:color="B8CCE4"/>
              <w:right w:val="single" w:sz="8" w:color="B8CCE4"/>
            </w:tcBorders>
          </w:tcPr>
          <w:p>
            <w:pPr>
              <w:spacing w:after="0"/>
              <w:rPr>
                <w:sz w:val="24"/>
                <w:szCs w:val="24"/>
                <w:color w:val="auto"/>
              </w:rPr>
            </w:pPr>
          </w:p>
        </w:tc>
        <w:tc>
          <w:tcPr>
            <w:tcW w:w="1740" w:type="dxa"/>
            <w:vAlign w:val="bottom"/>
            <w:tcBorders>
              <w:bottom w:val="single" w:sz="8" w:color="B8CCE4"/>
            </w:tcBorders>
          </w:tcPr>
          <w:p>
            <w:pPr>
              <w:spacing w:after="0"/>
              <w:rPr>
                <w:sz w:val="24"/>
                <w:szCs w:val="24"/>
                <w:color w:val="auto"/>
              </w:rPr>
            </w:pPr>
          </w:p>
        </w:tc>
        <w:tc>
          <w:tcPr>
            <w:tcW w:w="1660" w:type="dxa"/>
            <w:vAlign w:val="bottom"/>
            <w:tcBorders>
              <w:bottom w:val="single" w:sz="8" w:color="B8CCE4"/>
              <w:right w:val="single" w:sz="8" w:color="B8CCE4"/>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3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60" w:type="dxa"/>
            <w:vAlign w:val="bottom"/>
            <w:tcBorders>
              <w:bottom w:val="single" w:sz="8" w:color="B8CCE4"/>
              <w:right w:val="single" w:sz="8" w:color="B8CCE4"/>
            </w:tcBorders>
          </w:tcPr>
          <w:p>
            <w:pPr>
              <w:jc w:val="right"/>
              <w:ind w:right="166"/>
              <w:spacing w:after="0"/>
              <w:rPr>
                <w:sz w:val="20"/>
                <w:szCs w:val="20"/>
                <w:color w:val="auto"/>
              </w:rPr>
            </w:pPr>
            <w:r>
              <w:rPr>
                <w:rFonts w:ascii="Arial" w:cs="Arial" w:eastAsia="Arial" w:hAnsi="Arial"/>
                <w:sz w:val="20"/>
                <w:szCs w:val="20"/>
                <w:color w:val="auto"/>
              </w:rPr>
              <w:t>$536.2</w:t>
            </w:r>
          </w:p>
        </w:tc>
        <w:tc>
          <w:tcPr>
            <w:tcW w:w="1740" w:type="dxa"/>
            <w:vAlign w:val="bottom"/>
            <w:tcBorders>
              <w:bottom w:val="single" w:sz="8" w:color="B8CCE4"/>
              <w:right w:val="single" w:sz="8" w:color="B8CCE4"/>
            </w:tcBorders>
          </w:tcPr>
          <w:p>
            <w:pPr>
              <w:jc w:val="right"/>
              <w:ind w:right="153"/>
              <w:spacing w:after="0"/>
              <w:rPr>
                <w:sz w:val="20"/>
                <w:szCs w:val="20"/>
                <w:color w:val="auto"/>
              </w:rPr>
            </w:pPr>
            <w:r>
              <w:rPr>
                <w:rFonts w:ascii="Arial" w:cs="Arial" w:eastAsia="Arial" w:hAnsi="Arial"/>
                <w:sz w:val="20"/>
                <w:szCs w:val="20"/>
                <w:color w:val="auto"/>
              </w:rPr>
              <w:t>$699.3</w:t>
            </w:r>
          </w:p>
        </w:tc>
        <w:tc>
          <w:tcPr>
            <w:tcW w:w="16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(23.3%)</w:t>
            </w:r>
          </w:p>
        </w:tc>
        <w:tc>
          <w:tcPr>
            <w:tcW w:w="0" w:type="dxa"/>
            <w:vAlign w:val="bottom"/>
          </w:tcPr>
          <w:p>
            <w:pPr>
              <w:spacing w:after="0"/>
              <w:rPr>
                <w:sz w:val="1"/>
                <w:szCs w:val="1"/>
                <w:color w:val="auto"/>
              </w:rPr>
            </w:pPr>
          </w:p>
        </w:tc>
      </w:tr>
      <w:tr>
        <w:trPr>
          <w:trHeight w:val="264"/>
        </w:trPr>
        <w:tc>
          <w:tcPr>
            <w:tcW w:w="53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12.9%</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13.9%</w:t>
            </w:r>
          </w:p>
        </w:tc>
        <w:tc>
          <w:tcPr>
            <w:tcW w:w="16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(100 bps)</w:t>
            </w:r>
          </w:p>
        </w:tc>
        <w:tc>
          <w:tcPr>
            <w:tcW w:w="0" w:type="dxa"/>
            <w:vAlign w:val="bottom"/>
          </w:tcPr>
          <w:p>
            <w:pPr>
              <w:spacing w:after="0"/>
              <w:rPr>
                <w:sz w:val="1"/>
                <w:szCs w:val="1"/>
                <w:color w:val="auto"/>
              </w:rPr>
            </w:pPr>
          </w:p>
        </w:tc>
      </w:tr>
      <w:tr>
        <w:trPr>
          <w:trHeight w:val="264"/>
        </w:trPr>
        <w:tc>
          <w:tcPr>
            <w:tcW w:w="53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 excluding charges and credits</w:t>
            </w:r>
          </w:p>
        </w:tc>
        <w:tc>
          <w:tcPr>
            <w:tcW w:w="1760" w:type="dxa"/>
            <w:vAlign w:val="bottom"/>
            <w:tcBorders>
              <w:bottom w:val="single" w:sz="8" w:color="B8CCE4"/>
              <w:right w:val="single" w:sz="8" w:color="B8CCE4"/>
            </w:tcBorders>
          </w:tcPr>
          <w:p>
            <w:pPr>
              <w:jc w:val="right"/>
              <w:ind w:right="166"/>
              <w:spacing w:after="0"/>
              <w:rPr>
                <w:sz w:val="20"/>
                <w:szCs w:val="20"/>
                <w:color w:val="auto"/>
              </w:rPr>
            </w:pPr>
            <w:r>
              <w:rPr>
                <w:rFonts w:ascii="Arial" w:cs="Arial" w:eastAsia="Arial" w:hAnsi="Arial"/>
                <w:sz w:val="20"/>
                <w:szCs w:val="20"/>
                <w:color w:val="auto"/>
              </w:rPr>
              <w:t>183.6</w:t>
            </w:r>
          </w:p>
        </w:tc>
        <w:tc>
          <w:tcPr>
            <w:tcW w:w="1740" w:type="dxa"/>
            <w:vAlign w:val="bottom"/>
          </w:tcPr>
          <w:p>
            <w:pPr>
              <w:spacing w:after="0"/>
              <w:rPr>
                <w:sz w:val="22"/>
                <w:szCs w:val="22"/>
                <w:color w:val="auto"/>
              </w:rPr>
            </w:pPr>
          </w:p>
        </w:tc>
        <w:tc>
          <w:tcPr>
            <w:tcW w:w="16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EPS, excluding charges and credits</w:t>
            </w:r>
          </w:p>
        </w:tc>
        <w:tc>
          <w:tcPr>
            <w:tcW w:w="1760" w:type="dxa"/>
            <w:vAlign w:val="bottom"/>
            <w:tcBorders>
              <w:bottom w:val="single" w:sz="8" w:color="B8CCE4"/>
              <w:right w:val="single" w:sz="8" w:color="B8CCE4"/>
            </w:tcBorders>
          </w:tcPr>
          <w:p>
            <w:pPr>
              <w:jc w:val="right"/>
              <w:ind w:right="166"/>
              <w:spacing w:after="0"/>
              <w:rPr>
                <w:sz w:val="20"/>
                <w:szCs w:val="20"/>
                <w:color w:val="auto"/>
              </w:rPr>
            </w:pPr>
            <w:r>
              <w:rPr>
                <w:rFonts w:ascii="Arial" w:cs="Arial" w:eastAsia="Arial" w:hAnsi="Arial"/>
                <w:sz w:val="20"/>
                <w:szCs w:val="20"/>
                <w:color w:val="auto"/>
              </w:rPr>
              <w:t>$0.39</w:t>
            </w:r>
          </w:p>
        </w:tc>
        <w:tc>
          <w:tcPr>
            <w:tcW w:w="1740" w:type="dxa"/>
            <w:vAlign w:val="bottom"/>
          </w:tcPr>
          <w:p>
            <w:pPr>
              <w:spacing w:after="0"/>
              <w:rPr>
                <w:sz w:val="22"/>
                <w:szCs w:val="22"/>
                <w:color w:val="auto"/>
              </w:rPr>
            </w:pPr>
          </w:p>
        </w:tc>
        <w:tc>
          <w:tcPr>
            <w:tcW w:w="16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5300" w:type="dxa"/>
            <w:vAlign w:val="bottom"/>
            <w:tcBorders>
              <w:left w:val="single" w:sz="8" w:color="B8CCE4"/>
              <w:bottom w:val="single" w:sz="8" w:color="B8CCE4"/>
              <w:right w:val="single" w:sz="8" w:color="B8CCE4"/>
            </w:tcBorders>
          </w:tcPr>
          <w:p>
            <w:pPr>
              <w:spacing w:after="0"/>
              <w:rPr>
                <w:sz w:val="24"/>
                <w:szCs w:val="24"/>
                <w:color w:val="auto"/>
              </w:rPr>
            </w:pPr>
          </w:p>
        </w:tc>
        <w:tc>
          <w:tcPr>
            <w:tcW w:w="1760" w:type="dxa"/>
            <w:vAlign w:val="bottom"/>
            <w:tcBorders>
              <w:bottom w:val="single" w:sz="8" w:color="B8CCE4"/>
              <w:right w:val="single" w:sz="8" w:color="B8CCE4"/>
            </w:tcBorders>
          </w:tcPr>
          <w:p>
            <w:pPr>
              <w:spacing w:after="0"/>
              <w:rPr>
                <w:sz w:val="24"/>
                <w:szCs w:val="24"/>
                <w:color w:val="auto"/>
              </w:rPr>
            </w:pPr>
          </w:p>
        </w:tc>
        <w:tc>
          <w:tcPr>
            <w:tcW w:w="1740" w:type="dxa"/>
            <w:vAlign w:val="bottom"/>
          </w:tcPr>
          <w:p>
            <w:pPr>
              <w:spacing w:after="0"/>
              <w:rPr>
                <w:sz w:val="24"/>
                <w:szCs w:val="24"/>
                <w:color w:val="auto"/>
              </w:rPr>
            </w:pPr>
          </w:p>
        </w:tc>
        <w:tc>
          <w:tcPr>
            <w:tcW w:w="1660" w:type="dxa"/>
            <w:vAlign w:val="bottom"/>
            <w:tcBorders>
              <w:right w:val="single" w:sz="8" w:color="B8CCE4"/>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3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60" w:type="dxa"/>
            <w:vAlign w:val="bottom"/>
            <w:tcBorders>
              <w:bottom w:val="single" w:sz="8" w:color="B8CCE4"/>
              <w:right w:val="single" w:sz="8" w:color="B8CCE4"/>
            </w:tcBorders>
          </w:tcPr>
          <w:p>
            <w:pPr>
              <w:jc w:val="right"/>
              <w:ind w:right="166"/>
              <w:spacing w:after="0"/>
              <w:rPr>
                <w:sz w:val="20"/>
                <w:szCs w:val="20"/>
                <w:color w:val="auto"/>
              </w:rPr>
            </w:pPr>
            <w:r>
              <w:rPr>
                <w:rFonts w:ascii="Arial" w:cs="Arial" w:eastAsia="Arial" w:hAnsi="Arial"/>
                <w:sz w:val="20"/>
                <w:szCs w:val="20"/>
                <w:color w:val="auto"/>
              </w:rPr>
              <w:t>2,461.9</w:t>
            </w:r>
          </w:p>
        </w:tc>
        <w:tc>
          <w:tcPr>
            <w:tcW w:w="1740" w:type="dxa"/>
            <w:vAlign w:val="bottom"/>
          </w:tcPr>
          <w:p>
            <w:pPr>
              <w:spacing w:after="0"/>
              <w:rPr>
                <w:sz w:val="22"/>
                <w:szCs w:val="22"/>
                <w:color w:val="auto"/>
              </w:rPr>
            </w:pPr>
          </w:p>
        </w:tc>
        <w:tc>
          <w:tcPr>
            <w:tcW w:w="16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60" w:type="dxa"/>
            <w:vAlign w:val="bottom"/>
            <w:tcBorders>
              <w:bottom w:val="single" w:sz="8" w:color="B8CCE4"/>
              <w:right w:val="single" w:sz="8" w:color="B8CCE4"/>
            </w:tcBorders>
          </w:tcPr>
          <w:p>
            <w:pPr>
              <w:jc w:val="right"/>
              <w:ind w:right="166"/>
              <w:spacing w:after="0"/>
              <w:rPr>
                <w:sz w:val="20"/>
                <w:szCs w:val="20"/>
                <w:color w:val="auto"/>
              </w:rPr>
            </w:pPr>
            <w:r>
              <w:rPr>
                <w:rFonts w:ascii="Arial" w:cs="Arial" w:eastAsia="Arial" w:hAnsi="Arial"/>
                <w:sz w:val="20"/>
                <w:szCs w:val="20"/>
                <w:color w:val="auto"/>
              </w:rPr>
              <w:t>13,902.4</w:t>
            </w:r>
          </w:p>
        </w:tc>
        <w:tc>
          <w:tcPr>
            <w:tcW w:w="1740" w:type="dxa"/>
            <w:vAlign w:val="bottom"/>
            <w:tcBorders>
              <w:bottom w:val="single" w:sz="8" w:color="B8CCE4"/>
            </w:tcBorders>
          </w:tcPr>
          <w:p>
            <w:pPr>
              <w:spacing w:after="0"/>
              <w:rPr>
                <w:sz w:val="22"/>
                <w:szCs w:val="22"/>
                <w:color w:val="auto"/>
              </w:rPr>
            </w:pPr>
          </w:p>
        </w:tc>
        <w:tc>
          <w:tcPr>
            <w:tcW w:w="166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w:t>
      </w:r>
    </w:p>
    <w:p>
      <w:pPr>
        <w:spacing w:after="0" w:line="173" w:lineRule="exact"/>
        <w:rPr>
          <w:sz w:val="20"/>
          <w:szCs w:val="20"/>
          <w:color w:val="auto"/>
        </w:rPr>
      </w:pPr>
    </w:p>
    <w:p>
      <w:pPr>
        <w:ind w:left="120" w:right="420" w:hanging="85"/>
        <w:spacing w:after="0" w:line="210" w:lineRule="auto"/>
        <w:tabs>
          <w:tab w:leader="none" w:pos="129"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All prior year quarter comparisons are to pro forma results for 2016 as if the merger had been completed on January 1, 2016 and fully consolidated the Yamal LNG joint venture for the full period.</w:t>
      </w:r>
    </w:p>
    <w:p>
      <w:pPr>
        <w:sectPr>
          <w:pgSz w:w="11900" w:h="16838" w:orient="portrait"/>
          <w:cols w:equalWidth="0" w:num="1">
            <w:col w:w="11320"/>
          </w:cols>
          <w:pgMar w:left="240" w:top="1202" w:right="339" w:bottom="1440" w:gutter="0" w:footer="0" w:header="0"/>
        </w:sectPr>
      </w:pPr>
    </w:p>
    <w:bookmarkStart w:id="5" w:name="page6"/>
    <w:bookmarkEnd w:id="5"/>
    <w:p>
      <w:pPr>
        <w:ind w:right="180"/>
        <w:spacing w:after="0" w:line="247" w:lineRule="auto"/>
        <w:rPr>
          <w:sz w:val="20"/>
          <w:szCs w:val="20"/>
          <w:color w:val="auto"/>
        </w:rPr>
      </w:pPr>
      <w:r>
        <w:rPr>
          <w:rFonts w:ascii="Arial" w:cs="Arial" w:eastAsia="Arial" w:hAnsi="Arial"/>
          <w:sz w:val="20"/>
          <w:szCs w:val="20"/>
          <w:color w:val="auto"/>
        </w:rPr>
        <w:t>Diluted earnings per share were $0.26, which includes total Company pre-tax charges and credits of $101.3 million, or $0.13 per diluted share as detailed in the financial schedules below. Adjusted diluted earnings per share were $0.39.</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Company’s Board of Directors has authorized and declared an initial quarterly cash dividend of $0.13 per ordinary share.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BFE4FF"/>
        </w:rPr>
        <w:t>___________________________________________________________________________</w:t>
      </w:r>
    </w:p>
    <w:p>
      <w:pPr>
        <w:spacing w:after="0" w:line="186"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Doug Pferdehirt, CEO of TechnipFMC, stated, “Our third quarter results demonstrated another solid operational performance in all segments. We continued to deliver strong project execution in our Onshore/Offshore and Subsea segments, as we achieved several key milestones. Our Surface Technologies segment benefited from increased activity in the North American market, primarily driven by higher demand for our well completion services.”</w:t>
      </w:r>
    </w:p>
    <w:p>
      <w:pPr>
        <w:spacing w:after="0" w:line="153"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“Total inbound orders for the quarter were $2.5 billion, with Subsea at nearly $1 billion - reinforcing our conviction in the steady recovery of the subsea market. We believe that most major subsea projects can move forward at today’s oil prices, with delays in project sanctioning more a function of near-term price uncertainty than project returns. During the remaining months of this year and throughout 2018, we see the potential for additional major subsea awards, the strengthening of subsea services, and the growth of brownfield opportunities. Regardless of the timing of major subsea awards, we remain confident that this year’s order activity will exceed the level we achieved in 2016.”</w:t>
      </w:r>
    </w:p>
    <w:p>
      <w:pPr>
        <w:spacing w:after="0" w:line="154" w:lineRule="exact"/>
        <w:rPr>
          <w:sz w:val="20"/>
          <w:szCs w:val="20"/>
          <w:color w:val="auto"/>
        </w:rPr>
      </w:pPr>
    </w:p>
    <w:p>
      <w:pPr>
        <w:jc w:val="both"/>
        <w:ind w:right="40"/>
        <w:spacing w:after="0" w:line="242" w:lineRule="auto"/>
        <w:rPr>
          <w:sz w:val="20"/>
          <w:szCs w:val="20"/>
          <w:color w:val="auto"/>
        </w:rPr>
      </w:pPr>
      <w:r>
        <w:rPr>
          <w:rFonts w:ascii="Arial" w:cs="Arial" w:eastAsia="Arial" w:hAnsi="Arial"/>
          <w:sz w:val="20"/>
          <w:szCs w:val="20"/>
          <w:color w:val="auto"/>
        </w:rPr>
        <w:t>“We also expect our 2018 Subsea inbound to exceed 2017 levels, driven by the current momentum in project bid activity and an acceleration of integrated project awards. The market acceptance of our unique integrated subsea value proposition continues to accelerate. Our iFEED™ activity is robust, creating a set of proprietary project opportunities that could result in the direct award of iEPCI™ projects.”</w:t>
      </w:r>
    </w:p>
    <w:p>
      <w:pPr>
        <w:spacing w:after="0" w:line="153"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“In addition, we are pursuing several downstream projects with an aggregate inbound value of over $5 billion. On these projects, we are actively working as the FEED provider or were the contractor of the original facility. This upfront involvement gives us a better understanding of the project and puts us in a stronger competitive position.”</w:t>
      </w:r>
    </w:p>
    <w:p>
      <w:pPr>
        <w:spacing w:after="0" w:line="15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“To extend our differentiation and further improve project economics, we are increasing our investment in the development of next generation subsea systems and integrated technologies. We also announced an agreement to acquire Plexus’ exploration-drilling products and services business, extending our Surface Technologies offering. In addition, the Board authorized a $0.13 dividend for the quarter, and we have now implemented our share repurchase program, clearly demonstrating our commitment to shareholder distributions.”</w:t>
      </w:r>
    </w:p>
    <w:p>
      <w:pPr>
        <w:spacing w:after="0" w:line="155"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Pferdehirt concluded, “As we look to 2018, we are managing revenue declines against the strategic investments needed to sustain our operational capabilities through the recovery. We see significant opportunities ahead, and these will be driven by internal initiatives as well as market fundamentals. We will generate further integration savings and operational efficiencies. We will continue to deliver real, differentiated and sustainable change through integrated business models that can transform the markets we serve and generate benefits for our customers and our Company.”</w:t>
      </w:r>
    </w:p>
    <w:p>
      <w:pPr>
        <w:sectPr>
          <w:pgSz w:w="11900" w:h="16838" w:orient="portrait"/>
          <w:cols w:equalWidth="0" w:num="1">
            <w:col w:w="11400"/>
          </w:cols>
          <w:pgMar w:left="240" w:top="946" w:right="2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Operational and Financial Highlights - Third Quarter 2017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in financial schedules below.</w:t>
      </w:r>
    </w:p>
    <w:p>
      <w:pPr>
        <w:spacing w:after="0" w:line="125" w:lineRule="exact"/>
        <w:rPr>
          <w:sz w:val="20"/>
          <w:szCs w:val="20"/>
          <w:color w:val="auto"/>
        </w:rPr>
      </w:pPr>
    </w:p>
    <w:tbl>
      <w:tblPr>
        <w:tblLayout w:type="fixed"/>
        <w:tblInd w:w="370" w:type="dxa"/>
        <w:tblCellMar>
          <w:top w:w="0" w:type="dxa"/>
          <w:left w:w="0" w:type="dxa"/>
          <w:bottom w:w="0" w:type="dxa"/>
          <w:right w:w="0" w:type="dxa"/>
        </w:tblCellMar>
      </w:tblPr>
      <w:tr>
        <w:trPr>
          <w:trHeight w:val="189"/>
        </w:trPr>
        <w:tc>
          <w:tcPr>
            <w:tcW w:w="5440" w:type="dxa"/>
            <w:vAlign w:val="bottom"/>
            <w:tcBorders>
              <w:top w:val="single" w:sz="8" w:color="B8CCE4"/>
              <w:left w:val="single" w:sz="8" w:color="B8CCE4"/>
              <w:right w:val="single" w:sz="8" w:color="B8CCE4"/>
            </w:tcBorders>
          </w:tcPr>
          <w:p>
            <w:pPr>
              <w:spacing w:after="0"/>
              <w:rPr>
                <w:sz w:val="16"/>
                <w:szCs w:val="16"/>
                <w:color w:val="auto"/>
              </w:rPr>
            </w:pPr>
          </w:p>
        </w:tc>
        <w:tc>
          <w:tcPr>
            <w:tcW w:w="1800" w:type="dxa"/>
            <w:vAlign w:val="bottom"/>
            <w:tcBorders>
              <w:top w:val="single" w:sz="8" w:color="B8CCE4"/>
              <w:right w:val="single" w:sz="8" w:color="B8CCE4"/>
            </w:tcBorders>
            <w:vMerge w:val="restart"/>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top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440" w:type="dxa"/>
            <w:vAlign w:val="bottom"/>
            <w:tcBorders>
              <w:left w:val="single" w:sz="8" w:color="B8CCE4"/>
              <w:right w:val="single" w:sz="8" w:color="B8CCE4"/>
            </w:tcBorders>
          </w:tcPr>
          <w:p>
            <w:pPr>
              <w:spacing w:after="0"/>
              <w:rPr>
                <w:sz w:val="7"/>
                <w:szCs w:val="7"/>
                <w:color w:val="auto"/>
              </w:rPr>
            </w:pPr>
          </w:p>
        </w:tc>
        <w:tc>
          <w:tcPr>
            <w:tcW w:w="1800" w:type="dxa"/>
            <w:vAlign w:val="bottom"/>
            <w:tcBorders>
              <w:right w:val="single" w:sz="8" w:color="B8CCE4"/>
            </w:tcBorders>
            <w:vMerge w:val="continue"/>
          </w:tcPr>
          <w:p>
            <w:pPr>
              <w:spacing w:after="0"/>
              <w:rPr>
                <w:sz w:val="7"/>
                <w:szCs w:val="7"/>
                <w:color w:val="auto"/>
              </w:rPr>
            </w:pPr>
          </w:p>
        </w:tc>
        <w:tc>
          <w:tcPr>
            <w:tcW w:w="182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September 30, 2016 (Pro</w:t>
            </w:r>
          </w:p>
        </w:tc>
        <w:tc>
          <w:tcPr>
            <w:tcW w:w="168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4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Borders>
              <w:right w:val="single" w:sz="8" w:color="B8CCE4"/>
            </w:tcBorders>
            <w:vMerge w:val="restart"/>
          </w:tcPr>
          <w:p>
            <w:pPr>
              <w:jc w:val="right"/>
              <w:ind w:right="148"/>
              <w:spacing w:after="0"/>
              <w:rPr>
                <w:sz w:val="20"/>
                <w:szCs w:val="20"/>
                <w:color w:val="auto"/>
              </w:rPr>
            </w:pPr>
            <w:r>
              <w:rPr>
                <w:rFonts w:ascii="Arial" w:cs="Arial" w:eastAsia="Arial" w:hAnsi="Arial"/>
                <w:sz w:val="14"/>
                <w:szCs w:val="14"/>
                <w:b w:val="1"/>
                <w:bCs w:val="1"/>
                <w:color w:val="auto"/>
              </w:rPr>
              <w:t>September 30, 2017</w:t>
            </w:r>
          </w:p>
        </w:tc>
        <w:tc>
          <w:tcPr>
            <w:tcW w:w="1820" w:type="dxa"/>
            <w:vAlign w:val="bottom"/>
            <w:tcBorders>
              <w:right w:val="single" w:sz="8" w:color="B8CCE4"/>
            </w:tcBorders>
            <w:vMerge w:val="continue"/>
          </w:tcPr>
          <w:p>
            <w:pPr>
              <w:spacing w:after="0"/>
              <w:rPr>
                <w:sz w:val="7"/>
                <w:szCs w:val="7"/>
                <w:color w:val="auto"/>
              </w:rPr>
            </w:pPr>
          </w:p>
        </w:tc>
        <w:tc>
          <w:tcPr>
            <w:tcW w:w="168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09"/>
        </w:trPr>
        <w:tc>
          <w:tcPr>
            <w:tcW w:w="5440" w:type="dxa"/>
            <w:vAlign w:val="bottom"/>
            <w:tcBorders>
              <w:left w:val="single" w:sz="8" w:color="B8CCE4"/>
              <w:right w:val="single" w:sz="8" w:color="B8CCE4"/>
            </w:tcBorders>
            <w:vMerge w:val="continue"/>
          </w:tcPr>
          <w:p>
            <w:pPr>
              <w:spacing w:after="0"/>
              <w:rPr>
                <w:sz w:val="9"/>
                <w:szCs w:val="9"/>
                <w:color w:val="auto"/>
              </w:rPr>
            </w:pPr>
          </w:p>
        </w:tc>
        <w:tc>
          <w:tcPr>
            <w:tcW w:w="1800" w:type="dxa"/>
            <w:vAlign w:val="bottom"/>
            <w:tcBorders>
              <w:right w:val="single" w:sz="8" w:color="B8CCE4"/>
            </w:tcBorders>
            <w:vMerge w:val="continue"/>
          </w:tcPr>
          <w:p>
            <w:pPr>
              <w:spacing w:after="0"/>
              <w:rPr>
                <w:sz w:val="9"/>
                <w:szCs w:val="9"/>
                <w:color w:val="auto"/>
              </w:rPr>
            </w:pPr>
          </w:p>
        </w:tc>
        <w:tc>
          <w:tcPr>
            <w:tcW w:w="182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Forma)</w:t>
            </w:r>
          </w:p>
        </w:tc>
        <w:tc>
          <w:tcPr>
            <w:tcW w:w="1680" w:type="dxa"/>
            <w:vAlign w:val="bottom"/>
            <w:tcBorders>
              <w:right w:val="single" w:sz="8" w:color="B8CCE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40" w:type="dxa"/>
            <w:vAlign w:val="bottom"/>
            <w:tcBorders>
              <w:left w:val="single" w:sz="8" w:color="B8CCE4"/>
              <w:right w:val="single" w:sz="8" w:color="B8CCE4"/>
            </w:tcBorders>
          </w:tcPr>
          <w:p>
            <w:pPr>
              <w:spacing w:after="0"/>
              <w:rPr>
                <w:sz w:val="7"/>
                <w:szCs w:val="7"/>
                <w:color w:val="auto"/>
              </w:rPr>
            </w:pPr>
          </w:p>
        </w:tc>
        <w:tc>
          <w:tcPr>
            <w:tcW w:w="1800" w:type="dxa"/>
            <w:vAlign w:val="bottom"/>
            <w:tcBorders>
              <w:right w:val="single" w:sz="8" w:color="B8CCE4"/>
            </w:tcBorders>
          </w:tcPr>
          <w:p>
            <w:pPr>
              <w:spacing w:after="0"/>
              <w:rPr>
                <w:sz w:val="7"/>
                <w:szCs w:val="7"/>
                <w:color w:val="auto"/>
              </w:rPr>
            </w:pPr>
          </w:p>
        </w:tc>
        <w:tc>
          <w:tcPr>
            <w:tcW w:w="1820" w:type="dxa"/>
            <w:vAlign w:val="bottom"/>
            <w:tcBorders>
              <w:right w:val="single" w:sz="8" w:color="B8CCE4"/>
            </w:tcBorders>
            <w:vMerge w:val="continue"/>
          </w:tcPr>
          <w:p>
            <w:pPr>
              <w:spacing w:after="0"/>
              <w:rPr>
                <w:sz w:val="7"/>
                <w:szCs w:val="7"/>
                <w:color w:val="auto"/>
              </w:rPr>
            </w:pPr>
          </w:p>
        </w:tc>
        <w:tc>
          <w:tcPr>
            <w:tcW w:w="168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5440" w:type="dxa"/>
            <w:vAlign w:val="bottom"/>
            <w:tcBorders>
              <w:left w:val="single" w:sz="8" w:color="B8CCE4"/>
              <w:bottom w:val="single" w:sz="8" w:color="B8CCE4"/>
              <w:right w:val="single" w:sz="8" w:color="B8CCE4"/>
            </w:tcBorders>
          </w:tcPr>
          <w:p>
            <w:pPr>
              <w:spacing w:after="0"/>
              <w:rPr>
                <w:sz w:val="16"/>
                <w:szCs w:val="16"/>
                <w:color w:val="auto"/>
              </w:rPr>
            </w:pPr>
          </w:p>
        </w:tc>
        <w:tc>
          <w:tcPr>
            <w:tcW w:w="1800" w:type="dxa"/>
            <w:vAlign w:val="bottom"/>
            <w:tcBorders>
              <w:bottom w:val="single" w:sz="8" w:color="B8CCE4"/>
              <w:right w:val="single" w:sz="8" w:color="B8CCE4"/>
            </w:tcBorders>
          </w:tcPr>
          <w:p>
            <w:pPr>
              <w:spacing w:after="0"/>
              <w:rPr>
                <w:sz w:val="16"/>
                <w:szCs w:val="16"/>
                <w:color w:val="auto"/>
              </w:rPr>
            </w:pPr>
          </w:p>
        </w:tc>
        <w:tc>
          <w:tcPr>
            <w:tcW w:w="1820" w:type="dxa"/>
            <w:vAlign w:val="bottom"/>
            <w:tcBorders>
              <w:bottom w:val="single" w:sz="8" w:color="B8CCE4"/>
              <w:right w:val="single" w:sz="8" w:color="B8CCE4"/>
            </w:tcBorders>
          </w:tcPr>
          <w:p>
            <w:pPr>
              <w:spacing w:after="0"/>
              <w:rPr>
                <w:sz w:val="16"/>
                <w:szCs w:val="16"/>
                <w:color w:val="auto"/>
              </w:rPr>
            </w:pPr>
          </w:p>
        </w:tc>
        <w:tc>
          <w:tcPr>
            <w:tcW w:w="168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4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00" w:type="dxa"/>
            <w:vAlign w:val="bottom"/>
            <w:tcBorders>
              <w:bottom w:val="single" w:sz="8" w:color="B8CCE4"/>
              <w:right w:val="single" w:sz="8" w:color="B8CCE4"/>
            </w:tcBorders>
          </w:tcPr>
          <w:p>
            <w:pPr>
              <w:jc w:val="right"/>
              <w:ind w:right="148"/>
              <w:spacing w:after="0"/>
              <w:rPr>
                <w:sz w:val="20"/>
                <w:szCs w:val="20"/>
                <w:color w:val="auto"/>
              </w:rPr>
            </w:pPr>
            <w:r>
              <w:rPr>
                <w:rFonts w:ascii="Arial" w:cs="Arial" w:eastAsia="Arial" w:hAnsi="Arial"/>
                <w:sz w:val="20"/>
                <w:szCs w:val="20"/>
                <w:color w:val="auto"/>
              </w:rPr>
              <w:t>$1,478.2</w:t>
            </w:r>
          </w:p>
        </w:tc>
        <w:tc>
          <w:tcPr>
            <w:tcW w:w="1820" w:type="dxa"/>
            <w:vAlign w:val="bottom"/>
            <w:tcBorders>
              <w:bottom w:val="single" w:sz="8" w:color="B8CCE4"/>
              <w:right w:val="single" w:sz="8" w:color="B8CCE4"/>
            </w:tcBorders>
          </w:tcPr>
          <w:p>
            <w:pPr>
              <w:jc w:val="right"/>
              <w:ind w:right="153"/>
              <w:spacing w:after="0"/>
              <w:rPr>
                <w:sz w:val="20"/>
                <w:szCs w:val="20"/>
                <w:color w:val="auto"/>
              </w:rPr>
            </w:pPr>
            <w:r>
              <w:rPr>
                <w:rFonts w:ascii="Arial" w:cs="Arial" w:eastAsia="Arial" w:hAnsi="Arial"/>
                <w:sz w:val="20"/>
                <w:szCs w:val="20"/>
                <w:color w:val="auto"/>
              </w:rPr>
              <w:t>$2,346.6</w:t>
            </w:r>
          </w:p>
        </w:tc>
        <w:tc>
          <w:tcPr>
            <w:tcW w:w="16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(37.0%)</w:t>
            </w:r>
          </w:p>
        </w:tc>
        <w:tc>
          <w:tcPr>
            <w:tcW w:w="0" w:type="dxa"/>
            <w:vAlign w:val="bottom"/>
          </w:tcPr>
          <w:p>
            <w:pPr>
              <w:spacing w:after="0"/>
              <w:rPr>
                <w:sz w:val="1"/>
                <w:szCs w:val="1"/>
                <w:color w:val="auto"/>
              </w:rPr>
            </w:pPr>
          </w:p>
        </w:tc>
      </w:tr>
      <w:tr>
        <w:trPr>
          <w:trHeight w:val="264"/>
        </w:trPr>
        <w:tc>
          <w:tcPr>
            <w:tcW w:w="54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800" w:type="dxa"/>
            <w:vAlign w:val="bottom"/>
            <w:tcBorders>
              <w:bottom w:val="single" w:sz="8" w:color="B8CCE4"/>
              <w:right w:val="single" w:sz="8" w:color="B8CCE4"/>
            </w:tcBorders>
          </w:tcPr>
          <w:p>
            <w:pPr>
              <w:jc w:val="right"/>
              <w:ind w:right="148"/>
              <w:spacing w:after="0"/>
              <w:rPr>
                <w:sz w:val="20"/>
                <w:szCs w:val="20"/>
                <w:color w:val="auto"/>
              </w:rPr>
            </w:pPr>
            <w:r>
              <w:rPr>
                <w:rFonts w:ascii="Arial" w:cs="Arial" w:eastAsia="Arial" w:hAnsi="Arial"/>
                <w:sz w:val="20"/>
                <w:szCs w:val="20"/>
                <w:color w:val="auto"/>
              </w:rPr>
              <w:t>102.8</w:t>
            </w:r>
          </w:p>
        </w:tc>
        <w:tc>
          <w:tcPr>
            <w:tcW w:w="1820" w:type="dxa"/>
            <w:vAlign w:val="bottom"/>
            <w:tcBorders>
              <w:bottom w:val="single" w:sz="8" w:color="B8CCE4"/>
              <w:right w:val="single" w:sz="8" w:color="B8CCE4"/>
            </w:tcBorders>
          </w:tcPr>
          <w:p>
            <w:pPr>
              <w:jc w:val="right"/>
              <w:ind w:right="153"/>
              <w:spacing w:after="0"/>
              <w:rPr>
                <w:sz w:val="20"/>
                <w:szCs w:val="20"/>
                <w:color w:val="auto"/>
              </w:rPr>
            </w:pPr>
            <w:r>
              <w:rPr>
                <w:rFonts w:ascii="Arial" w:cs="Arial" w:eastAsia="Arial" w:hAnsi="Arial"/>
                <w:sz w:val="20"/>
                <w:szCs w:val="20"/>
                <w:color w:val="auto"/>
              </w:rPr>
              <w:t>357.7</w:t>
            </w:r>
          </w:p>
        </w:tc>
        <w:tc>
          <w:tcPr>
            <w:tcW w:w="16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(71.3%)</w:t>
            </w:r>
          </w:p>
        </w:tc>
        <w:tc>
          <w:tcPr>
            <w:tcW w:w="0" w:type="dxa"/>
            <w:vAlign w:val="bottom"/>
          </w:tcPr>
          <w:p>
            <w:pPr>
              <w:spacing w:after="0"/>
              <w:rPr>
                <w:sz w:val="1"/>
                <w:szCs w:val="1"/>
                <w:color w:val="auto"/>
              </w:rPr>
            </w:pPr>
          </w:p>
        </w:tc>
      </w:tr>
      <w:tr>
        <w:trPr>
          <w:trHeight w:val="264"/>
        </w:trPr>
        <w:tc>
          <w:tcPr>
            <w:tcW w:w="54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00" w:type="dxa"/>
            <w:vAlign w:val="bottom"/>
            <w:tcBorders>
              <w:bottom w:val="single" w:sz="8" w:color="B8CCE4"/>
              <w:right w:val="single" w:sz="8" w:color="B8CCE4"/>
            </w:tcBorders>
          </w:tcPr>
          <w:p>
            <w:pPr>
              <w:jc w:val="right"/>
              <w:ind w:right="148"/>
              <w:spacing w:after="0"/>
              <w:rPr>
                <w:sz w:val="20"/>
                <w:szCs w:val="20"/>
                <w:color w:val="auto"/>
              </w:rPr>
            </w:pPr>
            <w:r>
              <w:rPr>
                <w:rFonts w:ascii="Arial" w:cs="Arial" w:eastAsia="Arial" w:hAnsi="Arial"/>
                <w:sz w:val="20"/>
                <w:szCs w:val="20"/>
                <w:color w:val="auto"/>
              </w:rPr>
              <w:t>260.4</w:t>
            </w:r>
          </w:p>
        </w:tc>
        <w:tc>
          <w:tcPr>
            <w:tcW w:w="1820" w:type="dxa"/>
            <w:vAlign w:val="bottom"/>
            <w:tcBorders>
              <w:bottom w:val="single" w:sz="8" w:color="B8CCE4"/>
              <w:right w:val="single" w:sz="8" w:color="B8CCE4"/>
            </w:tcBorders>
          </w:tcPr>
          <w:p>
            <w:pPr>
              <w:jc w:val="right"/>
              <w:ind w:right="153"/>
              <w:spacing w:after="0"/>
              <w:rPr>
                <w:sz w:val="20"/>
                <w:szCs w:val="20"/>
                <w:color w:val="auto"/>
              </w:rPr>
            </w:pPr>
            <w:r>
              <w:rPr>
                <w:rFonts w:ascii="Arial" w:cs="Arial" w:eastAsia="Arial" w:hAnsi="Arial"/>
                <w:sz w:val="20"/>
                <w:szCs w:val="20"/>
                <w:color w:val="auto"/>
              </w:rPr>
              <w:t>503.4</w:t>
            </w:r>
          </w:p>
        </w:tc>
        <w:tc>
          <w:tcPr>
            <w:tcW w:w="16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(48.3%)</w:t>
            </w:r>
          </w:p>
        </w:tc>
        <w:tc>
          <w:tcPr>
            <w:tcW w:w="0" w:type="dxa"/>
            <w:vAlign w:val="bottom"/>
          </w:tcPr>
          <w:p>
            <w:pPr>
              <w:spacing w:after="0"/>
              <w:rPr>
                <w:sz w:val="1"/>
                <w:szCs w:val="1"/>
                <w:color w:val="auto"/>
              </w:rPr>
            </w:pPr>
          </w:p>
        </w:tc>
      </w:tr>
      <w:tr>
        <w:trPr>
          <w:trHeight w:val="264"/>
        </w:trPr>
        <w:tc>
          <w:tcPr>
            <w:tcW w:w="54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17.6%</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21.5%</w:t>
            </w:r>
          </w:p>
        </w:tc>
        <w:tc>
          <w:tcPr>
            <w:tcW w:w="16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(390 bps)</w:t>
            </w:r>
          </w:p>
        </w:tc>
        <w:tc>
          <w:tcPr>
            <w:tcW w:w="0" w:type="dxa"/>
            <w:vAlign w:val="bottom"/>
          </w:tcPr>
          <w:p>
            <w:pPr>
              <w:spacing w:after="0"/>
              <w:rPr>
                <w:sz w:val="1"/>
                <w:szCs w:val="1"/>
                <w:color w:val="auto"/>
              </w:rPr>
            </w:pPr>
          </w:p>
        </w:tc>
      </w:tr>
      <w:tr>
        <w:trPr>
          <w:trHeight w:val="322"/>
        </w:trPr>
        <w:tc>
          <w:tcPr>
            <w:tcW w:w="5440" w:type="dxa"/>
            <w:vAlign w:val="bottom"/>
            <w:tcBorders>
              <w:left w:val="single" w:sz="8" w:color="B8CCE4"/>
              <w:bottom w:val="single" w:sz="8" w:color="B8CCE4"/>
              <w:right w:val="single" w:sz="8" w:color="B8CCE4"/>
            </w:tcBorders>
          </w:tcPr>
          <w:p>
            <w:pPr>
              <w:spacing w:after="0"/>
              <w:rPr>
                <w:sz w:val="24"/>
                <w:szCs w:val="24"/>
                <w:color w:val="auto"/>
              </w:rPr>
            </w:pPr>
          </w:p>
        </w:tc>
        <w:tc>
          <w:tcPr>
            <w:tcW w:w="1800" w:type="dxa"/>
            <w:vAlign w:val="bottom"/>
            <w:tcBorders>
              <w:bottom w:val="single" w:sz="8" w:color="B8CCE4"/>
              <w:right w:val="single" w:sz="8" w:color="B8CCE4"/>
            </w:tcBorders>
          </w:tcPr>
          <w:p>
            <w:pPr>
              <w:spacing w:after="0"/>
              <w:rPr>
                <w:sz w:val="24"/>
                <w:szCs w:val="24"/>
                <w:color w:val="auto"/>
              </w:rPr>
            </w:pPr>
          </w:p>
        </w:tc>
        <w:tc>
          <w:tcPr>
            <w:tcW w:w="1820" w:type="dxa"/>
            <w:vAlign w:val="bottom"/>
          </w:tcPr>
          <w:p>
            <w:pPr>
              <w:spacing w:after="0"/>
              <w:rPr>
                <w:sz w:val="24"/>
                <w:szCs w:val="24"/>
                <w:color w:val="auto"/>
              </w:rPr>
            </w:pPr>
          </w:p>
        </w:tc>
        <w:tc>
          <w:tcPr>
            <w:tcW w:w="1680" w:type="dxa"/>
            <w:vAlign w:val="bottom"/>
            <w:tcBorders>
              <w:right w:val="single" w:sz="8" w:color="B8CCE4"/>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4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00" w:type="dxa"/>
            <w:vAlign w:val="bottom"/>
            <w:tcBorders>
              <w:bottom w:val="single" w:sz="8" w:color="B8CCE4"/>
              <w:right w:val="single" w:sz="8" w:color="B8CCE4"/>
            </w:tcBorders>
          </w:tcPr>
          <w:p>
            <w:pPr>
              <w:jc w:val="right"/>
              <w:ind w:right="148"/>
              <w:spacing w:after="0"/>
              <w:rPr>
                <w:sz w:val="20"/>
                <w:szCs w:val="20"/>
                <w:color w:val="auto"/>
              </w:rPr>
            </w:pPr>
            <w:r>
              <w:rPr>
                <w:rFonts w:ascii="Arial" w:cs="Arial" w:eastAsia="Arial" w:hAnsi="Arial"/>
                <w:sz w:val="20"/>
                <w:szCs w:val="20"/>
                <w:color w:val="auto"/>
              </w:rPr>
              <w:t>979.8</w:t>
            </w:r>
          </w:p>
        </w:tc>
        <w:tc>
          <w:tcPr>
            <w:tcW w:w="1820" w:type="dxa"/>
            <w:vAlign w:val="bottom"/>
          </w:tcPr>
          <w:p>
            <w:pPr>
              <w:spacing w:after="0"/>
              <w:rPr>
                <w:sz w:val="22"/>
                <w:szCs w:val="22"/>
                <w:color w:val="auto"/>
              </w:rPr>
            </w:pPr>
          </w:p>
        </w:tc>
        <w:tc>
          <w:tcPr>
            <w:tcW w:w="168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00" w:type="dxa"/>
            <w:vAlign w:val="bottom"/>
            <w:tcBorders>
              <w:bottom w:val="single" w:sz="8" w:color="B8CCE4"/>
              <w:right w:val="single" w:sz="8" w:color="B8CCE4"/>
            </w:tcBorders>
          </w:tcPr>
          <w:p>
            <w:pPr>
              <w:jc w:val="right"/>
              <w:ind w:right="148"/>
              <w:spacing w:after="0"/>
              <w:rPr>
                <w:sz w:val="20"/>
                <w:szCs w:val="20"/>
                <w:color w:val="auto"/>
              </w:rPr>
            </w:pPr>
            <w:r>
              <w:rPr>
                <w:rFonts w:ascii="Arial" w:cs="Arial" w:eastAsia="Arial" w:hAnsi="Arial"/>
                <w:sz w:val="20"/>
                <w:szCs w:val="20"/>
                <w:color w:val="auto"/>
              </w:rPr>
              <w:t>5,948.9</w:t>
            </w:r>
          </w:p>
        </w:tc>
        <w:tc>
          <w:tcPr>
            <w:tcW w:w="1820" w:type="dxa"/>
            <w:vAlign w:val="bottom"/>
            <w:tcBorders>
              <w:bottom w:val="single" w:sz="8" w:color="B8CCE4"/>
            </w:tcBorders>
          </w:tcPr>
          <w:p>
            <w:pPr>
              <w:spacing w:after="0"/>
              <w:rPr>
                <w:sz w:val="22"/>
                <w:szCs w:val="22"/>
                <w:color w:val="auto"/>
              </w:rPr>
            </w:pPr>
          </w:p>
        </w:tc>
        <w:tc>
          <w:tcPr>
            <w:tcW w:w="168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Subsea reported third quarter revenue of $1.5 billion. Revenue was down 37 percent from the prior year, primarily due to a reduction in project activity within Europe and Africa. Prior period declines in inbound orders continue to negatively impact near-term revenue.</w:t>
      </w:r>
    </w:p>
    <w:p>
      <w:pPr>
        <w:spacing w:after="0" w:line="15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Subsea reported operating profit of $102.8 million; adjusted EBITDA was $260.4 million with a margin of 17.6 percent. Operating profit margin decreased from the prior-year results as strong project execution, cost reductions, and ongoing restructuring activities were more than offset by lower levels of activity. These same factors drove the year-over-year decline in adjusted EBITDA margin, which decreased 390 basis points from the prior-year results.</w:t>
      </w:r>
    </w:p>
    <w:p>
      <w:pPr>
        <w:spacing w:after="0" w:line="153"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Vessel utilization rate for the third quarter of 2017 was 70 percent, slightly up from 67 percent in the second quarter of 2017, but down from the prior-year rate of 86 percent.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Third Quarter Subsea Highlights</w:t>
      </w:r>
    </w:p>
    <w:p>
      <w:pPr>
        <w:spacing w:after="0" w:line="13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Total Kaombo</w:t>
      </w:r>
    </w:p>
    <w:p>
      <w:pPr>
        <w:spacing w:after="0" w:line="185" w:lineRule="exact"/>
        <w:rPr>
          <w:rFonts w:ascii="Arial" w:cs="Arial" w:eastAsia="Arial" w:hAnsi="Arial"/>
          <w:sz w:val="20"/>
          <w:szCs w:val="20"/>
          <w:color w:val="auto"/>
        </w:rPr>
      </w:pPr>
    </w:p>
    <w:p>
      <w:pPr>
        <w:ind w:left="660" w:right="160"/>
        <w:spacing w:after="0" w:line="247" w:lineRule="auto"/>
        <w:rPr>
          <w:rFonts w:ascii="Arial" w:cs="Arial" w:eastAsia="Arial" w:hAnsi="Arial"/>
          <w:sz w:val="20"/>
          <w:szCs w:val="20"/>
          <w:color w:val="auto"/>
        </w:rPr>
      </w:pPr>
      <w:r>
        <w:rPr>
          <w:rFonts w:ascii="Arial" w:cs="Arial" w:eastAsia="Arial" w:hAnsi="Arial"/>
          <w:sz w:val="20"/>
          <w:szCs w:val="20"/>
          <w:color w:val="auto"/>
        </w:rPr>
        <w:t>Deep Blue campaign completed in mid-September and now Skandi Africa, supported by North Sea Atlantic, is installing umbilicals and rigid and flexible spools.</w:t>
      </w:r>
    </w:p>
    <w:p>
      <w:pPr>
        <w:spacing w:after="0" w:line="123"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Shell Appomattox</w:t>
      </w:r>
    </w:p>
    <w:p>
      <w:pPr>
        <w:spacing w:after="0" w:line="18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9"/>
          <w:szCs w:val="19"/>
          <w:color w:val="auto"/>
        </w:rPr>
        <w:t>Successfully delivered two production manifolds and completed key activities related to upcoming subsea tree deliveries.</w:t>
      </w:r>
    </w:p>
    <w:p>
      <w:pPr>
        <w:sectPr>
          <w:pgSz w:w="11900" w:h="16838" w:orient="portrait"/>
          <w:cols w:equalWidth="0" w:num="1">
            <w:col w:w="11240"/>
          </w:cols>
          <w:pgMar w:left="240" w:top="760" w:right="419" w:bottom="1440" w:gutter="0" w:footer="0" w:header="0"/>
        </w:sectPr>
      </w:pPr>
    </w:p>
    <w:bookmarkStart w:id="7" w:name="page8"/>
    <w:bookmarkEnd w:id="7"/>
    <w:p>
      <w:pPr>
        <w:spacing w:after="0" w:line="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Shell Prelude FLNG</w:t>
      </w:r>
    </w:p>
    <w:p>
      <w:pPr>
        <w:spacing w:after="0" w:line="18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Mooring completed in August. Umbilicals are connected, and the water intake riser is installed.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Subsea inbound orders for the quarter were $979.8 million. The following awards were announced in the period:</w:t>
      </w:r>
    </w:p>
    <w:p>
      <w:pPr>
        <w:spacing w:after="0" w:line="1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Hurricane Lancaster iEPCI™ Project West of Shetland</w:t>
      </w:r>
    </w:p>
    <w:p>
      <w:pPr>
        <w:spacing w:after="0" w:line="185" w:lineRule="exact"/>
        <w:rPr>
          <w:rFonts w:ascii="Arial" w:cs="Arial" w:eastAsia="Arial" w:hAnsi="Arial"/>
          <w:sz w:val="20"/>
          <w:szCs w:val="20"/>
          <w:b w:val="1"/>
          <w:bCs w:val="1"/>
          <w:color w:val="auto"/>
        </w:rPr>
      </w:pPr>
    </w:p>
    <w:p>
      <w:pPr>
        <w:ind w:left="660" w:right="4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Contract for integrated engineering, procurement, construction, and installation (iEPCI™) of subsea equipment for the Lancaster Early Production System. Scope includes umbilicals, risers, flowlines, and subsea production system, as well as installation of subsea equipment, turret buoy, and mooring system.</w:t>
      </w:r>
    </w:p>
    <w:p>
      <w:pPr>
        <w:spacing w:after="0" w:line="128" w:lineRule="exact"/>
        <w:rPr>
          <w:rFonts w:ascii="Arial" w:cs="Arial" w:eastAsia="Arial" w:hAnsi="Arial"/>
          <w:sz w:val="20"/>
          <w:szCs w:val="20"/>
          <w:b w:val="1"/>
          <w:bCs w:val="1"/>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Statoil Peregrino Phase 2 Project in Brazil</w:t>
      </w:r>
    </w:p>
    <w:p>
      <w:pPr>
        <w:spacing w:after="0" w:line="185" w:lineRule="exact"/>
        <w:rPr>
          <w:rFonts w:ascii="Arial" w:cs="Arial" w:eastAsia="Arial" w:hAnsi="Arial"/>
          <w:sz w:val="20"/>
          <w:szCs w:val="20"/>
          <w:color w:val="auto"/>
        </w:rPr>
      </w:pPr>
    </w:p>
    <w:p>
      <w:pPr>
        <w:ind w:left="660"/>
        <w:spacing w:after="0" w:line="247" w:lineRule="auto"/>
        <w:rPr>
          <w:rFonts w:ascii="Arial" w:cs="Arial" w:eastAsia="Arial" w:hAnsi="Arial"/>
          <w:sz w:val="20"/>
          <w:szCs w:val="20"/>
          <w:color w:val="auto"/>
        </w:rPr>
      </w:pPr>
      <w:r>
        <w:rPr>
          <w:rFonts w:ascii="Arial" w:cs="Arial" w:eastAsia="Arial" w:hAnsi="Arial"/>
          <w:sz w:val="20"/>
          <w:szCs w:val="20"/>
          <w:color w:val="auto"/>
        </w:rPr>
        <w:t>Contract for the EPCI of the subsea pipeline connection for a new production platform located in the Campos Basin. Scope includes rigid pipelines, flexible lines, and the required subsea equipment.</w:t>
      </w:r>
    </w:p>
    <w:p>
      <w:pPr>
        <w:spacing w:after="0" w:line="123"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Husky Energy West White Rose Project in Canada</w:t>
      </w:r>
    </w:p>
    <w:p>
      <w:pPr>
        <w:spacing w:after="0" w:line="185" w:lineRule="exact"/>
        <w:rPr>
          <w:rFonts w:ascii="Arial" w:cs="Arial" w:eastAsia="Arial" w:hAnsi="Arial"/>
          <w:sz w:val="20"/>
          <w:szCs w:val="20"/>
          <w:color w:val="auto"/>
        </w:rPr>
      </w:pPr>
    </w:p>
    <w:p>
      <w:pPr>
        <w:ind w:left="660" w:right="200"/>
        <w:spacing w:after="0" w:line="243" w:lineRule="auto"/>
        <w:rPr>
          <w:rFonts w:ascii="Arial" w:cs="Arial" w:eastAsia="Arial" w:hAnsi="Arial"/>
          <w:sz w:val="20"/>
          <w:szCs w:val="20"/>
          <w:color w:val="auto"/>
        </w:rPr>
      </w:pPr>
      <w:r>
        <w:rPr>
          <w:rFonts w:ascii="Arial" w:cs="Arial" w:eastAsia="Arial" w:hAnsi="Arial"/>
          <w:sz w:val="20"/>
          <w:szCs w:val="20"/>
          <w:color w:val="auto"/>
        </w:rPr>
        <w:t>Contract for the EPCI of subsea equipment, including tie-in manifolds, flexible flowlines, and control umbilicals, which will connect the recently announced West White Rose Platform to the existing SeaRose floating, production, storage and offloading vessel (FPSO).</w:t>
      </w:r>
    </w:p>
    <w:p>
      <w:pPr>
        <w:spacing w:after="0" w:line="325" w:lineRule="exact"/>
        <w:rPr>
          <w:sz w:val="20"/>
          <w:szCs w:val="20"/>
          <w:color w:val="auto"/>
        </w:rPr>
      </w:pPr>
    </w:p>
    <w:tbl>
      <w:tblPr>
        <w:tblLayout w:type="fixed"/>
        <w:tblInd w:w="230" w:type="dxa"/>
        <w:tblCellMar>
          <w:top w:w="0" w:type="dxa"/>
          <w:left w:w="0" w:type="dxa"/>
          <w:bottom w:w="0" w:type="dxa"/>
          <w:right w:w="0" w:type="dxa"/>
        </w:tblCellMar>
      </w:tblPr>
      <w:tr>
        <w:trPr>
          <w:trHeight w:val="275"/>
        </w:trPr>
        <w:tc>
          <w:tcPr>
            <w:tcW w:w="750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Estimated Backlog Scheduling as of September 30, 2017</w:t>
            </w:r>
          </w:p>
        </w:tc>
        <w:tc>
          <w:tcPr>
            <w:tcW w:w="3520" w:type="dxa"/>
            <w:vAlign w:val="bottom"/>
            <w:tcBorders>
              <w:top w:val="single" w:sz="8" w:color="B6DDE8"/>
              <w:right w:val="single" w:sz="8" w:color="B6DDE8"/>
            </w:tcBorders>
            <w:vMerge w:val="restart"/>
          </w:tcPr>
          <w:p>
            <w:pPr>
              <w:jc w:val="right"/>
              <w:ind w:right="1321"/>
              <w:spacing w:after="0"/>
              <w:rPr>
                <w:sz w:val="20"/>
                <w:szCs w:val="20"/>
                <w:color w:val="auto"/>
              </w:rPr>
            </w:pPr>
            <w:r>
              <w:rPr>
                <w:rFonts w:ascii="Arial" w:cs="Arial" w:eastAsia="Arial" w:hAnsi="Arial"/>
                <w:sz w:val="20"/>
                <w:szCs w:val="20"/>
                <w:b w:val="1"/>
                <w:bCs w:val="1"/>
                <w:color w:val="auto"/>
              </w:rPr>
              <w:t>Subsea</w:t>
            </w:r>
          </w:p>
        </w:tc>
        <w:tc>
          <w:tcPr>
            <w:tcW w:w="0" w:type="dxa"/>
            <w:vAlign w:val="bottom"/>
          </w:tcPr>
          <w:p>
            <w:pPr>
              <w:spacing w:after="0"/>
              <w:rPr>
                <w:sz w:val="1"/>
                <w:szCs w:val="1"/>
                <w:color w:val="auto"/>
              </w:rPr>
            </w:pPr>
          </w:p>
        </w:tc>
      </w:tr>
      <w:tr>
        <w:trPr>
          <w:trHeight w:val="215"/>
        </w:trPr>
        <w:tc>
          <w:tcPr>
            <w:tcW w:w="7500" w:type="dxa"/>
            <w:vAlign w:val="bottom"/>
            <w:tcBorders>
              <w:left w:val="single" w:sz="8" w:color="B6DDE8"/>
              <w:right w:val="single" w:sz="8" w:color="B6DDE8"/>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520" w:type="dxa"/>
            <w:vAlign w:val="bottom"/>
            <w:tcBorders>
              <w:right w:val="single" w:sz="8" w:color="B6DDE8"/>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500" w:type="dxa"/>
            <w:vAlign w:val="bottom"/>
            <w:tcBorders>
              <w:left w:val="single" w:sz="8" w:color="B6DDE8"/>
              <w:right w:val="single" w:sz="8" w:color="B6DDE8"/>
            </w:tcBorders>
            <w:vMerge w:val="continue"/>
          </w:tcPr>
          <w:p>
            <w:pPr>
              <w:spacing w:after="0"/>
              <w:rPr>
                <w:sz w:val="4"/>
                <w:szCs w:val="4"/>
                <w:color w:val="auto"/>
              </w:rPr>
            </w:pPr>
          </w:p>
        </w:tc>
        <w:tc>
          <w:tcPr>
            <w:tcW w:w="3520" w:type="dxa"/>
            <w:vAlign w:val="bottom"/>
            <w:tcBorders>
              <w:right w:val="single" w:sz="8" w:color="B6DDE8"/>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500" w:type="dxa"/>
            <w:vAlign w:val="bottom"/>
            <w:tcBorders>
              <w:left w:val="single" w:sz="8" w:color="B6DDE8"/>
              <w:bottom w:val="single" w:sz="8" w:color="B6DDE8"/>
              <w:right w:val="single" w:sz="8" w:color="B6DDE8"/>
            </w:tcBorders>
          </w:tcPr>
          <w:p>
            <w:pPr>
              <w:spacing w:after="0"/>
              <w:rPr>
                <w:sz w:val="16"/>
                <w:szCs w:val="16"/>
                <w:color w:val="auto"/>
              </w:rPr>
            </w:pPr>
          </w:p>
        </w:tc>
        <w:tc>
          <w:tcPr>
            <w:tcW w:w="3520" w:type="dxa"/>
            <w:vAlign w:val="bottom"/>
            <w:tcBorders>
              <w:bottom w:val="single" w:sz="8" w:color="B6DDE8"/>
              <w:right w:val="single" w:sz="8" w:color="B6DDE8"/>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50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2017 (3 months)</w:t>
            </w:r>
          </w:p>
        </w:tc>
        <w:tc>
          <w:tcPr>
            <w:tcW w:w="3520" w:type="dxa"/>
            <w:vAlign w:val="bottom"/>
            <w:tcBorders>
              <w:bottom w:val="single" w:sz="8" w:color="B6DDE8"/>
              <w:right w:val="single" w:sz="8" w:color="B6DDE8"/>
            </w:tcBorders>
          </w:tcPr>
          <w:p>
            <w:pPr>
              <w:jc w:val="right"/>
              <w:ind w:right="41"/>
              <w:spacing w:after="0"/>
              <w:rPr>
                <w:sz w:val="20"/>
                <w:szCs w:val="20"/>
                <w:color w:val="auto"/>
              </w:rPr>
            </w:pPr>
            <w:r>
              <w:rPr>
                <w:rFonts w:ascii="Arial" w:cs="Arial" w:eastAsia="Arial" w:hAnsi="Arial"/>
                <w:sz w:val="20"/>
                <w:szCs w:val="20"/>
                <w:color w:val="auto"/>
              </w:rPr>
              <w:t>$1,334</w:t>
            </w:r>
          </w:p>
        </w:tc>
        <w:tc>
          <w:tcPr>
            <w:tcW w:w="0" w:type="dxa"/>
            <w:vAlign w:val="bottom"/>
          </w:tcPr>
          <w:p>
            <w:pPr>
              <w:spacing w:after="0"/>
              <w:rPr>
                <w:sz w:val="1"/>
                <w:szCs w:val="1"/>
                <w:color w:val="auto"/>
              </w:rPr>
            </w:pPr>
          </w:p>
        </w:tc>
      </w:tr>
      <w:tr>
        <w:trPr>
          <w:trHeight w:val="264"/>
        </w:trPr>
        <w:tc>
          <w:tcPr>
            <w:tcW w:w="750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2018</w:t>
            </w:r>
          </w:p>
        </w:tc>
        <w:tc>
          <w:tcPr>
            <w:tcW w:w="3520" w:type="dxa"/>
            <w:vAlign w:val="bottom"/>
            <w:tcBorders>
              <w:bottom w:val="single" w:sz="8" w:color="B6DDE8"/>
              <w:right w:val="single" w:sz="8" w:color="B6DDE8"/>
            </w:tcBorders>
          </w:tcPr>
          <w:p>
            <w:pPr>
              <w:jc w:val="right"/>
              <w:ind w:right="41"/>
              <w:spacing w:after="0"/>
              <w:rPr>
                <w:sz w:val="20"/>
                <w:szCs w:val="20"/>
                <w:color w:val="auto"/>
              </w:rPr>
            </w:pPr>
            <w:r>
              <w:rPr>
                <w:rFonts w:ascii="Arial" w:cs="Arial" w:eastAsia="Arial" w:hAnsi="Arial"/>
                <w:sz w:val="20"/>
                <w:szCs w:val="20"/>
                <w:color w:val="auto"/>
              </w:rPr>
              <w:t>2,572</w:t>
            </w:r>
          </w:p>
        </w:tc>
        <w:tc>
          <w:tcPr>
            <w:tcW w:w="0" w:type="dxa"/>
            <w:vAlign w:val="bottom"/>
          </w:tcPr>
          <w:p>
            <w:pPr>
              <w:spacing w:after="0"/>
              <w:rPr>
                <w:sz w:val="1"/>
                <w:szCs w:val="1"/>
                <w:color w:val="auto"/>
              </w:rPr>
            </w:pPr>
          </w:p>
        </w:tc>
      </w:tr>
      <w:tr>
        <w:trPr>
          <w:trHeight w:val="264"/>
        </w:trPr>
        <w:tc>
          <w:tcPr>
            <w:tcW w:w="750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2019 and beyond</w:t>
            </w:r>
          </w:p>
        </w:tc>
        <w:tc>
          <w:tcPr>
            <w:tcW w:w="3520" w:type="dxa"/>
            <w:vAlign w:val="bottom"/>
            <w:tcBorders>
              <w:bottom w:val="single" w:sz="8" w:color="B6DDE8"/>
              <w:right w:val="single" w:sz="8" w:color="B6DDE8"/>
            </w:tcBorders>
          </w:tcPr>
          <w:p>
            <w:pPr>
              <w:jc w:val="right"/>
              <w:ind w:right="41"/>
              <w:spacing w:after="0"/>
              <w:rPr>
                <w:sz w:val="20"/>
                <w:szCs w:val="20"/>
                <w:color w:val="auto"/>
              </w:rPr>
            </w:pPr>
            <w:r>
              <w:rPr>
                <w:rFonts w:ascii="Arial" w:cs="Arial" w:eastAsia="Arial" w:hAnsi="Arial"/>
                <w:sz w:val="20"/>
                <w:szCs w:val="20"/>
                <w:color w:val="auto"/>
              </w:rPr>
              <w:t>2,043</w:t>
            </w:r>
          </w:p>
        </w:tc>
        <w:tc>
          <w:tcPr>
            <w:tcW w:w="0" w:type="dxa"/>
            <w:vAlign w:val="bottom"/>
          </w:tcPr>
          <w:p>
            <w:pPr>
              <w:spacing w:after="0"/>
              <w:rPr>
                <w:sz w:val="1"/>
                <w:szCs w:val="1"/>
                <w:color w:val="auto"/>
              </w:rPr>
            </w:pPr>
          </w:p>
        </w:tc>
      </w:tr>
      <w:tr>
        <w:trPr>
          <w:trHeight w:val="264"/>
        </w:trPr>
        <w:tc>
          <w:tcPr>
            <w:tcW w:w="750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3520" w:type="dxa"/>
            <w:vAlign w:val="bottom"/>
            <w:tcBorders>
              <w:bottom w:val="single" w:sz="8" w:color="B6DDE8"/>
              <w:right w:val="single" w:sz="8" w:color="B6DDE8"/>
            </w:tcBorders>
          </w:tcPr>
          <w:p>
            <w:pPr>
              <w:jc w:val="right"/>
              <w:ind w:right="41"/>
              <w:spacing w:after="0"/>
              <w:rPr>
                <w:sz w:val="20"/>
                <w:szCs w:val="20"/>
                <w:color w:val="auto"/>
              </w:rPr>
            </w:pPr>
            <w:r>
              <w:rPr>
                <w:rFonts w:ascii="Arial" w:cs="Arial" w:eastAsia="Arial" w:hAnsi="Arial"/>
                <w:sz w:val="20"/>
                <w:szCs w:val="20"/>
                <w:b w:val="1"/>
                <w:bCs w:val="1"/>
                <w:color w:val="auto"/>
              </w:rPr>
              <w:t>$5,949</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Backlog does not capture all revenue potential for subsea services.</w:t>
      </w:r>
    </w:p>
    <w:p>
      <w:pPr>
        <w:sectPr>
          <w:pgSz w:w="11900" w:h="16838" w:orient="portrait"/>
          <w:cols w:equalWidth="0" w:num="1">
            <w:col w:w="11400"/>
          </w:cols>
          <w:pgMar w:left="240" w:top="1440" w:right="259" w:bottom="1440" w:gutter="0" w:footer="0" w:header="0"/>
        </w:sectPr>
      </w:pPr>
    </w:p>
    <w:bookmarkStart w:id="8" w:name="page9"/>
    <w:bookmarkEnd w:id="8"/>
    <w:p>
      <w:pPr>
        <w:ind w:left="40"/>
        <w:spacing w:after="0"/>
        <w:rPr>
          <w:sz w:val="20"/>
          <w:szCs w:val="20"/>
          <w:color w:val="auto"/>
        </w:rPr>
      </w:pPr>
      <w:r>
        <w:rPr>
          <w:rFonts w:ascii="Arial" w:cs="Arial" w:eastAsia="Arial" w:hAnsi="Arial"/>
          <w:sz w:val="20"/>
          <w:szCs w:val="20"/>
          <w:b w:val="1"/>
          <w:bCs w:val="1"/>
          <w:color w:val="auto"/>
        </w:rPr>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in financial schedules below.</w:t>
      </w:r>
    </w:p>
    <w:p>
      <w:pPr>
        <w:spacing w:after="0" w:line="125" w:lineRule="exact"/>
        <w:rPr>
          <w:sz w:val="20"/>
          <w:szCs w:val="20"/>
          <w:color w:val="auto"/>
        </w:rPr>
      </w:pPr>
    </w:p>
    <w:tbl>
      <w:tblPr>
        <w:tblLayout w:type="fixed"/>
        <w:tblInd w:w="370" w:type="dxa"/>
        <w:tblCellMar>
          <w:top w:w="0" w:type="dxa"/>
          <w:left w:w="0" w:type="dxa"/>
          <w:bottom w:w="0" w:type="dxa"/>
          <w:right w:w="0" w:type="dxa"/>
        </w:tblCellMar>
      </w:tblPr>
      <w:tr>
        <w:trPr>
          <w:trHeight w:val="189"/>
        </w:trPr>
        <w:tc>
          <w:tcPr>
            <w:tcW w:w="5500" w:type="dxa"/>
            <w:vAlign w:val="bottom"/>
            <w:tcBorders>
              <w:top w:val="single" w:sz="8" w:color="B8CCE4"/>
              <w:left w:val="single" w:sz="8" w:color="B8CCE4"/>
              <w:right w:val="single" w:sz="8" w:color="B8CCE4"/>
            </w:tcBorders>
          </w:tcPr>
          <w:p>
            <w:pPr>
              <w:spacing w:after="0"/>
              <w:rPr>
                <w:sz w:val="16"/>
                <w:szCs w:val="16"/>
                <w:color w:val="auto"/>
              </w:rPr>
            </w:pPr>
          </w:p>
        </w:tc>
        <w:tc>
          <w:tcPr>
            <w:tcW w:w="1820" w:type="dxa"/>
            <w:vAlign w:val="bottom"/>
            <w:tcBorders>
              <w:top w:val="single" w:sz="8" w:color="B8CCE4"/>
              <w:right w:val="single" w:sz="8" w:color="B8CCE4"/>
            </w:tcBorders>
            <w:vMerge w:val="restart"/>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top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500" w:type="dxa"/>
            <w:vAlign w:val="bottom"/>
            <w:tcBorders>
              <w:left w:val="single" w:sz="8" w:color="B8CCE4"/>
              <w:right w:val="single" w:sz="8" w:color="B8CCE4"/>
            </w:tcBorders>
          </w:tcPr>
          <w:p>
            <w:pPr>
              <w:spacing w:after="0"/>
              <w:rPr>
                <w:sz w:val="7"/>
                <w:szCs w:val="7"/>
                <w:color w:val="auto"/>
              </w:rPr>
            </w:pPr>
          </w:p>
        </w:tc>
        <w:tc>
          <w:tcPr>
            <w:tcW w:w="1820" w:type="dxa"/>
            <w:vAlign w:val="bottom"/>
            <w:tcBorders>
              <w:right w:val="single" w:sz="8" w:color="B8CCE4"/>
            </w:tcBorders>
            <w:vMerge w:val="continue"/>
          </w:tcPr>
          <w:p>
            <w:pPr>
              <w:spacing w:after="0"/>
              <w:rPr>
                <w:sz w:val="7"/>
                <w:szCs w:val="7"/>
                <w:color w:val="auto"/>
              </w:rPr>
            </w:pPr>
          </w:p>
        </w:tc>
        <w:tc>
          <w:tcPr>
            <w:tcW w:w="172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September 30, 2016</w:t>
            </w:r>
          </w:p>
        </w:tc>
        <w:tc>
          <w:tcPr>
            <w:tcW w:w="170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50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20" w:type="dxa"/>
            <w:vAlign w:val="bottom"/>
            <w:tcBorders>
              <w:right w:val="single" w:sz="8" w:color="B8CCE4"/>
            </w:tcBorders>
            <w:vMerge w:val="restart"/>
          </w:tcPr>
          <w:p>
            <w:pPr>
              <w:jc w:val="right"/>
              <w:ind w:right="168"/>
              <w:spacing w:after="0"/>
              <w:rPr>
                <w:sz w:val="20"/>
                <w:szCs w:val="20"/>
                <w:color w:val="auto"/>
              </w:rPr>
            </w:pPr>
            <w:r>
              <w:rPr>
                <w:rFonts w:ascii="Arial" w:cs="Arial" w:eastAsia="Arial" w:hAnsi="Arial"/>
                <w:sz w:val="14"/>
                <w:szCs w:val="14"/>
                <w:b w:val="1"/>
                <w:bCs w:val="1"/>
                <w:color w:val="auto"/>
              </w:rPr>
              <w:t>September 30, 2017</w:t>
            </w:r>
          </w:p>
        </w:tc>
        <w:tc>
          <w:tcPr>
            <w:tcW w:w="1720" w:type="dxa"/>
            <w:vAlign w:val="bottom"/>
            <w:tcBorders>
              <w:right w:val="single" w:sz="8" w:color="B8CCE4"/>
            </w:tcBorders>
            <w:vMerge w:val="continue"/>
          </w:tcPr>
          <w:p>
            <w:pPr>
              <w:spacing w:after="0"/>
              <w:rPr>
                <w:sz w:val="7"/>
                <w:szCs w:val="7"/>
                <w:color w:val="auto"/>
              </w:rPr>
            </w:pP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09"/>
        </w:trPr>
        <w:tc>
          <w:tcPr>
            <w:tcW w:w="5500" w:type="dxa"/>
            <w:vAlign w:val="bottom"/>
            <w:tcBorders>
              <w:left w:val="single" w:sz="8" w:color="B8CCE4"/>
              <w:right w:val="single" w:sz="8" w:color="B8CCE4"/>
            </w:tcBorders>
            <w:vMerge w:val="continue"/>
          </w:tcPr>
          <w:p>
            <w:pPr>
              <w:spacing w:after="0"/>
              <w:rPr>
                <w:sz w:val="9"/>
                <w:szCs w:val="9"/>
                <w:color w:val="auto"/>
              </w:rPr>
            </w:pPr>
          </w:p>
        </w:tc>
        <w:tc>
          <w:tcPr>
            <w:tcW w:w="1820" w:type="dxa"/>
            <w:vAlign w:val="bottom"/>
            <w:tcBorders>
              <w:right w:val="single" w:sz="8" w:color="B8CCE4"/>
            </w:tcBorders>
            <w:vMerge w:val="continue"/>
          </w:tcPr>
          <w:p>
            <w:pPr>
              <w:spacing w:after="0"/>
              <w:rPr>
                <w:sz w:val="9"/>
                <w:szCs w:val="9"/>
                <w:color w:val="auto"/>
              </w:rPr>
            </w:pPr>
          </w:p>
        </w:tc>
        <w:tc>
          <w:tcPr>
            <w:tcW w:w="172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(Pro Forma)</w:t>
            </w:r>
          </w:p>
        </w:tc>
        <w:tc>
          <w:tcPr>
            <w:tcW w:w="1700" w:type="dxa"/>
            <w:vAlign w:val="bottom"/>
            <w:tcBorders>
              <w:right w:val="single" w:sz="8" w:color="B8CCE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00" w:type="dxa"/>
            <w:vAlign w:val="bottom"/>
            <w:tcBorders>
              <w:left w:val="single" w:sz="8" w:color="B8CCE4"/>
              <w:right w:val="single" w:sz="8" w:color="B8CCE4"/>
            </w:tcBorders>
          </w:tcPr>
          <w:p>
            <w:pPr>
              <w:spacing w:after="0"/>
              <w:rPr>
                <w:sz w:val="7"/>
                <w:szCs w:val="7"/>
                <w:color w:val="auto"/>
              </w:rPr>
            </w:pPr>
          </w:p>
        </w:tc>
        <w:tc>
          <w:tcPr>
            <w:tcW w:w="1820" w:type="dxa"/>
            <w:vAlign w:val="bottom"/>
            <w:tcBorders>
              <w:right w:val="single" w:sz="8" w:color="B8CCE4"/>
            </w:tcBorders>
          </w:tcPr>
          <w:p>
            <w:pPr>
              <w:spacing w:after="0"/>
              <w:rPr>
                <w:sz w:val="7"/>
                <w:szCs w:val="7"/>
                <w:color w:val="auto"/>
              </w:rPr>
            </w:pPr>
          </w:p>
        </w:tc>
        <w:tc>
          <w:tcPr>
            <w:tcW w:w="1720" w:type="dxa"/>
            <w:vAlign w:val="bottom"/>
            <w:tcBorders>
              <w:right w:val="single" w:sz="8" w:color="B8CCE4"/>
            </w:tcBorders>
            <w:vMerge w:val="continue"/>
          </w:tcPr>
          <w:p>
            <w:pPr>
              <w:spacing w:after="0"/>
              <w:rPr>
                <w:sz w:val="7"/>
                <w:szCs w:val="7"/>
                <w:color w:val="auto"/>
              </w:rPr>
            </w:pPr>
          </w:p>
        </w:tc>
        <w:tc>
          <w:tcPr>
            <w:tcW w:w="170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5500" w:type="dxa"/>
            <w:vAlign w:val="bottom"/>
            <w:tcBorders>
              <w:left w:val="single" w:sz="8" w:color="B8CCE4"/>
              <w:bottom w:val="single" w:sz="8" w:color="B8CCE4"/>
              <w:right w:val="single" w:sz="8" w:color="B8CCE4"/>
            </w:tcBorders>
          </w:tcPr>
          <w:p>
            <w:pPr>
              <w:spacing w:after="0"/>
              <w:rPr>
                <w:sz w:val="16"/>
                <w:szCs w:val="16"/>
                <w:color w:val="auto"/>
              </w:rPr>
            </w:pPr>
          </w:p>
        </w:tc>
        <w:tc>
          <w:tcPr>
            <w:tcW w:w="1820" w:type="dxa"/>
            <w:vAlign w:val="bottom"/>
            <w:tcBorders>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20" w:type="dxa"/>
            <w:vAlign w:val="bottom"/>
            <w:tcBorders>
              <w:bottom w:val="single" w:sz="8" w:color="B8CCE4"/>
              <w:right w:val="single" w:sz="8" w:color="B8CCE4"/>
            </w:tcBorders>
          </w:tcPr>
          <w:p>
            <w:pPr>
              <w:jc w:val="right"/>
              <w:ind w:right="148"/>
              <w:spacing w:after="0"/>
              <w:rPr>
                <w:sz w:val="20"/>
                <w:szCs w:val="20"/>
                <w:color w:val="auto"/>
              </w:rPr>
            </w:pPr>
            <w:r>
              <w:rPr>
                <w:rFonts w:ascii="Arial" w:cs="Arial" w:eastAsia="Arial" w:hAnsi="Arial"/>
                <w:sz w:val="20"/>
                <w:szCs w:val="20"/>
                <w:color w:val="auto"/>
              </w:rPr>
              <w:t>$2,308.1</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$2,398.8</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(3.8%)</w:t>
            </w:r>
          </w:p>
        </w:tc>
        <w:tc>
          <w:tcPr>
            <w:tcW w:w="0" w:type="dxa"/>
            <w:vAlign w:val="bottom"/>
          </w:tcPr>
          <w:p>
            <w:pPr>
              <w:spacing w:after="0"/>
              <w:rPr>
                <w:sz w:val="1"/>
                <w:szCs w:val="1"/>
                <w:color w:val="auto"/>
              </w:rPr>
            </w:pPr>
          </w:p>
        </w:tc>
      </w:tr>
      <w:tr>
        <w:trPr>
          <w:trHeight w:val="264"/>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820" w:type="dxa"/>
            <w:vAlign w:val="bottom"/>
            <w:tcBorders>
              <w:bottom w:val="single" w:sz="8" w:color="B8CCE4"/>
              <w:right w:val="single" w:sz="8" w:color="B8CCE4"/>
            </w:tcBorders>
          </w:tcPr>
          <w:p>
            <w:pPr>
              <w:jc w:val="right"/>
              <w:ind w:right="148"/>
              <w:spacing w:after="0"/>
              <w:rPr>
                <w:sz w:val="20"/>
                <w:szCs w:val="20"/>
                <w:color w:val="auto"/>
              </w:rPr>
            </w:pPr>
            <w:r>
              <w:rPr>
                <w:rFonts w:ascii="Arial" w:cs="Arial" w:eastAsia="Arial" w:hAnsi="Arial"/>
                <w:sz w:val="20"/>
                <w:szCs w:val="20"/>
                <w:color w:val="auto"/>
              </w:rPr>
              <w:t>206.4</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118.6</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74.0%</w:t>
            </w:r>
          </w:p>
        </w:tc>
        <w:tc>
          <w:tcPr>
            <w:tcW w:w="0" w:type="dxa"/>
            <w:vAlign w:val="bottom"/>
          </w:tcPr>
          <w:p>
            <w:pPr>
              <w:spacing w:after="0"/>
              <w:rPr>
                <w:sz w:val="1"/>
                <w:szCs w:val="1"/>
                <w:color w:val="auto"/>
              </w:rPr>
            </w:pPr>
          </w:p>
        </w:tc>
      </w:tr>
      <w:tr>
        <w:trPr>
          <w:trHeight w:val="264"/>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20" w:type="dxa"/>
            <w:vAlign w:val="bottom"/>
            <w:tcBorders>
              <w:bottom w:val="single" w:sz="8" w:color="B8CCE4"/>
              <w:right w:val="single" w:sz="8" w:color="B8CCE4"/>
            </w:tcBorders>
          </w:tcPr>
          <w:p>
            <w:pPr>
              <w:jc w:val="right"/>
              <w:ind w:right="148"/>
              <w:spacing w:after="0"/>
              <w:rPr>
                <w:sz w:val="20"/>
                <w:szCs w:val="20"/>
                <w:color w:val="auto"/>
              </w:rPr>
            </w:pPr>
            <w:r>
              <w:rPr>
                <w:rFonts w:ascii="Arial" w:cs="Arial" w:eastAsia="Arial" w:hAnsi="Arial"/>
                <w:sz w:val="20"/>
                <w:szCs w:val="20"/>
                <w:color w:val="auto"/>
              </w:rPr>
              <w:t>224.6</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132.4</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84.7%</w:t>
            </w:r>
          </w:p>
        </w:tc>
        <w:tc>
          <w:tcPr>
            <w:tcW w:w="0" w:type="dxa"/>
            <w:vAlign w:val="bottom"/>
          </w:tcPr>
          <w:p>
            <w:pPr>
              <w:spacing w:after="0"/>
              <w:rPr>
                <w:sz w:val="1"/>
                <w:szCs w:val="1"/>
                <w:color w:val="auto"/>
              </w:rPr>
            </w:pPr>
          </w:p>
        </w:tc>
      </w:tr>
      <w:tr>
        <w:trPr>
          <w:trHeight w:val="264"/>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10.6%</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5.5%</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+510 bps</w:t>
            </w:r>
          </w:p>
        </w:tc>
        <w:tc>
          <w:tcPr>
            <w:tcW w:w="0" w:type="dxa"/>
            <w:vAlign w:val="bottom"/>
          </w:tcPr>
          <w:p>
            <w:pPr>
              <w:spacing w:after="0"/>
              <w:rPr>
                <w:sz w:val="1"/>
                <w:szCs w:val="1"/>
                <w:color w:val="auto"/>
              </w:rPr>
            </w:pPr>
          </w:p>
        </w:tc>
      </w:tr>
      <w:tr>
        <w:trPr>
          <w:trHeight w:val="322"/>
        </w:trPr>
        <w:tc>
          <w:tcPr>
            <w:tcW w:w="5500" w:type="dxa"/>
            <w:vAlign w:val="bottom"/>
            <w:tcBorders>
              <w:left w:val="single" w:sz="8" w:color="B8CCE4"/>
              <w:bottom w:val="single" w:sz="8" w:color="B8CCE4"/>
              <w:right w:val="single" w:sz="8" w:color="B8CCE4"/>
            </w:tcBorders>
          </w:tcPr>
          <w:p>
            <w:pPr>
              <w:spacing w:after="0"/>
              <w:rPr>
                <w:sz w:val="24"/>
                <w:szCs w:val="24"/>
                <w:color w:val="auto"/>
              </w:rPr>
            </w:pPr>
          </w:p>
        </w:tc>
        <w:tc>
          <w:tcPr>
            <w:tcW w:w="1820" w:type="dxa"/>
            <w:vAlign w:val="bottom"/>
            <w:tcBorders>
              <w:bottom w:val="single" w:sz="8" w:color="B8CCE4"/>
              <w:right w:val="single" w:sz="8" w:color="B8CCE4"/>
            </w:tcBorders>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Borders>
              <w:right w:val="single" w:sz="8" w:color="B8CCE4"/>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20" w:type="dxa"/>
            <w:vAlign w:val="bottom"/>
            <w:tcBorders>
              <w:bottom w:val="single" w:sz="8" w:color="B8CCE4"/>
              <w:right w:val="single" w:sz="8" w:color="B8CCE4"/>
            </w:tcBorders>
          </w:tcPr>
          <w:p>
            <w:pPr>
              <w:jc w:val="right"/>
              <w:ind w:right="148"/>
              <w:spacing w:after="0"/>
              <w:rPr>
                <w:sz w:val="20"/>
                <w:szCs w:val="20"/>
                <w:color w:val="auto"/>
              </w:rPr>
            </w:pPr>
            <w:r>
              <w:rPr>
                <w:rFonts w:ascii="Arial" w:cs="Arial" w:eastAsia="Arial" w:hAnsi="Arial"/>
                <w:sz w:val="20"/>
                <w:szCs w:val="20"/>
                <w:color w:val="auto"/>
              </w:rPr>
              <w:t>1,153.0</w:t>
            </w:r>
          </w:p>
        </w:tc>
        <w:tc>
          <w:tcPr>
            <w:tcW w:w="1720" w:type="dxa"/>
            <w:vAlign w:val="bottom"/>
          </w:tcPr>
          <w:p>
            <w:pPr>
              <w:spacing w:after="0"/>
              <w:rPr>
                <w:sz w:val="22"/>
                <w:szCs w:val="22"/>
                <w:color w:val="auto"/>
              </w:rPr>
            </w:pPr>
          </w:p>
        </w:tc>
        <w:tc>
          <w:tcPr>
            <w:tcW w:w="170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20" w:type="dxa"/>
            <w:vAlign w:val="bottom"/>
            <w:tcBorders>
              <w:bottom w:val="single" w:sz="8" w:color="B8CCE4"/>
              <w:right w:val="single" w:sz="8" w:color="B8CCE4"/>
            </w:tcBorders>
          </w:tcPr>
          <w:p>
            <w:pPr>
              <w:jc w:val="right"/>
              <w:ind w:right="148"/>
              <w:spacing w:after="0"/>
              <w:rPr>
                <w:sz w:val="20"/>
                <w:szCs w:val="20"/>
                <w:color w:val="auto"/>
              </w:rPr>
            </w:pPr>
            <w:r>
              <w:rPr>
                <w:rFonts w:ascii="Arial" w:cs="Arial" w:eastAsia="Arial" w:hAnsi="Arial"/>
                <w:sz w:val="20"/>
                <w:szCs w:val="20"/>
                <w:color w:val="auto"/>
              </w:rPr>
              <w:t>7,559.3</w:t>
            </w:r>
          </w:p>
        </w:tc>
        <w:tc>
          <w:tcPr>
            <w:tcW w:w="1720" w:type="dxa"/>
            <w:vAlign w:val="bottom"/>
            <w:tcBorders>
              <w:bottom w:val="single" w:sz="8" w:color="B8CCE4"/>
            </w:tcBorders>
          </w:tcPr>
          <w:p>
            <w:pPr>
              <w:spacing w:after="0"/>
              <w:rPr>
                <w:sz w:val="22"/>
                <w:szCs w:val="22"/>
                <w:color w:val="auto"/>
              </w:rPr>
            </w:pPr>
          </w:p>
        </w:tc>
        <w:tc>
          <w:tcPr>
            <w:tcW w:w="170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Onshore/Offshore reported third quarter revenue of $2.3 billion. Revenue declined 3.8 percent from the prior-year quarter. Revenue was modestly lower due to the completion of several projects since the prior-year period, partially offset by increased activity in the Middle East region.</w:t>
      </w:r>
    </w:p>
    <w:p>
      <w:pPr>
        <w:spacing w:after="0" w:line="15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Onshore/Offshore reported operating profit of $206.4 million; adjusted EBITDA was $244.6 million with a margin of 10.6 percent. Operating profit and margin improved year-over-year despite the revenue decline due to the successful progression of several major projects. These same factors drove the significant year-over-year improvement in adjusted EBITDA and margin; adjusted EBITDA margin increased 510 basis points from the prior-year results.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Third Quarter Onshore/Offshore Highlights</w:t>
      </w:r>
    </w:p>
    <w:p>
      <w:pPr>
        <w:spacing w:after="0" w:line="13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Yamal LNG</w:t>
      </w:r>
    </w:p>
    <w:p>
      <w:pPr>
        <w:spacing w:after="0" w:line="185" w:lineRule="exact"/>
        <w:rPr>
          <w:rFonts w:ascii="Arial" w:cs="Arial" w:eastAsia="Arial" w:hAnsi="Arial"/>
          <w:sz w:val="20"/>
          <w:szCs w:val="20"/>
          <w:color w:val="auto"/>
        </w:rPr>
      </w:pPr>
    </w:p>
    <w:p>
      <w:pPr>
        <w:ind w:left="660" w:right="100"/>
        <w:spacing w:after="0" w:line="243" w:lineRule="auto"/>
        <w:rPr>
          <w:rFonts w:ascii="Arial" w:cs="Arial" w:eastAsia="Arial" w:hAnsi="Arial"/>
          <w:sz w:val="20"/>
          <w:szCs w:val="20"/>
          <w:color w:val="auto"/>
        </w:rPr>
      </w:pPr>
      <w:r>
        <w:rPr>
          <w:rFonts w:ascii="Arial" w:cs="Arial" w:eastAsia="Arial" w:hAnsi="Arial"/>
          <w:sz w:val="20"/>
          <w:szCs w:val="20"/>
          <w:color w:val="auto"/>
        </w:rPr>
        <w:t>Last of the 142 modules for the three LNG trains delivered to the site in September, ahead of schedule. Successfully achieved start-up of the first two gas compressors and the flare. Commissioning of Train 1 progressing well and nearing completion.</w:t>
      </w:r>
    </w:p>
    <w:p>
      <w:pPr>
        <w:spacing w:after="0" w:line="128"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Shell Prelude FLNG</w:t>
      </w:r>
    </w:p>
    <w:p>
      <w:pPr>
        <w:spacing w:after="0" w:line="18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Floating unit arrived off the coast of Australia. Topsides undergoing offshore commissioning.</w:t>
      </w:r>
    </w:p>
    <w:p>
      <w:pPr>
        <w:spacing w:after="0" w:line="137"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ENOC Jebel Ali Refinery Upgrade</w:t>
      </w:r>
    </w:p>
    <w:p>
      <w:pPr>
        <w:spacing w:after="0" w:line="18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Ramp up of civil works and procurement is underway after completion of the piling campaign.</w:t>
      </w:r>
    </w:p>
    <w:p>
      <w:pPr>
        <w:sectPr>
          <w:pgSz w:w="11900" w:h="16838" w:orient="portrait"/>
          <w:cols w:equalWidth="0" w:num="1">
            <w:col w:w="11220"/>
          </w:cols>
          <w:pgMar w:left="240" w:top="517" w:right="439" w:bottom="1440" w:gutter="0" w:footer="0" w:header="0"/>
        </w:sectPr>
      </w:pPr>
    </w:p>
    <w:bookmarkStart w:id="9" w:name="page10"/>
    <w:bookmarkEnd w:id="9"/>
    <w:p>
      <w:pPr>
        <w:ind w:right="300"/>
        <w:spacing w:after="0" w:line="247" w:lineRule="auto"/>
        <w:rPr>
          <w:sz w:val="20"/>
          <w:szCs w:val="20"/>
          <w:color w:val="auto"/>
        </w:rPr>
      </w:pPr>
      <w:r>
        <w:rPr>
          <w:rFonts w:ascii="Arial" w:cs="Arial" w:eastAsia="Arial" w:hAnsi="Arial"/>
          <w:sz w:val="20"/>
          <w:szCs w:val="20"/>
          <w:color w:val="auto"/>
        </w:rPr>
        <w:t>Onshore/Offshore inbound orders for the quarter were $1.2 billion. Although no major projects were awarded in the quarter, the inbound reflects the strength of our Process Technology, Project Management Consultancy and services offerings.</w:t>
      </w:r>
    </w:p>
    <w:p>
      <w:pPr>
        <w:spacing w:after="0" w:line="321" w:lineRule="exact"/>
        <w:rPr>
          <w:sz w:val="20"/>
          <w:szCs w:val="20"/>
          <w:color w:val="auto"/>
        </w:rPr>
      </w:pPr>
    </w:p>
    <w:tbl>
      <w:tblPr>
        <w:tblLayout w:type="fixed"/>
        <w:tblInd w:w="310" w:type="dxa"/>
        <w:tblCellMar>
          <w:top w:w="0" w:type="dxa"/>
          <w:left w:w="0" w:type="dxa"/>
          <w:bottom w:w="0" w:type="dxa"/>
          <w:right w:w="0" w:type="dxa"/>
        </w:tblCellMar>
      </w:tblPr>
      <w:tr>
        <w:trPr>
          <w:trHeight w:val="275"/>
        </w:trPr>
        <w:tc>
          <w:tcPr>
            <w:tcW w:w="730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Estimated Backlog Scheduling as of September 30, 2017</w:t>
            </w:r>
          </w:p>
        </w:tc>
        <w:tc>
          <w:tcPr>
            <w:tcW w:w="3560" w:type="dxa"/>
            <w:vAlign w:val="bottom"/>
            <w:tcBorders>
              <w:top w:val="single" w:sz="8" w:color="B6DDE8"/>
              <w:right w:val="single" w:sz="8" w:color="B6DDE8"/>
            </w:tcBorders>
            <w:vMerge w:val="restart"/>
          </w:tcPr>
          <w:p>
            <w:pPr>
              <w:jc w:val="right"/>
              <w:ind w:right="861"/>
              <w:spacing w:after="0"/>
              <w:rPr>
                <w:sz w:val="20"/>
                <w:szCs w:val="20"/>
                <w:color w:val="auto"/>
              </w:rPr>
            </w:pPr>
            <w:r>
              <w:rPr>
                <w:rFonts w:ascii="Arial" w:cs="Arial" w:eastAsia="Arial" w:hAnsi="Arial"/>
                <w:sz w:val="20"/>
                <w:szCs w:val="20"/>
                <w:b w:val="1"/>
                <w:bCs w:val="1"/>
                <w:color w:val="auto"/>
              </w:rPr>
              <w:t>Onshore/Offshore</w:t>
            </w:r>
          </w:p>
        </w:tc>
        <w:tc>
          <w:tcPr>
            <w:tcW w:w="0" w:type="dxa"/>
            <w:vAlign w:val="bottom"/>
          </w:tcPr>
          <w:p>
            <w:pPr>
              <w:spacing w:after="0"/>
              <w:rPr>
                <w:sz w:val="1"/>
                <w:szCs w:val="1"/>
                <w:color w:val="auto"/>
              </w:rPr>
            </w:pPr>
          </w:p>
        </w:tc>
      </w:tr>
      <w:tr>
        <w:trPr>
          <w:trHeight w:val="215"/>
        </w:trPr>
        <w:tc>
          <w:tcPr>
            <w:tcW w:w="7300" w:type="dxa"/>
            <w:vAlign w:val="bottom"/>
            <w:tcBorders>
              <w:left w:val="single" w:sz="8" w:color="B6DDE8"/>
              <w:right w:val="single" w:sz="8" w:color="B6DDE8"/>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560" w:type="dxa"/>
            <w:vAlign w:val="bottom"/>
            <w:tcBorders>
              <w:right w:val="single" w:sz="8" w:color="B6DDE8"/>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300" w:type="dxa"/>
            <w:vAlign w:val="bottom"/>
            <w:tcBorders>
              <w:left w:val="single" w:sz="8" w:color="B6DDE8"/>
              <w:right w:val="single" w:sz="8" w:color="B6DDE8"/>
            </w:tcBorders>
            <w:vMerge w:val="continue"/>
          </w:tcPr>
          <w:p>
            <w:pPr>
              <w:spacing w:after="0"/>
              <w:rPr>
                <w:sz w:val="4"/>
                <w:szCs w:val="4"/>
                <w:color w:val="auto"/>
              </w:rPr>
            </w:pPr>
          </w:p>
        </w:tc>
        <w:tc>
          <w:tcPr>
            <w:tcW w:w="3560" w:type="dxa"/>
            <w:vAlign w:val="bottom"/>
            <w:tcBorders>
              <w:right w:val="single" w:sz="8" w:color="B6DDE8"/>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300" w:type="dxa"/>
            <w:vAlign w:val="bottom"/>
            <w:tcBorders>
              <w:left w:val="single" w:sz="8" w:color="B6DDE8"/>
              <w:bottom w:val="single" w:sz="8" w:color="B6DDE8"/>
              <w:right w:val="single" w:sz="8" w:color="B6DDE8"/>
            </w:tcBorders>
          </w:tcPr>
          <w:p>
            <w:pPr>
              <w:spacing w:after="0"/>
              <w:rPr>
                <w:sz w:val="16"/>
                <w:szCs w:val="16"/>
                <w:color w:val="auto"/>
              </w:rPr>
            </w:pPr>
          </w:p>
        </w:tc>
        <w:tc>
          <w:tcPr>
            <w:tcW w:w="3560" w:type="dxa"/>
            <w:vAlign w:val="bottom"/>
            <w:tcBorders>
              <w:bottom w:val="single" w:sz="8" w:color="B6DDE8"/>
              <w:right w:val="single" w:sz="8" w:color="B6DDE8"/>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30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2017 (3 months)</w:t>
            </w:r>
          </w:p>
        </w:tc>
        <w:tc>
          <w:tcPr>
            <w:tcW w:w="35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$1,693</w:t>
            </w:r>
          </w:p>
        </w:tc>
        <w:tc>
          <w:tcPr>
            <w:tcW w:w="0" w:type="dxa"/>
            <w:vAlign w:val="bottom"/>
          </w:tcPr>
          <w:p>
            <w:pPr>
              <w:spacing w:after="0"/>
              <w:rPr>
                <w:sz w:val="1"/>
                <w:szCs w:val="1"/>
                <w:color w:val="auto"/>
              </w:rPr>
            </w:pPr>
          </w:p>
        </w:tc>
      </w:tr>
      <w:tr>
        <w:trPr>
          <w:trHeight w:val="264"/>
        </w:trPr>
        <w:tc>
          <w:tcPr>
            <w:tcW w:w="730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2018</w:t>
            </w:r>
          </w:p>
        </w:tc>
        <w:tc>
          <w:tcPr>
            <w:tcW w:w="35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3,729</w:t>
            </w:r>
          </w:p>
        </w:tc>
        <w:tc>
          <w:tcPr>
            <w:tcW w:w="0" w:type="dxa"/>
            <w:vAlign w:val="bottom"/>
          </w:tcPr>
          <w:p>
            <w:pPr>
              <w:spacing w:after="0"/>
              <w:rPr>
                <w:sz w:val="1"/>
                <w:szCs w:val="1"/>
                <w:color w:val="auto"/>
              </w:rPr>
            </w:pPr>
          </w:p>
        </w:tc>
      </w:tr>
      <w:tr>
        <w:trPr>
          <w:trHeight w:val="264"/>
        </w:trPr>
        <w:tc>
          <w:tcPr>
            <w:tcW w:w="730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2019 and beyond</w:t>
            </w:r>
          </w:p>
        </w:tc>
        <w:tc>
          <w:tcPr>
            <w:tcW w:w="35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2,137</w:t>
            </w:r>
          </w:p>
        </w:tc>
        <w:tc>
          <w:tcPr>
            <w:tcW w:w="0" w:type="dxa"/>
            <w:vAlign w:val="bottom"/>
          </w:tcPr>
          <w:p>
            <w:pPr>
              <w:spacing w:after="0"/>
              <w:rPr>
                <w:sz w:val="1"/>
                <w:szCs w:val="1"/>
                <w:color w:val="auto"/>
              </w:rPr>
            </w:pPr>
          </w:p>
        </w:tc>
      </w:tr>
      <w:tr>
        <w:trPr>
          <w:trHeight w:val="264"/>
        </w:trPr>
        <w:tc>
          <w:tcPr>
            <w:tcW w:w="730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35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$7,559</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i w:val="1"/>
          <w:iCs w:val="1"/>
          <w:color w:val="auto"/>
        </w:rPr>
        <w:t>Backlog does not capture all revenue potential in future periods given reimbursable scope portions of existing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in financial schedules below.</w:t>
      </w:r>
    </w:p>
    <w:p>
      <w:pPr>
        <w:spacing w:after="0" w:line="125" w:lineRule="exact"/>
        <w:rPr>
          <w:sz w:val="20"/>
          <w:szCs w:val="20"/>
          <w:color w:val="auto"/>
        </w:rPr>
      </w:pPr>
    </w:p>
    <w:tbl>
      <w:tblPr>
        <w:tblLayout w:type="fixed"/>
        <w:tblInd w:w="370" w:type="dxa"/>
        <w:tblCellMar>
          <w:top w:w="0" w:type="dxa"/>
          <w:left w:w="0" w:type="dxa"/>
          <w:bottom w:w="0" w:type="dxa"/>
          <w:right w:w="0" w:type="dxa"/>
        </w:tblCellMar>
      </w:tblPr>
      <w:tr>
        <w:trPr>
          <w:trHeight w:val="189"/>
        </w:trPr>
        <w:tc>
          <w:tcPr>
            <w:tcW w:w="5500" w:type="dxa"/>
            <w:vAlign w:val="bottom"/>
            <w:tcBorders>
              <w:top w:val="single" w:sz="8" w:color="B8CCE4"/>
              <w:left w:val="single" w:sz="8" w:color="B8CCE4"/>
              <w:right w:val="single" w:sz="8" w:color="B8CCE4"/>
            </w:tcBorders>
          </w:tcPr>
          <w:p>
            <w:pPr>
              <w:spacing w:after="0"/>
              <w:rPr>
                <w:sz w:val="16"/>
                <w:szCs w:val="16"/>
                <w:color w:val="auto"/>
              </w:rPr>
            </w:pPr>
          </w:p>
        </w:tc>
        <w:tc>
          <w:tcPr>
            <w:tcW w:w="1840" w:type="dxa"/>
            <w:vAlign w:val="bottom"/>
            <w:tcBorders>
              <w:top w:val="single" w:sz="8" w:color="B8CCE4"/>
              <w:right w:val="single" w:sz="8" w:color="B8CCE4"/>
            </w:tcBorders>
            <w:vMerge w:val="restart"/>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top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500" w:type="dxa"/>
            <w:vAlign w:val="bottom"/>
            <w:tcBorders>
              <w:left w:val="single" w:sz="8" w:color="B8CCE4"/>
              <w:right w:val="single" w:sz="8" w:color="B8CCE4"/>
            </w:tcBorders>
          </w:tcPr>
          <w:p>
            <w:pPr>
              <w:spacing w:after="0"/>
              <w:rPr>
                <w:sz w:val="7"/>
                <w:szCs w:val="7"/>
                <w:color w:val="auto"/>
              </w:rPr>
            </w:pPr>
          </w:p>
        </w:tc>
        <w:tc>
          <w:tcPr>
            <w:tcW w:w="1840" w:type="dxa"/>
            <w:vAlign w:val="bottom"/>
            <w:tcBorders>
              <w:right w:val="single" w:sz="8" w:color="B8CCE4"/>
            </w:tcBorders>
            <w:vMerge w:val="continue"/>
          </w:tcPr>
          <w:p>
            <w:pPr>
              <w:spacing w:after="0"/>
              <w:rPr>
                <w:sz w:val="7"/>
                <w:szCs w:val="7"/>
                <w:color w:val="auto"/>
              </w:rPr>
            </w:pP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September 30, 2016</w:t>
            </w:r>
          </w:p>
        </w:tc>
        <w:tc>
          <w:tcPr>
            <w:tcW w:w="170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50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Borders>
              <w:right w:val="single" w:sz="8" w:color="B8CCE4"/>
            </w:tcBorders>
            <w:vMerge w:val="restart"/>
          </w:tcPr>
          <w:p>
            <w:pPr>
              <w:jc w:val="right"/>
              <w:ind w:right="188"/>
              <w:spacing w:after="0"/>
              <w:rPr>
                <w:sz w:val="20"/>
                <w:szCs w:val="20"/>
                <w:color w:val="auto"/>
              </w:rPr>
            </w:pPr>
            <w:r>
              <w:rPr>
                <w:rFonts w:ascii="Arial" w:cs="Arial" w:eastAsia="Arial" w:hAnsi="Arial"/>
                <w:sz w:val="14"/>
                <w:szCs w:val="14"/>
                <w:b w:val="1"/>
                <w:bCs w:val="1"/>
                <w:color w:val="auto"/>
              </w:rPr>
              <w:t>September 30, 2017</w:t>
            </w:r>
          </w:p>
        </w:tc>
        <w:tc>
          <w:tcPr>
            <w:tcW w:w="1700" w:type="dxa"/>
            <w:vAlign w:val="bottom"/>
            <w:tcBorders>
              <w:right w:val="single" w:sz="8" w:color="B8CCE4"/>
            </w:tcBorders>
            <w:vMerge w:val="continue"/>
          </w:tcPr>
          <w:p>
            <w:pPr>
              <w:spacing w:after="0"/>
              <w:rPr>
                <w:sz w:val="7"/>
                <w:szCs w:val="7"/>
                <w:color w:val="auto"/>
              </w:rPr>
            </w:pP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09"/>
        </w:trPr>
        <w:tc>
          <w:tcPr>
            <w:tcW w:w="5500" w:type="dxa"/>
            <w:vAlign w:val="bottom"/>
            <w:tcBorders>
              <w:left w:val="single" w:sz="8" w:color="B8CCE4"/>
              <w:right w:val="single" w:sz="8" w:color="B8CCE4"/>
            </w:tcBorders>
            <w:vMerge w:val="continue"/>
          </w:tcPr>
          <w:p>
            <w:pPr>
              <w:spacing w:after="0"/>
              <w:rPr>
                <w:sz w:val="9"/>
                <w:szCs w:val="9"/>
                <w:color w:val="auto"/>
              </w:rPr>
            </w:pPr>
          </w:p>
        </w:tc>
        <w:tc>
          <w:tcPr>
            <w:tcW w:w="1840" w:type="dxa"/>
            <w:vAlign w:val="bottom"/>
            <w:tcBorders>
              <w:right w:val="single" w:sz="8" w:color="B8CCE4"/>
            </w:tcBorders>
            <w:vMerge w:val="continue"/>
          </w:tcPr>
          <w:p>
            <w:pPr>
              <w:spacing w:after="0"/>
              <w:rPr>
                <w:sz w:val="9"/>
                <w:szCs w:val="9"/>
                <w:color w:val="auto"/>
              </w:rPr>
            </w:pP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(Pro Forma)</w:t>
            </w:r>
          </w:p>
        </w:tc>
        <w:tc>
          <w:tcPr>
            <w:tcW w:w="1700" w:type="dxa"/>
            <w:vAlign w:val="bottom"/>
            <w:tcBorders>
              <w:right w:val="single" w:sz="8" w:color="B8CCE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00" w:type="dxa"/>
            <w:vAlign w:val="bottom"/>
            <w:tcBorders>
              <w:left w:val="single" w:sz="8" w:color="B8CCE4"/>
              <w:right w:val="single" w:sz="8" w:color="B8CCE4"/>
            </w:tcBorders>
          </w:tcPr>
          <w:p>
            <w:pPr>
              <w:spacing w:after="0"/>
              <w:rPr>
                <w:sz w:val="7"/>
                <w:szCs w:val="7"/>
                <w:color w:val="auto"/>
              </w:rPr>
            </w:pPr>
          </w:p>
        </w:tc>
        <w:tc>
          <w:tcPr>
            <w:tcW w:w="1840" w:type="dxa"/>
            <w:vAlign w:val="bottom"/>
            <w:tcBorders>
              <w:right w:val="single" w:sz="8" w:color="B8CCE4"/>
            </w:tcBorders>
          </w:tcPr>
          <w:p>
            <w:pPr>
              <w:spacing w:after="0"/>
              <w:rPr>
                <w:sz w:val="7"/>
                <w:szCs w:val="7"/>
                <w:color w:val="auto"/>
              </w:rPr>
            </w:pPr>
          </w:p>
        </w:tc>
        <w:tc>
          <w:tcPr>
            <w:tcW w:w="1700" w:type="dxa"/>
            <w:vAlign w:val="bottom"/>
            <w:tcBorders>
              <w:right w:val="single" w:sz="8" w:color="B8CCE4"/>
            </w:tcBorders>
            <w:vMerge w:val="continue"/>
          </w:tcPr>
          <w:p>
            <w:pPr>
              <w:spacing w:after="0"/>
              <w:rPr>
                <w:sz w:val="7"/>
                <w:szCs w:val="7"/>
                <w:color w:val="auto"/>
              </w:rPr>
            </w:pPr>
          </w:p>
        </w:tc>
        <w:tc>
          <w:tcPr>
            <w:tcW w:w="170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5500" w:type="dxa"/>
            <w:vAlign w:val="bottom"/>
            <w:tcBorders>
              <w:left w:val="single" w:sz="8" w:color="B8CCE4"/>
              <w:bottom w:val="single" w:sz="8" w:color="B8CCE4"/>
              <w:right w:val="single" w:sz="8" w:color="B8CCE4"/>
            </w:tcBorders>
          </w:tcPr>
          <w:p>
            <w:pPr>
              <w:spacing w:after="0"/>
              <w:rPr>
                <w:sz w:val="16"/>
                <w:szCs w:val="16"/>
                <w:color w:val="auto"/>
              </w:rPr>
            </w:pPr>
          </w:p>
        </w:tc>
        <w:tc>
          <w:tcPr>
            <w:tcW w:w="184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40" w:type="dxa"/>
            <w:vAlign w:val="bottom"/>
            <w:tcBorders>
              <w:bottom w:val="single" w:sz="8" w:color="B8CCE4"/>
              <w:right w:val="single" w:sz="8" w:color="B4C6E7"/>
            </w:tcBorders>
          </w:tcPr>
          <w:p>
            <w:pPr>
              <w:jc w:val="right"/>
              <w:ind w:right="188"/>
              <w:spacing w:after="0"/>
              <w:rPr>
                <w:sz w:val="20"/>
                <w:szCs w:val="20"/>
                <w:color w:val="auto"/>
              </w:rPr>
            </w:pPr>
            <w:r>
              <w:rPr>
                <w:rFonts w:ascii="Arial" w:cs="Arial" w:eastAsia="Arial" w:hAnsi="Arial"/>
                <w:sz w:val="20"/>
                <w:szCs w:val="20"/>
                <w:color w:val="auto"/>
              </w:rPr>
              <w:t>$353.9</w:t>
            </w:r>
          </w:p>
        </w:tc>
        <w:tc>
          <w:tcPr>
            <w:tcW w:w="1700" w:type="dxa"/>
            <w:vAlign w:val="bottom"/>
            <w:tcBorders>
              <w:bottom w:val="single" w:sz="8" w:color="B8CCE4"/>
              <w:right w:val="single" w:sz="8" w:color="B4C6E7"/>
            </w:tcBorders>
          </w:tcPr>
          <w:p>
            <w:pPr>
              <w:jc w:val="right"/>
              <w:spacing w:after="0"/>
              <w:rPr>
                <w:sz w:val="20"/>
                <w:szCs w:val="20"/>
                <w:color w:val="auto"/>
              </w:rPr>
            </w:pPr>
            <w:r>
              <w:rPr>
                <w:rFonts w:ascii="Arial" w:cs="Arial" w:eastAsia="Arial" w:hAnsi="Arial"/>
                <w:sz w:val="20"/>
                <w:szCs w:val="20"/>
                <w:color w:val="auto"/>
              </w:rPr>
              <w:t>$295.2</w:t>
            </w:r>
          </w:p>
        </w:tc>
        <w:tc>
          <w:tcPr>
            <w:tcW w:w="1700" w:type="dxa"/>
            <w:vAlign w:val="bottom"/>
            <w:tcBorders>
              <w:bottom w:val="single" w:sz="8" w:color="B8CCE4"/>
              <w:right w:val="single" w:sz="8" w:color="B8CCE4"/>
            </w:tcBorders>
          </w:tcPr>
          <w:p>
            <w:pPr>
              <w:jc w:val="right"/>
              <w:ind w:right="506"/>
              <w:spacing w:after="0"/>
              <w:rPr>
                <w:sz w:val="20"/>
                <w:szCs w:val="20"/>
                <w:color w:val="auto"/>
              </w:rPr>
            </w:pPr>
            <w:r>
              <w:rPr>
                <w:rFonts w:ascii="Arial" w:cs="Arial" w:eastAsia="Arial" w:hAnsi="Arial"/>
                <w:sz w:val="20"/>
                <w:szCs w:val="20"/>
                <w:color w:val="auto"/>
              </w:rPr>
              <w:t>19.9%</w:t>
            </w:r>
          </w:p>
        </w:tc>
        <w:tc>
          <w:tcPr>
            <w:tcW w:w="0" w:type="dxa"/>
            <w:vAlign w:val="bottom"/>
          </w:tcPr>
          <w:p>
            <w:pPr>
              <w:spacing w:after="0"/>
              <w:rPr>
                <w:sz w:val="1"/>
                <w:szCs w:val="1"/>
                <w:color w:val="auto"/>
              </w:rPr>
            </w:pPr>
          </w:p>
        </w:tc>
      </w:tr>
      <w:tr>
        <w:trPr>
          <w:trHeight w:val="264"/>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840" w:type="dxa"/>
            <w:vAlign w:val="bottom"/>
            <w:tcBorders>
              <w:bottom w:val="single" w:sz="8" w:color="B4C6E7"/>
              <w:right w:val="single" w:sz="8" w:color="B4C6E7"/>
            </w:tcBorders>
          </w:tcPr>
          <w:p>
            <w:pPr>
              <w:jc w:val="right"/>
              <w:ind w:right="188"/>
              <w:spacing w:after="0"/>
              <w:rPr>
                <w:sz w:val="20"/>
                <w:szCs w:val="20"/>
                <w:color w:val="auto"/>
              </w:rPr>
            </w:pPr>
            <w:r>
              <w:rPr>
                <w:rFonts w:ascii="Arial" w:cs="Arial" w:eastAsia="Arial" w:hAnsi="Arial"/>
                <w:sz w:val="20"/>
                <w:szCs w:val="20"/>
                <w:color w:val="auto"/>
              </w:rPr>
              <w:t>49.0</w:t>
            </w:r>
          </w:p>
        </w:tc>
        <w:tc>
          <w:tcPr>
            <w:tcW w:w="170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(17.4)</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64"/>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40" w:type="dxa"/>
            <w:vAlign w:val="bottom"/>
            <w:tcBorders>
              <w:bottom w:val="single" w:sz="8" w:color="B4C6E7"/>
              <w:right w:val="single" w:sz="8" w:color="B4C6E7"/>
            </w:tcBorders>
          </w:tcPr>
          <w:p>
            <w:pPr>
              <w:jc w:val="right"/>
              <w:ind w:right="188"/>
              <w:spacing w:after="0"/>
              <w:rPr>
                <w:sz w:val="20"/>
                <w:szCs w:val="20"/>
                <w:color w:val="auto"/>
              </w:rPr>
            </w:pPr>
            <w:r>
              <w:rPr>
                <w:rFonts w:ascii="Arial" w:cs="Arial" w:eastAsia="Arial" w:hAnsi="Arial"/>
                <w:sz w:val="20"/>
                <w:szCs w:val="20"/>
                <w:color w:val="auto"/>
              </w:rPr>
              <w:t>71.2</w:t>
            </w:r>
          </w:p>
        </w:tc>
        <w:tc>
          <w:tcPr>
            <w:tcW w:w="170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14.8</w:t>
            </w:r>
          </w:p>
        </w:tc>
        <w:tc>
          <w:tcPr>
            <w:tcW w:w="1700" w:type="dxa"/>
            <w:vAlign w:val="bottom"/>
            <w:tcBorders>
              <w:bottom w:val="single" w:sz="8" w:color="B8CCE4"/>
              <w:right w:val="single" w:sz="8" w:color="B8CCE4"/>
            </w:tcBorders>
          </w:tcPr>
          <w:p>
            <w:pPr>
              <w:jc w:val="right"/>
              <w:ind w:right="446"/>
              <w:spacing w:after="0"/>
              <w:rPr>
                <w:sz w:val="20"/>
                <w:szCs w:val="20"/>
                <w:color w:val="auto"/>
              </w:rPr>
            </w:pPr>
            <w:r>
              <w:rPr>
                <w:rFonts w:ascii="Arial" w:cs="Arial" w:eastAsia="Arial" w:hAnsi="Arial"/>
                <w:sz w:val="20"/>
                <w:szCs w:val="20"/>
                <w:color w:val="auto"/>
              </w:rPr>
              <w:t>381.1%</w:t>
            </w:r>
          </w:p>
        </w:tc>
        <w:tc>
          <w:tcPr>
            <w:tcW w:w="0" w:type="dxa"/>
            <w:vAlign w:val="bottom"/>
          </w:tcPr>
          <w:p>
            <w:pPr>
              <w:spacing w:after="0"/>
              <w:rPr>
                <w:sz w:val="1"/>
                <w:szCs w:val="1"/>
                <w:color w:val="auto"/>
              </w:rPr>
            </w:pPr>
          </w:p>
        </w:tc>
      </w:tr>
      <w:tr>
        <w:trPr>
          <w:trHeight w:val="264"/>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40" w:type="dxa"/>
            <w:vAlign w:val="bottom"/>
            <w:tcBorders>
              <w:bottom w:val="single" w:sz="8" w:color="B4C6E7"/>
              <w:right w:val="single" w:sz="8" w:color="B4C6E7"/>
            </w:tcBorders>
          </w:tcPr>
          <w:p>
            <w:pPr>
              <w:jc w:val="right"/>
              <w:ind w:right="8"/>
              <w:spacing w:after="0"/>
              <w:rPr>
                <w:sz w:val="20"/>
                <w:szCs w:val="20"/>
                <w:color w:val="auto"/>
              </w:rPr>
            </w:pPr>
            <w:r>
              <w:rPr>
                <w:rFonts w:ascii="Arial" w:cs="Arial" w:eastAsia="Arial" w:hAnsi="Arial"/>
                <w:sz w:val="20"/>
                <w:szCs w:val="20"/>
                <w:color w:val="auto"/>
              </w:rPr>
              <w:t>20.1%</w:t>
            </w:r>
          </w:p>
        </w:tc>
        <w:tc>
          <w:tcPr>
            <w:tcW w:w="170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5.0%</w:t>
            </w:r>
          </w:p>
        </w:tc>
        <w:tc>
          <w:tcPr>
            <w:tcW w:w="1700" w:type="dxa"/>
            <w:vAlign w:val="bottom"/>
            <w:tcBorders>
              <w:bottom w:val="single" w:sz="8" w:color="B4C6E7"/>
              <w:right w:val="single" w:sz="8" w:color="B8CCE4"/>
            </w:tcBorders>
          </w:tcPr>
          <w:p>
            <w:pPr>
              <w:jc w:val="center"/>
              <w:spacing w:after="0"/>
              <w:rPr>
                <w:sz w:val="20"/>
                <w:szCs w:val="20"/>
                <w:color w:val="auto"/>
              </w:rPr>
            </w:pPr>
            <w:r>
              <w:rPr>
                <w:rFonts w:ascii="Arial" w:cs="Arial" w:eastAsia="Arial" w:hAnsi="Arial"/>
                <w:sz w:val="20"/>
                <w:szCs w:val="20"/>
                <w:color w:val="auto"/>
                <w:w w:val="98"/>
              </w:rPr>
              <w:t>+1,510 bps</w:t>
            </w:r>
          </w:p>
        </w:tc>
        <w:tc>
          <w:tcPr>
            <w:tcW w:w="0" w:type="dxa"/>
            <w:vAlign w:val="bottom"/>
          </w:tcPr>
          <w:p>
            <w:pPr>
              <w:spacing w:after="0"/>
              <w:rPr>
                <w:sz w:val="1"/>
                <w:szCs w:val="1"/>
                <w:color w:val="auto"/>
              </w:rPr>
            </w:pPr>
          </w:p>
        </w:tc>
      </w:tr>
      <w:tr>
        <w:trPr>
          <w:trHeight w:val="322"/>
        </w:trPr>
        <w:tc>
          <w:tcPr>
            <w:tcW w:w="5500" w:type="dxa"/>
            <w:vAlign w:val="bottom"/>
            <w:tcBorders>
              <w:left w:val="single" w:sz="8" w:color="B8CCE4"/>
              <w:bottom w:val="single" w:sz="8" w:color="B8CCE4"/>
              <w:right w:val="single" w:sz="8" w:color="B8CCE4"/>
            </w:tcBorders>
          </w:tcPr>
          <w:p>
            <w:pPr>
              <w:spacing w:after="0"/>
              <w:rPr>
                <w:sz w:val="24"/>
                <w:szCs w:val="24"/>
                <w:color w:val="auto"/>
              </w:rPr>
            </w:pPr>
          </w:p>
        </w:tc>
        <w:tc>
          <w:tcPr>
            <w:tcW w:w="1840" w:type="dxa"/>
            <w:vAlign w:val="bottom"/>
            <w:tcBorders>
              <w:bottom w:val="single" w:sz="8" w:color="B8CCE4"/>
              <w:right w:val="single" w:sz="8" w:color="B4C6E7"/>
            </w:tcBorders>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Borders>
              <w:right w:val="single" w:sz="8" w:color="B8CCE4"/>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40" w:type="dxa"/>
            <w:vAlign w:val="bottom"/>
            <w:tcBorders>
              <w:bottom w:val="single" w:sz="8" w:color="B4C6E7"/>
              <w:right w:val="single" w:sz="8" w:color="B4C6E7"/>
            </w:tcBorders>
          </w:tcPr>
          <w:p>
            <w:pPr>
              <w:jc w:val="right"/>
              <w:ind w:right="188"/>
              <w:spacing w:after="0"/>
              <w:rPr>
                <w:sz w:val="20"/>
                <w:szCs w:val="20"/>
                <w:color w:val="auto"/>
              </w:rPr>
            </w:pPr>
            <w:r>
              <w:rPr>
                <w:rFonts w:ascii="Arial" w:cs="Arial" w:eastAsia="Arial" w:hAnsi="Arial"/>
                <w:sz w:val="20"/>
                <w:szCs w:val="20"/>
                <w:color w:val="auto"/>
              </w:rPr>
              <w:t>329.1</w:t>
            </w:r>
          </w:p>
        </w:tc>
        <w:tc>
          <w:tcPr>
            <w:tcW w:w="1700" w:type="dxa"/>
            <w:vAlign w:val="bottom"/>
          </w:tcPr>
          <w:p>
            <w:pPr>
              <w:spacing w:after="0"/>
              <w:rPr>
                <w:sz w:val="22"/>
                <w:szCs w:val="22"/>
                <w:color w:val="auto"/>
              </w:rPr>
            </w:pPr>
          </w:p>
        </w:tc>
        <w:tc>
          <w:tcPr>
            <w:tcW w:w="170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40" w:type="dxa"/>
            <w:vAlign w:val="bottom"/>
            <w:tcBorders>
              <w:bottom w:val="single" w:sz="8" w:color="B8CCE4"/>
              <w:right w:val="single" w:sz="8" w:color="B4C6E7"/>
            </w:tcBorders>
          </w:tcPr>
          <w:p>
            <w:pPr>
              <w:jc w:val="right"/>
              <w:ind w:right="188"/>
              <w:spacing w:after="0"/>
              <w:rPr>
                <w:sz w:val="20"/>
                <w:szCs w:val="20"/>
                <w:color w:val="auto"/>
              </w:rPr>
            </w:pPr>
            <w:r>
              <w:rPr>
                <w:rFonts w:ascii="Arial" w:cs="Arial" w:eastAsia="Arial" w:hAnsi="Arial"/>
                <w:sz w:val="20"/>
                <w:szCs w:val="20"/>
                <w:color w:val="auto"/>
              </w:rPr>
              <w:t>394.2</w:t>
            </w:r>
          </w:p>
        </w:tc>
        <w:tc>
          <w:tcPr>
            <w:tcW w:w="1700" w:type="dxa"/>
            <w:vAlign w:val="bottom"/>
            <w:tcBorders>
              <w:bottom w:val="single" w:sz="8" w:color="B8CCE4"/>
            </w:tcBorders>
          </w:tcPr>
          <w:p>
            <w:pPr>
              <w:spacing w:after="0"/>
              <w:rPr>
                <w:sz w:val="22"/>
                <w:szCs w:val="22"/>
                <w:color w:val="auto"/>
              </w:rPr>
            </w:pPr>
          </w:p>
        </w:tc>
        <w:tc>
          <w:tcPr>
            <w:tcW w:w="170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Surface Technologies reported third quarter revenue of $353.9 million. Revenue increased 19.9 percent from the prior year quarter as a result of the robust increase in North American well completion activity, while international markets remained stable across our products and services portfolio.</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Surface Technologies reported operating profit of $49 million; excluding charges and credits, operating profit was $56 million.</w:t>
      </w:r>
    </w:p>
    <w:p>
      <w:pPr>
        <w:spacing w:after="0"/>
        <w:rPr>
          <w:sz w:val="20"/>
          <w:szCs w:val="20"/>
          <w:color w:val="auto"/>
        </w:rPr>
      </w:pPr>
      <w:r>
        <w:rPr>
          <w:rFonts w:ascii="Arial" w:cs="Arial" w:eastAsia="Arial" w:hAnsi="Arial"/>
          <w:sz w:val="20"/>
          <w:szCs w:val="20"/>
          <w:color w:val="auto"/>
        </w:rPr>
        <w:t>Adjusted EBITDA was $71.2 million with a margin of 20.1 percent.</w:t>
      </w:r>
    </w:p>
    <w:p>
      <w:pPr>
        <w:spacing w:after="0" w:line="162"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Operating profit and margin improved significantly year-over-year due to the benefit of product mix related to fluid control sales and a more favorable cost structure. These same factors drove the year-over-year improvement in adjusted EBITDA and margin.</w:t>
      </w:r>
    </w:p>
    <w:p>
      <w:pPr>
        <w:sectPr>
          <w:pgSz w:w="11900" w:h="16838" w:orient="portrait"/>
          <w:cols w:equalWidth="0" w:num="1">
            <w:col w:w="11400"/>
          </w:cols>
          <w:pgMar w:left="240" w:top="1162" w:right="259" w:bottom="1440" w:gutter="0" w:footer="0" w:header="0"/>
        </w:sectPr>
      </w:pPr>
    </w:p>
    <w:bookmarkStart w:id="10" w:name="page11"/>
    <w:bookmarkEnd w:id="10"/>
    <w:p>
      <w:pPr>
        <w:ind w:right="380"/>
        <w:spacing w:after="0" w:line="247" w:lineRule="auto"/>
        <w:rPr>
          <w:sz w:val="20"/>
          <w:szCs w:val="20"/>
          <w:color w:val="auto"/>
        </w:rPr>
      </w:pPr>
      <w:r>
        <w:rPr>
          <w:rFonts w:ascii="Arial" w:cs="Arial" w:eastAsia="Arial" w:hAnsi="Arial"/>
          <w:sz w:val="20"/>
          <w:szCs w:val="20"/>
          <w:color w:val="auto"/>
        </w:rPr>
        <w:t>Inbound orders for the quarter improved sequentially to $329.1 million. Backlog was $394.2 million. In this segment, backlog is generally consumed within nine months given the short-cycle nature of the business.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Items</w:t>
      </w:r>
    </w:p>
    <w:p>
      <w:pPr>
        <w:spacing w:after="0" w:line="186"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color w:val="auto"/>
        </w:rPr>
        <w:t>Corporate expense in the third quarter was $ 42.3 million. Excluding charges and credits of $1.6 million, corporate expense was $40.7 million, which included $19.3 million of foreign exchange gains.</w:t>
      </w:r>
    </w:p>
    <w:p>
      <w:pPr>
        <w:spacing w:after="0" w:line="148"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Net interest expense was $86.3 million in the quarter, including an increase in the liability payable to joint venture partners of $73.3 million.</w:t>
      </w:r>
    </w:p>
    <w:p>
      <w:pPr>
        <w:spacing w:after="0" w:line="148"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The Company recorded a tax provision during the third quarter of $111.7 million. The provision was higher than forecast due to increased earnings in high tax jurisdictions and increases in valuation allowances in certain operations for which lower future profitability is expected. The reported tax rate was 48.6 percent. When excluding the impact of discreet items, the effective tax rate was 30.3 percent.</w:t>
      </w:r>
    </w:p>
    <w:p>
      <w:pPr>
        <w:spacing w:after="0" w:line="153" w:lineRule="exact"/>
        <w:rPr>
          <w:sz w:val="20"/>
          <w:szCs w:val="20"/>
          <w:color w:val="auto"/>
        </w:rPr>
      </w:pPr>
    </w:p>
    <w:p>
      <w:pPr>
        <w:ind w:right="660"/>
        <w:spacing w:after="0" w:line="247" w:lineRule="auto"/>
        <w:rPr>
          <w:sz w:val="20"/>
          <w:szCs w:val="20"/>
          <w:color w:val="auto"/>
        </w:rPr>
      </w:pPr>
      <w:r>
        <w:rPr>
          <w:rFonts w:ascii="Arial" w:cs="Arial" w:eastAsia="Arial" w:hAnsi="Arial"/>
          <w:sz w:val="20"/>
          <w:szCs w:val="20"/>
          <w:color w:val="auto"/>
        </w:rPr>
        <w:t>Total depreciation and amortization for the third quarter was $151 million, including depreciation and amortization related to purchase price accounting for the merger of $32 million.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expenditures were $62.9 million.</w:t>
      </w:r>
    </w:p>
    <w:p>
      <w:pPr>
        <w:spacing w:after="0" w:line="162" w:lineRule="exact"/>
        <w:rPr>
          <w:sz w:val="20"/>
          <w:szCs w:val="20"/>
          <w:color w:val="auto"/>
        </w:rPr>
      </w:pPr>
    </w:p>
    <w:p>
      <w:pPr>
        <w:jc w:val="both"/>
        <w:ind w:right="320"/>
        <w:spacing w:after="0" w:line="262" w:lineRule="auto"/>
        <w:rPr>
          <w:sz w:val="20"/>
          <w:szCs w:val="20"/>
          <w:color w:val="auto"/>
        </w:rPr>
      </w:pPr>
      <w:r>
        <w:rPr>
          <w:rFonts w:ascii="Arial" w:cs="Arial" w:eastAsia="Arial" w:hAnsi="Arial"/>
          <w:sz w:val="19"/>
          <w:szCs w:val="19"/>
          <w:color w:val="auto"/>
        </w:rPr>
        <w:t>On September 25, 2017, the Company announced the implementation of its previously disclosed Share Repurchase Program. The Company repurchased 129,800 shares in the final week of the quarter for total consideration of $3.6 million. The Company remains committed to repurchasing the full authorization of up to $500 million in ordinary shares no later than the end of 2018.</w:t>
      </w:r>
    </w:p>
    <w:p>
      <w:pPr>
        <w:spacing w:after="0" w:line="13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Company’s Board of Directors has authorized and declared an initial quarterly cash dividend of $0.13 per ordinary share to be paid to shareholders of record as of November 21, 2017. The ex-dividend date will be November 20, 2017, and the payment date is expected to be on or shortly after December 1, 2017.</w:t>
      </w:r>
    </w:p>
    <w:p>
      <w:pPr>
        <w:sectPr>
          <w:pgSz w:w="11900" w:h="16838" w:orient="portrait"/>
          <w:cols w:equalWidth="0" w:num="1">
            <w:col w:w="11420"/>
          </w:cols>
          <w:pgMar w:left="240" w:top="757" w:right="2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Guidance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Company’s full-year guidance for 2017 is provided below. The following updates are reflected in the revised outlook:</w:t>
      </w:r>
    </w:p>
    <w:p>
      <w:pPr>
        <w:spacing w:after="0" w:line="159" w:lineRule="exact"/>
        <w:rPr>
          <w:sz w:val="20"/>
          <w:szCs w:val="20"/>
          <w:color w:val="auto"/>
        </w:rPr>
      </w:pPr>
    </w:p>
    <w:p>
      <w:pPr>
        <w:ind w:left="660" w:right="40" w:hanging="328"/>
        <w:spacing w:after="0" w:line="21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Onshore/Offshore revenue of at least $7.7 billion, versus prior guidance of at least $7.3 billion; 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at least 9.5% (excluding charges and credits), versus prior guidance of at least 8%.</w:t>
      </w:r>
    </w:p>
    <w:p>
      <w:pPr>
        <w:spacing w:after="0" w:line="153" w:lineRule="exact"/>
        <w:rPr>
          <w:rFonts w:ascii="Arial" w:cs="Arial" w:eastAsia="Arial" w:hAnsi="Arial"/>
          <w:sz w:val="20"/>
          <w:szCs w:val="20"/>
          <w:color w:val="auto"/>
        </w:rPr>
      </w:pPr>
    </w:p>
    <w:p>
      <w:pPr>
        <w:ind w:left="660" w:right="200" w:hanging="328"/>
        <w:spacing w:after="0" w:line="21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Surface Technologies revenue of at least $1.3 billion, versus prior guidance of at least $1.4 billion; 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at least 16.5% (excluding charges and credits), versus prior guidance of at least 13%.</w:t>
      </w:r>
    </w:p>
    <w:p>
      <w:pPr>
        <w:spacing w:after="0" w:line="155"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Other updates include net interest expense, tax rate, capital expenditures, and merger integration and 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240665</wp:posOffset>
            </wp:positionV>
            <wp:extent cx="684339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3395" cy="188595"/>
                    </a:xfrm>
                    <a:prstGeom prst="rect">
                      <a:avLst/>
                    </a:prstGeom>
                    <a:noFill/>
                  </pic:spPr>
                </pic:pic>
              </a:graphicData>
            </a:graphic>
          </wp:anchor>
        </w:drawing>
      </w:r>
    </w:p>
    <w:p>
      <w:pPr>
        <w:spacing w:after="0" w:line="372"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 xml:space="preserve">2017 Guidance </w:t>
      </w:r>
      <w:r>
        <w:rPr>
          <w:rFonts w:ascii="Arial" w:cs="Arial" w:eastAsia="Arial" w:hAnsi="Arial"/>
          <w:sz w:val="16"/>
          <w:szCs w:val="16"/>
          <w:i w:val="1"/>
          <w:iCs w:val="1"/>
          <w:color w:val="auto"/>
        </w:rPr>
        <w:t>*Items updated October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120015</wp:posOffset>
            </wp:positionV>
            <wp:extent cx="6303010" cy="2075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3010" cy="2075180"/>
                    </a:xfrm>
                    <a:prstGeom prst="rect">
                      <a:avLst/>
                    </a:prstGeom>
                    <a:noFill/>
                  </pic:spPr>
                </pic:pic>
              </a:graphicData>
            </a:graphic>
          </wp:anchor>
        </w:drawing>
      </w:r>
    </w:p>
    <w:p>
      <w:pPr>
        <w:sectPr>
          <w:pgSz w:w="11900" w:h="16838" w:orient="portrait"/>
          <w:cols w:equalWidth="0" w:num="1">
            <w:col w:w="11340"/>
          </w:cols>
          <w:pgMar w:left="240" w:top="747" w:right="319" w:bottom="1440" w:gutter="0" w:footer="0" w:header="0"/>
        </w:sectPr>
      </w:pPr>
    </w:p>
    <w:p>
      <w:pPr>
        <w:spacing w:after="0" w:line="202"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FFFFFF"/>
        </w:rPr>
        <w:t>Subsea</w:t>
      </w:r>
    </w:p>
    <w:p>
      <w:pPr>
        <w:spacing w:after="0" w:line="294"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Revenue at least $6.1 billion</w:t>
      </w:r>
    </w:p>
    <w:p>
      <w:pPr>
        <w:spacing w:after="0" w:line="200" w:lineRule="exact"/>
        <w:rPr>
          <w:sz w:val="20"/>
          <w:szCs w:val="20"/>
          <w:color w:val="auto"/>
        </w:rPr>
      </w:pPr>
    </w:p>
    <w:p>
      <w:pPr>
        <w:spacing w:after="0" w:line="351" w:lineRule="exact"/>
        <w:rPr>
          <w:sz w:val="20"/>
          <w:szCs w:val="20"/>
          <w:color w:val="auto"/>
        </w:rPr>
      </w:pPr>
    </w:p>
    <w:p>
      <w:pPr>
        <w:ind w:left="1120"/>
        <w:spacing w:after="0" w:line="219"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at least 17% (excluding amortization related impact of purchase price accounting, and other charges and credits)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FFFFFF"/>
        </w:rPr>
        <w:t>Onshore/Offshore*</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Revenue at least $7.7 billion</w:t>
      </w:r>
    </w:p>
    <w:p>
      <w:pPr>
        <w:spacing w:after="0" w:line="200" w:lineRule="exact"/>
        <w:rPr>
          <w:sz w:val="20"/>
          <w:szCs w:val="20"/>
          <w:color w:val="auto"/>
        </w:rPr>
      </w:pPr>
    </w:p>
    <w:p>
      <w:pPr>
        <w:spacing w:after="0" w:line="351"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at least 9.5%* (excluding amortization related impact of purchase price accounting, and other charges and credits)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FFFFFF"/>
        </w:rPr>
        <w:t>Surface Technologies*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Revenue at least $1.3 billion</w:t>
      </w:r>
    </w:p>
    <w:p>
      <w:pPr>
        <w:spacing w:after="0" w:line="200" w:lineRule="exact"/>
        <w:rPr>
          <w:sz w:val="20"/>
          <w:szCs w:val="20"/>
          <w:color w:val="auto"/>
        </w:rPr>
      </w:pPr>
    </w:p>
    <w:p>
      <w:pPr>
        <w:spacing w:after="0" w:line="351" w:lineRule="exact"/>
        <w:rPr>
          <w:sz w:val="20"/>
          <w:szCs w:val="20"/>
          <w:color w:val="auto"/>
        </w:rPr>
      </w:pPr>
    </w:p>
    <w:p>
      <w:pPr>
        <w:ind w:right="520"/>
        <w:spacing w:after="0" w:line="219"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at least 16.5%* (excluding amortization related impact of purchase price accounting, and other charges and credits)</w:t>
      </w:r>
    </w:p>
    <w:p>
      <w:pPr>
        <w:spacing w:after="0" w:line="200" w:lineRule="exact"/>
        <w:rPr>
          <w:sz w:val="20"/>
          <w:szCs w:val="20"/>
          <w:color w:val="auto"/>
        </w:rPr>
      </w:pPr>
    </w:p>
    <w:p>
      <w:pPr>
        <w:sectPr>
          <w:pgSz w:w="11900" w:h="16838" w:orient="portrait"/>
          <w:cols w:equalWidth="0" w:num="3">
            <w:col w:w="3820" w:space="560"/>
            <w:col w:w="3040" w:space="340"/>
            <w:col w:w="3580"/>
          </w:cols>
          <w:pgMar w:left="240" w:top="74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FFFFFF"/>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-144780</wp:posOffset>
            </wp:positionV>
            <wp:extent cx="6303010" cy="1964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3010" cy="1964055"/>
                    </a:xfrm>
                    <a:prstGeom prst="rect">
                      <a:avLst/>
                    </a:prstGeom>
                    <a:noFill/>
                  </pic:spPr>
                </pic:pic>
              </a:graphicData>
            </a:graphic>
          </wp:anchor>
        </w:drawing>
      </w:r>
    </w:p>
    <w:p>
      <w:pPr>
        <w:spacing w:after="0" w:line="34"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 xml:space="preserve">Corporate Expense </w:t>
      </w:r>
      <w:r>
        <w:rPr>
          <w:rFonts w:ascii="Arial" w:cs="Arial" w:eastAsia="Arial" w:hAnsi="Arial"/>
          <w:sz w:val="20"/>
          <w:szCs w:val="20"/>
          <w:color w:val="auto"/>
        </w:rPr>
        <w:t>$50-$55 million per quarter (excluding the impact of foreign currency fluctuations)</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approximately $15 million in Q4*</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 xml:space="preserve">Tax Rate </w:t>
      </w:r>
      <w:r>
        <w:rPr>
          <w:rFonts w:ascii="Arial" w:cs="Arial" w:eastAsia="Arial" w:hAnsi="Arial"/>
          <w:sz w:val="20"/>
          <w:szCs w:val="20"/>
          <w:color w:val="auto"/>
        </w:rPr>
        <w:t>30%-32% in Q4*</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$250 million for the full year*</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 xml:space="preserve">Merger Integration and Restructuring Costs </w:t>
      </w:r>
      <w:r>
        <w:rPr>
          <w:rFonts w:ascii="Arial" w:cs="Arial" w:eastAsia="Arial" w:hAnsi="Arial"/>
          <w:sz w:val="20"/>
          <w:szCs w:val="20"/>
          <w:color w:val="auto"/>
        </w:rPr>
        <w:t>approximately $75 million in Q4*</w:t>
      </w:r>
    </w:p>
    <w:p>
      <w:pPr>
        <w:spacing w:after="0" w:line="40" w:lineRule="exact"/>
        <w:rPr>
          <w:sz w:val="20"/>
          <w:szCs w:val="20"/>
          <w:color w:val="auto"/>
        </w:rPr>
      </w:pPr>
    </w:p>
    <w:p>
      <w:pPr>
        <w:ind w:left="1120" w:right="900"/>
        <w:spacing w:after="0" w:line="258" w:lineRule="auto"/>
        <w:rPr>
          <w:sz w:val="20"/>
          <w:szCs w:val="20"/>
          <w:color w:val="auto"/>
        </w:rPr>
      </w:pPr>
      <w:r>
        <w:rPr>
          <w:rFonts w:ascii="Arial" w:cs="Arial" w:eastAsia="Arial" w:hAnsi="Arial"/>
          <w:sz w:val="20"/>
          <w:szCs w:val="20"/>
          <w:b w:val="1"/>
          <w:bCs w:val="1"/>
          <w:color w:val="auto"/>
        </w:rPr>
        <w:t xml:space="preserve">Cost Synergies </w:t>
      </w:r>
      <w:r>
        <w:rPr>
          <w:rFonts w:ascii="Arial" w:cs="Arial" w:eastAsia="Arial" w:hAnsi="Arial"/>
          <w:sz w:val="20"/>
          <w:szCs w:val="20"/>
          <w:color w:val="auto"/>
        </w:rPr>
        <w:t>$400 million annual savings ($200 million exit run-rate 12/31/17, $400 million exit run-rate</w:t>
      </w:r>
      <w:r>
        <w:rPr>
          <w:rFonts w:ascii="Arial" w:cs="Arial" w:eastAsia="Arial" w:hAnsi="Arial"/>
          <w:sz w:val="20"/>
          <w:szCs w:val="20"/>
          <w:b w:val="1"/>
          <w:bCs w:val="1"/>
          <w:color w:val="auto"/>
        </w:rPr>
        <w:t xml:space="preserve"> </w:t>
      </w:r>
      <w:r>
        <w:rPr>
          <w:rFonts w:ascii="Arial" w:cs="Arial" w:eastAsia="Arial" w:hAnsi="Arial"/>
          <w:sz w:val="20"/>
          <w:szCs w:val="20"/>
          <w:color w:val="auto"/>
        </w:rPr>
        <w:t>12/31/18)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191" w:lineRule="exact"/>
        <w:rPr>
          <w:sz w:val="20"/>
          <w:szCs w:val="20"/>
          <w:color w:val="auto"/>
        </w:rPr>
      </w:pPr>
    </w:p>
    <w:p>
      <w:pPr>
        <w:jc w:val="both"/>
        <w:ind w:left="40" w:hanging="5"/>
        <w:spacing w:after="0" w:line="227" w:lineRule="auto"/>
        <w:tabs>
          <w:tab w:leader="none" w:pos="19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Our guidance measure, adjusted EBITDA margin, is a non-GAAP measure. We are unable to provide a reconciliation to a comparable GAAP measure on a forward-looking basis without unreasonable effort because of the unpredictability of the individual components of the most directly comparable GAAP financial measure and the variability of items excluded from such measure. Such information may have a significant, and potentially unpredictable, impact on our future financial results.</w:t>
      </w:r>
    </w:p>
    <w:p>
      <w:pPr>
        <w:sectPr>
          <w:pgSz w:w="11900" w:h="16838" w:orient="portrait"/>
          <w:cols w:equalWidth="0" w:num="1">
            <w:col w:w="11340"/>
          </w:cols>
          <w:pgMar w:left="240" w:top="747" w:right="319" w:bottom="1440" w:gutter="0" w:footer="0" w:header="0"/>
          <w:type w:val="continuous"/>
        </w:sectPr>
      </w:pPr>
    </w:p>
    <w:bookmarkStart w:id="12" w:name="page13"/>
    <w:bookmarkEnd w:id="12"/>
    <w:p>
      <w:pPr>
        <w:ind w:right="340"/>
        <w:spacing w:after="0" w:line="247" w:lineRule="auto"/>
        <w:rPr>
          <w:sz w:val="20"/>
          <w:szCs w:val="20"/>
          <w:color w:val="auto"/>
        </w:rPr>
      </w:pPr>
      <w:r>
        <w:rPr>
          <w:rFonts w:ascii="Arial" w:cs="Arial" w:eastAsia="Arial" w:hAnsi="Arial"/>
          <w:sz w:val="20"/>
          <w:szCs w:val="20"/>
          <w:color w:val="auto"/>
        </w:rPr>
        <w:t>The Company has initiated preliminary segment guidance for 2018. The Company will provide complete guidance in the fourth quarter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5487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325755"/>
                    </a:xfrm>
                    <a:prstGeom prst="rect">
                      <a:avLst/>
                    </a:prstGeom>
                    <a:noFill/>
                  </pic:spPr>
                </pic:pic>
              </a:graphicData>
            </a:graphic>
          </wp:anchor>
        </w:drawing>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2018 Segment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403225</wp:posOffset>
            </wp:positionV>
            <wp:extent cx="6680835" cy="2324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80835" cy="2324100"/>
                    </a:xfrm>
                    <a:prstGeom prst="rect">
                      <a:avLst/>
                    </a:prstGeom>
                    <a:noFill/>
                  </pic:spPr>
                </pic:pic>
              </a:graphicData>
            </a:graphic>
          </wp:anchor>
        </w:drawing>
      </w:r>
    </w:p>
    <w:p>
      <w:pPr>
        <w:sectPr>
          <w:pgSz w:w="11900" w:h="16838" w:orient="portrait"/>
          <w:cols w:equalWidth="0" w:num="1">
            <w:col w:w="11380"/>
          </w:cols>
          <w:pgMar w:left="240" w:top="54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FFFFFF"/>
        </w:rPr>
        <w:t>Subsea</w:t>
      </w:r>
    </w:p>
    <w:p>
      <w:pPr>
        <w:spacing w:after="0" w:line="294" w:lineRule="exact"/>
        <w:rPr>
          <w:sz w:val="20"/>
          <w:szCs w:val="20"/>
          <w:color w:val="auto"/>
        </w:rPr>
      </w:pPr>
    </w:p>
    <w:p>
      <w:pPr>
        <w:ind w:left="500" w:right="300"/>
        <w:spacing w:after="0" w:line="236" w:lineRule="auto"/>
        <w:rPr>
          <w:sz w:val="20"/>
          <w:szCs w:val="20"/>
          <w:color w:val="auto"/>
        </w:rPr>
      </w:pPr>
      <w:r>
        <w:rPr>
          <w:rFonts w:ascii="Arial" w:cs="Arial" w:eastAsia="Arial" w:hAnsi="Arial"/>
          <w:sz w:val="20"/>
          <w:szCs w:val="20"/>
          <w:color w:val="auto"/>
        </w:rPr>
        <w:t>Revenue in a range of $5.0-5.3 billion</w:t>
      </w:r>
    </w:p>
    <w:p>
      <w:pPr>
        <w:spacing w:after="0" w:line="369" w:lineRule="exact"/>
        <w:rPr>
          <w:sz w:val="20"/>
          <w:szCs w:val="20"/>
          <w:color w:val="auto"/>
        </w:rPr>
      </w:pPr>
    </w:p>
    <w:p>
      <w:pPr>
        <w:ind w:left="500"/>
        <w:spacing w:after="0" w:line="219"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at least 14% (excluding amortization related impact of purchase price accounting, and other charges and credits)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FFFFFF"/>
        </w:rPr>
        <w:t>Onshore/Offshore</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Revenue in a range of $5.3-5.7 billion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at least 9.5% (excluding amortization related impact of purchase price accounting, and other charges and credits)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FFFFFF"/>
        </w:rPr>
        <w:t>Surface Technologies</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Revenue in a range of $1.5-1.6 billion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00"/>
        <w:spacing w:after="0" w:line="218" w:lineRule="auto"/>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at least 17.5% (excluding amortization related impact of purchase price accounting, and other charges and credits)</w:t>
      </w:r>
    </w:p>
    <w:p>
      <w:pPr>
        <w:spacing w:after="0" w:line="413" w:lineRule="exact"/>
        <w:rPr>
          <w:sz w:val="20"/>
          <w:szCs w:val="20"/>
          <w:color w:val="auto"/>
        </w:rPr>
      </w:pPr>
    </w:p>
    <w:p>
      <w:pPr>
        <w:sectPr>
          <w:pgSz w:w="11900" w:h="16838" w:orient="portrait"/>
          <w:cols w:equalWidth="0" w:num="3">
            <w:col w:w="3540" w:space="440"/>
            <w:col w:w="3320" w:space="260"/>
            <w:col w:w="3820"/>
          </w:cols>
          <w:pgMar w:left="240" w:top="54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Analyst Day</w:t>
      </w:r>
    </w:p>
    <w:p>
      <w:pPr>
        <w:spacing w:after="0" w:line="18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Company will host an Analyst Day on November 28, 2017 in Houston, Texas. The general presentation session will be held from 8:30 a.m. to 12 p.m. Houston time and will be available via webcast (link will be made available on November 27). This event will allow participants to discover more about how we are enhancing the performance of the world’s energy industry.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Teleconference</w:t>
      </w:r>
    </w:p>
    <w:p>
      <w:pPr>
        <w:spacing w:after="0" w:line="186" w:lineRule="exact"/>
        <w:rPr>
          <w:sz w:val="20"/>
          <w:szCs w:val="20"/>
          <w:color w:val="auto"/>
        </w:rPr>
      </w:pPr>
    </w:p>
    <w:p>
      <w:pPr>
        <w:ind w:right="380"/>
        <w:spacing w:after="0" w:line="243" w:lineRule="auto"/>
        <w:rPr>
          <w:sz w:val="20"/>
          <w:szCs w:val="20"/>
          <w:color w:val="auto"/>
        </w:rPr>
      </w:pPr>
      <w:r>
        <w:rPr>
          <w:rFonts w:ascii="Arial" w:cs="Arial" w:eastAsia="Arial" w:hAnsi="Arial"/>
          <w:sz w:val="20"/>
          <w:szCs w:val="20"/>
          <w:color w:val="auto"/>
        </w:rPr>
        <w:t>The Company will host a teleconference on Thursday, October 26, 2017 to discuss the third quarter 2017 financial results and preliminary outlook for 2018. The call will begin at 1 p.m. London time (8 a.m. New York time). Dial-in information and an accompanying presentation can be found at www.technipfmc.com.</w:t>
      </w:r>
    </w:p>
    <w:p>
      <w:pPr>
        <w:spacing w:after="0" w:line="152"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ectPr>
          <w:pgSz w:w="11900" w:h="16838" w:orient="portrait"/>
          <w:cols w:equalWidth="0" w:num="1">
            <w:col w:w="11380"/>
          </w:cols>
          <w:pgMar w:left="240" w:top="541" w:right="279" w:bottom="1440" w:gutter="0" w:footer="0" w:header="0"/>
          <w:type w:val="continuous"/>
        </w:sectPr>
      </w:pPr>
    </w:p>
    <w:bookmarkStart w:id="13" w:name="page14"/>
    <w:bookmarkEnd w:id="13"/>
    <w:p>
      <w:pPr>
        <w:jc w:val="center"/>
        <w:ind w:right="-59"/>
        <w:spacing w:after="0"/>
        <w:rPr>
          <w:sz w:val="20"/>
          <w:szCs w:val="20"/>
          <w:color w:val="auto"/>
        </w:rPr>
      </w:pPr>
      <w:r>
        <w:rPr>
          <w:rFonts w:ascii="Arial" w:cs="Arial" w:eastAsia="Arial" w:hAnsi="Arial"/>
          <w:sz w:val="20"/>
          <w:szCs w:val="20"/>
          <w:b w:val="1"/>
          <w:bCs w:val="1"/>
          <w:i w:val="1"/>
          <w:iCs w:val="1"/>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166" w:lineRule="exact"/>
        <w:rPr>
          <w:sz w:val="20"/>
          <w:szCs w:val="20"/>
          <w:color w:val="auto"/>
        </w:rPr>
      </w:pPr>
    </w:p>
    <w:p>
      <w:pPr>
        <w:ind w:right="580"/>
        <w:spacing w:after="0" w:line="294" w:lineRule="auto"/>
        <w:rPr>
          <w:sz w:val="20"/>
          <w:szCs w:val="20"/>
          <w:color w:val="auto"/>
        </w:rPr>
      </w:pPr>
      <w:r>
        <w:rPr>
          <w:rFonts w:ascii="Arial" w:cs="Arial" w:eastAsia="Arial" w:hAnsi="Arial"/>
          <w:sz w:val="19"/>
          <w:szCs w:val="19"/>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24"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i w:val="1"/>
          <w:iCs w:val="1"/>
          <w:color w:val="808080"/>
        </w:rPr>
        <w:t>Each of our more than 40,000 employees is driven by a steady commitment to clients and a culture of purposeful innovation, challenging industry conventions, and rethinking how the best results are achieved.</w:t>
      </w:r>
    </w:p>
    <w:p>
      <w:pPr>
        <w:spacing w:after="0" w:line="110"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i w:val="1"/>
          <w:iCs w:val="1"/>
          <w:color w:val="808080"/>
        </w:rPr>
        <w:t>To learn more about us and how we are enhancing the performance of the world’s energy industry, go to TechnipFMC.com and follow us on Twitter @TechnipFMC.</w:t>
      </w:r>
    </w:p>
    <w:p>
      <w:pPr>
        <w:spacing w:after="0" w:line="110"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i w:val="1"/>
          <w:iCs w:val="1"/>
          <w:color w:val="808080"/>
        </w:rPr>
        <w:t>This communication contains “forward-looking statements” as defined in Section 27A of the United States Securities Act of 1933, as amended, and Section 21E of the United States Securities Exchange Act of 1934, as amended. Words such as “believe,” “expect,” “anticipate,” “plan,” “intend,” “foresee,” “should,” “would,” “could,” “may,”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3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808080"/>
        </w:rPr>
      </w:pPr>
      <w:r>
        <w:rPr>
          <w:rFonts w:ascii="Arial" w:cs="Arial" w:eastAsia="Arial" w:hAnsi="Arial"/>
          <w:sz w:val="18"/>
          <w:szCs w:val="18"/>
          <w:i w:val="1"/>
          <w:iCs w:val="1"/>
          <w:color w:val="808080"/>
        </w:rPr>
        <w:t>unanticipated changes relating to competitive factors in our industry;</w:t>
      </w:r>
    </w:p>
    <w:p>
      <w:pPr>
        <w:spacing w:after="0" w:line="27" w:lineRule="exact"/>
        <w:rPr>
          <w:rFonts w:ascii="Arial" w:cs="Arial" w:eastAsia="Arial" w:hAnsi="Arial"/>
          <w:sz w:val="18"/>
          <w:szCs w:val="18"/>
          <w:color w:val="808080"/>
        </w:rPr>
      </w:pPr>
    </w:p>
    <w:p>
      <w:pPr>
        <w:ind w:left="660" w:right="560" w:hanging="328"/>
        <w:spacing w:after="0" w:line="250" w:lineRule="auto"/>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right="280" w:hanging="328"/>
        <w:spacing w:after="0" w:line="250" w:lineRule="auto"/>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cost overruns related to our fixed price contracts or asset construction projects that may affect revenue;</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disruptions in the timely delivery of our backlog and its effect on our future sales, profitability, and our relationships with our customers;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related to reliance on subcontractors, suppliers and joint venture partners in the performance of our contracts;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ability to hire and retain key personnel;</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the cumulative loss of major contracts or alliances;</w:t>
      </w:r>
    </w:p>
    <w:p>
      <w:pPr>
        <w:spacing w:after="0" w:line="9" w:lineRule="exact"/>
        <w:rPr>
          <w:rFonts w:ascii="Arial" w:cs="Arial" w:eastAsia="Arial" w:hAnsi="Arial"/>
          <w:sz w:val="18"/>
          <w:szCs w:val="18"/>
          <w:i w:val="1"/>
          <w:iCs w:val="1"/>
          <w:color w:val="808080"/>
        </w:rPr>
      </w:pPr>
    </w:p>
    <w:p>
      <w:pPr>
        <w:ind w:left="660" w:right="80" w:hanging="328"/>
        <w:spacing w:after="0" w:line="250" w:lineRule="auto"/>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U.S. and international laws and regulations, including environmental regulations, that may increase our costs, limit the demand for our products and services or restrict our operations;</w:t>
      </w:r>
    </w:p>
    <w:p>
      <w:pPr>
        <w:ind w:left="660" w:hanging="328"/>
        <w:spacing w:after="0"/>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9" w:lineRule="exact"/>
        <w:rPr>
          <w:rFonts w:ascii="Arial" w:cs="Arial" w:eastAsia="Arial" w:hAnsi="Arial"/>
          <w:sz w:val="18"/>
          <w:szCs w:val="18"/>
          <w:i w:val="1"/>
          <w:iCs w:val="1"/>
          <w:color w:val="808080"/>
        </w:rPr>
      </w:pPr>
    </w:p>
    <w:p>
      <w:pPr>
        <w:ind w:left="660" w:right="720" w:hanging="328"/>
        <w:spacing w:after="0" w:line="262" w:lineRule="auto"/>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sectPr>
          <w:pgSz w:w="11900" w:h="16838" w:orient="portrait"/>
          <w:cols w:equalWidth="0" w:num="1">
            <w:col w:w="11380"/>
          </w:cols>
          <w:pgMar w:left="240" w:top="1192" w:right="279" w:bottom="1440" w:gutter="0" w:footer="0" w:header="0"/>
        </w:sectPr>
      </w:pPr>
    </w:p>
    <w:bookmarkStart w:id="14" w:name="page15"/>
    <w:bookmarkEnd w:id="14"/>
    <w:p>
      <w:pPr>
        <w:ind w:left="660" w:hanging="328"/>
        <w:spacing w:after="0"/>
        <w:tabs>
          <w:tab w:leader="none" w:pos="660" w:val="left"/>
        </w:tabs>
        <w:numPr>
          <w:ilvl w:val="0"/>
          <w:numId w:val="11"/>
        </w:numPr>
        <w:rPr>
          <w:rFonts w:ascii="Arial" w:cs="Arial" w:eastAsia="Arial" w:hAnsi="Arial"/>
          <w:sz w:val="18"/>
          <w:szCs w:val="18"/>
          <w:color w:val="808080"/>
        </w:rPr>
      </w:pPr>
      <w:r>
        <w:rPr>
          <w:rFonts w:ascii="Arial" w:cs="Arial" w:eastAsia="Arial" w:hAnsi="Arial"/>
          <w:sz w:val="18"/>
          <w:szCs w:val="18"/>
          <w:i w:val="1"/>
          <w:iCs w:val="1"/>
          <w:color w:val="808080"/>
        </w:rPr>
        <w:t>results of the United Kingdom’s referendum on withdrawal from the European Union;</w:t>
      </w:r>
    </w:p>
    <w:p>
      <w:pPr>
        <w:spacing w:after="0" w:line="27" w:lineRule="exact"/>
        <w:rPr>
          <w:rFonts w:ascii="Arial" w:cs="Arial" w:eastAsia="Arial" w:hAnsi="Arial"/>
          <w:sz w:val="18"/>
          <w:szCs w:val="18"/>
          <w:color w:val="808080"/>
        </w:rPr>
      </w:pPr>
    </w:p>
    <w:p>
      <w:pPr>
        <w:ind w:left="660" w:right="500" w:hanging="328"/>
        <w:spacing w:after="0" w:line="250" w:lineRule="auto"/>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being an English public limited company, including the need for court approval of “distributable profits” and stockholder approval of certain capital structure decisions;</w:t>
      </w: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ability to pay dividends or repurchase shares in accordance with our announced capital allocation plan;</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i w:val="1"/>
          <w:iCs w:val="1"/>
          <w:color w:val="808080"/>
        </w:rPr>
      </w:pPr>
    </w:p>
    <w:p>
      <w:pPr>
        <w:ind w:left="660" w:right="120" w:hanging="328"/>
        <w:spacing w:after="0" w:line="250" w:lineRule="auto"/>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unanticipated merger-related costs;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failure of our information technology infrastructure or any significant breach of security;</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1"/>
        </w:numPr>
        <w:rPr>
          <w:rFonts w:ascii="Arial" w:cs="Arial" w:eastAsia="Arial" w:hAnsi="Arial"/>
          <w:sz w:val="17"/>
          <w:szCs w:val="17"/>
          <w:i w:val="1"/>
          <w:iCs w:val="1"/>
          <w:color w:val="808080"/>
        </w:rPr>
      </w:pPr>
      <w:r>
        <w:rPr>
          <w:rFonts w:ascii="Arial" w:cs="Arial" w:eastAsia="Arial" w:hAnsi="Arial"/>
          <w:sz w:val="17"/>
          <w:szCs w:val="17"/>
          <w:i w:val="1"/>
          <w:iCs w:val="1"/>
          <w:color w:val="808080"/>
        </w:rPr>
        <w:t>risks associated with tax liabilities, or changes in U.S. federal or international tax laws or interpretations to which they are subject; and</w:t>
      </w:r>
    </w:p>
    <w:p>
      <w:pPr>
        <w:spacing w:after="0" w:line="20" w:lineRule="exact"/>
        <w:rPr>
          <w:rFonts w:ascii="Arial" w:cs="Arial" w:eastAsia="Arial" w:hAnsi="Arial"/>
          <w:sz w:val="17"/>
          <w:szCs w:val="17"/>
          <w:i w:val="1"/>
          <w:iCs w:val="1"/>
          <w:color w:val="808080"/>
        </w:rPr>
      </w:pPr>
    </w:p>
    <w:p>
      <w:pPr>
        <w:ind w:left="660" w:right="240" w:hanging="328"/>
        <w:spacing w:after="0" w:line="262" w:lineRule="auto"/>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such other risk factors set forth in our filings with the United States Securities and Exchange Commission and in our filings with the Autorité des marchés financiers or the U.K. Financial Conduct Authority.</w:t>
      </w:r>
    </w:p>
    <w:p>
      <w:pPr>
        <w:spacing w:after="0" w:line="336"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00" w:lineRule="exact"/>
        <w:rPr>
          <w:sz w:val="20"/>
          <w:szCs w:val="20"/>
          <w:color w:val="auto"/>
        </w:rPr>
      </w:pP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261"/>
        </w:trPr>
        <w:tc>
          <w:tcPr>
            <w:tcW w:w="414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4820" w:type="dxa"/>
            <w:vAlign w:val="bottom"/>
            <w:gridSpan w:val="5"/>
          </w:tcPr>
          <w:p>
            <w:pPr>
              <w:ind w:left="1080"/>
              <w:spacing w:after="0"/>
              <w:rPr>
                <w:sz w:val="20"/>
                <w:szCs w:val="20"/>
                <w:color w:val="auto"/>
              </w:rPr>
            </w:pPr>
            <w:r>
              <w:rPr>
                <w:rFonts w:ascii="Arial" w:cs="Arial" w:eastAsia="Arial" w:hAnsi="Arial"/>
                <w:sz w:val="20"/>
                <w:szCs w:val="20"/>
                <w:b w:val="1"/>
                <w:bCs w:val="1"/>
                <w:color w:val="auto"/>
              </w:rPr>
              <w:t>Media relations</w:t>
            </w:r>
          </w:p>
        </w:tc>
        <w:tc>
          <w:tcPr>
            <w:tcW w:w="0" w:type="dxa"/>
            <w:vAlign w:val="bottom"/>
          </w:tcPr>
          <w:p>
            <w:pPr>
              <w:spacing w:after="0"/>
              <w:rPr>
                <w:sz w:val="1"/>
                <w:szCs w:val="1"/>
                <w:color w:val="auto"/>
              </w:rPr>
            </w:pPr>
          </w:p>
        </w:tc>
      </w:tr>
      <w:tr>
        <w:trPr>
          <w:trHeight w:val="351"/>
        </w:trPr>
        <w:tc>
          <w:tcPr>
            <w:tcW w:w="414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4820" w:type="dxa"/>
            <w:vAlign w:val="bottom"/>
            <w:gridSpan w:val="5"/>
            <w:vMerge w:val="restart"/>
          </w:tcPr>
          <w:p>
            <w:pPr>
              <w:ind w:left="1080"/>
              <w:spacing w:after="0"/>
              <w:rPr>
                <w:sz w:val="20"/>
                <w:szCs w:val="20"/>
                <w:color w:val="auto"/>
              </w:rPr>
            </w:pPr>
            <w:r>
              <w:rPr>
                <w:rFonts w:ascii="Arial" w:cs="Arial" w:eastAsia="Arial" w:hAnsi="Arial"/>
                <w:sz w:val="20"/>
                <w:szCs w:val="20"/>
                <w:color w:val="auto"/>
              </w:rPr>
              <w:t>Christophe Belorgeot</w:t>
            </w:r>
          </w:p>
        </w:tc>
        <w:tc>
          <w:tcPr>
            <w:tcW w:w="0" w:type="dxa"/>
            <w:vAlign w:val="bottom"/>
          </w:tcPr>
          <w:p>
            <w:pPr>
              <w:spacing w:after="0"/>
              <w:rPr>
                <w:sz w:val="1"/>
                <w:szCs w:val="1"/>
                <w:color w:val="auto"/>
              </w:rPr>
            </w:pPr>
          </w:p>
        </w:tc>
      </w:tr>
      <w:tr>
        <w:trPr>
          <w:trHeight w:val="81"/>
        </w:trPr>
        <w:tc>
          <w:tcPr>
            <w:tcW w:w="4140" w:type="dxa"/>
            <w:vAlign w:val="bottom"/>
            <w:gridSpan w:val="4"/>
            <w:vMerge w:val="restart"/>
          </w:tcPr>
          <w:p>
            <w:pPr>
              <w:spacing w:after="0"/>
              <w:rPr>
                <w:sz w:val="20"/>
                <w:szCs w:val="20"/>
                <w:color w:val="auto"/>
              </w:rPr>
            </w:pPr>
            <w:r>
              <w:rPr>
                <w:rFonts w:ascii="Arial" w:cs="Arial" w:eastAsia="Arial" w:hAnsi="Arial"/>
                <w:sz w:val="20"/>
                <w:szCs w:val="20"/>
                <w:color w:val="auto"/>
              </w:rPr>
              <w:t>Vice President Investor Relations</w:t>
            </w:r>
          </w:p>
        </w:tc>
        <w:tc>
          <w:tcPr>
            <w:tcW w:w="48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40" w:type="dxa"/>
            <w:vAlign w:val="bottom"/>
            <w:gridSpan w:val="4"/>
            <w:vMerge w:val="continue"/>
          </w:tcPr>
          <w:p>
            <w:pPr>
              <w:spacing w:after="0"/>
              <w:rPr>
                <w:sz w:val="18"/>
                <w:szCs w:val="18"/>
                <w:color w:val="auto"/>
              </w:rPr>
            </w:pPr>
          </w:p>
        </w:tc>
        <w:tc>
          <w:tcPr>
            <w:tcW w:w="4820" w:type="dxa"/>
            <w:vAlign w:val="bottom"/>
            <w:gridSpan w:val="5"/>
            <w:vMerge w:val="restart"/>
          </w:tcPr>
          <w:p>
            <w:pPr>
              <w:ind w:left="1080"/>
              <w:spacing w:after="0"/>
              <w:rPr>
                <w:sz w:val="20"/>
                <w:szCs w:val="20"/>
                <w:color w:val="auto"/>
              </w:rPr>
            </w:pPr>
            <w:r>
              <w:rPr>
                <w:rFonts w:ascii="Arial" w:cs="Arial" w:eastAsia="Arial" w:hAnsi="Arial"/>
                <w:sz w:val="20"/>
                <w:szCs w:val="20"/>
                <w:color w:val="auto"/>
                <w:w w:val="98"/>
              </w:rPr>
              <w:t>Vice President Corporate Communications</w:t>
            </w:r>
          </w:p>
        </w:tc>
        <w:tc>
          <w:tcPr>
            <w:tcW w:w="0" w:type="dxa"/>
            <w:vAlign w:val="bottom"/>
          </w:tcPr>
          <w:p>
            <w:pPr>
              <w:spacing w:after="0"/>
              <w:rPr>
                <w:sz w:val="1"/>
                <w:szCs w:val="1"/>
                <w:color w:val="auto"/>
              </w:rPr>
            </w:pPr>
          </w:p>
        </w:tc>
      </w:tr>
      <w:tr>
        <w:trPr>
          <w:trHeight w:val="162"/>
        </w:trPr>
        <w:tc>
          <w:tcPr>
            <w:tcW w:w="4140" w:type="dxa"/>
            <w:vAlign w:val="bottom"/>
            <w:gridSpan w:val="4"/>
            <w:vMerge w:val="restart"/>
          </w:tcPr>
          <w:p>
            <w:pPr>
              <w:spacing w:after="0"/>
              <w:rPr>
                <w:sz w:val="20"/>
                <w:szCs w:val="20"/>
                <w:color w:val="auto"/>
              </w:rPr>
            </w:pPr>
            <w:r>
              <w:rPr>
                <w:rFonts w:ascii="Arial" w:cs="Arial" w:eastAsia="Arial" w:hAnsi="Arial"/>
                <w:sz w:val="20"/>
                <w:szCs w:val="20"/>
                <w:color w:val="auto"/>
              </w:rPr>
              <w:t>Tel: +1 281 260 3665</w:t>
            </w:r>
          </w:p>
        </w:tc>
        <w:tc>
          <w:tcPr>
            <w:tcW w:w="4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40" w:type="dxa"/>
            <w:vAlign w:val="bottom"/>
            <w:gridSpan w:val="4"/>
            <w:vMerge w:val="continue"/>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4140" w:type="dxa"/>
            <w:vAlign w:val="bottom"/>
            <w:gridSpan w:val="4"/>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Matt Seinsheimer</w:t>
            </w: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Tel: +33 1 47 78 39 92</w:t>
            </w:r>
          </w:p>
        </w:tc>
        <w:tc>
          <w:tcPr>
            <w:tcW w:w="0" w:type="dxa"/>
            <w:vAlign w:val="bottom"/>
          </w:tcPr>
          <w:p>
            <w:pPr>
              <w:spacing w:after="0"/>
              <w:rPr>
                <w:sz w:val="1"/>
                <w:szCs w:val="1"/>
                <w:color w:val="auto"/>
              </w:rPr>
            </w:pPr>
          </w:p>
        </w:tc>
      </w:tr>
      <w:tr>
        <w:trPr>
          <w:trHeight w:val="304"/>
        </w:trPr>
        <w:tc>
          <w:tcPr>
            <w:tcW w:w="620" w:type="dxa"/>
            <w:vAlign w:val="bottom"/>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Christophe Belorgeot</w:t>
            </w: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140" w:type="dxa"/>
            <w:vAlign w:val="bottom"/>
            <w:gridSpan w:val="4"/>
          </w:tcPr>
          <w:p>
            <w:pPr>
              <w:spacing w:after="0"/>
              <w:rPr>
                <w:sz w:val="20"/>
                <w:szCs w:val="20"/>
                <w:color w:val="auto"/>
              </w:rPr>
            </w:pPr>
            <w:r>
              <w:rPr>
                <w:rFonts w:ascii="Arial" w:cs="Arial" w:eastAsia="Arial" w:hAnsi="Arial"/>
                <w:sz w:val="20"/>
                <w:szCs w:val="20"/>
                <w:color w:val="auto"/>
              </w:rPr>
              <w:t>James Davis</w:t>
            </w: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Delphine Nayral</w:t>
            </w:r>
          </w:p>
        </w:tc>
        <w:tc>
          <w:tcPr>
            <w:tcW w:w="0" w:type="dxa"/>
            <w:vAlign w:val="bottom"/>
          </w:tcPr>
          <w:p>
            <w:pPr>
              <w:spacing w:after="0"/>
              <w:rPr>
                <w:sz w:val="1"/>
                <w:szCs w:val="1"/>
                <w:color w:val="auto"/>
              </w:rPr>
            </w:pPr>
          </w:p>
        </w:tc>
      </w:tr>
      <w:tr>
        <w:trPr>
          <w:trHeight w:val="378"/>
        </w:trPr>
        <w:tc>
          <w:tcPr>
            <w:tcW w:w="4140" w:type="dxa"/>
            <w:vAlign w:val="bottom"/>
            <w:gridSpan w:val="4"/>
          </w:tcPr>
          <w:p>
            <w:pPr>
              <w:spacing w:after="0"/>
              <w:rPr>
                <w:sz w:val="20"/>
                <w:szCs w:val="20"/>
                <w:color w:val="auto"/>
              </w:rPr>
            </w:pPr>
            <w:r>
              <w:rPr>
                <w:rFonts w:ascii="Arial" w:cs="Arial" w:eastAsia="Arial" w:hAnsi="Arial"/>
                <w:sz w:val="20"/>
                <w:szCs w:val="20"/>
                <w:color w:val="auto"/>
              </w:rPr>
              <w:t>Senior Manager Investor Relations</w:t>
            </w: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Manager Public Relations</w:t>
            </w:r>
          </w:p>
        </w:tc>
        <w:tc>
          <w:tcPr>
            <w:tcW w:w="0" w:type="dxa"/>
            <w:vAlign w:val="bottom"/>
          </w:tcPr>
          <w:p>
            <w:pPr>
              <w:spacing w:after="0"/>
              <w:rPr>
                <w:sz w:val="1"/>
                <w:szCs w:val="1"/>
                <w:color w:val="auto"/>
              </w:rPr>
            </w:pPr>
          </w:p>
        </w:tc>
      </w:tr>
      <w:tr>
        <w:trPr>
          <w:trHeight w:val="378"/>
        </w:trPr>
        <w:tc>
          <w:tcPr>
            <w:tcW w:w="4140" w:type="dxa"/>
            <w:vAlign w:val="bottom"/>
            <w:gridSpan w:val="4"/>
          </w:tcPr>
          <w:p>
            <w:pPr>
              <w:spacing w:after="0"/>
              <w:rPr>
                <w:sz w:val="20"/>
                <w:szCs w:val="20"/>
                <w:color w:val="auto"/>
              </w:rPr>
            </w:pPr>
            <w:r>
              <w:rPr>
                <w:rFonts w:ascii="Arial" w:cs="Arial" w:eastAsia="Arial" w:hAnsi="Arial"/>
                <w:sz w:val="20"/>
                <w:szCs w:val="20"/>
                <w:color w:val="auto"/>
              </w:rPr>
              <w:t>Tel: +1 281 260 3665</w:t>
            </w: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Tel: +33 1 47 78 34 83</w:t>
            </w:r>
          </w:p>
        </w:tc>
        <w:tc>
          <w:tcPr>
            <w:tcW w:w="0" w:type="dxa"/>
            <w:vAlign w:val="bottom"/>
          </w:tcPr>
          <w:p>
            <w:pPr>
              <w:spacing w:after="0"/>
              <w:rPr>
                <w:sz w:val="1"/>
                <w:szCs w:val="1"/>
                <w:color w:val="auto"/>
              </w:rPr>
            </w:pPr>
          </w:p>
        </w:tc>
      </w:tr>
      <w:tr>
        <w:trPr>
          <w:trHeight w:val="334"/>
        </w:trPr>
        <w:tc>
          <w:tcPr>
            <w:tcW w:w="4140" w:type="dxa"/>
            <w:vAlign w:val="bottom"/>
            <w:gridSpan w:val="4"/>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James Davis</w:t>
            </w: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Delphine Nayral</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Lisa Adams</w:t>
            </w:r>
          </w:p>
        </w:tc>
        <w:tc>
          <w:tcPr>
            <w:tcW w:w="0" w:type="dxa"/>
            <w:vAlign w:val="bottom"/>
          </w:tcPr>
          <w:p>
            <w:pPr>
              <w:spacing w:after="0"/>
              <w:rPr>
                <w:sz w:val="1"/>
                <w:szCs w:val="1"/>
                <w:color w:val="auto"/>
              </w:rPr>
            </w:pPr>
          </w:p>
        </w:tc>
      </w:tr>
      <w:tr>
        <w:trPr>
          <w:trHeight w:val="378"/>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Senior Manager Digital Communications</w:t>
            </w:r>
          </w:p>
        </w:tc>
        <w:tc>
          <w:tcPr>
            <w:tcW w:w="0" w:type="dxa"/>
            <w:vAlign w:val="bottom"/>
          </w:tcPr>
          <w:p>
            <w:pPr>
              <w:spacing w:after="0"/>
              <w:rPr>
                <w:sz w:val="1"/>
                <w:szCs w:val="1"/>
                <w:color w:val="auto"/>
              </w:rPr>
            </w:pPr>
          </w:p>
        </w:tc>
      </w:tr>
      <w:tr>
        <w:trPr>
          <w:trHeight w:val="378"/>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Tel: +1 281 405 4659</w:t>
            </w:r>
          </w:p>
        </w:tc>
        <w:tc>
          <w:tcPr>
            <w:tcW w:w="0" w:type="dxa"/>
            <w:vAlign w:val="bottom"/>
          </w:tcPr>
          <w:p>
            <w:pPr>
              <w:spacing w:after="0"/>
              <w:rPr>
                <w:sz w:val="1"/>
                <w:szCs w:val="1"/>
                <w:color w:val="auto"/>
              </w:rPr>
            </w:pPr>
          </w:p>
        </w:tc>
      </w:tr>
      <w:tr>
        <w:trPr>
          <w:trHeight w:val="334"/>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Lisa Adams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240" w:top="1066" w:right="3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GAAP FINANCIAL STATEMENTS</w:t>
      </w:r>
    </w:p>
    <w:p>
      <w:pPr>
        <w:spacing w:after="0" w:line="39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U.S. GAAP financial statements for TechnipFMC plc and consolidated subsidiaries are provided on the following pages. The financial results reflect the following information:</w:t>
      </w:r>
    </w:p>
    <w:p>
      <w:pPr>
        <w:spacing w:after="0" w:line="161" w:lineRule="exact"/>
        <w:rPr>
          <w:sz w:val="20"/>
          <w:szCs w:val="20"/>
          <w:color w:val="auto"/>
        </w:rPr>
      </w:pPr>
    </w:p>
    <w:p>
      <w:pPr>
        <w:ind w:left="560" w:hanging="322"/>
        <w:spacing w:after="0" w:line="239" w:lineRule="auto"/>
        <w:tabs>
          <w:tab w:leader="none" w:pos="5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1" w:lineRule="exact"/>
        <w:rPr>
          <w:rFonts w:ascii="Arial" w:cs="Arial" w:eastAsia="Arial" w:hAnsi="Arial"/>
          <w:sz w:val="20"/>
          <w:szCs w:val="20"/>
          <w:color w:val="auto"/>
        </w:rPr>
      </w:pPr>
    </w:p>
    <w:p>
      <w:pPr>
        <w:ind w:left="560" w:hanging="322"/>
        <w:spacing w:after="0" w:line="247" w:lineRule="auto"/>
        <w:tabs>
          <w:tab w:leader="none" w:pos="5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 December of 2016, Technip increased its ownership in the Yamal LNG joint venture and became the controlling shareholder. Under US GAAP, this resulted in full consolidation of the joint venture on the date of the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Therefore, the results for the three and nine months ended September 30, 2017:</w:t>
      </w:r>
    </w:p>
    <w:p>
      <w:pPr>
        <w:spacing w:after="0" w:line="17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Include Technip for the full period;</w:t>
      </w:r>
    </w:p>
    <w:p>
      <w:pPr>
        <w:jc w:val="both"/>
        <w:ind w:left="660" w:hanging="328"/>
        <w:spacing w:after="0" w:line="239"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September 30, 2017; revenue of $112.9 million during the period from January 1 to January 16, 2017 were excluded, of which approximately 70 percent came from the Subsea segment; and</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Fully consolidate the Yamal LNG joint venture for the full period, within the Onshore/Offshore segment.</w:t>
      </w:r>
    </w:p>
    <w:p>
      <w:pPr>
        <w:spacing w:after="0" w:line="22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results for the three and nine months ended September 30, 2016 only include the results of Technip, inclusive of the equity in affiliate income from the Yamal LNG joint venture.</w:t>
      </w:r>
    </w:p>
    <w:p>
      <w:pPr>
        <w:spacing w:after="0" w:line="16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355" w:right="239" w:bottom="1440" w:gutter="0" w:footer="0" w:header="0"/>
        </w:sectPr>
      </w:pPr>
    </w:p>
    <w:bookmarkStart w:id="16" w:name="page17"/>
    <w:bookmarkEnd w:id="16"/>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STATEMENTS OF INCOME </w:t>
      </w:r>
      <w:r>
        <w:rPr>
          <w:rFonts w:ascii="Arial" w:cs="Arial" w:eastAsia="Arial" w:hAnsi="Arial"/>
          <w:sz w:val="18"/>
          <w:szCs w:val="18"/>
          <w:b w:val="1"/>
          <w:bCs w:val="1"/>
          <w:color w:val="auto"/>
        </w:rPr>
        <w:t>(In millions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58"/>
        </w:trPr>
        <w:tc>
          <w:tcPr>
            <w:tcW w:w="4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2"/>
                <w:szCs w:val="22"/>
                <w:color w:val="auto"/>
              </w:rPr>
            </w:pPr>
          </w:p>
        </w:tc>
        <w:tc>
          <w:tcPr>
            <w:tcW w:w="20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4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4"/>
              </w:rPr>
              <w:t>11,373.9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7,151.9</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3,872.3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2,120.2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w w:val="94"/>
              </w:rPr>
              <w:t>10,704.6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6,505.9</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646.0</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55.3</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Income before net interest expense and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701.3</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679.9</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153.8</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526.1</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TechnipFMC plc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attributable to TechnipFMC plc: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4.41</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84"/>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466.8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119.6</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468.3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125.3</w:t>
            </w:r>
          </w:p>
        </w:tc>
      </w:tr>
      <w:tr>
        <w:trPr>
          <w:trHeight w:val="27"/>
        </w:trPr>
        <w:tc>
          <w:tcPr>
            <w:tcW w:w="4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ectPr>
          <w:pgSz w:w="11900" w:h="16838" w:orient="portrait"/>
          <w:cols w:equalWidth="0" w:num="1">
            <w:col w:w="9160"/>
          </w:cols>
          <w:pgMar w:left="1380" w:top="526" w:right="135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2"/>
                <w:szCs w:val="22"/>
                <w:color w:val="auto"/>
              </w:rPr>
            </w:pPr>
          </w:p>
        </w:tc>
        <w:tc>
          <w:tcPr>
            <w:tcW w:w="20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2016</w:t>
            </w:r>
          </w:p>
        </w:tc>
      </w:tr>
      <w:tr>
        <w:trPr>
          <w:trHeight w:val="189"/>
        </w:trPr>
        <w:tc>
          <w:tcPr>
            <w:tcW w:w="20" w:type="dxa"/>
            <w:vAlign w:val="bottom"/>
            <w:shd w:val="clear" w:color="auto" w:fill="CCEEFF"/>
          </w:tcPr>
          <w:p>
            <w:pPr>
              <w:spacing w:after="0"/>
              <w:rPr>
                <w:sz w:val="16"/>
                <w:szCs w:val="16"/>
                <w:color w:val="auto"/>
              </w:rPr>
            </w:pPr>
          </w:p>
        </w:tc>
        <w:tc>
          <w:tcPr>
            <w:tcW w:w="42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8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Subsea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4,624.7</w:t>
            </w:r>
          </w:p>
        </w:tc>
      </w:tr>
      <w:tr>
        <w:trPr>
          <w:trHeight w:val="243"/>
        </w:trPr>
        <w:tc>
          <w:tcPr>
            <w:tcW w:w="20" w:type="dxa"/>
            <w:vAlign w:val="bottom"/>
          </w:tcPr>
          <w:p>
            <w:pPr>
              <w:spacing w:after="0"/>
              <w:rPr>
                <w:sz w:val="21"/>
                <w:szCs w:val="21"/>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2,308.1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815.4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5,885.0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2,527.2</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Other revenue and intercompany eliminations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4"/>
              </w:rPr>
              <w:t>11,373.9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42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before income taxes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84"/>
        </w:trPr>
        <w:tc>
          <w:tcPr>
            <w:tcW w:w="2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42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Segment operating profit (loss)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Subsea</w:t>
            </w:r>
          </w:p>
        </w:tc>
        <w:tc>
          <w:tcPr>
            <w:tcW w:w="19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tcPr>
          <w:p>
            <w:pPr>
              <w:jc w:val="right"/>
              <w:ind w:right="33"/>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282.0</w:t>
            </w: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393.1</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669.9</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Onshore/Offshore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w:t>
            </w:r>
          </w:p>
        </w:tc>
      </w:tr>
      <w:tr>
        <w:trPr>
          <w:trHeight w:val="243"/>
        </w:trPr>
        <w:tc>
          <w:tcPr>
            <w:tcW w:w="20" w:type="dxa"/>
            <w:vAlign w:val="bottom"/>
          </w:tcPr>
          <w:p>
            <w:pPr>
              <w:spacing w:after="0"/>
              <w:rPr>
                <w:sz w:val="21"/>
                <w:szCs w:val="21"/>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segment operating profit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809.7</w:t>
            </w:r>
          </w:p>
        </w:tc>
      </w:tr>
      <w:tr>
        <w:trPr>
          <w:trHeight w:val="27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88"/>
              </w:rPr>
              <w:t>Corporate items</w:t>
            </w:r>
          </w:p>
        </w:tc>
        <w:tc>
          <w:tcPr>
            <w:tcW w:w="3060" w:type="dxa"/>
            <w:vAlign w:val="bottom"/>
            <w:tcBorders>
              <w:bottom w:val="single" w:sz="8" w:color="CCEEFF"/>
            </w:tcBorders>
            <w:gridSpan w:val="3"/>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220" w:type="dxa"/>
            <w:vAlign w:val="bottom"/>
            <w:gridSpan w:val="5"/>
          </w:tcPr>
          <w:p>
            <w:pPr>
              <w:spacing w:after="0" w:line="270" w:lineRule="exact"/>
              <w:rPr>
                <w:sz w:val="20"/>
                <w:szCs w:val="20"/>
                <w:color w:val="auto"/>
              </w:rPr>
            </w:pPr>
            <w:r>
              <w:rPr>
                <w:rFonts w:ascii="Arial" w:cs="Arial" w:eastAsia="Arial" w:hAnsi="Arial"/>
                <w:sz w:val="18"/>
                <w:szCs w:val="18"/>
                <w:color w:val="auto"/>
              </w:rPr>
              <w:t xml:space="preserve">Corporate expense, net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7"/>
        </w:trPr>
        <w:tc>
          <w:tcPr>
            <w:tcW w:w="20" w:type="dxa"/>
            <w:vAlign w:val="bottom"/>
          </w:tcPr>
          <w:p>
            <w:pPr>
              <w:spacing w:after="0"/>
              <w:rPr>
                <w:sz w:val="20"/>
                <w:szCs w:val="20"/>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7"/>
        </w:trPr>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220" w:type="dxa"/>
            <w:vAlign w:val="bottom"/>
            <w:gridSpan w:val="5"/>
          </w:tcPr>
          <w:p>
            <w:pPr>
              <w:spacing w:after="0" w:line="270" w:lineRule="exact"/>
              <w:rPr>
                <w:sz w:val="20"/>
                <w:szCs w:val="20"/>
                <w:color w:val="auto"/>
              </w:rPr>
            </w:pPr>
            <w:r>
              <w:rPr>
                <w:rFonts w:ascii="Arial" w:cs="Arial" w:eastAsia="Arial" w:hAnsi="Arial"/>
                <w:sz w:val="18"/>
                <w:szCs w:val="18"/>
                <w:color w:val="auto"/>
              </w:rPr>
              <w:t xml:space="preserve">Net income before income taxes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3"/>
                <w:szCs w:val="23"/>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511.4</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679.9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right="80" w:hanging="157"/>
        <w:spacing w:after="0" w:line="265" w:lineRule="auto"/>
        <w:tabs>
          <w:tab w:leader="none" w:pos="184"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Corporate expense, net primarily includes corporate staff expenses, stock-based compensation expenses, other employee benefits, certain foreign exchange gains and losses, and merger-related transaction expenses.</w:t>
      </w:r>
    </w:p>
    <w:p>
      <w:pPr>
        <w:spacing w:after="0" w:line="15" w:lineRule="exact"/>
        <w:rPr>
          <w:rFonts w:ascii="Arial" w:cs="Arial" w:eastAsia="Arial" w:hAnsi="Arial"/>
          <w:sz w:val="19"/>
          <w:szCs w:val="19"/>
          <w:color w:val="auto"/>
          <w:vertAlign w:val="superscript"/>
        </w:rPr>
      </w:pPr>
    </w:p>
    <w:p>
      <w:pPr>
        <w:ind w:left="180" w:hanging="157"/>
        <w:spacing w:after="0"/>
        <w:tabs>
          <w:tab w:leader="none" w:pos="18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Includes amounts attributable to noncontrolling interests.</w:t>
      </w:r>
    </w:p>
    <w:p>
      <w:pPr>
        <w:sectPr>
          <w:pgSz w:w="11900" w:h="16838" w:orient="portrait"/>
          <w:cols w:equalWidth="0" w:num="1">
            <w:col w:w="9160"/>
          </w:cols>
          <w:pgMar w:left="1380" w:top="526" w:right="135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and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4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2016</w:t>
            </w:r>
          </w:p>
        </w:tc>
      </w:tr>
      <w:tr>
        <w:trPr>
          <w:trHeight w:val="189"/>
        </w:trPr>
        <w:tc>
          <w:tcPr>
            <w:tcW w:w="20" w:type="dxa"/>
            <w:vAlign w:val="bottom"/>
          </w:tcPr>
          <w:p>
            <w:pPr>
              <w:spacing w:after="0"/>
              <w:rPr>
                <w:sz w:val="16"/>
                <w:szCs w:val="16"/>
                <w:color w:val="auto"/>
              </w:rPr>
            </w:pPr>
          </w:p>
        </w:tc>
        <w:tc>
          <w:tcPr>
            <w:tcW w:w="4040" w:type="dxa"/>
            <w:vAlign w:val="bottom"/>
            <w:gridSpan w:val="3"/>
          </w:tcPr>
          <w:p>
            <w:pPr>
              <w:spacing w:after="0" w:line="189" w:lineRule="exact"/>
              <w:rPr>
                <w:sz w:val="20"/>
                <w:szCs w:val="20"/>
                <w:color w:val="auto"/>
              </w:rPr>
            </w:pPr>
            <w:r>
              <w:rPr>
                <w:rFonts w:ascii="Arial" w:cs="Arial" w:eastAsia="Arial" w:hAnsi="Arial"/>
                <w:sz w:val="15"/>
                <w:szCs w:val="15"/>
                <w:b w:val="1"/>
                <w:bCs w:val="1"/>
                <w:color w:val="auto"/>
              </w:rPr>
              <w:t xml:space="preserve">Inbound Orders </w:t>
            </w:r>
            <w:r>
              <w:rPr>
                <w:rFonts w:ascii="Arial" w:cs="Arial" w:eastAsia="Arial" w:hAnsi="Arial"/>
                <w:sz w:val="21"/>
                <w:szCs w:val="21"/>
                <w:b w:val="1"/>
                <w:bCs w:val="1"/>
                <w:color w:val="auto"/>
                <w:vertAlign w:val="superscript"/>
              </w:rPr>
              <w:t>(1)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45"/>
        </w:trPr>
        <w:tc>
          <w:tcPr>
            <w:tcW w:w="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Subsea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1,881.3</w:t>
            </w:r>
          </w:p>
        </w:tc>
      </w:tr>
      <w:tr>
        <w:trPr>
          <w:trHeight w:val="243"/>
        </w:trPr>
        <w:tc>
          <w:tcPr>
            <w:tcW w:w="20" w:type="dxa"/>
            <w:vAlign w:val="bottom"/>
          </w:tcPr>
          <w:p>
            <w:pPr>
              <w:spacing w:after="0"/>
              <w:rPr>
                <w:sz w:val="21"/>
                <w:szCs w:val="21"/>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2,497.6</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Total inbound orders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2,461.9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7,204.4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4,378.9</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2016</w:t>
            </w:r>
          </w:p>
        </w:tc>
      </w:tr>
      <w:tr>
        <w:trPr>
          <w:trHeight w:val="189"/>
        </w:trPr>
        <w:tc>
          <w:tcPr>
            <w:tcW w:w="20" w:type="dxa"/>
            <w:vAlign w:val="bottom"/>
          </w:tcPr>
          <w:p>
            <w:pPr>
              <w:spacing w:after="0"/>
              <w:rPr>
                <w:sz w:val="16"/>
                <w:szCs w:val="16"/>
                <w:color w:val="auto"/>
              </w:rPr>
            </w:pPr>
          </w:p>
        </w:tc>
        <w:tc>
          <w:tcPr>
            <w:tcW w:w="4040" w:type="dxa"/>
            <w:vAlign w:val="bottom"/>
            <w:gridSpan w:val="3"/>
          </w:tcPr>
          <w:p>
            <w:pPr>
              <w:spacing w:after="0" w:line="189" w:lineRule="exact"/>
              <w:rPr>
                <w:sz w:val="20"/>
                <w:szCs w:val="20"/>
                <w:color w:val="auto"/>
              </w:rPr>
            </w:pPr>
            <w:r>
              <w:rPr>
                <w:rFonts w:ascii="Arial" w:cs="Arial" w:eastAsia="Arial" w:hAnsi="Arial"/>
                <w:sz w:val="15"/>
                <w:szCs w:val="15"/>
                <w:b w:val="1"/>
                <w:bCs w:val="1"/>
                <w:color w:val="auto"/>
              </w:rPr>
              <w:t xml:space="preserve">Order Backlog </w:t>
            </w:r>
            <w:r>
              <w:rPr>
                <w:rFonts w:ascii="Arial" w:cs="Arial" w:eastAsia="Arial" w:hAnsi="Arial"/>
                <w:sz w:val="21"/>
                <w:szCs w:val="21"/>
                <w:b w:val="1"/>
                <w:bCs w:val="1"/>
                <w:color w:val="auto"/>
                <w:vertAlign w:val="superscript"/>
              </w:rPr>
              <w:t>(2)</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45"/>
        </w:trPr>
        <w:tc>
          <w:tcPr>
            <w:tcW w:w="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Subsea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5,662.9</w:t>
            </w:r>
          </w:p>
        </w:tc>
      </w:tr>
      <w:tr>
        <w:trPr>
          <w:trHeight w:val="243"/>
        </w:trPr>
        <w:tc>
          <w:tcPr>
            <w:tcW w:w="20" w:type="dxa"/>
            <w:vAlign w:val="bottom"/>
          </w:tcPr>
          <w:p>
            <w:pPr>
              <w:spacing w:after="0"/>
              <w:rPr>
                <w:sz w:val="21"/>
                <w:szCs w:val="21"/>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7,559.3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8,035.9</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Total order backlog</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13,902.4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13,698.8</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80" w:hanging="157"/>
        <w:spacing w:after="0"/>
        <w:tabs>
          <w:tab w:leader="none" w:pos="18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Inbound orders represent the estimated sales value of confirmed customer orders received during the reporting period.</w:t>
      </w:r>
    </w:p>
    <w:p>
      <w:pPr>
        <w:spacing w:after="0" w:line="64" w:lineRule="exact"/>
        <w:rPr>
          <w:rFonts w:ascii="Arial" w:cs="Arial" w:eastAsia="Arial" w:hAnsi="Arial"/>
          <w:sz w:val="19"/>
          <w:szCs w:val="19"/>
          <w:color w:val="auto"/>
          <w:vertAlign w:val="superscript"/>
        </w:rPr>
      </w:pPr>
    </w:p>
    <w:p>
      <w:pPr>
        <w:ind w:left="180" w:hanging="157"/>
        <w:spacing w:after="0" w:line="211" w:lineRule="auto"/>
        <w:tabs>
          <w:tab w:leader="none" w:pos="18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Order backlog is calculated as the estimated sales value of unfilled, confirmed customer orders at the reporting date.</w:t>
      </w:r>
    </w:p>
    <w:p>
      <w:pPr>
        <w:sectPr>
          <w:pgSz w:w="11900" w:h="16838" w:orient="portrait"/>
          <w:cols w:equalWidth="0" w:num="1">
            <w:col w:w="9160"/>
          </w:cols>
          <w:pgMar w:left="1380" w:top="526" w:right="135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BALANCE SHEETS </w:t>
      </w:r>
      <w:r>
        <w:rPr>
          <w:rFonts w:ascii="Arial" w:cs="Arial" w:eastAsia="Arial" w:hAnsi="Arial"/>
          <w:sz w:val="18"/>
          <w:szCs w:val="18"/>
          <w:b w:val="1"/>
          <w:bCs w:val="1"/>
          <w:color w:val="auto"/>
        </w:rPr>
        <w:t>(In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(Unaudited)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140" w:type="dxa"/>
            <w:vAlign w:val="bottom"/>
          </w:tcPr>
          <w:p>
            <w:pPr>
              <w:jc w:val="right"/>
              <w:ind w:right="17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6,269.3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Trade receivables, net</w:t>
            </w: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2,024.5</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in excess of billings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334.7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1,822.9</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14,135.0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10,937.2</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2,620.1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3,718.3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1,391.8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173.7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1,240.4</w:t>
            </w: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29,628.2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18,689.7</w:t>
            </w:r>
          </w:p>
        </w:tc>
      </w:tr>
      <w:tr>
        <w:trPr>
          <w:trHeight w:val="67"/>
        </w:trPr>
        <w:tc>
          <w:tcPr>
            <w:tcW w:w="6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64"/>
        </w:trPr>
        <w:tc>
          <w:tcPr>
            <w:tcW w:w="6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683.6</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trade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3,837.7</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Advance payments</w:t>
            </w: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411.1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in excess of costs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3,323.0</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2,633.5</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10,888.9</w:t>
            </w:r>
          </w:p>
        </w:tc>
      </w:tr>
      <w:tr>
        <w:trPr>
          <w:trHeight w:val="284"/>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819.6</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TechnipFMC plc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5,123.6</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29,628.2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18,689.7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526" w:right="133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STATEMENTS OF CASH FLOWS </w:t>
      </w:r>
      <w:r>
        <w:rPr>
          <w:rFonts w:ascii="Arial" w:cs="Arial" w:eastAsia="Arial" w:hAnsi="Arial"/>
          <w:sz w:val="18"/>
          <w:szCs w:val="18"/>
          <w:b w:val="1"/>
          <w:bCs w:val="1"/>
          <w:color w:val="auto"/>
        </w:rPr>
        <w:t>(In millions)</w:t>
      </w:r>
    </w:p>
    <w:p>
      <w:pPr>
        <w:spacing w:after="0" w:line="185"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16979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35"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16979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(required)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526.1</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223.6</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Trade accounts receivable, net and costs in excess of billings</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(727.8)</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Accounts payable, trade</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131.2</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Advance payments and billings in excess of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119.4</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268.4</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(required)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acquired in merger of Technip and FMC Technologies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(required)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(required)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Net increase (decrease) in debt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(320.1)</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(151.0)</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required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foreign exchange rates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w:t>
            </w:r>
          </w:p>
        </w:tc>
      </w:tr>
      <w:tr>
        <w:trPr>
          <w:trHeight w:val="277"/>
        </w:trPr>
        <w:tc>
          <w:tcPr>
            <w:tcW w:w="65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3,178.0</w:t>
            </w:r>
          </w:p>
        </w:tc>
      </w:tr>
      <w:tr>
        <w:trPr>
          <w:trHeight w:val="277"/>
        </w:trPr>
        <w:tc>
          <w:tcPr>
            <w:tcW w:w="65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2,797.4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526" w:right="1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39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Reconciliation of U.S. GAAP to non-GAAP financial measures for TechnipFMC plc and consolidated subsidiaries are provided on the following page. The financial results reflect the following information:</w:t>
      </w:r>
    </w:p>
    <w:p>
      <w:pPr>
        <w:spacing w:after="0" w:line="391" w:lineRule="exact"/>
        <w:rPr>
          <w:sz w:val="20"/>
          <w:szCs w:val="20"/>
          <w:color w:val="auto"/>
        </w:rPr>
      </w:pPr>
    </w:p>
    <w:p>
      <w:pPr>
        <w:ind w:left="560" w:hanging="322"/>
        <w:spacing w:after="0" w:line="239" w:lineRule="auto"/>
        <w:tabs>
          <w:tab w:leader="none" w:pos="5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1" w:lineRule="exact"/>
        <w:rPr>
          <w:rFonts w:ascii="Arial" w:cs="Arial" w:eastAsia="Arial" w:hAnsi="Arial"/>
          <w:sz w:val="20"/>
          <w:szCs w:val="20"/>
          <w:color w:val="auto"/>
        </w:rPr>
      </w:pPr>
    </w:p>
    <w:p>
      <w:pPr>
        <w:jc w:val="both"/>
        <w:ind w:left="560" w:hanging="322"/>
        <w:spacing w:after="0" w:line="243" w:lineRule="auto"/>
        <w:tabs>
          <w:tab w:leader="none" w:pos="5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 December of 2016, Technip increased its ownership in the Yamal LNG joint venture and became the controlling shareholder. Under US GAAP, this would have resulted in full consolidation of the joint venture on the date of the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Non-GAAP results for the three and nine months ended September 30, 2017:</w:t>
      </w:r>
    </w:p>
    <w:p>
      <w:pPr>
        <w:spacing w:after="0" w:line="17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jc w:val="both"/>
        <w:ind w:left="660" w:hanging="328"/>
        <w:spacing w:after="0" w:line="239"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September 30, 2017; revenue of $112.9 million during the period from January 1 to January 16, 2017 were excluded, of which approximately 70 percent from Subsea and the remainder from Surface Technologies; and</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Fully consolidate the Yamal LNG joint venture for the full period, within the Onshore/Offshore segment.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Non-GAAP pro forma results for the three and nine months ended September 30, 2016:</w:t>
      </w:r>
    </w:p>
    <w:p>
      <w:pPr>
        <w:spacing w:after="0" w:line="17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Include the results of both Technip and FMC Technologies for the full period;</w:t>
      </w:r>
    </w:p>
    <w:p>
      <w:pPr>
        <w:ind w:left="660" w:hanging="328"/>
        <w:spacing w:after="0" w:line="239"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Combine FMC Technologies’ former Surface Technologies and Energy Infrastructure segments to form the pro forma Surface Technologies segment;</w:t>
      </w:r>
    </w:p>
    <w:p>
      <w:pPr>
        <w:spacing w:after="0" w:line="1" w:lineRule="exact"/>
        <w:rPr>
          <w:rFonts w:ascii="Arial" w:cs="Arial" w:eastAsia="Arial" w:hAnsi="Arial"/>
          <w:sz w:val="20"/>
          <w:szCs w:val="20"/>
          <w:color w:val="auto"/>
        </w:rPr>
      </w:pPr>
    </w:p>
    <w:p>
      <w:pPr>
        <w:ind w:left="660" w:right="20" w:hanging="328"/>
        <w:spacing w:after="0" w:line="239"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Purchase price accounting adjustments applied on an equal basis to results for the three and nine months ended September 30, 2017 to provide comparability; and</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Fully consolidate the Yamal LNG joint venture for the full period, within the Onshore/Offshore segment.</w:t>
      </w:r>
    </w:p>
    <w:p>
      <w:pPr>
        <w:spacing w:after="0" w:line="229"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355" w:right="239" w:bottom="1440" w:gutter="0" w:footer="0" w:header="0"/>
        </w:sectPr>
      </w:pPr>
    </w:p>
    <w:bookmarkStart w:id="22" w:name="page23"/>
    <w:bookmarkEnd w:id="22"/>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Charges and Credits</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Third Quarter 2017 Earnings Release also includes non-GAAP financial measures (as defined in Item 10 of Regulation S-K of the Securities Exchange Act of 1934, as amended) and describes performance on a year-over-year basis against 2016 pro forma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213995</wp:posOffset>
            </wp:positionV>
            <wp:extent cx="4793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389"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6"/>
          </w:tcPr>
          <w:p>
            <w:pPr>
              <w:jc w:val="center"/>
              <w:ind w:left="408"/>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left="408"/>
              <w:spacing w:after="0"/>
              <w:rPr>
                <w:sz w:val="20"/>
                <w:szCs w:val="20"/>
                <w:color w:val="auto"/>
              </w:rPr>
            </w:pPr>
            <w:r>
              <w:rPr>
                <w:rFonts w:ascii="Arial" w:cs="Arial" w:eastAsia="Arial" w:hAnsi="Arial"/>
                <w:sz w:val="14"/>
                <w:szCs w:val="14"/>
                <w:b w:val="1"/>
                <w:bCs w:val="1"/>
                <w:color w:val="auto"/>
                <w:w w:val="90"/>
              </w:rPr>
              <w:t>Septemeber 30, 2017</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before net</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Net income</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(income) loss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net interest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Depreciation</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Provision for</w:t>
            </w:r>
          </w:p>
        </w:tc>
        <w:tc>
          <w:tcPr>
            <w:tcW w:w="100" w:type="dxa"/>
            <w:vAlign w:val="bottom"/>
          </w:tcPr>
          <w:p>
            <w:pPr>
              <w:spacing w:after="0"/>
              <w:rPr>
                <w:sz w:val="12"/>
                <w:szCs w:val="12"/>
                <w:color w:val="auto"/>
              </w:rPr>
            </w:pPr>
          </w:p>
        </w:tc>
        <w:tc>
          <w:tcPr>
            <w:tcW w:w="9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Net interest</w:t>
            </w: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income taxes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TechnipFMC</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0" w:type="dxa"/>
            <w:vAlign w:val="bottom"/>
          </w:tcPr>
          <w:p>
            <w:pPr>
              <w:spacing w:after="0"/>
              <w:rPr>
                <w:sz w:val="1"/>
                <w:szCs w:val="1"/>
                <w:color w:val="auto"/>
              </w:rPr>
            </w:pPr>
          </w:p>
        </w:tc>
      </w:tr>
      <w:tr>
        <w:trPr>
          <w:trHeight w:val="192"/>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plc</w:t>
            </w: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 taxes</w:t>
            </w:r>
          </w:p>
        </w:tc>
        <w:tc>
          <w:tcPr>
            <w:tcW w:w="10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expense</w:t>
            </w:r>
          </w:p>
        </w:tc>
        <w:tc>
          <w:tcPr>
            <w:tcW w:w="8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164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466.9</w:t>
            </w: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640" w:type="dxa"/>
            <w:vAlign w:val="bottom"/>
          </w:tcPr>
          <w:p>
            <w:pPr>
              <w:ind w:left="160"/>
              <w:spacing w:after="0" w:line="157" w:lineRule="exact"/>
              <w:rPr>
                <w:sz w:val="20"/>
                <w:szCs w:val="20"/>
                <w:color w:val="auto"/>
              </w:rPr>
            </w:pPr>
            <w:r>
              <w:rPr>
                <w:rFonts w:ascii="Arial" w:cs="Arial" w:eastAsia="Arial" w:hAnsi="Arial"/>
                <w:sz w:val="14"/>
                <w:szCs w:val="14"/>
                <w:color w:val="auto"/>
              </w:rPr>
              <w:t>Impairment and other</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40" w:type="dxa"/>
            <w:vAlign w:val="bottom"/>
          </w:tcPr>
          <w:p>
            <w:pPr>
              <w:ind w:left="160"/>
              <w:spacing w:after="0"/>
              <w:rPr>
                <w:sz w:val="20"/>
                <w:szCs w:val="20"/>
                <w:color w:val="auto"/>
              </w:rPr>
            </w:pPr>
            <w:r>
              <w:rPr>
                <w:rFonts w:ascii="Arial" w:cs="Arial" w:eastAsia="Arial" w:hAnsi="Arial"/>
                <w:sz w:val="14"/>
                <w:szCs w:val="14"/>
                <w:color w:val="auto"/>
              </w:rPr>
              <w:t>charges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3"/>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Restructuring and other</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severance charges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57"/>
        </w:trPr>
        <w:tc>
          <w:tcPr>
            <w:tcW w:w="1640" w:type="dxa"/>
            <w:vAlign w:val="bottom"/>
          </w:tcPr>
          <w:p>
            <w:pPr>
              <w:ind w:left="160"/>
              <w:spacing w:after="0" w:line="157" w:lineRule="exact"/>
              <w:rPr>
                <w:sz w:val="20"/>
                <w:szCs w:val="20"/>
                <w:color w:val="auto"/>
              </w:rPr>
            </w:pPr>
            <w:r>
              <w:rPr>
                <w:rFonts w:ascii="Arial" w:cs="Arial" w:eastAsia="Arial" w:hAnsi="Arial"/>
                <w:sz w:val="14"/>
                <w:szCs w:val="14"/>
                <w:color w:val="auto"/>
              </w:rPr>
              <w:t>Business combination</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4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3"/>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in accounting</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640" w:type="dxa"/>
            <w:vAlign w:val="bottom"/>
          </w:tcPr>
          <w:p>
            <w:pPr>
              <w:ind w:left="160"/>
              <w:spacing w:after="0" w:line="157" w:lineRule="exact"/>
              <w:rPr>
                <w:sz w:val="20"/>
                <w:szCs w:val="20"/>
                <w:color w:val="auto"/>
              </w:rPr>
            </w:pPr>
            <w:r>
              <w:rPr>
                <w:rFonts w:ascii="Arial" w:cs="Arial" w:eastAsia="Arial" w:hAnsi="Arial"/>
                <w:sz w:val="14"/>
                <w:szCs w:val="14"/>
                <w:color w:val="auto"/>
              </w:rPr>
              <w:t>Purchase price</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40" w:type="dxa"/>
            <w:vAlign w:val="bottom"/>
          </w:tcPr>
          <w:p>
            <w:pPr>
              <w:ind w:left="160"/>
              <w:spacing w:after="0"/>
              <w:rPr>
                <w:sz w:val="20"/>
                <w:szCs w:val="20"/>
                <w:color w:val="auto"/>
              </w:rPr>
            </w:pPr>
            <w:r>
              <w:rPr>
                <w:rFonts w:ascii="Arial" w:cs="Arial" w:eastAsia="Arial" w:hAnsi="Arial"/>
                <w:sz w:val="14"/>
                <w:szCs w:val="14"/>
                <w:color w:val="auto"/>
                <w:w w:val="99"/>
              </w:rPr>
              <w:t>accounting adjustments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3"/>
        </w:trPr>
        <w:tc>
          <w:tcPr>
            <w:tcW w:w="164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Adjusted financial</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183.6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417.2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119.0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536.2</w:t>
            </w:r>
          </w:p>
        </w:tc>
        <w:tc>
          <w:tcPr>
            <w:tcW w:w="0" w:type="dxa"/>
            <w:vAlign w:val="bottom"/>
          </w:tcPr>
          <w:p>
            <w:pPr>
              <w:spacing w:after="0"/>
              <w:rPr>
                <w:sz w:val="1"/>
                <w:szCs w:val="1"/>
                <w:color w:val="auto"/>
              </w:rPr>
            </w:pPr>
          </w:p>
        </w:tc>
      </w:tr>
      <w:tr>
        <w:trPr>
          <w:trHeight w:val="181"/>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measures</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497205</wp:posOffset>
            </wp:positionV>
            <wp:extent cx="49136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9"/>
          </w:tcPr>
          <w:p>
            <w:pPr>
              <w:jc w:val="center"/>
              <w:ind w:right="600"/>
              <w:spacing w:after="0"/>
              <w:rPr>
                <w:sz w:val="20"/>
                <w:szCs w:val="20"/>
                <w:color w:val="auto"/>
              </w:rPr>
            </w:pPr>
            <w:r>
              <w:rPr>
                <w:rFonts w:ascii="Arial" w:cs="Arial" w:eastAsia="Arial" w:hAnsi="Arial"/>
                <w:sz w:val="14"/>
                <w:szCs w:val="14"/>
                <w:b w:val="1"/>
                <w:bCs w:val="1"/>
                <w:color w:val="auto"/>
                <w:w w:val="95"/>
              </w:rPr>
              <w:t>Pro Forma Three Months Ended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before net</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Net income</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(income) loss</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net interest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(including legacy FMC</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Provision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income taxes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w w:val="99"/>
              </w:rPr>
              <w:t>Technologies and PPA</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TechnipFMC</w:t>
            </w: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0" w:type="dxa"/>
            <w:vAlign w:val="bottom"/>
          </w:tcPr>
          <w:p>
            <w:pPr>
              <w:spacing w:after="0"/>
              <w:rPr>
                <w:sz w:val="1"/>
                <w:szCs w:val="1"/>
                <w:color w:val="auto"/>
              </w:rPr>
            </w:pPr>
          </w:p>
        </w:tc>
      </w:tr>
      <w:tr>
        <w:trPr>
          <w:trHeight w:val="192"/>
        </w:trPr>
        <w:tc>
          <w:tcPr>
            <w:tcW w:w="146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plc</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income taxes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146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TechnipFMC plc, as pro</w:t>
            </w: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forma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620.0</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60" w:type="dxa"/>
            <w:vAlign w:val="bottom"/>
          </w:tcPr>
          <w:p>
            <w:pPr>
              <w:ind w:left="160"/>
              <w:spacing w:after="0" w:line="157" w:lineRule="exact"/>
              <w:rPr>
                <w:sz w:val="20"/>
                <w:szCs w:val="20"/>
                <w:color w:val="auto"/>
              </w:rPr>
            </w:pPr>
            <w:r>
              <w:rPr>
                <w:rFonts w:ascii="Arial" w:cs="Arial" w:eastAsia="Arial" w:hAnsi="Arial"/>
                <w:sz w:val="14"/>
                <w:szCs w:val="14"/>
                <w:color w:val="auto"/>
                <w:w w:val="96"/>
              </w:rPr>
              <w:t>Impairment and other</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160"/>
              <w:spacing w:after="0"/>
              <w:rPr>
                <w:sz w:val="20"/>
                <w:szCs w:val="20"/>
                <w:color w:val="auto"/>
              </w:rPr>
            </w:pPr>
            <w:r>
              <w:rPr>
                <w:rFonts w:ascii="Arial" w:cs="Arial" w:eastAsia="Arial" w:hAnsi="Arial"/>
                <w:sz w:val="14"/>
                <w:szCs w:val="14"/>
                <w:color w:val="auto"/>
              </w:rPr>
              <w:t>charges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Restructuring and</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severance</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57"/>
        </w:trPr>
        <w:tc>
          <w:tcPr>
            <w:tcW w:w="1460" w:type="dxa"/>
            <w:vAlign w:val="bottom"/>
          </w:tcPr>
          <w:p>
            <w:pPr>
              <w:ind w:left="160"/>
              <w:spacing w:after="0" w:line="157" w:lineRule="exact"/>
              <w:rPr>
                <w:sz w:val="20"/>
                <w:szCs w:val="20"/>
                <w:color w:val="auto"/>
              </w:rPr>
            </w:pPr>
            <w:r>
              <w:rPr>
                <w:rFonts w:ascii="Arial" w:cs="Arial" w:eastAsia="Arial" w:hAnsi="Arial"/>
                <w:sz w:val="14"/>
                <w:szCs w:val="14"/>
                <w:color w:val="auto"/>
                <w:w w:val="93"/>
              </w:rPr>
              <w:t>Business combination</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price</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accounting</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w:t>
            </w: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7"/>
        </w:trPr>
        <w:tc>
          <w:tcPr>
            <w:tcW w:w="1460" w:type="dxa"/>
            <w:vAlign w:val="bottom"/>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406.4</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1"/>
                <w:szCs w:val="11"/>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142.3</w:t>
            </w:r>
          </w:p>
        </w:tc>
        <w:tc>
          <w:tcPr>
            <w:tcW w:w="30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575.6</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699.3</w:t>
            </w:r>
          </w:p>
        </w:tc>
        <w:tc>
          <w:tcPr>
            <w:tcW w:w="0" w:type="dxa"/>
            <w:vAlign w:val="bottom"/>
          </w:tcPr>
          <w:p>
            <w:pPr>
              <w:spacing w:after="0"/>
              <w:rPr>
                <w:sz w:val="1"/>
                <w:szCs w:val="1"/>
                <w:color w:val="auto"/>
              </w:rPr>
            </w:pPr>
          </w:p>
        </w:tc>
      </w:tr>
      <w:tr>
        <w:trPr>
          <w:trHeight w:val="181"/>
        </w:trPr>
        <w:tc>
          <w:tcPr>
            <w:tcW w:w="1460" w:type="dxa"/>
            <w:vAlign w:val="bottom"/>
          </w:tcPr>
          <w:p>
            <w:pPr>
              <w:ind w:left="20"/>
              <w:spacing w:after="0"/>
              <w:rPr>
                <w:sz w:val="20"/>
                <w:szCs w:val="20"/>
                <w:color w:val="auto"/>
              </w:rPr>
            </w:pPr>
            <w:r>
              <w:rPr>
                <w:rFonts w:ascii="Arial" w:cs="Arial" w:eastAsia="Arial" w:hAnsi="Arial"/>
                <w:sz w:val="14"/>
                <w:szCs w:val="14"/>
                <w:color w:val="auto"/>
              </w:rPr>
              <w:t>measures</w:t>
            </w:r>
          </w:p>
        </w:tc>
        <w:tc>
          <w:tcPr>
            <w:tcW w:w="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240" w:top="526" w:right="439" w:bottom="1440" w:gutter="0" w:footer="0" w:header="0"/>
        </w:sectPr>
      </w:pPr>
    </w:p>
    <w:bookmarkStart w:id="23" w:name="page24"/>
    <w:bookmarkEnd w:id="23"/>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Charges and Credits</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Third Quarter 2017 Earnings Release also includes non-GAAP financial measures (as defined in Item 10 of Regulation S-K of the Securities Exchange Act of 1934, as amended) and describes performance on a year-over-year basis against 2016 pro forma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213995</wp:posOffset>
            </wp:positionV>
            <wp:extent cx="47853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389"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7"/>
          </w:tcPr>
          <w:p>
            <w:pPr>
              <w:ind w:left="54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w w:val="91"/>
              </w:rPr>
              <w:t>September 30, 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before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income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(income) loss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income taxes,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Depreciation</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interest</w:t>
            </w:r>
          </w:p>
        </w:tc>
        <w:tc>
          <w:tcPr>
            <w:tcW w:w="2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TechnipFMC</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plc</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 taxes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267.2</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80" w:type="dxa"/>
            <w:vAlign w:val="bottom"/>
          </w:tcPr>
          <w:p>
            <w:pPr>
              <w:ind w:left="160"/>
              <w:spacing w:after="0" w:line="157" w:lineRule="exact"/>
              <w:rPr>
                <w:sz w:val="20"/>
                <w:szCs w:val="20"/>
                <w:color w:val="auto"/>
              </w:rPr>
            </w:pPr>
            <w:r>
              <w:rPr>
                <w:rFonts w:ascii="Arial" w:cs="Arial" w:eastAsia="Arial" w:hAnsi="Arial"/>
                <w:sz w:val="14"/>
                <w:szCs w:val="14"/>
                <w:color w:val="auto"/>
              </w:rPr>
              <w:t>Impairment and 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Arial" w:cs="Arial" w:eastAsia="Arial" w:hAnsi="Arial"/>
                <w:sz w:val="14"/>
                <w:szCs w:val="14"/>
                <w:color w:val="auto"/>
              </w:rPr>
              <w:t>charges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Restructuring and other</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severance charges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80" w:type="dxa"/>
            <w:vAlign w:val="bottom"/>
          </w:tcPr>
          <w:p>
            <w:pPr>
              <w:ind w:left="160"/>
              <w:spacing w:after="0" w:line="157" w:lineRule="exact"/>
              <w:rPr>
                <w:sz w:val="20"/>
                <w:szCs w:val="20"/>
                <w:color w:val="auto"/>
              </w:rPr>
            </w:pPr>
            <w:r>
              <w:rPr>
                <w:rFonts w:ascii="Arial" w:cs="Arial" w:eastAsia="Arial" w:hAnsi="Arial"/>
                <w:sz w:val="14"/>
                <w:szCs w:val="14"/>
                <w:color w:val="auto"/>
              </w:rPr>
              <w:t>Business combination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in accounting</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80" w:type="dxa"/>
            <w:vAlign w:val="bottom"/>
          </w:tcPr>
          <w:p>
            <w:pPr>
              <w:ind w:left="160"/>
              <w:spacing w:after="0" w:line="157" w:lineRule="exact"/>
              <w:rPr>
                <w:sz w:val="20"/>
                <w:szCs w:val="20"/>
                <w:color w:val="auto"/>
              </w:rPr>
            </w:pPr>
            <w:r>
              <w:rPr>
                <w:rFonts w:ascii="Arial" w:cs="Arial" w:eastAsia="Arial" w:hAnsi="Arial"/>
                <w:sz w:val="14"/>
                <w:szCs w:val="14"/>
                <w:color w:val="auto"/>
              </w:rPr>
              <w:t>Purchase price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w w:val="95"/>
              </w:rPr>
              <w:t>accounting adjustments</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141.7</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15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Adjusted financial</w:t>
            </w:r>
          </w:p>
        </w:tc>
        <w:tc>
          <w:tcPr>
            <w:tcW w:w="4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512.6</w:t>
            </w:r>
          </w:p>
        </w:tc>
        <w:tc>
          <w:tcPr>
            <w:tcW w:w="100" w:type="dxa"/>
            <w:vAlign w:val="bottom"/>
            <w:gridSpan w:val="2"/>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364.3</w:t>
            </w:r>
          </w:p>
        </w:tc>
        <w:tc>
          <w:tcPr>
            <w:tcW w:w="10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1,111.6</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346.4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1,458.0</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measures</w:t>
            </w:r>
          </w:p>
        </w:tc>
        <w:tc>
          <w:tcPr>
            <w:tcW w:w="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1"/>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11"/>
          </w:tcPr>
          <w:p>
            <w:pPr>
              <w:ind w:left="160"/>
              <w:spacing w:after="0"/>
              <w:rPr>
                <w:sz w:val="20"/>
                <w:szCs w:val="20"/>
                <w:color w:val="auto"/>
              </w:rPr>
            </w:pPr>
            <w:r>
              <w:rPr>
                <w:rFonts w:ascii="Arial" w:cs="Arial" w:eastAsia="Arial" w:hAnsi="Arial"/>
                <w:sz w:val="14"/>
                <w:szCs w:val="14"/>
                <w:b w:val="1"/>
                <w:bCs w:val="1"/>
                <w:color w:val="auto"/>
              </w:rPr>
              <w:t>Pro Forma Nine Months Ended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w w:val="93"/>
              </w:rPr>
              <w:t>September 30, 2016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before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Net income</w:t>
            </w:r>
          </w:p>
        </w:tc>
        <w:tc>
          <w:tcPr>
            <w:tcW w:w="40" w:type="dxa"/>
            <w:vAlign w:val="bottom"/>
          </w:tcPr>
          <w:p>
            <w:pPr>
              <w:spacing w:after="0"/>
              <w:rPr>
                <w:sz w:val="12"/>
                <w:szCs w:val="12"/>
                <w:color w:val="auto"/>
              </w:rPr>
            </w:pPr>
          </w:p>
        </w:tc>
        <w:tc>
          <w:tcPr>
            <w:tcW w:w="12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9"/>
              </w:rPr>
              <w:t>Net (income) loss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ind w:left="20"/>
              <w:spacing w:after="0" w:line="149" w:lineRule="exact"/>
              <w:rPr>
                <w:sz w:val="20"/>
                <w:szCs w:val="20"/>
                <w:color w:val="auto"/>
              </w:rPr>
            </w:pPr>
            <w:r>
              <w:rPr>
                <w:rFonts w:ascii="Arial" w:cs="Arial" w:eastAsia="Arial" w:hAnsi="Arial"/>
                <w:sz w:val="14"/>
                <w:szCs w:val="14"/>
                <w:color w:val="auto"/>
              </w:rPr>
              <w:t>(including legacy FMC</w:t>
            </w:r>
          </w:p>
        </w:tc>
        <w:tc>
          <w:tcPr>
            <w:tcW w:w="4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interest</w:t>
            </w:r>
          </w:p>
        </w:tc>
        <w:tc>
          <w:tcPr>
            <w:tcW w:w="2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ind w:left="20"/>
              <w:spacing w:after="0" w:line="149" w:lineRule="exact"/>
              <w:rPr>
                <w:sz w:val="20"/>
                <w:szCs w:val="20"/>
                <w:color w:val="auto"/>
              </w:rPr>
            </w:pPr>
            <w:r>
              <w:rPr>
                <w:rFonts w:ascii="Arial" w:cs="Arial" w:eastAsia="Arial" w:hAnsi="Arial"/>
                <w:sz w:val="14"/>
                <w:szCs w:val="14"/>
                <w:color w:val="auto"/>
              </w:rPr>
              <w:t>Technologies and PPA</w:t>
            </w:r>
          </w:p>
        </w:tc>
        <w:tc>
          <w:tcPr>
            <w:tcW w:w="4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TechnipFMC</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8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plc</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interests</w:t>
            </w: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 taxes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profit)</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478.8</w:t>
            </w:r>
          </w:p>
        </w:tc>
        <w:tc>
          <w:tcPr>
            <w:tcW w:w="8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80" w:type="dxa"/>
            <w:vAlign w:val="bottom"/>
          </w:tcPr>
          <w:p>
            <w:pPr>
              <w:ind w:left="160"/>
              <w:spacing w:after="0" w:line="157" w:lineRule="exact"/>
              <w:rPr>
                <w:sz w:val="20"/>
                <w:szCs w:val="20"/>
                <w:color w:val="auto"/>
              </w:rPr>
            </w:pPr>
            <w:r>
              <w:rPr>
                <w:rFonts w:ascii="Arial" w:cs="Arial" w:eastAsia="Arial" w:hAnsi="Arial"/>
                <w:sz w:val="14"/>
                <w:szCs w:val="14"/>
                <w:color w:val="auto"/>
              </w:rPr>
              <w:t>Impairment and 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Arial" w:cs="Arial" w:eastAsia="Arial" w:hAnsi="Arial"/>
                <w:sz w:val="14"/>
                <w:szCs w:val="14"/>
                <w:color w:val="auto"/>
              </w:rPr>
              <w:t>charges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Restructuring and other</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severance charges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80" w:type="dxa"/>
            <w:vAlign w:val="bottom"/>
          </w:tcPr>
          <w:p>
            <w:pPr>
              <w:ind w:left="160"/>
              <w:spacing w:after="0" w:line="157" w:lineRule="exact"/>
              <w:rPr>
                <w:sz w:val="20"/>
                <w:szCs w:val="20"/>
                <w:color w:val="auto"/>
              </w:rPr>
            </w:pPr>
            <w:r>
              <w:rPr>
                <w:rFonts w:ascii="Arial" w:cs="Arial" w:eastAsia="Arial" w:hAnsi="Arial"/>
                <w:sz w:val="14"/>
                <w:szCs w:val="14"/>
                <w:color w:val="auto"/>
              </w:rPr>
              <w:t>Business combination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price</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accounting adjustments</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813.9</w:t>
            </w:r>
          </w:p>
        </w:tc>
        <w:tc>
          <w:tcPr>
            <w:tcW w:w="80" w:type="dxa"/>
            <w:vAlign w:val="bottom"/>
          </w:tcPr>
          <w:p>
            <w:pPr>
              <w:spacing w:after="0"/>
              <w:rPr>
                <w:sz w:val="11"/>
                <w:szCs w:val="11"/>
                <w:color w:val="auto"/>
              </w:rPr>
            </w:pPr>
          </w:p>
        </w:tc>
        <w:tc>
          <w:tcPr>
            <w:tcW w:w="20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301.6</w:t>
            </w:r>
          </w:p>
        </w:tc>
        <w:tc>
          <w:tcPr>
            <w:tcW w:w="100" w:type="dxa"/>
            <w:vAlign w:val="bottom"/>
          </w:tcPr>
          <w:p>
            <w:pPr>
              <w:spacing w:after="0"/>
              <w:rPr>
                <w:sz w:val="11"/>
                <w:szCs w:val="11"/>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1,142.3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362.4</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1,504.7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80" w:type="dxa"/>
            <w:vAlign w:val="bottom"/>
          </w:tcPr>
          <w:p>
            <w:pPr>
              <w:ind w:left="20"/>
              <w:spacing w:after="0"/>
              <w:rPr>
                <w:sz w:val="20"/>
                <w:szCs w:val="20"/>
                <w:color w:val="auto"/>
              </w:rPr>
            </w:pPr>
            <w:r>
              <w:rPr>
                <w:rFonts w:ascii="Arial" w:cs="Arial" w:eastAsia="Arial" w:hAnsi="Arial"/>
                <w:sz w:val="14"/>
                <w:szCs w:val="14"/>
                <w:color w:val="auto"/>
              </w:rPr>
              <w:t>measures</w:t>
            </w:r>
          </w:p>
        </w:tc>
        <w:tc>
          <w:tcPr>
            <w:tcW w:w="1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240" w:top="526" w:right="439" w:bottom="1440" w:gutter="0" w:footer="0" w:header="0"/>
        </w:sectPr>
      </w:pPr>
    </w:p>
    <w:bookmarkStart w:id="24" w:name="page25"/>
    <w:bookmarkEnd w:id="24"/>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2"/>
                <w:szCs w:val="22"/>
                <w:color w:val="auto"/>
              </w:rPr>
            </w:pPr>
          </w:p>
        </w:tc>
        <w:tc>
          <w:tcPr>
            <w:tcW w:w="172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24"/>
                <w:szCs w:val="24"/>
                <w:color w:val="auto"/>
              </w:rPr>
            </w:pPr>
          </w:p>
        </w:tc>
        <w:tc>
          <w:tcPr>
            <w:tcW w:w="17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r>
      <w:tr>
        <w:trPr>
          <w:trHeight w:val="230"/>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(after-tax)</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1"/>
        </w:trPr>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TechnipFMC plc, as reported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84"/>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Charges and (credits):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3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70"/>
        </w:trPr>
        <w:tc>
          <w:tcPr>
            <w:tcW w:w="20" w:type="dxa"/>
            <w:vAlign w:val="bottom"/>
          </w:tcPr>
          <w:p>
            <w:pPr>
              <w:spacing w:after="0"/>
              <w:rPr>
                <w:sz w:val="23"/>
                <w:szCs w:val="23"/>
                <w:color w:val="auto"/>
              </w:rPr>
            </w:pPr>
          </w:p>
        </w:tc>
        <w:tc>
          <w:tcPr>
            <w:tcW w:w="516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Impairment and other charges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20" w:type="dxa"/>
            <w:vAlign w:val="bottom"/>
            <w:shd w:val="clear" w:color="auto" w:fill="CCEEFF"/>
          </w:tcPr>
          <w:p>
            <w:pPr>
              <w:spacing w:after="0"/>
              <w:rPr>
                <w:sz w:val="23"/>
                <w:szCs w:val="23"/>
                <w:color w:val="auto"/>
              </w:rPr>
            </w:pPr>
          </w:p>
        </w:tc>
        <w:tc>
          <w:tcPr>
            <w:tcW w:w="51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Restructuring and other severance charges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20" w:type="dxa"/>
            <w:vAlign w:val="bottom"/>
          </w:tcPr>
          <w:p>
            <w:pPr>
              <w:spacing w:after="0"/>
              <w:rPr>
                <w:sz w:val="23"/>
                <w:szCs w:val="23"/>
                <w:color w:val="auto"/>
              </w:rPr>
            </w:pPr>
          </w:p>
        </w:tc>
        <w:tc>
          <w:tcPr>
            <w:tcW w:w="516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Business combination transaction and integration costs </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20" w:type="dxa"/>
            <w:vAlign w:val="bottom"/>
            <w:shd w:val="clear" w:color="auto" w:fill="CCEEFF"/>
          </w:tcPr>
          <w:p>
            <w:pPr>
              <w:spacing w:after="0"/>
              <w:rPr>
                <w:sz w:val="23"/>
                <w:szCs w:val="23"/>
                <w:color w:val="auto"/>
              </w:rPr>
            </w:pPr>
          </w:p>
        </w:tc>
        <w:tc>
          <w:tcPr>
            <w:tcW w:w="51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Change in accounting estimate </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516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Purchase price accounting adjustments </w:t>
            </w:r>
            <w:r>
              <w:rPr>
                <w:rFonts w:ascii="Arial" w:cs="Arial" w:eastAsia="Arial" w:hAnsi="Arial"/>
                <w:sz w:val="25"/>
                <w:szCs w:val="25"/>
                <w:color w:val="auto"/>
                <w:vertAlign w:val="superscript"/>
              </w:rPr>
              <w:t>(5)</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tcBorders>
              <w:top w:val="single" w:sz="8" w:color="CCEEFF"/>
            </w:tcBorders>
            <w:shd w:val="clear" w:color="auto" w:fill="CCEEFF"/>
          </w:tcPr>
          <w:p>
            <w:pPr>
              <w:spacing w:after="0"/>
              <w:rPr>
                <w:sz w:val="24"/>
                <w:szCs w:val="24"/>
                <w:color w:val="auto"/>
              </w:rPr>
            </w:pPr>
          </w:p>
        </w:tc>
        <w:tc>
          <w:tcPr>
            <w:tcW w:w="1580" w:type="dxa"/>
            <w:vAlign w:val="bottom"/>
            <w:tcBorders>
              <w:top w:val="single" w:sz="8" w:color="CCEEFF"/>
            </w:tcBorders>
            <w:shd w:val="clear" w:color="auto" w:fill="CCEEFF"/>
          </w:tcPr>
          <w:p>
            <w:pPr>
              <w:spacing w:after="0"/>
              <w:rPr>
                <w:sz w:val="24"/>
                <w:szCs w:val="24"/>
                <w:color w:val="auto"/>
              </w:rPr>
            </w:pPr>
          </w:p>
        </w:tc>
        <w:tc>
          <w:tcPr>
            <w:tcW w:w="35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Adjusted net income attributable to TechnipFMC plc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67"/>
        </w:trPr>
        <w:tc>
          <w:tcPr>
            <w:tcW w:w="2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3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64"/>
        </w:trPr>
        <w:tc>
          <w:tcPr>
            <w:tcW w:w="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3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Diluted EPS attributable to TechnipFMC plc, as reported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3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Adjusted diluted EPS attributable to TechnipFMC plc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r>
    </w:tbl>
    <w:p>
      <w:pPr>
        <w:spacing w:after="0" w:line="328" w:lineRule="exact"/>
        <w:rPr>
          <w:sz w:val="20"/>
          <w:szCs w:val="20"/>
          <w:color w:val="auto"/>
        </w:rPr>
      </w:pPr>
    </w:p>
    <w:p>
      <w:pPr>
        <w:ind w:left="180" w:right="80" w:firstLine="5"/>
        <w:spacing w:after="0" w:line="266" w:lineRule="auto"/>
        <w:tabs>
          <w:tab w:leader="none" w:pos="4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Tax effect of $3 million and $(2) million during the three months ended and $4 million and $15 million during the nine months ended September 30, 2017 and 2016, respectively.</w:t>
      </w:r>
    </w:p>
    <w:p>
      <w:pPr>
        <w:spacing w:after="0" w:line="1" w:lineRule="exact"/>
        <w:rPr>
          <w:rFonts w:ascii="Arial" w:cs="Arial" w:eastAsia="Arial" w:hAnsi="Arial"/>
          <w:sz w:val="16"/>
          <w:szCs w:val="16"/>
          <w:color w:val="auto"/>
        </w:rPr>
      </w:pPr>
    </w:p>
    <w:p>
      <w:pPr>
        <w:ind w:left="180" w:right="460" w:firstLine="5"/>
        <w:spacing w:after="0" w:line="264" w:lineRule="auto"/>
        <w:tabs>
          <w:tab w:leader="none" w:pos="4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Tax effect of $20 million and $5 million during the three months ended and $19 million and $20 million during the nine months ended September 30, 2017 and 2016, respectively.</w:t>
      </w:r>
    </w:p>
    <w:p>
      <w:pPr>
        <w:ind w:left="180" w:right="120" w:firstLine="5"/>
        <w:spacing w:after="0" w:line="264" w:lineRule="auto"/>
        <w:tabs>
          <w:tab w:leader="none" w:pos="4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Tax effect of $7 million and $5 million during the three months ended and $34 million and $10 million during the nine months ended September 30, 2017 and 2016, respectively.</w:t>
      </w:r>
    </w:p>
    <w:p>
      <w:pPr>
        <w:ind w:left="180" w:right="160" w:firstLine="5"/>
        <w:spacing w:after="0" w:line="264" w:lineRule="auto"/>
        <w:tabs>
          <w:tab w:leader="none" w:pos="4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Tax effect of nil and nil during the three months ended and $6 million and nil during the nine months ended September 30, 2017 and 2016, respectively.</w:t>
      </w:r>
    </w:p>
    <w:p>
      <w:pPr>
        <w:ind w:left="180" w:right="220" w:firstLine="5"/>
        <w:spacing w:after="0" w:line="288" w:lineRule="auto"/>
        <w:tabs>
          <w:tab w:leader="none" w:pos="4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Tax effect of $9 million and nil during the three months ended and $52 million and nil during the nine months ended September 30, 2017 and 2016, respectively.</w:t>
      </w:r>
    </w:p>
    <w:p>
      <w:pPr>
        <w:sectPr>
          <w:pgSz w:w="11900" w:h="16838" w:orient="portrait"/>
          <w:cols w:equalWidth="0" w:num="1">
            <w:col w:w="9160"/>
          </w:cols>
          <w:pgMar w:left="1380" w:top="526" w:right="1359" w:bottom="1440" w:gutter="0" w:footer="0" w:header="0"/>
        </w:sectPr>
      </w:pPr>
    </w:p>
    <w:bookmarkStart w:id="25" w:name="page26"/>
    <w:bookmarkEnd w:id="25"/>
    <w:p>
      <w:pPr>
        <w:jc w:val="center"/>
        <w:ind w:left="1620" w:right="16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ectPr>
          <w:pgSz w:w="11900" w:h="16838" w:orient="portrait"/>
          <w:cols w:equalWidth="0" w:num="1">
            <w:col w:w="9180"/>
          </w:cols>
          <w:pgMar w:left="1380" w:top="526" w:right="1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as reported (pre-tax)</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Charges and (credits):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Impairment and other charges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Restructuring and other severance charges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Business combination transaction and integration costs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Change in accounting estimate</w:t>
      </w:r>
    </w:p>
    <w:p>
      <w:pPr>
        <w:spacing w:after="0" w:line="109" w:lineRule="exact"/>
        <w:rPr>
          <w:sz w:val="20"/>
          <w:szCs w:val="20"/>
          <w:color w:val="auto"/>
        </w:rPr>
      </w:pPr>
    </w:p>
    <w:p>
      <w:pPr>
        <w:ind w:left="240" w:right="160"/>
        <w:spacing w:after="0" w:line="253" w:lineRule="auto"/>
        <w:rPr>
          <w:sz w:val="20"/>
          <w:szCs w:val="20"/>
          <w:color w:val="auto"/>
        </w:rPr>
      </w:pPr>
      <w:r>
        <w:rPr>
          <w:rFonts w:ascii="Arial" w:cs="Arial" w:eastAsia="Arial" w:hAnsi="Arial"/>
          <w:sz w:val="14"/>
          <w:szCs w:val="14"/>
          <w:color w:val="auto"/>
        </w:rPr>
        <w:t>Purchase price accounting adjustments - non-amortization related</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Purchase price accounting adjustments - amortization related</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Subtotal</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Adjusted Depreciation and amortization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margin, as reported</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 margin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300"/>
        <w:spacing w:after="0" w:line="333" w:lineRule="auto"/>
        <w:rPr>
          <w:sz w:val="20"/>
          <w:szCs w:val="20"/>
          <w:color w:val="auto"/>
        </w:rPr>
      </w:pPr>
      <w:r>
        <w:rPr>
          <w:rFonts w:ascii="Arial" w:cs="Arial" w:eastAsia="Arial" w:hAnsi="Arial"/>
          <w:sz w:val="14"/>
          <w:szCs w:val="14"/>
          <w:color w:val="auto"/>
        </w:rPr>
        <w:t>(including legacy FMC Technologies and PPA adjustments) Revenue, as pro forma</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(pre-tax), as pro forma</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Charges and (credits):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Impairment and other charges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Restructuring and other severance charges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Business combination transaction and integration costs</w:t>
      </w:r>
    </w:p>
    <w:p>
      <w:pPr>
        <w:spacing w:after="0" w:line="109" w:lineRule="exact"/>
        <w:rPr>
          <w:sz w:val="20"/>
          <w:szCs w:val="20"/>
          <w:color w:val="auto"/>
        </w:rPr>
      </w:pPr>
    </w:p>
    <w:p>
      <w:pPr>
        <w:ind w:left="260" w:right="160"/>
        <w:spacing w:after="0" w:line="253" w:lineRule="auto"/>
        <w:rPr>
          <w:sz w:val="20"/>
          <w:szCs w:val="20"/>
          <w:color w:val="auto"/>
        </w:rPr>
      </w:pPr>
      <w:r>
        <w:rPr>
          <w:rFonts w:ascii="Arial" w:cs="Arial" w:eastAsia="Arial" w:hAnsi="Arial"/>
          <w:sz w:val="14"/>
          <w:szCs w:val="14"/>
          <w:color w:val="auto"/>
        </w:rPr>
        <w:t>Purchase price accounting adjustments - non-amortization related</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Purchase price accounting adjustments - amortization related</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Subtotal</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Adjusted Depreciation and amortization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margin, as pro forma</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 margin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 margin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Subsea</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Onshore/Offshore</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Surface</w:t>
            </w:r>
          </w:p>
        </w:tc>
        <w:tc>
          <w:tcPr>
            <w:tcW w:w="1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4"/>
                <w:szCs w:val="14"/>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Technologies</w:t>
            </w:r>
          </w:p>
        </w:tc>
        <w:tc>
          <w:tcPr>
            <w:tcW w:w="12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1,478.2</w:t>
            </w:r>
          </w:p>
        </w:tc>
        <w:tc>
          <w:tcPr>
            <w:tcW w:w="100" w:type="dxa"/>
            <w:vAlign w:val="bottom"/>
          </w:tcPr>
          <w:p>
            <w:pPr>
              <w:spacing w:after="0"/>
              <w:rPr>
                <w:sz w:val="21"/>
                <w:szCs w:val="21"/>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2,308.1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353.9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4,140.9</w:t>
            </w:r>
          </w:p>
        </w:tc>
        <w:tc>
          <w:tcPr>
            <w:tcW w:w="0" w:type="dxa"/>
            <w:vAlign w:val="bottom"/>
          </w:tcPr>
          <w:p>
            <w:pPr>
              <w:spacing w:after="0"/>
              <w:rPr>
                <w:sz w:val="1"/>
                <w:szCs w:val="1"/>
                <w:color w:val="auto"/>
              </w:rPr>
            </w:pPr>
          </w:p>
        </w:tc>
      </w:tr>
      <w:tr>
        <w:trPr>
          <w:trHeight w:val="513"/>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206.4</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315.9</w:t>
            </w:r>
          </w:p>
        </w:tc>
        <w:tc>
          <w:tcPr>
            <w:tcW w:w="0" w:type="dxa"/>
            <w:vAlign w:val="bottom"/>
          </w:tcPr>
          <w:p>
            <w:pPr>
              <w:spacing w:after="0"/>
              <w:rPr>
                <w:sz w:val="1"/>
                <w:szCs w:val="1"/>
                <w:color w:val="auto"/>
              </w:rPr>
            </w:pPr>
          </w:p>
        </w:tc>
      </w:tr>
      <w:tr>
        <w:trPr>
          <w:trHeight w:val="783"/>
        </w:trPr>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6"/>
        </w:trPr>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44"/>
        </w:trPr>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255"/>
        </w:trPr>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166.6</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417.2</w:t>
            </w:r>
          </w:p>
        </w:tc>
        <w:tc>
          <w:tcPr>
            <w:tcW w:w="0" w:type="dxa"/>
            <w:vAlign w:val="bottom"/>
          </w:tcPr>
          <w:p>
            <w:pPr>
              <w:spacing w:after="0"/>
              <w:rPr>
                <w:sz w:val="1"/>
                <w:szCs w:val="1"/>
                <w:color w:val="auto"/>
              </w:rPr>
            </w:pPr>
          </w:p>
        </w:tc>
      </w:tr>
      <w:tr>
        <w:trPr>
          <w:trHeight w:val="501"/>
        </w:trPr>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255"/>
        </w:trPr>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260.4</w:t>
            </w:r>
          </w:p>
        </w:tc>
        <w:tc>
          <w:tcPr>
            <w:tcW w:w="10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536.2</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513"/>
        </w:trPr>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513"/>
        </w:trPr>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-4048125</wp:posOffset>
            </wp:positionV>
            <wp:extent cx="58400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-3722370</wp:posOffset>
            </wp:positionV>
            <wp:extent cx="58400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-3396615</wp:posOffset>
            </wp:positionV>
            <wp:extent cx="584009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-3053080</wp:posOffset>
            </wp:positionV>
            <wp:extent cx="584009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-2710180</wp:posOffset>
            </wp:positionV>
            <wp:extent cx="584009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-2315845</wp:posOffset>
            </wp:positionV>
            <wp:extent cx="584009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-1972945</wp:posOffset>
            </wp:positionV>
            <wp:extent cx="58400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15430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-1646555</wp:posOffset>
            </wp:positionV>
            <wp:extent cx="584009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16319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-1312545</wp:posOffset>
            </wp:positionV>
            <wp:extent cx="584009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15430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-986790</wp:posOffset>
            </wp:positionV>
            <wp:extent cx="584009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-643255</wp:posOffset>
            </wp:positionV>
            <wp:extent cx="584009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15430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-317500</wp:posOffset>
            </wp:positionV>
            <wp:extent cx="584009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 Forma Three Months 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3319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Subsea</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Onshore/Offshore</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2,346.6</w:t>
            </w:r>
          </w:p>
        </w:tc>
        <w:tc>
          <w:tcPr>
            <w:tcW w:w="120" w:type="dxa"/>
            <w:vAlign w:val="bottom"/>
          </w:tcPr>
          <w:p>
            <w:pPr>
              <w:spacing w:after="0"/>
              <w:rPr>
                <w:sz w:val="21"/>
                <w:szCs w:val="21"/>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2,398.8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295.2</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5,038.2</w:t>
            </w:r>
          </w:p>
        </w:tc>
        <w:tc>
          <w:tcPr>
            <w:tcW w:w="0" w:type="dxa"/>
            <w:vAlign w:val="bottom"/>
          </w:tcPr>
          <w:p>
            <w:pPr>
              <w:spacing w:after="0"/>
              <w:rPr>
                <w:sz w:val="1"/>
                <w:szCs w:val="1"/>
                <w:color w:val="auto"/>
              </w:rPr>
            </w:pPr>
          </w:p>
        </w:tc>
      </w:tr>
      <w:tr>
        <w:trPr>
          <w:trHeight w:val="513"/>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357.7</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464.3</w:t>
            </w:r>
          </w:p>
        </w:tc>
        <w:tc>
          <w:tcPr>
            <w:tcW w:w="0" w:type="dxa"/>
            <w:vAlign w:val="bottom"/>
          </w:tcPr>
          <w:p>
            <w:pPr>
              <w:spacing w:after="0"/>
              <w:rPr>
                <w:sz w:val="1"/>
                <w:szCs w:val="1"/>
                <w:color w:val="auto"/>
              </w:rPr>
            </w:pPr>
          </w:p>
        </w:tc>
      </w:tr>
      <w:tr>
        <w:trPr>
          <w:trHeight w:val="783"/>
        </w:trPr>
        <w:tc>
          <w:tcPr>
            <w:tcW w:w="18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6"/>
        </w:trPr>
        <w:tc>
          <w:tcPr>
            <w:tcW w:w="18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44"/>
        </w:trPr>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255"/>
        </w:trPr>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406.3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575.6</w:t>
            </w:r>
          </w:p>
        </w:tc>
        <w:tc>
          <w:tcPr>
            <w:tcW w:w="0" w:type="dxa"/>
            <w:vAlign w:val="bottom"/>
          </w:tcPr>
          <w:p>
            <w:pPr>
              <w:spacing w:after="0"/>
              <w:rPr>
                <w:sz w:val="1"/>
                <w:szCs w:val="1"/>
                <w:color w:val="auto"/>
              </w:rPr>
            </w:pPr>
          </w:p>
        </w:tc>
      </w:tr>
      <w:tr>
        <w:trPr>
          <w:trHeight w:val="501"/>
        </w:trPr>
        <w:tc>
          <w:tcPr>
            <w:tcW w:w="18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255"/>
        </w:trPr>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503.4</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699.3</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513"/>
        </w:trPr>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513"/>
        </w:trPr>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-3876675</wp:posOffset>
            </wp:positionV>
            <wp:extent cx="583184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-3550920</wp:posOffset>
            </wp:positionV>
            <wp:extent cx="583184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-3224530</wp:posOffset>
            </wp:positionV>
            <wp:extent cx="583184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-2881630</wp:posOffset>
            </wp:positionV>
            <wp:extent cx="58318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-2538730</wp:posOffset>
            </wp:positionV>
            <wp:extent cx="5831840"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-2144395</wp:posOffset>
            </wp:positionV>
            <wp:extent cx="583184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-1818640</wp:posOffset>
            </wp:positionV>
            <wp:extent cx="583184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-1483995</wp:posOffset>
            </wp:positionV>
            <wp:extent cx="583184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-1158240</wp:posOffset>
            </wp:positionV>
            <wp:extent cx="583184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-814705</wp:posOffset>
            </wp:positionV>
            <wp:extent cx="58318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-488950</wp:posOffset>
            </wp:positionV>
            <wp:extent cx="583184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-163195</wp:posOffset>
            </wp:positionV>
            <wp:extent cx="583184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31840" cy="171450"/>
                    </a:xfrm>
                    <a:prstGeom prst="rect">
                      <a:avLst/>
                    </a:prstGeom>
                    <a:noFill/>
                  </pic:spPr>
                </pic:pic>
              </a:graphicData>
            </a:graphic>
          </wp:anchor>
        </w:drawing>
      </w:r>
    </w:p>
    <w:p>
      <w:pPr>
        <w:sectPr>
          <w:pgSz w:w="11900" w:h="16838" w:orient="portrait"/>
          <w:cols w:equalWidth="0" w:num="2">
            <w:col w:w="3760" w:space="180"/>
            <w:col w:w="5240"/>
          </w:cols>
          <w:pgMar w:left="1380" w:top="526" w:right="1339" w:bottom="0" w:gutter="0" w:footer="0" w:header="0"/>
          <w:type w:val="continuous"/>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line="5"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7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Subsea</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Onshore/Offshore</w:t>
            </w: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8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Technologies</w:t>
            </w:r>
          </w:p>
        </w:tc>
        <w:tc>
          <w:tcPr>
            <w:tcW w:w="10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4,585.2</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5,885.0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902.3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11,373.9</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393.1</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553.7</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(224.3)</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751.9</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6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16"/>
                <w:szCs w:val="16"/>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6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16"/>
                <w:szCs w:val="16"/>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accounting estimate</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260"/>
              <w:spacing w:after="0" w:line="157" w:lineRule="exact"/>
              <w:rPr>
                <w:sz w:val="20"/>
                <w:szCs w:val="20"/>
                <w:color w:val="auto"/>
              </w:rPr>
            </w:pPr>
            <w:r>
              <w:rPr>
                <w:rFonts w:ascii="Arial" w:cs="Arial" w:eastAsia="Arial" w:hAnsi="Arial"/>
                <w:sz w:val="14"/>
                <w:szCs w:val="14"/>
                <w:color w:val="auto"/>
              </w:rPr>
              <w:t>Purchase price accounting adjustments - non-amortization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26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5"/>
              </w:rPr>
              <w:t>Purchase price accounting adjustments - amortization related</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104.7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420"/>
              <w:spacing w:after="0"/>
              <w:rPr>
                <w:sz w:val="20"/>
                <w:szCs w:val="20"/>
                <w:color w:val="auto"/>
              </w:rPr>
            </w:pPr>
            <w:r>
              <w:rPr>
                <w:rFonts w:ascii="Arial" w:cs="Arial" w:eastAsia="Arial" w:hAnsi="Arial"/>
                <w:sz w:val="14"/>
                <w:szCs w:val="14"/>
                <w:color w:val="auto"/>
              </w:rPr>
              <w:t>Subtotal</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207.3</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359.7</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Adjusted Operating profit</w:t>
            </w:r>
          </w:p>
        </w:tc>
        <w:tc>
          <w:tcPr>
            <w:tcW w:w="160" w:type="dxa"/>
            <w:vAlign w:val="bottom"/>
          </w:tcPr>
          <w:p>
            <w:pPr>
              <w:spacing w:after="0"/>
              <w:rPr>
                <w:sz w:val="14"/>
                <w:szCs w:val="14"/>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600.4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color w:val="auto"/>
              </w:rPr>
              <w:t>554.6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(148.7)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1,111.6</w:t>
            </w:r>
          </w:p>
        </w:tc>
        <w:tc>
          <w:tcPr>
            <w:tcW w:w="0" w:type="dxa"/>
            <w:vAlign w:val="bottom"/>
          </w:tcPr>
          <w:p>
            <w:pPr>
              <w:spacing w:after="0"/>
              <w:rPr>
                <w:sz w:val="1"/>
                <w:szCs w:val="1"/>
                <w:color w:val="auto"/>
              </w:rPr>
            </w:pPr>
          </w:p>
        </w:tc>
      </w:tr>
      <w:tr>
        <w:trPr>
          <w:trHeight w:val="74"/>
        </w:trPr>
        <w:tc>
          <w:tcPr>
            <w:tcW w:w="3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16"/>
                <w:szCs w:val="16"/>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275.3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346.4</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875.7</w:t>
            </w:r>
          </w:p>
        </w:tc>
        <w:tc>
          <w:tcPr>
            <w:tcW w:w="120" w:type="dxa"/>
            <w:vAlign w:val="bottom"/>
          </w:tcPr>
          <w:p>
            <w:pPr>
              <w:spacing w:after="0"/>
              <w:rPr>
                <w:sz w:val="14"/>
                <w:szCs w:val="14"/>
                <w:color w:val="auto"/>
              </w:rPr>
            </w:pP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color w:val="auto"/>
              </w:rPr>
              <w:t>584.5</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143.1</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(145.3)</w:t>
            </w:r>
          </w:p>
        </w:tc>
        <w:tc>
          <w:tcPr>
            <w:tcW w:w="120" w:type="dxa"/>
            <w:vAlign w:val="bottom"/>
          </w:tcPr>
          <w:p>
            <w:pPr>
              <w:spacing w:after="0"/>
              <w:rPr>
                <w:sz w:val="14"/>
                <w:szCs w:val="14"/>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1,458.0</w:t>
            </w:r>
          </w:p>
        </w:tc>
        <w:tc>
          <w:tcPr>
            <w:tcW w:w="0" w:type="dxa"/>
            <w:vAlign w:val="bottom"/>
          </w:tcPr>
          <w:p>
            <w:pPr>
              <w:spacing w:after="0"/>
              <w:rPr>
                <w:sz w:val="1"/>
                <w:szCs w:val="1"/>
                <w:color w:val="auto"/>
              </w:rPr>
            </w:pPr>
          </w:p>
        </w:tc>
      </w:tr>
      <w:tr>
        <w:trPr>
          <w:trHeight w:val="100"/>
        </w:trPr>
        <w:tc>
          <w:tcPr>
            <w:tcW w:w="39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3" w:orient="portrait"/>
          <w:cols w:equalWidth="0" w:num="1">
            <w:col w:w="9160"/>
          </w:cols>
          <w:pgMar w:left="1380" w:top="526"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line="333" w:lineRule="auto"/>
        <w:rPr>
          <w:sz w:val="20"/>
          <w:szCs w:val="20"/>
          <w:color w:val="auto"/>
        </w:rPr>
      </w:pPr>
      <w:r>
        <w:rPr>
          <w:rFonts w:ascii="Arial" w:cs="Arial" w:eastAsia="Arial" w:hAnsi="Arial"/>
          <w:sz w:val="14"/>
          <w:szCs w:val="14"/>
          <w:color w:val="auto"/>
        </w:rPr>
        <w:t>(including legacy FMC Technologies and PPA adjustments) Revenue, as pro forma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 Forma Nine Months 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319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Subsea</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Onshore/Offshore</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9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7,126.4</w:t>
            </w:r>
          </w:p>
        </w:tc>
        <w:tc>
          <w:tcPr>
            <w:tcW w:w="100" w:type="dxa"/>
            <w:vAlign w:val="bottom"/>
          </w:tcPr>
          <w:p>
            <w:pPr>
              <w:spacing w:after="0"/>
              <w:rPr>
                <w:sz w:val="21"/>
                <w:szCs w:val="21"/>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6,629.1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948.6</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  14,689.1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-163195</wp:posOffset>
            </wp:positionV>
            <wp:extent cx="580580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05805" cy="171450"/>
                    </a:xfrm>
                    <a:prstGeom prst="rect">
                      <a:avLst/>
                    </a:prstGeom>
                    <a:noFill/>
                  </pic:spPr>
                </pic:pic>
              </a:graphicData>
            </a:graphic>
          </wp:anchor>
        </w:drawing>
      </w:r>
    </w:p>
    <w:p>
      <w:pPr>
        <w:spacing w:after="0" w:line="200" w:lineRule="exact"/>
        <w:rPr>
          <w:sz w:val="20"/>
          <w:szCs w:val="20"/>
          <w:color w:val="auto"/>
        </w:rPr>
      </w:pPr>
    </w:p>
    <w:p>
      <w:pPr>
        <w:sectPr>
          <w:pgSz w:w="11900" w:h="16843" w:orient="portrait"/>
          <w:cols w:equalWidth="0" w:num="2">
            <w:col w:w="3480" w:space="440"/>
            <w:col w:w="5240"/>
          </w:cols>
          <w:pgMar w:left="1380" w:top="526" w:right="1359" w:bottom="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(pre-tax), as pro forma</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836.3</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239.5</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702.2</w:t>
            </w:r>
          </w:p>
        </w:tc>
        <w:tc>
          <w:tcPr>
            <w:tcW w:w="0" w:type="dxa"/>
            <w:vAlign w:val="bottom"/>
          </w:tcPr>
          <w:p>
            <w:pPr>
              <w:spacing w:after="0"/>
              <w:rPr>
                <w:sz w:val="1"/>
                <w:szCs w:val="1"/>
                <w:color w:val="auto"/>
              </w:rPr>
            </w:pPr>
          </w:p>
        </w:tc>
      </w:tr>
      <w:tr>
        <w:trPr>
          <w:trHeight w:val="68"/>
        </w:trPr>
        <w:tc>
          <w:tcPr>
            <w:tcW w:w="39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2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20" w:type="dxa"/>
            <w:vAlign w:val="bottom"/>
          </w:tcPr>
          <w:p>
            <w:pPr>
              <w:spacing w:after="0"/>
              <w:rPr>
                <w:sz w:val="16"/>
                <w:szCs w:val="16"/>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74"/>
        </w:trPr>
        <w:tc>
          <w:tcPr>
            <w:tcW w:w="3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2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20" w:type="dxa"/>
            <w:vAlign w:val="bottom"/>
          </w:tcPr>
          <w:p>
            <w:pPr>
              <w:spacing w:after="0"/>
              <w:rPr>
                <w:sz w:val="16"/>
                <w:szCs w:val="16"/>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74"/>
        </w:trPr>
        <w:tc>
          <w:tcPr>
            <w:tcW w:w="3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non-amortization</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related</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91"/>
        </w:trPr>
        <w:tc>
          <w:tcPr>
            <w:tcW w:w="3920" w:type="dxa"/>
            <w:vAlign w:val="bottom"/>
          </w:tcPr>
          <w:p>
            <w:pPr>
              <w:ind w:left="280"/>
              <w:spacing w:after="0"/>
              <w:rPr>
                <w:sz w:val="20"/>
                <w:szCs w:val="20"/>
                <w:color w:val="auto"/>
              </w:rPr>
            </w:pPr>
            <w:r>
              <w:rPr>
                <w:rFonts w:ascii="Arial" w:cs="Arial" w:eastAsia="Arial" w:hAnsi="Arial"/>
                <w:sz w:val="14"/>
                <w:szCs w:val="14"/>
                <w:color w:val="auto"/>
                <w:w w:val="95"/>
              </w:rPr>
              <w:t>Purchase price accounting adjustments - amortization related</w:t>
            </w:r>
          </w:p>
        </w:tc>
        <w:tc>
          <w:tcPr>
            <w:tcW w:w="220" w:type="dxa"/>
            <w:vAlign w:val="bottom"/>
          </w:tcPr>
          <w:p>
            <w:pPr>
              <w:spacing w:after="0"/>
              <w:rPr>
                <w:sz w:val="16"/>
                <w:szCs w:val="16"/>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104.7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74"/>
        </w:trPr>
        <w:tc>
          <w:tcPr>
            <w:tcW w:w="3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Subtotal</w:t>
            </w: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189.6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69.8</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114.7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440.1</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1,025.9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309.3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1,142.3</w:t>
            </w:r>
          </w:p>
        </w:tc>
        <w:tc>
          <w:tcPr>
            <w:tcW w:w="0" w:type="dxa"/>
            <w:vAlign w:val="bottom"/>
          </w:tcPr>
          <w:p>
            <w:pPr>
              <w:spacing w:after="0"/>
              <w:rPr>
                <w:sz w:val="1"/>
                <w:szCs w:val="1"/>
                <w:color w:val="auto"/>
              </w:rPr>
            </w:pPr>
          </w:p>
        </w:tc>
      </w:tr>
      <w:tr>
        <w:trPr>
          <w:trHeight w:val="74"/>
        </w:trPr>
        <w:tc>
          <w:tcPr>
            <w:tcW w:w="39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278.9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362.4</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1,304.8</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337.1</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1,504.7</w:t>
            </w:r>
          </w:p>
        </w:tc>
        <w:tc>
          <w:tcPr>
            <w:tcW w:w="0" w:type="dxa"/>
            <w:vAlign w:val="bottom"/>
          </w:tcPr>
          <w:p>
            <w:pPr>
              <w:spacing w:after="0"/>
              <w:rPr>
                <w:sz w:val="1"/>
                <w:szCs w:val="1"/>
                <w:color w:val="auto"/>
              </w:rPr>
            </w:pPr>
          </w:p>
        </w:tc>
      </w:tr>
      <w:tr>
        <w:trPr>
          <w:trHeight w:val="60"/>
        </w:trPr>
        <w:tc>
          <w:tcPr>
            <w:tcW w:w="39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 as pro forma</w:t>
            </w:r>
          </w:p>
        </w:tc>
        <w:tc>
          <w:tcPr>
            <w:tcW w:w="2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2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2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43" w:orient="portrait"/>
          <w:cols w:equalWidth="0" w:num="1">
            <w:col w:w="9160"/>
          </w:cols>
          <w:pgMar w:left="1380" w:top="526" w:right="1359" w:bottom="0" w:gutter="0" w:footer="0" w:header="0"/>
          <w:type w:val="continuous"/>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6,269.3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(683.6)</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(1,869.3)</w:t>
            </w: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Net cash</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3,255.5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3,716.4</w:t>
            </w: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cash (debt) is a non-GAAP financial measure reflecting cash and cash equivalents, net of debt. Management uses this non-GAAP financial measure to evaluate TechnipFMC's capital structure and financial leverage. Management believes net cash (debt) is a meaningful financial measure that may also assist investors in understanding TechnipFMC's financial condition and underlying trends in its capital structure.</w:t>
      </w:r>
    </w:p>
    <w:sectPr>
      <w:pgSz w:w="11900" w:h="16838" w:orient="portrait"/>
      <w:cols w:equalWidth="0" w:num="1">
        <w:col w:w="11220"/>
      </w:cols>
      <w:pgMar w:left="240" w:top="5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2"/>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2019-12-29T03:26:36Z</dcterms:created>
  <dcterms:modified xsi:type="dcterms:W3CDTF">2019-12-29T03:26:36Z</dcterms:modified>
</cp:coreProperties>
</file>