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620395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TechnipFMC plc</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8" w:lineRule="exact"/>
        <w:rPr>
          <w:sz w:val="24"/>
          <w:szCs w:val="24"/>
          <w:color w:val="auto"/>
        </w:rPr>
      </w:pPr>
    </w:p>
    <w:tbl>
      <w:tblPr>
        <w:tblLayout w:type="fixed"/>
        <w:tblInd w:w="760" w:type="dxa"/>
        <w:tblCellMar>
          <w:top w:w="0" w:type="dxa"/>
          <w:left w:w="0" w:type="dxa"/>
          <w:bottom w:w="0" w:type="dxa"/>
          <w:right w:w="0" w:type="dxa"/>
        </w:tblCellMar>
      </w:tblPr>
      <w:tr>
        <w:trPr>
          <w:trHeight w:val="234"/>
        </w:trPr>
        <w:tc>
          <w:tcPr>
            <w:tcW w:w="3060" w:type="dxa"/>
            <w:vAlign w:val="bottom"/>
          </w:tcPr>
          <w:p>
            <w:pPr>
              <w:jc w:val="center"/>
              <w:ind w:right="137"/>
              <w:spacing w:after="0"/>
              <w:rPr>
                <w:sz w:val="20"/>
                <w:szCs w:val="20"/>
                <w:color w:val="auto"/>
              </w:rPr>
            </w:pPr>
            <w:r>
              <w:rPr>
                <w:rFonts w:ascii="Arial" w:cs="Arial" w:eastAsia="Arial" w:hAnsi="Arial"/>
                <w:sz w:val="18"/>
                <w:szCs w:val="18"/>
                <w:b w:val="1"/>
                <w:bCs w:val="1"/>
                <w:color w:val="auto"/>
                <w:w w:val="89"/>
              </w:rPr>
              <w:t>England and Wales</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0"/>
              </w:rPr>
              <w:t>001-37983</w:t>
            </w:r>
          </w:p>
        </w:tc>
        <w:tc>
          <w:tcPr>
            <w:tcW w:w="2580" w:type="dxa"/>
            <w:vAlign w:val="bottom"/>
          </w:tcPr>
          <w:p>
            <w:pPr>
              <w:jc w:val="right"/>
              <w:ind w:right="519"/>
              <w:spacing w:after="0"/>
              <w:rPr>
                <w:sz w:val="20"/>
                <w:szCs w:val="20"/>
                <w:color w:val="auto"/>
              </w:rPr>
            </w:pPr>
            <w:r>
              <w:rPr>
                <w:rFonts w:ascii="Arial" w:cs="Arial" w:eastAsia="Arial" w:hAnsi="Arial"/>
                <w:sz w:val="18"/>
                <w:szCs w:val="18"/>
                <w:b w:val="1"/>
                <w:bCs w:val="1"/>
                <w:color w:val="auto"/>
              </w:rPr>
              <w:t>98-1283037</w:t>
            </w:r>
          </w:p>
        </w:tc>
      </w:tr>
      <w:tr>
        <w:trPr>
          <w:trHeight w:val="285"/>
        </w:trPr>
        <w:tc>
          <w:tcPr>
            <w:tcW w:w="3060" w:type="dxa"/>
            <w:vAlign w:val="bottom"/>
          </w:tcPr>
          <w:p>
            <w:pPr>
              <w:jc w:val="center"/>
              <w:ind w:right="137"/>
              <w:spacing w:after="0"/>
              <w:rPr>
                <w:sz w:val="20"/>
                <w:szCs w:val="20"/>
                <w:color w:val="auto"/>
              </w:rPr>
            </w:pPr>
            <w:r>
              <w:rPr>
                <w:rFonts w:ascii="Arial" w:cs="Arial" w:eastAsia="Arial" w:hAnsi="Arial"/>
                <w:sz w:val="14"/>
                <w:szCs w:val="14"/>
                <w:color w:val="auto"/>
                <w:w w:val="95"/>
              </w:rPr>
              <w:t>(State or other jurisdiction of incorporation)</w:t>
            </w:r>
          </w:p>
        </w:tc>
        <w:tc>
          <w:tcPr>
            <w:tcW w:w="3900" w:type="dxa"/>
            <w:vAlign w:val="bottom"/>
          </w:tcPr>
          <w:p>
            <w:pPr>
              <w:jc w:val="center"/>
              <w:ind w:right="17"/>
              <w:spacing w:after="0"/>
              <w:rPr>
                <w:sz w:val="20"/>
                <w:szCs w:val="20"/>
                <w:color w:val="auto"/>
              </w:rPr>
            </w:pPr>
            <w:r>
              <w:rPr>
                <w:rFonts w:ascii="Arial" w:cs="Arial" w:eastAsia="Arial" w:hAnsi="Arial"/>
                <w:sz w:val="14"/>
                <w:szCs w:val="14"/>
                <w:color w:val="auto"/>
                <w:w w:val="96"/>
              </w:rPr>
              <w:t>(Commission File Number)</w:t>
            </w:r>
          </w:p>
        </w:tc>
        <w:tc>
          <w:tcPr>
            <w:tcW w:w="2580" w:type="dxa"/>
            <w:vAlign w:val="bottom"/>
          </w:tcPr>
          <w:p>
            <w:pPr>
              <w:jc w:val="center"/>
              <w:ind w:left="419"/>
              <w:spacing w:after="0"/>
              <w:rPr>
                <w:sz w:val="20"/>
                <w:szCs w:val="20"/>
                <w:color w:val="auto"/>
              </w:rPr>
            </w:pPr>
            <w:r>
              <w:rPr>
                <w:rFonts w:ascii="Arial" w:cs="Arial" w:eastAsia="Arial" w:hAnsi="Arial"/>
                <w:sz w:val="14"/>
                <w:szCs w:val="14"/>
                <w:color w:val="auto"/>
                <w:w w:val="96"/>
              </w:rPr>
              <w:t>(I.R.S. Employer Identification No.)</w:t>
            </w:r>
          </w:p>
        </w:tc>
      </w:tr>
      <w:tr>
        <w:trPr>
          <w:trHeight w:val="399"/>
        </w:trPr>
        <w:tc>
          <w:tcPr>
            <w:tcW w:w="3060" w:type="dxa"/>
            <w:vAlign w:val="bottom"/>
          </w:tcPr>
          <w:p>
            <w:pPr>
              <w:jc w:val="center"/>
              <w:ind w:right="697"/>
              <w:spacing w:after="0"/>
              <w:rPr>
                <w:sz w:val="20"/>
                <w:szCs w:val="20"/>
                <w:color w:val="auto"/>
              </w:rPr>
            </w:pPr>
            <w:r>
              <w:rPr>
                <w:rFonts w:ascii="Arial" w:cs="Arial" w:eastAsia="Arial" w:hAnsi="Arial"/>
                <w:sz w:val="18"/>
                <w:szCs w:val="18"/>
                <w:b w:val="1"/>
                <w:bCs w:val="1"/>
                <w:color w:val="auto"/>
                <w:w w:val="91"/>
              </w:rPr>
              <w:t>One St. Paul’s Churchyard</w:t>
            </w:r>
          </w:p>
        </w:tc>
        <w:tc>
          <w:tcPr>
            <w:tcW w:w="390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61"/>
        </w:trPr>
        <w:tc>
          <w:tcPr>
            <w:tcW w:w="3060" w:type="dxa"/>
            <w:vAlign w:val="bottom"/>
          </w:tcPr>
          <w:p>
            <w:pPr>
              <w:jc w:val="center"/>
              <w:ind w:right="697"/>
              <w:spacing w:after="0"/>
              <w:rPr>
                <w:sz w:val="20"/>
                <w:szCs w:val="20"/>
                <w:color w:val="auto"/>
              </w:rPr>
            </w:pPr>
            <w:r>
              <w:rPr>
                <w:rFonts w:ascii="Arial" w:cs="Arial" w:eastAsia="Arial" w:hAnsi="Arial"/>
                <w:sz w:val="18"/>
                <w:szCs w:val="18"/>
                <w:b w:val="1"/>
                <w:bCs w:val="1"/>
                <w:color w:val="auto"/>
                <w:w w:val="91"/>
              </w:rPr>
              <w:t>London, United Kingdom</w:t>
            </w:r>
          </w:p>
        </w:tc>
        <w:tc>
          <w:tcPr>
            <w:tcW w:w="3900" w:type="dxa"/>
            <w:vAlign w:val="bottom"/>
          </w:tcPr>
          <w:p>
            <w:pPr>
              <w:spacing w:after="0"/>
              <w:rPr>
                <w:sz w:val="22"/>
                <w:szCs w:val="22"/>
                <w:color w:val="auto"/>
              </w:rPr>
            </w:pPr>
          </w:p>
        </w:tc>
        <w:tc>
          <w:tcPr>
            <w:tcW w:w="2580" w:type="dxa"/>
            <w:vAlign w:val="bottom"/>
          </w:tcPr>
          <w:p>
            <w:pPr>
              <w:jc w:val="center"/>
              <w:ind w:left="859"/>
              <w:spacing w:after="0"/>
              <w:rPr>
                <w:sz w:val="20"/>
                <w:szCs w:val="20"/>
                <w:color w:val="auto"/>
              </w:rPr>
            </w:pPr>
            <w:r>
              <w:rPr>
                <w:rFonts w:ascii="Arial" w:cs="Arial" w:eastAsia="Arial" w:hAnsi="Arial"/>
                <w:sz w:val="18"/>
                <w:szCs w:val="18"/>
                <w:b w:val="1"/>
                <w:bCs w:val="1"/>
                <w:color w:val="auto"/>
                <w:w w:val="97"/>
              </w:rPr>
              <w:t>EC4M 8AP</w:t>
            </w:r>
          </w:p>
        </w:tc>
      </w:tr>
      <w:tr>
        <w:trPr>
          <w:trHeight w:val="285"/>
        </w:trPr>
        <w:tc>
          <w:tcPr>
            <w:tcW w:w="3060" w:type="dxa"/>
            <w:vAlign w:val="bottom"/>
          </w:tcPr>
          <w:p>
            <w:pPr>
              <w:jc w:val="center"/>
              <w:ind w:right="697"/>
              <w:spacing w:after="0"/>
              <w:rPr>
                <w:sz w:val="20"/>
                <w:szCs w:val="20"/>
                <w:color w:val="auto"/>
              </w:rPr>
            </w:pPr>
            <w:r>
              <w:rPr>
                <w:rFonts w:ascii="Arial" w:cs="Arial" w:eastAsia="Arial" w:hAnsi="Arial"/>
                <w:sz w:val="14"/>
                <w:szCs w:val="14"/>
                <w:color w:val="auto"/>
                <w:w w:val="95"/>
              </w:rPr>
              <w:t>(Address of principal executive offices)</w:t>
            </w:r>
          </w:p>
        </w:tc>
        <w:tc>
          <w:tcPr>
            <w:tcW w:w="3900" w:type="dxa"/>
            <w:vAlign w:val="bottom"/>
          </w:tcPr>
          <w:p>
            <w:pPr>
              <w:spacing w:after="0"/>
              <w:rPr>
                <w:sz w:val="24"/>
                <w:szCs w:val="24"/>
                <w:color w:val="auto"/>
              </w:rPr>
            </w:pPr>
          </w:p>
        </w:tc>
        <w:tc>
          <w:tcPr>
            <w:tcW w:w="2580" w:type="dxa"/>
            <w:vAlign w:val="bottom"/>
          </w:tcPr>
          <w:p>
            <w:pPr>
              <w:jc w:val="center"/>
              <w:ind w:left="859"/>
              <w:spacing w:after="0"/>
              <w:rPr>
                <w:sz w:val="20"/>
                <w:szCs w:val="20"/>
                <w:color w:val="auto"/>
              </w:rPr>
            </w:pPr>
            <w:r>
              <w:rPr>
                <w:rFonts w:ascii="Arial" w:cs="Arial" w:eastAsia="Arial" w:hAnsi="Arial"/>
                <w:sz w:val="14"/>
                <w:szCs w:val="14"/>
                <w:color w:val="auto"/>
                <w:w w:val="96"/>
              </w:rPr>
              <w:t>(Zip Code)</w:t>
            </w:r>
          </w:p>
        </w:tc>
      </w:tr>
      <w:tr>
        <w:trPr>
          <w:trHeight w:val="336"/>
        </w:trPr>
        <w:tc>
          <w:tcPr>
            <w:tcW w:w="3060" w:type="dxa"/>
            <w:vAlign w:val="bottom"/>
          </w:tcPr>
          <w:p>
            <w:pPr>
              <w:spacing w:after="0"/>
              <w:rPr>
                <w:sz w:val="24"/>
                <w:szCs w:val="24"/>
                <w:color w:val="auto"/>
              </w:rPr>
            </w:pPr>
          </w:p>
        </w:tc>
        <w:tc>
          <w:tcPr>
            <w:tcW w:w="3900" w:type="dxa"/>
            <w:vAlign w:val="bottom"/>
          </w:tcPr>
          <w:p>
            <w:pPr>
              <w:jc w:val="center"/>
              <w:ind w:right="17"/>
              <w:spacing w:after="0"/>
              <w:rPr>
                <w:sz w:val="20"/>
                <w:szCs w:val="20"/>
                <w:color w:val="auto"/>
              </w:rPr>
            </w:pPr>
            <w:r>
              <w:rPr>
                <w:rFonts w:ascii="Arial" w:cs="Arial" w:eastAsia="Arial" w:hAnsi="Arial"/>
                <w:sz w:val="18"/>
                <w:szCs w:val="18"/>
                <w:b w:val="1"/>
                <w:bCs w:val="1"/>
                <w:color w:val="auto"/>
                <w:w w:val="90"/>
              </w:rPr>
              <w:t>+44 203429-3950</w:t>
            </w:r>
          </w:p>
        </w:tc>
        <w:tc>
          <w:tcPr>
            <w:tcW w:w="2580" w:type="dxa"/>
            <w:vAlign w:val="bottom"/>
          </w:tcPr>
          <w:p>
            <w:pPr>
              <w:spacing w:after="0"/>
              <w:rPr>
                <w:sz w:val="24"/>
                <w:szCs w:val="24"/>
                <w:color w:val="auto"/>
              </w:rPr>
            </w:pPr>
          </w:p>
        </w:tc>
      </w:tr>
      <w:tr>
        <w:trPr>
          <w:trHeight w:val="272"/>
        </w:trPr>
        <w:tc>
          <w:tcPr>
            <w:tcW w:w="3060" w:type="dxa"/>
            <w:vAlign w:val="bottom"/>
          </w:tcPr>
          <w:p>
            <w:pPr>
              <w:spacing w:after="0"/>
              <w:rPr>
                <w:sz w:val="23"/>
                <w:szCs w:val="23"/>
                <w:color w:val="auto"/>
              </w:rPr>
            </w:pPr>
          </w:p>
        </w:tc>
        <w:tc>
          <w:tcPr>
            <w:tcW w:w="3900" w:type="dxa"/>
            <w:vAlign w:val="bottom"/>
          </w:tcPr>
          <w:p>
            <w:pPr>
              <w:jc w:val="center"/>
              <w:ind w:right="17"/>
              <w:spacing w:after="0"/>
              <w:rPr>
                <w:sz w:val="20"/>
                <w:szCs w:val="20"/>
                <w:color w:val="auto"/>
              </w:rPr>
            </w:pPr>
            <w:r>
              <w:rPr>
                <w:rFonts w:ascii="Arial" w:cs="Arial" w:eastAsia="Arial" w:hAnsi="Arial"/>
                <w:sz w:val="14"/>
                <w:szCs w:val="14"/>
                <w:color w:val="auto"/>
                <w:w w:val="92"/>
              </w:rPr>
              <w:t>(Registrant’s telephone number, including area code)</w:t>
            </w:r>
          </w:p>
        </w:tc>
        <w:tc>
          <w:tcPr>
            <w:tcW w:w="2580" w:type="dxa"/>
            <w:vAlign w:val="bottom"/>
          </w:tcPr>
          <w:p>
            <w:pPr>
              <w:spacing w:after="0"/>
              <w:rPr>
                <w:sz w:val="23"/>
                <w:szCs w:val="23"/>
                <w:color w:val="auto"/>
              </w:rPr>
            </w:pPr>
          </w:p>
        </w:tc>
      </w:tr>
      <w:tr>
        <w:trPr>
          <w:trHeight w:val="323"/>
        </w:trPr>
        <w:tc>
          <w:tcPr>
            <w:tcW w:w="306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580" w:type="dxa"/>
            <w:vAlign w:val="bottom"/>
          </w:tcPr>
          <w:p>
            <w:pPr>
              <w:spacing w:after="0"/>
              <w:rPr>
                <w:sz w:val="24"/>
                <w:szCs w:val="24"/>
                <w:color w:val="auto"/>
              </w:rPr>
            </w:pP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1"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30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151765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66040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1" w:name="page2"/>
    <w:bookmarkEnd w:id="1"/>
    <w:p>
      <w:pPr>
        <w:ind w:left="1060" w:right="200" w:hanging="1039"/>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Amendment to Pension Plans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2017, FMC Technologies, Inc., a wholly owned subsidiary of TechnipFMC plc, amended the FMC Technologies, Inc. Amended and Restated FMC Technologies, Inc. Employees’ Retirement Program Part I Salaried and Nonunion Hourly Employees’ Retirement Plan and the FMC Technologies, Inc. Salaried Employees’ Equivalent Retirement Plan (the “Plans”) to freeze benefit accruals for all participants of the Plans as of December 31, 2017. After that date, participants in the Plans will no longer accrue any further benefits and participants’ benefits under the Plans will be determined based on credited service and eligible earnings as of December 31, 2017.</w:t>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TechnipFMC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31750</wp:posOffset>
            </wp:positionV>
            <wp:extent cx="380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4620" w:val="left"/>
        </w:tabs>
        <w:rPr>
          <w:sz w:val="20"/>
          <w:szCs w:val="20"/>
          <w:color w:val="auto"/>
        </w:rPr>
      </w:pPr>
      <w:r>
        <w:rPr>
          <w:rFonts w:ascii="Arial" w:cs="Arial" w:eastAsia="Arial" w:hAnsi="Arial"/>
          <w:sz w:val="18"/>
          <w:szCs w:val="18"/>
          <w:color w:val="auto"/>
        </w:rPr>
        <w:t>Dated: January 2, 2018</w:t>
      </w:r>
      <w:r>
        <w:rPr>
          <w:sz w:val="20"/>
          <w:szCs w:val="20"/>
          <w:color w:val="auto"/>
        </w:rPr>
        <w:tab/>
      </w:r>
      <w:r>
        <w:rPr>
          <w:rFonts w:ascii="Arial" w:cs="Arial" w:eastAsia="Arial" w:hAnsi="Arial"/>
          <w:sz w:val="16"/>
          <w:szCs w:val="16"/>
          <w:color w:val="auto"/>
        </w:rPr>
        <w:t>Name: Dianne B. Ralston</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 Executive Vice President, Chief Legal Officer and Secretary</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2019-12-08T15:11:09Z</dcterms:created>
  <dcterms:modified xsi:type="dcterms:W3CDTF">2019-12-08T15:11:09Z</dcterms:modified>
</cp:coreProperties>
</file>