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Pferdehirt Douglas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TECHNIPFMC PLC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12/31/2018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ind w:left="140"/>
              <w:spacing w:after="0"/>
              <w:rPr>
                <w:sz w:val="20"/>
                <w:szCs w:val="20"/>
                <w:color w:val="auto"/>
              </w:rPr>
            </w:pPr>
            <w:r>
              <w:rPr>
                <w:rFonts w:ascii="Arial" w:cs="Arial" w:eastAsia="Arial" w:hAnsi="Arial"/>
                <w:sz w:val="18"/>
                <w:szCs w:val="18"/>
                <w:color w:val="0000FF"/>
              </w:rPr>
              <w:t>50,000</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3"/>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19.2024</w:t>
            </w:r>
            <w:r>
              <w:rPr>
                <w:rFonts w:ascii="Arial" w:cs="Arial" w:eastAsia="Arial" w:hAnsi="Arial"/>
                <w:sz w:val="22"/>
                <w:szCs w:val="22"/>
                <w:color w:val="008000"/>
                <w:w w:val="90"/>
                <w:vertAlign w:val="superscript"/>
              </w:rPr>
              <w:t>(1)</w:t>
            </w: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80,304</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520" w:type="dxa"/>
            <w:vAlign w:val="bottom"/>
            <w:tcBorders>
              <w:top w:val="single" w:sz="8" w:color="2C2C2C"/>
            </w:tcBorders>
            <w:gridSpan w:val="3"/>
          </w:tcPr>
          <w:p>
            <w:pPr>
              <w:jc w:val="right"/>
              <w:ind w:right="297"/>
              <w:spacing w:after="0"/>
              <w:rPr>
                <w:sz w:val="20"/>
                <w:szCs w:val="20"/>
                <w:color w:val="auto"/>
              </w:rPr>
            </w:pPr>
            <w:r>
              <w:rPr>
                <w:rFonts w:ascii="Arial" w:cs="Arial" w:eastAsia="Arial" w:hAnsi="Arial"/>
                <w:sz w:val="18"/>
                <w:szCs w:val="18"/>
                <w:color w:val="0000FF"/>
              </w:rPr>
              <w:t>525,802</w:t>
            </w:r>
          </w:p>
        </w:tc>
        <w:tc>
          <w:tcPr>
            <w:tcW w:w="90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trading price of the shares purchased. The trading range for these shares was $19.065 to $19.365. The reporting person will provide full information regarding the number of shares purchased at each separate price upon request by the Securities and Exchange Commission, the issuer, or a security holder of the issuer."</w:t>
      </w: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trust for the benefit of the reporting person's children.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Lisa P. Wang, Attorney-In-</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0840"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2019-12-24T09:15:04Z</dcterms:created>
  <dcterms:modified xsi:type="dcterms:W3CDTF">2019-12-24T09:15:04Z</dcterms:modified>
</cp:coreProperties>
</file>