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4, 2020</w:t>
      </w:r>
    </w:p>
    <w:p>
      <w:pPr>
        <w:spacing w:after="0" w:line="36" w:lineRule="exact"/>
        <w:rPr>
          <w:sz w:val="24"/>
          <w:szCs w:val="24"/>
          <w:color w:val="auto"/>
        </w:rPr>
      </w:pPr>
    </w:p>
    <w:p>
      <w:pPr>
        <w:ind w:left="77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61722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260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94615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43815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S-3</w:t>
      </w:r>
    </w:p>
    <w:p>
      <w:pPr>
        <w:jc w:val="center"/>
        <w:spacing w:after="0" w:line="221" w:lineRule="auto"/>
        <w:rPr>
          <w:sz w:val="20"/>
          <w:szCs w:val="20"/>
          <w:color w:val="auto"/>
        </w:rPr>
      </w:pPr>
      <w:r>
        <w:rPr>
          <w:rFonts w:ascii="Arial" w:cs="Arial" w:eastAsia="Arial" w:hAnsi="Arial"/>
          <w:sz w:val="14"/>
          <w:szCs w:val="14"/>
          <w:b w:val="1"/>
          <w:bCs w:val="1"/>
          <w:color w:val="auto"/>
        </w:rPr>
        <w:t>REGISTRATION STATEMENT</w:t>
      </w:r>
    </w:p>
    <w:p>
      <w:pPr>
        <w:jc w:val="center"/>
        <w:spacing w:after="0" w:line="221" w:lineRule="auto"/>
        <w:rPr>
          <w:sz w:val="20"/>
          <w:szCs w:val="20"/>
          <w:color w:val="auto"/>
        </w:rPr>
      </w:pPr>
      <w:r>
        <w:rPr>
          <w:rFonts w:ascii="Arial" w:cs="Arial" w:eastAsia="Arial" w:hAnsi="Arial"/>
          <w:sz w:val="14"/>
          <w:szCs w:val="14"/>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THE SECURITIES ACT OF 1933</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TechnipFMC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-202565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w:t>
      </w:r>
      <w:r>
        <w:rPr>
          <w:rFonts w:ascii="Arial" w:cs="Arial" w:eastAsia="Arial" w:hAnsi="Arial"/>
          <w:sz w:val="14"/>
          <w:szCs w:val="14"/>
          <w:u w:val="single" w:color="auto"/>
          <w:color w:val="auto"/>
        </w:rPr>
        <w:t>e of registrant as specified in</w:t>
      </w:r>
      <w:r>
        <w:rPr>
          <w:rFonts w:ascii="Arial" w:cs="Arial" w:eastAsia="Arial" w:hAnsi="Arial"/>
          <w:sz w:val="14"/>
          <w:szCs w:val="14"/>
          <w:color w:val="auto"/>
        </w:rPr>
        <w:t xml:space="preserve"> its charter)</w:t>
      </w:r>
    </w:p>
    <w:p>
      <w:pPr>
        <w:spacing w:after="0" w:line="147" w:lineRule="exact"/>
        <w:rPr>
          <w:sz w:val="24"/>
          <w:szCs w:val="24"/>
          <w:color w:val="auto"/>
        </w:rPr>
      </w:pPr>
    </w:p>
    <w:tbl>
      <w:tblPr>
        <w:tblLayout w:type="fixed"/>
        <w:tblInd w:w="1240" w:type="dxa"/>
        <w:tblCellMar>
          <w:top w:w="0" w:type="dxa"/>
          <w:left w:w="0" w:type="dxa"/>
          <w:bottom w:w="0" w:type="dxa"/>
          <w:right w:w="0" w:type="dxa"/>
        </w:tblCellMar>
      </w:tblPr>
      <w:tr>
        <w:trPr>
          <w:trHeight w:val="186"/>
        </w:trPr>
        <w:tc>
          <w:tcPr>
            <w:tcW w:w="2680" w:type="dxa"/>
            <w:vAlign w:val="bottom"/>
          </w:tcPr>
          <w:p>
            <w:pPr>
              <w:jc w:val="center"/>
              <w:ind w:right="308"/>
              <w:spacing w:after="0"/>
              <w:rPr>
                <w:sz w:val="20"/>
                <w:szCs w:val="20"/>
                <w:color w:val="auto"/>
              </w:rPr>
            </w:pPr>
            <w:r>
              <w:rPr>
                <w:rFonts w:ascii="Arial" w:cs="Arial" w:eastAsia="Arial" w:hAnsi="Arial"/>
                <w:sz w:val="14"/>
                <w:szCs w:val="14"/>
                <w:b w:val="1"/>
                <w:bCs w:val="1"/>
                <w:color w:val="auto"/>
                <w:w w:val="91"/>
              </w:rPr>
              <w:t>England and Wales</w:t>
            </w:r>
          </w:p>
        </w:tc>
        <w:tc>
          <w:tcPr>
            <w:tcW w:w="1940" w:type="dxa"/>
            <w:vAlign w:val="bottom"/>
          </w:tcPr>
          <w:p>
            <w:pPr>
              <w:spacing w:after="0"/>
              <w:rPr>
                <w:sz w:val="16"/>
                <w:szCs w:val="16"/>
                <w:color w:val="auto"/>
              </w:rPr>
            </w:pPr>
          </w:p>
        </w:tc>
        <w:tc>
          <w:tcPr>
            <w:tcW w:w="2540" w:type="dxa"/>
            <w:vAlign w:val="bottom"/>
          </w:tcPr>
          <w:p>
            <w:pPr>
              <w:jc w:val="center"/>
              <w:ind w:left="368"/>
              <w:spacing w:after="0"/>
              <w:rPr>
                <w:sz w:val="20"/>
                <w:szCs w:val="20"/>
                <w:color w:val="auto"/>
              </w:rPr>
            </w:pPr>
            <w:r>
              <w:rPr>
                <w:rFonts w:ascii="Arial" w:cs="Arial" w:eastAsia="Arial" w:hAnsi="Arial"/>
                <w:sz w:val="14"/>
                <w:szCs w:val="14"/>
                <w:b w:val="1"/>
                <w:bCs w:val="1"/>
                <w:color w:val="auto"/>
                <w:w w:val="93"/>
              </w:rPr>
              <w:t>98-1283037</w:t>
            </w:r>
          </w:p>
        </w:tc>
        <w:tc>
          <w:tcPr>
            <w:tcW w:w="0" w:type="dxa"/>
            <w:vAlign w:val="bottom"/>
          </w:tcPr>
          <w:p>
            <w:pPr>
              <w:spacing w:after="0"/>
              <w:rPr>
                <w:sz w:val="1"/>
                <w:szCs w:val="1"/>
                <w:color w:val="auto"/>
              </w:rPr>
            </w:pPr>
          </w:p>
        </w:tc>
      </w:tr>
      <w:tr>
        <w:trPr>
          <w:trHeight w:val="169"/>
        </w:trPr>
        <w:tc>
          <w:tcPr>
            <w:tcW w:w="2680" w:type="dxa"/>
            <w:vAlign w:val="bottom"/>
          </w:tcPr>
          <w:p>
            <w:pPr>
              <w:jc w:val="center"/>
              <w:ind w:right="348"/>
              <w:spacing w:after="0"/>
              <w:rPr>
                <w:sz w:val="20"/>
                <w:szCs w:val="20"/>
                <w:color w:val="auto"/>
              </w:rPr>
            </w:pPr>
            <w:r>
              <w:rPr>
                <w:rFonts w:ascii="Arial" w:cs="Arial" w:eastAsia="Arial" w:hAnsi="Arial"/>
                <w:sz w:val="14"/>
                <w:szCs w:val="14"/>
                <w:color w:val="auto"/>
                <w:w w:val="94"/>
              </w:rPr>
              <w:t>(State or other jurisdiction of</w:t>
            </w:r>
          </w:p>
        </w:tc>
        <w:tc>
          <w:tcPr>
            <w:tcW w:w="1940" w:type="dxa"/>
            <w:vAlign w:val="bottom"/>
          </w:tcPr>
          <w:p>
            <w:pPr>
              <w:spacing w:after="0"/>
              <w:rPr>
                <w:sz w:val="14"/>
                <w:szCs w:val="14"/>
                <w:color w:val="auto"/>
              </w:rPr>
            </w:pPr>
          </w:p>
        </w:tc>
        <w:tc>
          <w:tcPr>
            <w:tcW w:w="2540" w:type="dxa"/>
            <w:vAlign w:val="bottom"/>
          </w:tcPr>
          <w:p>
            <w:pPr>
              <w:jc w:val="center"/>
              <w:ind w:left="368"/>
              <w:spacing w:after="0"/>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182"/>
        </w:trPr>
        <w:tc>
          <w:tcPr>
            <w:tcW w:w="2680" w:type="dxa"/>
            <w:vAlign w:val="bottom"/>
          </w:tcPr>
          <w:p>
            <w:pPr>
              <w:jc w:val="center"/>
              <w:ind w:right="308"/>
              <w:spacing w:after="0"/>
              <w:rPr>
                <w:sz w:val="20"/>
                <w:szCs w:val="20"/>
                <w:color w:val="auto"/>
              </w:rPr>
            </w:pPr>
            <w:r>
              <w:rPr>
                <w:rFonts w:ascii="Arial" w:cs="Arial" w:eastAsia="Arial" w:hAnsi="Arial"/>
                <w:sz w:val="14"/>
                <w:szCs w:val="14"/>
                <w:color w:val="auto"/>
                <w:w w:val="95"/>
              </w:rPr>
              <w:t>incorporation or organization)</w:t>
            </w:r>
          </w:p>
        </w:tc>
        <w:tc>
          <w:tcPr>
            <w:tcW w:w="19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680" w:type="dxa"/>
            <w:vAlign w:val="bottom"/>
          </w:tcPr>
          <w:p>
            <w:pPr>
              <w:jc w:val="center"/>
              <w:ind w:right="348"/>
              <w:spacing w:after="0"/>
              <w:rPr>
                <w:sz w:val="20"/>
                <w:szCs w:val="20"/>
                <w:color w:val="auto"/>
              </w:rPr>
            </w:pPr>
            <w:r>
              <w:rPr>
                <w:rFonts w:ascii="Arial" w:cs="Arial" w:eastAsia="Arial" w:hAnsi="Arial"/>
                <w:sz w:val="14"/>
                <w:szCs w:val="14"/>
                <w:b w:val="1"/>
                <w:bCs w:val="1"/>
                <w:color w:val="auto"/>
                <w:w w:val="93"/>
              </w:rPr>
              <w:t>One St. Paul’s Churchyard</w:t>
            </w:r>
          </w:p>
        </w:tc>
        <w:tc>
          <w:tcPr>
            <w:tcW w:w="1940" w:type="dxa"/>
            <w:vAlign w:val="bottom"/>
          </w:tcPr>
          <w:p>
            <w:pPr>
              <w:spacing w:after="0"/>
              <w:rPr>
                <w:sz w:val="19"/>
                <w:szCs w:val="19"/>
                <w:color w:val="auto"/>
              </w:rPr>
            </w:pPr>
          </w:p>
        </w:tc>
        <w:tc>
          <w:tcPr>
            <w:tcW w:w="254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w w:val="99"/>
              </w:rPr>
              <w:t>EC4M 8AP</w:t>
            </w:r>
          </w:p>
        </w:tc>
        <w:tc>
          <w:tcPr>
            <w:tcW w:w="0" w:type="dxa"/>
            <w:vAlign w:val="bottom"/>
          </w:tcPr>
          <w:p>
            <w:pPr>
              <w:spacing w:after="0"/>
              <w:rPr>
                <w:sz w:val="1"/>
                <w:szCs w:val="1"/>
                <w:color w:val="auto"/>
              </w:rPr>
            </w:pPr>
          </w:p>
        </w:tc>
      </w:tr>
      <w:tr>
        <w:trPr>
          <w:trHeight w:val="186"/>
        </w:trPr>
        <w:tc>
          <w:tcPr>
            <w:tcW w:w="2680" w:type="dxa"/>
            <w:vAlign w:val="bottom"/>
          </w:tcPr>
          <w:p>
            <w:pPr>
              <w:jc w:val="center"/>
              <w:ind w:right="308"/>
              <w:spacing w:after="0"/>
              <w:rPr>
                <w:sz w:val="20"/>
                <w:szCs w:val="20"/>
                <w:color w:val="auto"/>
              </w:rPr>
            </w:pPr>
            <w:r>
              <w:rPr>
                <w:rFonts w:ascii="Arial" w:cs="Arial" w:eastAsia="Arial" w:hAnsi="Arial"/>
                <w:sz w:val="14"/>
                <w:szCs w:val="14"/>
                <w:b w:val="1"/>
                <w:bCs w:val="1"/>
                <w:color w:val="auto"/>
                <w:w w:val="94"/>
              </w:rPr>
              <w:t>London, United Kingdom</w:t>
            </w:r>
          </w:p>
        </w:tc>
        <w:tc>
          <w:tcPr>
            <w:tcW w:w="1940" w:type="dxa"/>
            <w:vAlign w:val="bottom"/>
          </w:tcPr>
          <w:p>
            <w:pPr>
              <w:spacing w:after="0"/>
              <w:rPr>
                <w:sz w:val="16"/>
                <w:szCs w:val="16"/>
                <w:color w:val="auto"/>
              </w:rPr>
            </w:pPr>
          </w:p>
        </w:tc>
        <w:tc>
          <w:tcPr>
            <w:tcW w:w="2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Pr>
          <w:p>
            <w:pPr>
              <w:jc w:val="center"/>
              <w:ind w:right="328"/>
              <w:spacing w:after="0"/>
              <w:rPr>
                <w:sz w:val="20"/>
                <w:szCs w:val="20"/>
                <w:color w:val="auto"/>
              </w:rPr>
            </w:pPr>
            <w:r>
              <w:rPr>
                <w:rFonts w:ascii="Arial" w:cs="Arial" w:eastAsia="Arial" w:hAnsi="Arial"/>
                <w:sz w:val="14"/>
                <w:szCs w:val="14"/>
                <w:color w:val="auto"/>
                <w:w w:val="95"/>
              </w:rPr>
              <w:t>(Address of principal executive offices)</w:t>
            </w:r>
          </w:p>
        </w:tc>
        <w:tc>
          <w:tcPr>
            <w:tcW w:w="19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+44 203-429-3950</w:t>
            </w:r>
          </w:p>
        </w:tc>
        <w:tc>
          <w:tcPr>
            <w:tcW w:w="2540" w:type="dxa"/>
            <w:vAlign w:val="bottom"/>
          </w:tcPr>
          <w:p>
            <w:pPr>
              <w:jc w:val="center"/>
              <w:ind w:left="368"/>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86"/>
        </w:trPr>
        <w:tc>
          <w:tcPr>
            <w:tcW w:w="268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25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340"/>
        <w:spacing w:after="0"/>
        <w:rPr>
          <w:sz w:val="20"/>
          <w:szCs w:val="20"/>
          <w:color w:val="auto"/>
        </w:rPr>
      </w:pPr>
      <w:r>
        <w:rPr>
          <w:rFonts w:ascii="Arial" w:cs="Arial" w:eastAsia="Arial" w:hAnsi="Arial"/>
          <w:sz w:val="14"/>
          <w:szCs w:val="14"/>
          <w:color w:val="auto"/>
        </w:rPr>
        <w:t>(Registrant</w:t>
      </w:r>
      <w:r>
        <w:rPr>
          <w:rFonts w:ascii="Arial" w:cs="Arial" w:eastAsia="Arial" w:hAnsi="Arial"/>
          <w:sz w:val="14"/>
          <w:szCs w:val="14"/>
          <w:u w:val="single" w:color="auto"/>
          <w:color w:val="auto"/>
        </w:rPr>
        <w:t>’s telephone number, including</w:t>
      </w:r>
      <w:r>
        <w:rPr>
          <w:rFonts w:ascii="Arial" w:cs="Arial" w:eastAsia="Arial" w:hAnsi="Arial"/>
          <w:sz w:val="14"/>
          <w:szCs w:val="14"/>
          <w:color w:val="auto"/>
        </w:rPr>
        <w:t xml:space="preserve"> area code)</w:t>
      </w:r>
    </w:p>
    <w:p>
      <w:pPr>
        <w:spacing w:after="0" w:line="2" w:lineRule="exact"/>
        <w:rPr>
          <w:sz w:val="24"/>
          <w:szCs w:val="24"/>
          <w:color w:val="auto"/>
        </w:rPr>
      </w:pPr>
    </w:p>
    <w:p>
      <w:pPr>
        <w:ind w:left="4280"/>
        <w:spacing w:after="0"/>
        <w:rPr>
          <w:sz w:val="20"/>
          <w:szCs w:val="20"/>
          <w:color w:val="auto"/>
        </w:rPr>
      </w:pPr>
      <w:r>
        <w:rPr>
          <w:rFonts w:ascii="Arial" w:cs="Arial" w:eastAsia="Arial" w:hAnsi="Arial"/>
          <w:sz w:val="14"/>
          <w:szCs w:val="14"/>
          <w:b w:val="1"/>
          <w:bCs w:val="1"/>
          <w:color w:val="auto"/>
        </w:rPr>
        <w:t>Dianne B. Ralston</w:t>
      </w:r>
    </w:p>
    <w:p>
      <w:pPr>
        <w:jc w:val="center"/>
        <w:ind w:right="20"/>
        <w:spacing w:after="0" w:line="221" w:lineRule="auto"/>
        <w:rPr>
          <w:sz w:val="20"/>
          <w:szCs w:val="20"/>
          <w:color w:val="auto"/>
        </w:rPr>
      </w:pPr>
      <w:r>
        <w:rPr>
          <w:rFonts w:ascii="Arial" w:cs="Arial" w:eastAsia="Arial" w:hAnsi="Arial"/>
          <w:sz w:val="14"/>
          <w:szCs w:val="14"/>
          <w:b w:val="1"/>
          <w:bCs w:val="1"/>
          <w:color w:val="auto"/>
        </w:rPr>
        <w:t>Executive Vice President, Chief Legal Officer and Secretary</w:t>
      </w:r>
    </w:p>
    <w:p>
      <w:pPr>
        <w:jc w:val="center"/>
        <w:ind w:right="20"/>
        <w:spacing w:after="0" w:line="221" w:lineRule="auto"/>
        <w:rPr>
          <w:sz w:val="20"/>
          <w:szCs w:val="20"/>
          <w:color w:val="auto"/>
        </w:rPr>
      </w:pPr>
      <w:r>
        <w:rPr>
          <w:rFonts w:ascii="Arial" w:cs="Arial" w:eastAsia="Arial" w:hAnsi="Arial"/>
          <w:sz w:val="14"/>
          <w:szCs w:val="14"/>
          <w:b w:val="1"/>
          <w:bCs w:val="1"/>
          <w:color w:val="auto"/>
        </w:rPr>
        <w:t>11740 Katy Freeway, Energy Tower 3</w:t>
      </w:r>
    </w:p>
    <w:p>
      <w:pPr>
        <w:jc w:val="center"/>
        <w:ind w:right="20"/>
        <w:spacing w:after="0" w:line="222" w:lineRule="auto"/>
        <w:rPr>
          <w:sz w:val="20"/>
          <w:szCs w:val="20"/>
          <w:color w:val="auto"/>
        </w:rPr>
      </w:pPr>
      <w:r>
        <w:rPr>
          <w:rFonts w:ascii="Arial" w:cs="Arial" w:eastAsia="Arial" w:hAnsi="Arial"/>
          <w:sz w:val="14"/>
          <w:szCs w:val="14"/>
          <w:b w:val="1"/>
          <w:bCs w:val="1"/>
          <w:color w:val="auto"/>
        </w:rPr>
        <w:t>Houston, Texas, United States 77079</w:t>
      </w:r>
    </w:p>
    <w:p>
      <w:pPr>
        <w:jc w:val="center"/>
        <w:ind w:right="20"/>
        <w:spacing w:after="0" w:line="221" w:lineRule="auto"/>
        <w:rPr>
          <w:sz w:val="20"/>
          <w:szCs w:val="20"/>
          <w:color w:val="auto"/>
        </w:rPr>
      </w:pPr>
      <w:r>
        <w:rPr>
          <w:rFonts w:ascii="Arial" w:cs="Arial" w:eastAsia="Arial" w:hAnsi="Arial"/>
          <w:sz w:val="14"/>
          <w:szCs w:val="14"/>
          <w:b w:val="1"/>
          <w:bCs w:val="1"/>
          <w:color w:val="auto"/>
        </w:rPr>
        <w:t>Telephone: (281) 591-4000</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With copies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-97790</wp:posOffset>
            </wp:positionV>
            <wp:extent cx="1097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jc w:val="center"/>
        <w:spacing w:after="0" w:line="221" w:lineRule="auto"/>
        <w:rPr>
          <w:sz w:val="20"/>
          <w:szCs w:val="20"/>
          <w:color w:val="auto"/>
        </w:rPr>
      </w:pPr>
      <w:r>
        <w:rPr>
          <w:rFonts w:ascii="Arial" w:cs="Arial" w:eastAsia="Arial" w:hAnsi="Arial"/>
          <w:sz w:val="14"/>
          <w:szCs w:val="14"/>
          <w:b w:val="1"/>
          <w:bCs w:val="1"/>
          <w:color w:val="auto"/>
        </w:rPr>
        <w:t>Ryan J. Maierson</w:t>
      </w:r>
    </w:p>
    <w:p>
      <w:pPr>
        <w:jc w:val="center"/>
        <w:spacing w:after="0" w:line="221" w:lineRule="auto"/>
        <w:rPr>
          <w:sz w:val="20"/>
          <w:szCs w:val="20"/>
          <w:color w:val="auto"/>
        </w:rPr>
      </w:pPr>
      <w:r>
        <w:rPr>
          <w:rFonts w:ascii="Arial" w:cs="Arial" w:eastAsia="Arial" w:hAnsi="Arial"/>
          <w:sz w:val="14"/>
          <w:szCs w:val="14"/>
          <w:b w:val="1"/>
          <w:bCs w:val="1"/>
          <w:color w:val="auto"/>
        </w:rPr>
        <w:t>Jesse P. Myers</w:t>
      </w:r>
    </w:p>
    <w:p>
      <w:pPr>
        <w:jc w:val="center"/>
        <w:spacing w:after="0" w:line="222" w:lineRule="auto"/>
        <w:rPr>
          <w:sz w:val="20"/>
          <w:szCs w:val="20"/>
          <w:color w:val="auto"/>
        </w:rPr>
      </w:pPr>
      <w:r>
        <w:rPr>
          <w:rFonts w:ascii="Arial" w:cs="Arial" w:eastAsia="Arial" w:hAnsi="Arial"/>
          <w:sz w:val="14"/>
          <w:szCs w:val="14"/>
          <w:b w:val="1"/>
          <w:bCs w:val="1"/>
          <w:color w:val="auto"/>
        </w:rPr>
        <w:t>Latham &amp; Watkins LLP</w:t>
      </w:r>
    </w:p>
    <w:p>
      <w:pPr>
        <w:jc w:val="center"/>
        <w:spacing w:after="0" w:line="221" w:lineRule="auto"/>
        <w:rPr>
          <w:sz w:val="20"/>
          <w:szCs w:val="20"/>
          <w:color w:val="auto"/>
        </w:rPr>
      </w:pPr>
      <w:r>
        <w:rPr>
          <w:rFonts w:ascii="Arial" w:cs="Arial" w:eastAsia="Arial" w:hAnsi="Arial"/>
          <w:sz w:val="14"/>
          <w:szCs w:val="14"/>
          <w:b w:val="1"/>
          <w:bCs w:val="1"/>
          <w:color w:val="auto"/>
        </w:rPr>
        <w:t>811 Main Street, Suite 3700</w:t>
      </w:r>
    </w:p>
    <w:p>
      <w:pPr>
        <w:jc w:val="center"/>
        <w:spacing w:after="0" w:line="221" w:lineRule="auto"/>
        <w:rPr>
          <w:sz w:val="20"/>
          <w:szCs w:val="20"/>
          <w:color w:val="auto"/>
        </w:rPr>
      </w:pPr>
      <w:r>
        <w:rPr>
          <w:rFonts w:ascii="Arial" w:cs="Arial" w:eastAsia="Arial" w:hAnsi="Arial"/>
          <w:sz w:val="14"/>
          <w:szCs w:val="14"/>
          <w:b w:val="1"/>
          <w:bCs w:val="1"/>
          <w:color w:val="auto"/>
        </w:rPr>
        <w:t>Houston, Texas 77002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(713) 546-5400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5080</wp:posOffset>
            </wp:positionV>
            <wp:extent cx="1097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this Registration Statement becomes effective.</w:t>
      </w:r>
    </w:p>
    <w:p>
      <w:pPr>
        <w:spacing w:after="0" w:line="1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right="20"/>
        <w:spacing w:after="0" w:line="162"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560"/>
        <w:spacing w:after="0" w:line="16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480"/>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460"/>
        <w:spacing w:after="0" w:line="162"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62"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23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p>
      <w:pPr>
        <w:spacing w:after="0" w:line="161" w:lineRule="exact"/>
        <w:tabs>
          <w:tab w:leader="none" w:pos="2800" w:val="left"/>
          <w:tab w:leader="none" w:pos="5160" w:val="left"/>
          <w:tab w:leader="none" w:pos="774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23" w:lineRule="exact"/>
        <w:rPr>
          <w:sz w:val="24"/>
          <w:szCs w:val="24"/>
          <w:color w:val="auto"/>
        </w:rPr>
      </w:pPr>
    </w:p>
    <w:p>
      <w:pPr>
        <w:ind w:left="77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w:t>
      </w:r>
    </w:p>
    <w:p>
      <w:pPr>
        <w:spacing w:after="0" w:line="1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financial accounting standards provided pursuant to Section 7(a)(2)(B) of the Securities Act. </w:t>
      </w:r>
      <w:r>
        <w:rPr>
          <w:rFonts w:ascii="MS PGothic" w:cs="MS PGothic" w:eastAsia="MS PGothic" w:hAnsi="MS PGothic"/>
          <w:sz w:val="14"/>
          <w:szCs w:val="14"/>
          <w:color w:val="auto"/>
        </w:rPr>
        <w: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4400" w:type="dxa"/>
            <w:vAlign w:val="bottom"/>
            <w:tcBorders>
              <w:top w:val="single" w:sz="8" w:color="auto"/>
              <w:right w:val="single" w:sz="8" w:color="auto"/>
            </w:tcBorders>
          </w:tcPr>
          <w:p>
            <w:pPr>
              <w:spacing w:after="0"/>
              <w:rPr>
                <w:sz w:val="22"/>
                <w:szCs w:val="22"/>
                <w:color w:val="auto"/>
              </w:rPr>
            </w:pPr>
          </w:p>
        </w:tc>
        <w:tc>
          <w:tcPr>
            <w:tcW w:w="2700" w:type="dxa"/>
            <w:vAlign w:val="bottom"/>
            <w:tcBorders>
              <w:top w:val="single" w:sz="8" w:color="auto"/>
              <w:right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92"/>
              </w:rPr>
              <w:t>Amount to be Registered /</w:t>
            </w:r>
          </w:p>
        </w:tc>
        <w:tc>
          <w:tcPr>
            <w:tcW w:w="2620" w:type="dxa"/>
            <w:vAlign w:val="bottom"/>
            <w:tcBorders>
              <w:top w:val="single" w:sz="8" w:color="auto"/>
            </w:tcBorders>
          </w:tcPr>
          <w:p>
            <w:pPr>
              <w:spacing w:after="0"/>
              <w:rPr>
                <w:sz w:val="22"/>
                <w:szCs w:val="22"/>
                <w:color w:val="auto"/>
              </w:rPr>
            </w:pPr>
          </w:p>
        </w:tc>
      </w:tr>
      <w:tr>
        <w:trPr>
          <w:trHeight w:val="148"/>
        </w:trPr>
        <w:tc>
          <w:tcPr>
            <w:tcW w:w="4400" w:type="dxa"/>
            <w:vAlign w:val="bottom"/>
            <w:tcBorders>
              <w:right w:val="single" w:sz="8" w:color="auto"/>
            </w:tcBorders>
          </w:tcPr>
          <w:p>
            <w:pPr>
              <w:spacing w:after="0"/>
              <w:rPr>
                <w:sz w:val="12"/>
                <w:szCs w:val="12"/>
                <w:color w:val="auto"/>
              </w:rPr>
            </w:pPr>
          </w:p>
        </w:tc>
        <w:tc>
          <w:tcPr>
            <w:tcW w:w="270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95"/>
              </w:rPr>
              <w:t>Proposed Maximum</w:t>
            </w:r>
          </w:p>
        </w:tc>
        <w:tc>
          <w:tcPr>
            <w:tcW w:w="2620" w:type="dxa"/>
            <w:vAlign w:val="bottom"/>
          </w:tcPr>
          <w:p>
            <w:pPr>
              <w:spacing w:after="0"/>
              <w:rPr>
                <w:sz w:val="12"/>
                <w:szCs w:val="12"/>
                <w:color w:val="auto"/>
              </w:rPr>
            </w:pPr>
          </w:p>
        </w:tc>
      </w:tr>
      <w:tr>
        <w:trPr>
          <w:trHeight w:val="148"/>
        </w:trPr>
        <w:tc>
          <w:tcPr>
            <w:tcW w:w="4400" w:type="dxa"/>
            <w:vAlign w:val="bottom"/>
            <w:tcBorders>
              <w:right w:val="single" w:sz="8" w:color="auto"/>
            </w:tcBorders>
          </w:tcPr>
          <w:p>
            <w:pPr>
              <w:spacing w:after="0"/>
              <w:rPr>
                <w:sz w:val="12"/>
                <w:szCs w:val="12"/>
                <w:color w:val="auto"/>
              </w:rPr>
            </w:pPr>
          </w:p>
        </w:tc>
        <w:tc>
          <w:tcPr>
            <w:tcW w:w="270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96"/>
              </w:rPr>
              <w:t>Offering Price Per Unit /</w:t>
            </w:r>
          </w:p>
        </w:tc>
        <w:tc>
          <w:tcPr>
            <w:tcW w:w="2620" w:type="dxa"/>
            <w:vAlign w:val="bottom"/>
          </w:tcPr>
          <w:p>
            <w:pPr>
              <w:spacing w:after="0"/>
              <w:rPr>
                <w:sz w:val="12"/>
                <w:szCs w:val="12"/>
                <w:color w:val="auto"/>
              </w:rPr>
            </w:pPr>
          </w:p>
        </w:tc>
      </w:tr>
      <w:tr>
        <w:trPr>
          <w:trHeight w:val="134"/>
        </w:trPr>
        <w:tc>
          <w:tcPr>
            <w:tcW w:w="4400" w:type="dxa"/>
            <w:vAlign w:val="bottom"/>
            <w:tcBorders>
              <w:right w:val="single" w:sz="8" w:color="auto"/>
            </w:tcBorders>
          </w:tcPr>
          <w:p>
            <w:pPr>
              <w:spacing w:after="0"/>
              <w:rPr>
                <w:sz w:val="11"/>
                <w:szCs w:val="11"/>
                <w:color w:val="auto"/>
              </w:rPr>
            </w:pPr>
          </w:p>
        </w:tc>
        <w:tc>
          <w:tcPr>
            <w:tcW w:w="2700" w:type="dxa"/>
            <w:vAlign w:val="bottom"/>
            <w:tcBorders>
              <w:right w:val="single" w:sz="8" w:color="auto"/>
            </w:tcBorders>
          </w:tcPr>
          <w:p>
            <w:pPr>
              <w:jc w:val="center"/>
              <w:ind w:right="13"/>
              <w:spacing w:after="0" w:line="134" w:lineRule="exact"/>
              <w:rPr>
                <w:sz w:val="20"/>
                <w:szCs w:val="20"/>
                <w:color w:val="auto"/>
              </w:rPr>
            </w:pPr>
            <w:r>
              <w:rPr>
                <w:rFonts w:ascii="Arial" w:cs="Arial" w:eastAsia="Arial" w:hAnsi="Arial"/>
                <w:sz w:val="13"/>
                <w:szCs w:val="13"/>
                <w:b w:val="1"/>
                <w:bCs w:val="1"/>
                <w:color w:val="auto"/>
                <w:w w:val="95"/>
              </w:rPr>
              <w:t>Proposed Maximum</w:t>
            </w:r>
          </w:p>
        </w:tc>
        <w:tc>
          <w:tcPr>
            <w:tcW w:w="26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Amount of</w:t>
            </w:r>
          </w:p>
        </w:tc>
      </w:tr>
      <w:tr>
        <w:trPr>
          <w:trHeight w:val="230"/>
        </w:trPr>
        <w:tc>
          <w:tcPr>
            <w:tcW w:w="4400" w:type="dxa"/>
            <w:vAlign w:val="bottom"/>
            <w:tcBorders>
              <w:bottom w:val="single" w:sz="8" w:color="auto"/>
              <w:right w:val="single" w:sz="8" w:color="auto"/>
            </w:tcBorders>
          </w:tcPr>
          <w:p>
            <w:pPr>
              <w:ind w:left="940"/>
              <w:spacing w:after="0"/>
              <w:rPr>
                <w:sz w:val="20"/>
                <w:szCs w:val="20"/>
                <w:color w:val="auto"/>
              </w:rPr>
            </w:pPr>
            <w:r>
              <w:rPr>
                <w:rFonts w:ascii="Arial" w:cs="Arial" w:eastAsia="Arial" w:hAnsi="Arial"/>
                <w:sz w:val="13"/>
                <w:szCs w:val="13"/>
                <w:b w:val="1"/>
                <w:bCs w:val="1"/>
                <w:color w:val="auto"/>
              </w:rPr>
              <w:t>Title of Class of Securities to be Registered</w:t>
            </w:r>
          </w:p>
        </w:tc>
        <w:tc>
          <w:tcPr>
            <w:tcW w:w="2700" w:type="dxa"/>
            <w:vAlign w:val="bottom"/>
            <w:tcBorders>
              <w:bottom w:val="single" w:sz="8" w:color="auto"/>
              <w:right w:val="single" w:sz="8" w:color="auto"/>
            </w:tcBorders>
          </w:tcPr>
          <w:p>
            <w:pPr>
              <w:jc w:val="center"/>
              <w:spacing w:after="0" w:line="229" w:lineRule="exact"/>
              <w:rPr>
                <w:sz w:val="20"/>
                <w:szCs w:val="20"/>
                <w:color w:val="auto"/>
              </w:rPr>
            </w:pPr>
            <w:r>
              <w:rPr>
                <w:rFonts w:ascii="Arial" w:cs="Arial" w:eastAsia="Arial" w:hAnsi="Arial"/>
                <w:sz w:val="13"/>
                <w:szCs w:val="13"/>
                <w:b w:val="1"/>
                <w:bCs w:val="1"/>
                <w:color w:val="auto"/>
                <w:w w:val="91"/>
              </w:rPr>
              <w:t>Aggregate Offering Price</w:t>
            </w:r>
            <w:r>
              <w:rPr>
                <w:rFonts w:ascii="Arial" w:cs="Arial" w:eastAsia="Arial" w:hAnsi="Arial"/>
                <w:sz w:val="22"/>
                <w:szCs w:val="22"/>
                <w:b w:val="1"/>
                <w:bCs w:val="1"/>
                <w:color w:val="auto"/>
                <w:w w:val="91"/>
                <w:vertAlign w:val="superscript"/>
              </w:rPr>
              <w:t>(1)</w:t>
            </w:r>
          </w:p>
        </w:tc>
        <w:tc>
          <w:tcPr>
            <w:tcW w:w="262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13"/>
                <w:szCs w:val="13"/>
                <w:b w:val="1"/>
                <w:bCs w:val="1"/>
                <w:color w:val="auto"/>
                <w:w w:val="90"/>
              </w:rPr>
              <w:t>Registration Fee</w:t>
            </w:r>
            <w:r>
              <w:rPr>
                <w:rFonts w:ascii="Arial" w:cs="Arial" w:eastAsia="Arial" w:hAnsi="Arial"/>
                <w:sz w:val="22"/>
                <w:szCs w:val="22"/>
                <w:b w:val="1"/>
                <w:bCs w:val="1"/>
                <w:color w:val="auto"/>
                <w:w w:val="90"/>
                <w:vertAlign w:val="superscript"/>
              </w:rPr>
              <w:t>(2)</w:t>
            </w:r>
          </w:p>
        </w:tc>
      </w:tr>
      <w:tr>
        <w:trPr>
          <w:trHeight w:val="211"/>
        </w:trPr>
        <w:tc>
          <w:tcPr>
            <w:tcW w:w="44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Ordinary Shares</w:t>
            </w:r>
          </w:p>
        </w:tc>
        <w:tc>
          <w:tcPr>
            <w:tcW w:w="2700" w:type="dxa"/>
            <w:vAlign w:val="bottom"/>
            <w:tcBorders>
              <w:right w:val="single" w:sz="8" w:color="auto"/>
            </w:tcBorders>
          </w:tcPr>
          <w:p>
            <w:pPr>
              <w:spacing w:after="0"/>
              <w:rPr>
                <w:sz w:val="18"/>
                <w:szCs w:val="18"/>
                <w:color w:val="auto"/>
              </w:rPr>
            </w:pPr>
          </w:p>
        </w:tc>
        <w:tc>
          <w:tcPr>
            <w:tcW w:w="2620" w:type="dxa"/>
            <w:vAlign w:val="bottom"/>
          </w:tcPr>
          <w:p>
            <w:pPr>
              <w:spacing w:after="0"/>
              <w:rPr>
                <w:sz w:val="18"/>
                <w:szCs w:val="18"/>
                <w:color w:val="auto"/>
              </w:rPr>
            </w:pPr>
          </w:p>
        </w:tc>
      </w:tr>
      <w:tr>
        <w:trPr>
          <w:trHeight w:val="203"/>
        </w:trPr>
        <w:tc>
          <w:tcPr>
            <w:tcW w:w="44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Preference Shares</w:t>
            </w:r>
          </w:p>
        </w:tc>
        <w:tc>
          <w:tcPr>
            <w:tcW w:w="2700" w:type="dxa"/>
            <w:vAlign w:val="bottom"/>
            <w:tcBorders>
              <w:right w:val="single" w:sz="8" w:color="auto"/>
            </w:tcBorders>
          </w:tcPr>
          <w:p>
            <w:pPr>
              <w:spacing w:after="0"/>
              <w:rPr>
                <w:sz w:val="17"/>
                <w:szCs w:val="17"/>
                <w:color w:val="auto"/>
              </w:rPr>
            </w:pPr>
          </w:p>
        </w:tc>
        <w:tc>
          <w:tcPr>
            <w:tcW w:w="2620" w:type="dxa"/>
            <w:vAlign w:val="bottom"/>
          </w:tcPr>
          <w:p>
            <w:pPr>
              <w:spacing w:after="0"/>
              <w:rPr>
                <w:sz w:val="17"/>
                <w:szCs w:val="17"/>
                <w:color w:val="auto"/>
              </w:rPr>
            </w:pPr>
          </w:p>
        </w:tc>
      </w:tr>
      <w:tr>
        <w:trPr>
          <w:trHeight w:val="203"/>
        </w:trPr>
        <w:tc>
          <w:tcPr>
            <w:tcW w:w="44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Debt Securities</w:t>
            </w:r>
          </w:p>
        </w:tc>
        <w:tc>
          <w:tcPr>
            <w:tcW w:w="2700" w:type="dxa"/>
            <w:vAlign w:val="bottom"/>
            <w:tcBorders>
              <w:right w:val="single" w:sz="8" w:color="auto"/>
            </w:tcBorders>
          </w:tcPr>
          <w:p>
            <w:pPr>
              <w:spacing w:after="0"/>
              <w:rPr>
                <w:sz w:val="17"/>
                <w:szCs w:val="17"/>
                <w:color w:val="auto"/>
              </w:rPr>
            </w:pPr>
          </w:p>
        </w:tc>
        <w:tc>
          <w:tcPr>
            <w:tcW w:w="2620" w:type="dxa"/>
            <w:vAlign w:val="bottom"/>
          </w:tcPr>
          <w:p>
            <w:pPr>
              <w:spacing w:after="0"/>
              <w:rPr>
                <w:sz w:val="17"/>
                <w:szCs w:val="17"/>
                <w:color w:val="auto"/>
              </w:rPr>
            </w:pPr>
          </w:p>
        </w:tc>
      </w:tr>
      <w:tr>
        <w:trPr>
          <w:trHeight w:val="223"/>
        </w:trPr>
        <w:tc>
          <w:tcPr>
            <w:tcW w:w="4400" w:type="dxa"/>
            <w:vAlign w:val="bottom"/>
            <w:tcBorders>
              <w:right w:val="single" w:sz="8" w:color="auto"/>
            </w:tcBorders>
          </w:tcPr>
          <w:p>
            <w:pPr>
              <w:spacing w:after="0" w:line="223" w:lineRule="exact"/>
              <w:rPr>
                <w:sz w:val="20"/>
                <w:szCs w:val="20"/>
                <w:color w:val="auto"/>
              </w:rPr>
            </w:pPr>
            <w:r>
              <w:rPr>
                <w:rFonts w:ascii="Arial" w:cs="Arial" w:eastAsia="Arial" w:hAnsi="Arial"/>
                <w:sz w:val="14"/>
                <w:szCs w:val="14"/>
                <w:color w:val="auto"/>
              </w:rPr>
              <w:t>Guarantees</w:t>
            </w:r>
            <w:r>
              <w:rPr>
                <w:rFonts w:ascii="Arial" w:cs="Arial" w:eastAsia="Arial" w:hAnsi="Arial"/>
                <w:sz w:val="23"/>
                <w:szCs w:val="23"/>
                <w:color w:val="auto"/>
                <w:vertAlign w:val="superscript"/>
              </w:rPr>
              <w:t>(3)</w:t>
            </w:r>
          </w:p>
        </w:tc>
        <w:tc>
          <w:tcPr>
            <w:tcW w:w="2700" w:type="dxa"/>
            <w:vAlign w:val="bottom"/>
            <w:tcBorders>
              <w:right w:val="single" w:sz="8" w:color="auto"/>
            </w:tcBorders>
          </w:tcPr>
          <w:p>
            <w:pPr>
              <w:spacing w:after="0"/>
              <w:rPr>
                <w:sz w:val="19"/>
                <w:szCs w:val="19"/>
                <w:color w:val="auto"/>
              </w:rPr>
            </w:pPr>
          </w:p>
        </w:tc>
        <w:tc>
          <w:tcPr>
            <w:tcW w:w="2620" w:type="dxa"/>
            <w:vAlign w:val="bottom"/>
          </w:tcPr>
          <w:p>
            <w:pPr>
              <w:spacing w:after="0"/>
              <w:rPr>
                <w:sz w:val="19"/>
                <w:szCs w:val="19"/>
                <w:color w:val="auto"/>
              </w:rPr>
            </w:pPr>
          </w:p>
        </w:tc>
      </w:tr>
      <w:tr>
        <w:trPr>
          <w:trHeight w:val="182"/>
        </w:trPr>
        <w:tc>
          <w:tcPr>
            <w:tcW w:w="44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Share Purchase Contracts</w:t>
            </w:r>
          </w:p>
        </w:tc>
        <w:tc>
          <w:tcPr>
            <w:tcW w:w="2700" w:type="dxa"/>
            <w:vAlign w:val="bottom"/>
            <w:tcBorders>
              <w:right w:val="single" w:sz="8" w:color="auto"/>
            </w:tcBorders>
          </w:tcPr>
          <w:p>
            <w:pPr>
              <w:spacing w:after="0"/>
              <w:rPr>
                <w:sz w:val="15"/>
                <w:szCs w:val="15"/>
                <w:color w:val="auto"/>
              </w:rPr>
            </w:pPr>
          </w:p>
        </w:tc>
        <w:tc>
          <w:tcPr>
            <w:tcW w:w="2620" w:type="dxa"/>
            <w:vAlign w:val="bottom"/>
          </w:tcPr>
          <w:p>
            <w:pPr>
              <w:spacing w:after="0"/>
              <w:rPr>
                <w:sz w:val="15"/>
                <w:szCs w:val="15"/>
                <w:color w:val="auto"/>
              </w:rPr>
            </w:pPr>
          </w:p>
        </w:tc>
      </w:tr>
      <w:tr>
        <w:trPr>
          <w:trHeight w:val="219"/>
        </w:trPr>
        <w:tc>
          <w:tcPr>
            <w:tcW w:w="4400" w:type="dxa"/>
            <w:vAlign w:val="bottom"/>
            <w:tcBorders>
              <w:right w:val="single" w:sz="8" w:color="auto"/>
            </w:tcBorders>
          </w:tcPr>
          <w:p>
            <w:pPr>
              <w:spacing w:after="0" w:line="219" w:lineRule="exact"/>
              <w:rPr>
                <w:sz w:val="20"/>
                <w:szCs w:val="20"/>
                <w:color w:val="auto"/>
              </w:rPr>
            </w:pPr>
            <w:r>
              <w:rPr>
                <w:rFonts w:ascii="Arial" w:cs="Arial" w:eastAsia="Arial" w:hAnsi="Arial"/>
                <w:sz w:val="14"/>
                <w:szCs w:val="14"/>
                <w:color w:val="auto"/>
              </w:rPr>
              <w:t>Warrants</w:t>
            </w:r>
            <w:r>
              <w:rPr>
                <w:rFonts w:ascii="Arial" w:cs="Arial" w:eastAsia="Arial" w:hAnsi="Arial"/>
                <w:sz w:val="23"/>
                <w:szCs w:val="23"/>
                <w:color w:val="auto"/>
                <w:vertAlign w:val="superscript"/>
              </w:rPr>
              <w:t>(4)</w:t>
            </w:r>
          </w:p>
        </w:tc>
        <w:tc>
          <w:tcPr>
            <w:tcW w:w="2700" w:type="dxa"/>
            <w:vAlign w:val="bottom"/>
            <w:tcBorders>
              <w:right w:val="single" w:sz="8" w:color="auto"/>
            </w:tcBorders>
          </w:tcPr>
          <w:p>
            <w:pPr>
              <w:spacing w:after="0"/>
              <w:rPr>
                <w:sz w:val="19"/>
                <w:szCs w:val="19"/>
                <w:color w:val="auto"/>
              </w:rPr>
            </w:pPr>
          </w:p>
        </w:tc>
        <w:tc>
          <w:tcPr>
            <w:tcW w:w="2620" w:type="dxa"/>
            <w:vAlign w:val="bottom"/>
          </w:tcPr>
          <w:p>
            <w:pPr>
              <w:spacing w:after="0"/>
              <w:rPr>
                <w:sz w:val="19"/>
                <w:szCs w:val="19"/>
                <w:color w:val="auto"/>
              </w:rPr>
            </w:pPr>
          </w:p>
        </w:tc>
      </w:tr>
      <w:tr>
        <w:trPr>
          <w:trHeight w:val="202"/>
        </w:trPr>
        <w:tc>
          <w:tcPr>
            <w:tcW w:w="4400" w:type="dxa"/>
            <w:vAlign w:val="bottom"/>
            <w:tcBorders>
              <w:right w:val="single" w:sz="8" w:color="auto"/>
            </w:tcBorders>
          </w:tcPr>
          <w:p>
            <w:pPr>
              <w:spacing w:after="0" w:line="202" w:lineRule="exact"/>
              <w:rPr>
                <w:sz w:val="20"/>
                <w:szCs w:val="20"/>
                <w:color w:val="auto"/>
              </w:rPr>
            </w:pPr>
            <w:r>
              <w:rPr>
                <w:rFonts w:ascii="Arial" w:cs="Arial" w:eastAsia="Arial" w:hAnsi="Arial"/>
                <w:sz w:val="14"/>
                <w:szCs w:val="14"/>
                <w:color w:val="auto"/>
              </w:rPr>
              <w:t>Units comprising one or more classes of the above securities</w:t>
            </w:r>
            <w:r>
              <w:rPr>
                <w:rFonts w:ascii="Arial" w:cs="Arial" w:eastAsia="Arial" w:hAnsi="Arial"/>
                <w:sz w:val="23"/>
                <w:szCs w:val="23"/>
                <w:color w:val="auto"/>
                <w:vertAlign w:val="superscript"/>
              </w:rPr>
              <w:t>(5)</w:t>
            </w:r>
          </w:p>
        </w:tc>
        <w:tc>
          <w:tcPr>
            <w:tcW w:w="2700" w:type="dxa"/>
            <w:vAlign w:val="bottom"/>
            <w:tcBorders>
              <w:right w:val="single" w:sz="8" w:color="auto"/>
            </w:tcBorders>
          </w:tcPr>
          <w:p>
            <w:pPr>
              <w:spacing w:after="0"/>
              <w:rPr>
                <w:sz w:val="17"/>
                <w:szCs w:val="17"/>
                <w:color w:val="auto"/>
              </w:rPr>
            </w:pPr>
          </w:p>
        </w:tc>
        <w:tc>
          <w:tcPr>
            <w:tcW w:w="2620" w:type="dxa"/>
            <w:vAlign w:val="bottom"/>
          </w:tcPr>
          <w:p>
            <w:pPr>
              <w:spacing w:after="0"/>
              <w:rPr>
                <w:sz w:val="17"/>
                <w:szCs w:val="17"/>
                <w:color w:val="auto"/>
              </w:rPr>
            </w:pPr>
          </w:p>
        </w:tc>
      </w:tr>
      <w:tr>
        <w:trPr>
          <w:trHeight w:val="171"/>
        </w:trPr>
        <w:tc>
          <w:tcPr>
            <w:tcW w:w="44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Total</w:t>
            </w:r>
          </w:p>
        </w:tc>
        <w:tc>
          <w:tcPr>
            <w:tcW w:w="27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tcBorders>
          </w:tcPr>
          <w:p>
            <w:pPr>
              <w:spacing w:after="0"/>
              <w:rPr>
                <w:sz w:val="14"/>
                <w:szCs w:val="14"/>
                <w:color w:val="auto"/>
              </w:rPr>
            </w:pPr>
          </w:p>
        </w:tc>
      </w:tr>
      <w:tr>
        <w:trPr>
          <w:trHeight w:val="47"/>
        </w:trPr>
        <w:tc>
          <w:tcPr>
            <w:tcW w:w="440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r>
    </w:tbl>
    <w:p>
      <w:pPr>
        <w:spacing w:after="0" w:line="3" w:lineRule="exact"/>
        <w:rPr>
          <w:sz w:val="24"/>
          <w:szCs w:val="24"/>
          <w:color w:val="auto"/>
        </w:rPr>
      </w:pPr>
    </w:p>
    <w:p>
      <w:pPr>
        <w:ind w:left="360" w:right="120" w:hanging="356"/>
        <w:spacing w:after="0" w:line="243" w:lineRule="auto"/>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color w:val="auto"/>
        </w:rPr>
        <w:t>An indeterminate aggregate amount and initial offering price of securities of each class is being registered hereunder, as may from time to time be offered, at indeterminate prices. Securities registered hereunder may be sold separately, together or as units with other securities registered hereunder. The indeterminate aggregate amount also includes such securities as may, from time to time, be issued upon conversion or exchange of securities registered hereunder, to the extent any such securities are, by their terms, convertible into or exchangeable for other securities.</w:t>
      </w:r>
    </w:p>
    <w:p>
      <w:pPr>
        <w:ind w:left="360" w:right="380" w:hanging="356"/>
        <w:spacing w:after="0" w:line="238" w:lineRule="auto"/>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 accordance with Rules 456(b) and 457(r) of the Securities Act of 1933, as amended, the registrant is deferring payment of all of the registration fee and will pay the registration fee subsequently in advance on a pay-as-you-go basis.</w:t>
      </w:r>
    </w:p>
    <w:p>
      <w:pPr>
        <w:ind w:left="360" w:right="280" w:hanging="356"/>
        <w:spacing w:after="0" w:line="238" w:lineRule="auto"/>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color w:val="auto"/>
        </w:rPr>
        <w:t>TechnipFMC plc may guarantee debt securities issued by one or more of its subsidiaries. No separate consideration will be paid in respect of the guarantees. Pursuant to Rule 457(n) under the Securities Act, no separate fee is payable with respect to the guarantees of debt securities.</w:t>
      </w:r>
    </w:p>
    <w:p>
      <w:pPr>
        <w:ind w:left="360" w:hanging="356"/>
        <w:spacing w:after="0"/>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warrants covered by this registration statement may be warrants for ordinary shares, preference shares or debt securities.</w:t>
      </w:r>
    </w:p>
    <w:p>
      <w:pPr>
        <w:ind w:left="360" w:right="20" w:hanging="356"/>
        <w:spacing w:after="0" w:line="255" w:lineRule="auto"/>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Each unit will be issued under a unit agreement and will represent an interest in one or more ordinary shares, preference shares, debt securities, guarantees, warrants or share purchase contracts or any combination of such securities, which if more than one may or may not be separable from one another.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320675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132080</wp:posOffset>
            </wp:positionV>
            <wp:extent cx="6172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183515</wp:posOffset>
            </wp:positionV>
            <wp:extent cx="61722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1" w:name="page2"/>
    <w:bookmarkEnd w:id="1"/>
    <w:p>
      <w:pPr>
        <w:ind w:left="4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1728470</wp:posOffset>
            </wp:positionH>
            <wp:positionV relativeFrom="paragraph">
              <wp:posOffset>523240</wp:posOffset>
            </wp:positionV>
            <wp:extent cx="2271395" cy="419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7139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TechnipFMC plc</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ORDINARY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PREFERENCE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GUARANTEES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PURCHASE CONTRACTS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168910</wp:posOffset>
            </wp:positionV>
            <wp:extent cx="10972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53" w:lineRule="exact"/>
        <w:rPr>
          <w:sz w:val="20"/>
          <w:szCs w:val="20"/>
          <w:color w:val="auto"/>
        </w:rPr>
      </w:pPr>
    </w:p>
    <w:p>
      <w:pPr>
        <w:ind w:left="400" w:right="659" w:firstLine="360"/>
        <w:spacing w:after="0" w:line="259" w:lineRule="auto"/>
        <w:rPr>
          <w:sz w:val="20"/>
          <w:szCs w:val="20"/>
          <w:color w:val="auto"/>
        </w:rPr>
      </w:pPr>
      <w:r>
        <w:rPr>
          <w:rFonts w:ascii="Arial" w:cs="Arial" w:eastAsia="Arial" w:hAnsi="Arial"/>
          <w:sz w:val="18"/>
          <w:szCs w:val="18"/>
          <w:color w:val="auto"/>
        </w:rPr>
        <w:t>TechnipFMC plc, a public limited company incorporated under the laws of England and Wales, may offer and sell from time to time in one or more offerings an indeterminate amount of ordinary shares, preference shares, debt securities, guarantees, share purchase contracts, warrants and/or units that include any of these securities or securities of other entities.</w:t>
      </w:r>
    </w:p>
    <w:p>
      <w:pPr>
        <w:spacing w:after="0" w:line="79" w:lineRule="exact"/>
        <w:rPr>
          <w:sz w:val="20"/>
          <w:szCs w:val="20"/>
          <w:color w:val="auto"/>
        </w:rPr>
      </w:pPr>
    </w:p>
    <w:p>
      <w:pPr>
        <w:ind w:left="400" w:right="439" w:firstLine="360"/>
        <w:spacing w:after="0" w:line="293" w:lineRule="auto"/>
        <w:rPr>
          <w:sz w:val="20"/>
          <w:szCs w:val="20"/>
          <w:color w:val="auto"/>
        </w:rPr>
      </w:pPr>
      <w:r>
        <w:rPr>
          <w:rFonts w:ascii="Arial" w:cs="Arial" w:eastAsia="Arial" w:hAnsi="Arial"/>
          <w:sz w:val="16"/>
          <w:szCs w:val="16"/>
          <w:color w:val="auto"/>
        </w:rPr>
        <w:t>This prospectus provides a general description of the securities TechnipFMC plc may offer. Supplements to this prospectus will provide the specific terms of the securities that TechnipFMC plc actually offers, including the offering prices. You should carefully read this prospectus, any applicable prospectus supplement or any applicable free writing prospectus and any information under the headings “Where You Can Find More Information” and “Incorporation by Reference” before you invest in any of these securities. This prospectus may not be used to sell securities unless it is accompanied by a prospectus supplement that describes those securities.</w:t>
      </w:r>
    </w:p>
    <w:p>
      <w:pPr>
        <w:spacing w:after="0" w:line="56" w:lineRule="exact"/>
        <w:rPr>
          <w:sz w:val="20"/>
          <w:szCs w:val="20"/>
          <w:color w:val="auto"/>
        </w:rPr>
      </w:pPr>
    </w:p>
    <w:p>
      <w:pPr>
        <w:ind w:left="400" w:right="659" w:firstLine="360"/>
        <w:spacing w:after="0" w:line="286" w:lineRule="auto"/>
        <w:rPr>
          <w:sz w:val="20"/>
          <w:szCs w:val="20"/>
          <w:color w:val="auto"/>
        </w:rPr>
      </w:pPr>
      <w:r>
        <w:rPr>
          <w:rFonts w:ascii="Arial" w:cs="Arial" w:eastAsia="Arial" w:hAnsi="Arial"/>
          <w:sz w:val="17"/>
          <w:szCs w:val="17"/>
          <w:color w:val="auto"/>
        </w:rPr>
        <w:t>TechnipFMC plc may offer and sell these securities to or through one or more underwriters, dealers or agents, or directly to one or more purchasers, on a continuous or delayed basis. Supplements to this prospectus will specify the names of and arrangements with any underwriters, dealers or agents.</w:t>
      </w:r>
    </w:p>
    <w:p>
      <w:pPr>
        <w:spacing w:after="0" w:line="57" w:lineRule="exact"/>
        <w:rPr>
          <w:sz w:val="20"/>
          <w:szCs w:val="20"/>
          <w:color w:val="auto"/>
        </w:rPr>
      </w:pPr>
    </w:p>
    <w:p>
      <w:pPr>
        <w:ind w:left="400" w:right="639" w:firstLine="360"/>
        <w:spacing w:after="0" w:line="277" w:lineRule="auto"/>
        <w:rPr>
          <w:sz w:val="20"/>
          <w:szCs w:val="20"/>
          <w:color w:val="auto"/>
        </w:rPr>
      </w:pPr>
      <w:r>
        <w:rPr>
          <w:rFonts w:ascii="Arial" w:cs="Arial" w:eastAsia="Arial" w:hAnsi="Arial"/>
          <w:sz w:val="18"/>
          <w:szCs w:val="18"/>
          <w:color w:val="auto"/>
        </w:rPr>
        <w:t>TechnipFMC plc’s ordinary shares trade on the New York Stock Exchange and on the regulated market of Euronext Paris under the symbol “FTI.”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160020</wp:posOffset>
            </wp:positionV>
            <wp:extent cx="10972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35" w:lineRule="exact"/>
        <w:rPr>
          <w:sz w:val="20"/>
          <w:szCs w:val="20"/>
          <w:color w:val="auto"/>
        </w:rPr>
      </w:pPr>
    </w:p>
    <w:p>
      <w:pPr>
        <w:ind w:left="400" w:right="419" w:firstLine="36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securities involves risks. Please read “Risk Factors” beginning on page </w:t>
      </w:r>
      <w:hyperlink w:anchor="page9">
        <w:r>
          <w:rPr>
            <w:rFonts w:ascii="Arial" w:cs="Arial" w:eastAsia="Arial" w:hAnsi="Arial"/>
            <w:sz w:val="18"/>
            <w:szCs w:val="18"/>
            <w:b w:val="1"/>
            <w:bCs w:val="1"/>
            <w:u w:val="single" w:color="auto"/>
            <w:color w:val="0000EE"/>
          </w:rPr>
          <w:t>6</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this prospectus, any similar section contained in the applicable prospectus supplement and in the documents incorporated by reference herein or therein, concerning factors you should consider before investing in our securities.</w:t>
      </w:r>
    </w:p>
    <w:p>
      <w:pPr>
        <w:spacing w:after="0" w:line="72" w:lineRule="exact"/>
        <w:rPr>
          <w:sz w:val="20"/>
          <w:szCs w:val="20"/>
          <w:color w:val="auto"/>
        </w:rPr>
      </w:pPr>
    </w:p>
    <w:p>
      <w:pPr>
        <w:jc w:val="both"/>
        <w:ind w:left="400" w:right="43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363220</wp:posOffset>
            </wp:positionV>
            <wp:extent cx="10972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August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317500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188595</wp:posOffset>
            </wp:positionV>
            <wp:extent cx="10972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6700" w:type="dxa"/>
            <w:vAlign w:val="bottom"/>
          </w:tcPr>
          <w:p>
            <w:pPr>
              <w:ind w:left="3240"/>
              <w:spacing w:after="0"/>
              <w:rPr>
                <w:sz w:val="20"/>
                <w:szCs w:val="20"/>
                <w:color w:val="auto"/>
              </w:rPr>
            </w:pPr>
            <w:r>
              <w:rPr>
                <w:rFonts w:ascii="Arial" w:cs="Arial" w:eastAsia="Arial" w:hAnsi="Arial"/>
                <w:sz w:val="18"/>
                <w:szCs w:val="18"/>
                <w:b w:val="1"/>
                <w:bCs w:val="1"/>
                <w:color w:val="auto"/>
              </w:rPr>
              <w:t>TABLE OF CONTENTS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9"/>
        </w:trPr>
        <w:tc>
          <w:tcPr>
            <w:tcW w:w="6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83"/>
        </w:trPr>
        <w:tc>
          <w:tcPr>
            <w:tcW w:w="6700" w:type="dxa"/>
            <w:vAlign w:val="bottom"/>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w:t>
              </w:r>
            </w:hyperlink>
          </w:p>
        </w:tc>
        <w:tc>
          <w:tcPr>
            <w:tcW w:w="1720" w:type="dxa"/>
            <w:vAlign w:val="bottom"/>
            <w:gridSpan w:val="3"/>
            <w:shd w:val="clear" w:color="auto" w:fill="CCEEFF"/>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74"/>
        </w:trPr>
        <w:tc>
          <w:tcPr>
            <w:tcW w:w="670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670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WHERE YOU CAN FIND MORE INFORMATION</w:t>
              </w:r>
            </w:hyperlink>
          </w:p>
        </w:tc>
        <w:tc>
          <w:tcPr>
            <w:tcW w:w="1720" w:type="dxa"/>
            <w:vAlign w:val="bottom"/>
            <w:gridSpan w:val="3"/>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74"/>
        </w:trPr>
        <w:tc>
          <w:tcPr>
            <w:tcW w:w="67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6700" w:type="dxa"/>
            <w:vAlign w:val="bottom"/>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INDUSTRY AND MARKET DATA</w:t>
              </w:r>
            </w:hyperlink>
          </w:p>
        </w:tc>
        <w:tc>
          <w:tcPr>
            <w:tcW w:w="1720" w:type="dxa"/>
            <w:vAlign w:val="bottom"/>
            <w:gridSpan w:val="3"/>
            <w:shd w:val="clear" w:color="auto" w:fill="CCEEFF"/>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75"/>
        </w:trPr>
        <w:tc>
          <w:tcPr>
            <w:tcW w:w="670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670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INCORPORATION BY REFERENCE</w:t>
              </w:r>
            </w:hyperlink>
          </w:p>
        </w:tc>
        <w:tc>
          <w:tcPr>
            <w:tcW w:w="1720" w:type="dxa"/>
            <w:vAlign w:val="bottom"/>
            <w:gridSpan w:val="3"/>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75"/>
        </w:trPr>
        <w:tc>
          <w:tcPr>
            <w:tcW w:w="67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670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FORWARD-LOOKING STATEMENTS</w:t>
              </w:r>
            </w:hyperlink>
          </w:p>
        </w:tc>
        <w:tc>
          <w:tcPr>
            <w:tcW w:w="1720" w:type="dxa"/>
            <w:vAlign w:val="bottom"/>
            <w:gridSpan w:val="3"/>
            <w:shd w:val="clear" w:color="auto" w:fill="CCEEFF"/>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74"/>
        </w:trPr>
        <w:tc>
          <w:tcPr>
            <w:tcW w:w="670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67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OUR COMPANY</w:t>
              </w:r>
            </w:hyperlink>
          </w:p>
        </w:tc>
        <w:tc>
          <w:tcPr>
            <w:tcW w:w="1720" w:type="dxa"/>
            <w:vAlign w:val="bottom"/>
            <w:gridSpan w:val="3"/>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5</w:t>
              </w:r>
            </w:hyperlink>
          </w:p>
        </w:tc>
      </w:tr>
      <w:tr>
        <w:trPr>
          <w:trHeight w:val="74"/>
        </w:trPr>
        <w:tc>
          <w:tcPr>
            <w:tcW w:w="67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6700" w:type="dxa"/>
            <w:vAlign w:val="bottom"/>
            <w:shd w:val="clear" w:color="auto" w:fill="CCEEFF"/>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RISK FACTORS</w:t>
              </w:r>
            </w:hyperlink>
          </w:p>
        </w:tc>
        <w:tc>
          <w:tcPr>
            <w:tcW w:w="1720" w:type="dxa"/>
            <w:vAlign w:val="bottom"/>
            <w:gridSpan w:val="3"/>
            <w:shd w:val="clear" w:color="auto" w:fill="CCEEFF"/>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6</w:t>
              </w:r>
            </w:hyperlink>
          </w:p>
        </w:tc>
      </w:tr>
      <w:tr>
        <w:trPr>
          <w:trHeight w:val="74"/>
        </w:trPr>
        <w:tc>
          <w:tcPr>
            <w:tcW w:w="670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6700" w:type="dxa"/>
            <w:vAlign w:val="bottom"/>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USE OF PROCEEDS</w:t>
              </w:r>
            </w:hyperlink>
          </w:p>
        </w:tc>
        <w:tc>
          <w:tcPr>
            <w:tcW w:w="1720" w:type="dxa"/>
            <w:vAlign w:val="bottom"/>
            <w:gridSpan w:val="3"/>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75"/>
        </w:trPr>
        <w:tc>
          <w:tcPr>
            <w:tcW w:w="67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6700" w:type="dxa"/>
            <w:vAlign w:val="bottom"/>
            <w:shd w:val="clear" w:color="auto" w:fill="CCEEFF"/>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DESCRIPTION OF ORDINARY SHARES</w:t>
              </w:r>
            </w:hyperlink>
          </w:p>
        </w:tc>
        <w:tc>
          <w:tcPr>
            <w:tcW w:w="1720" w:type="dxa"/>
            <w:vAlign w:val="bottom"/>
            <w:gridSpan w:val="3"/>
            <w:shd w:val="clear" w:color="auto" w:fill="CCEEFF"/>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8</w:t>
              </w:r>
            </w:hyperlink>
          </w:p>
        </w:tc>
      </w:tr>
      <w:tr>
        <w:trPr>
          <w:trHeight w:val="74"/>
        </w:trPr>
        <w:tc>
          <w:tcPr>
            <w:tcW w:w="670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670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DESCRIPTION OF PREFERENCE SHARES</w:t>
              </w:r>
            </w:hyperlink>
          </w:p>
        </w:tc>
        <w:tc>
          <w:tcPr>
            <w:tcW w:w="1720" w:type="dxa"/>
            <w:vAlign w:val="bottom"/>
            <w:gridSpan w:val="3"/>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74"/>
        </w:trPr>
        <w:tc>
          <w:tcPr>
            <w:tcW w:w="67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304"/>
        </w:trPr>
        <w:tc>
          <w:tcPr>
            <w:tcW w:w="67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DESCRIPTION OF DEBT SECURITIES</w:t>
              </w:r>
            </w:hyperlink>
          </w:p>
        </w:tc>
        <w:tc>
          <w:tcPr>
            <w:tcW w:w="17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10</w:t>
              </w:r>
            </w:hyperlink>
          </w:p>
        </w:tc>
      </w:tr>
      <w:tr>
        <w:trPr>
          <w:trHeight w:val="270"/>
        </w:trPr>
        <w:tc>
          <w:tcPr>
            <w:tcW w:w="670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DESCRIPTION OF GUARANTEES</w:t>
              </w:r>
            </w:hyperlink>
          </w:p>
        </w:tc>
        <w:tc>
          <w:tcPr>
            <w:tcW w:w="1720" w:type="dxa"/>
            <w:vAlign w:val="bottom"/>
            <w:gridSpan w:val="3"/>
          </w:tcPr>
          <w:p>
            <w:pPr>
              <w:jc w:val="right"/>
              <w:ind w:right="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16</w:t>
              </w:r>
            </w:hyperlink>
          </w:p>
        </w:tc>
      </w:tr>
      <w:tr>
        <w:trPr>
          <w:trHeight w:val="54"/>
        </w:trPr>
        <w:tc>
          <w:tcPr>
            <w:tcW w:w="67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7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DESCRIPTION OF WARRANTS</w:t>
              </w:r>
            </w:hyperlink>
          </w:p>
        </w:tc>
        <w:tc>
          <w:tcPr>
            <w:tcW w:w="17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17</w:t>
              </w:r>
            </w:hyperlink>
          </w:p>
        </w:tc>
      </w:tr>
      <w:tr>
        <w:trPr>
          <w:trHeight w:val="270"/>
        </w:trPr>
        <w:tc>
          <w:tcPr>
            <w:tcW w:w="670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DESCRIPTION OF SHARE PURCHASE CONTRACTS</w:t>
              </w:r>
            </w:hyperlink>
          </w:p>
        </w:tc>
        <w:tc>
          <w:tcPr>
            <w:tcW w:w="1720" w:type="dxa"/>
            <w:vAlign w:val="bottom"/>
            <w:gridSpan w:val="3"/>
          </w:tcPr>
          <w:p>
            <w:pPr>
              <w:jc w:val="right"/>
              <w:ind w:right="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18</w:t>
              </w:r>
            </w:hyperlink>
          </w:p>
        </w:tc>
      </w:tr>
      <w:tr>
        <w:trPr>
          <w:trHeight w:val="54"/>
        </w:trPr>
        <w:tc>
          <w:tcPr>
            <w:tcW w:w="67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7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DESCRIPTION OF UNITS</w:t>
              </w:r>
            </w:hyperlink>
          </w:p>
        </w:tc>
        <w:tc>
          <w:tcPr>
            <w:tcW w:w="17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19</w:t>
              </w:r>
            </w:hyperlink>
          </w:p>
        </w:tc>
      </w:tr>
      <w:tr>
        <w:trPr>
          <w:trHeight w:val="270"/>
        </w:trPr>
        <w:tc>
          <w:tcPr>
            <w:tcW w:w="670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PLAN OF DISTRIBUTION</w:t>
              </w:r>
            </w:hyperlink>
          </w:p>
        </w:tc>
        <w:tc>
          <w:tcPr>
            <w:tcW w:w="1720" w:type="dxa"/>
            <w:vAlign w:val="bottom"/>
            <w:gridSpan w:val="3"/>
          </w:tcPr>
          <w:p>
            <w:pPr>
              <w:jc w:val="right"/>
              <w:ind w:right="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20</w:t>
              </w:r>
            </w:hyperlink>
          </w:p>
        </w:tc>
      </w:tr>
      <w:tr>
        <w:trPr>
          <w:trHeight w:val="54"/>
        </w:trPr>
        <w:tc>
          <w:tcPr>
            <w:tcW w:w="67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7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LEGAL MATTERS</w:t>
              </w:r>
            </w:hyperlink>
          </w:p>
        </w:tc>
        <w:tc>
          <w:tcPr>
            <w:tcW w:w="17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21</w:t>
              </w:r>
            </w:hyperlink>
          </w:p>
        </w:tc>
      </w:tr>
      <w:tr>
        <w:trPr>
          <w:trHeight w:val="270"/>
        </w:trPr>
        <w:tc>
          <w:tcPr>
            <w:tcW w:w="670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EXPERTS</w:t>
              </w:r>
            </w:hyperlink>
          </w:p>
        </w:tc>
        <w:tc>
          <w:tcPr>
            <w:tcW w:w="1720" w:type="dxa"/>
            <w:vAlign w:val="bottom"/>
            <w:gridSpan w:val="3"/>
          </w:tcPr>
          <w:p>
            <w:pPr>
              <w:jc w:val="right"/>
              <w:ind w:right="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22</w:t>
              </w:r>
            </w:hyperlink>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the SEC, as a “well-known seasoned issuer” as defined in Rule 405 under the Securities Act of 1933, as amended, or the Securities Act, using a “shelf” registration process. Under this shelf registration process, we may sell any combination of the securities described in this prospectus in one or more offerings from time to time. This prospectus provides you with a general description of the securities we may offer. Each time we offer to sell securities using this prospectus, we will provide a prospectus supplement that will contain specific information about the terms of that offering and the securities offered by us in that offering. A prospectus supplement or free writing prospectus may also add, update or change information contained in this prospectus. If there is any inconsistency between the information in this prospectus and any prospectus supplement, you should rely on the information provided in the prospectus supplement. This prospectus does not contain all of the information included in the registration statement. The registration statement filed with the SEC includes exhibits that provide more details about the matters discussed in this prospectus. You should carefully read this prospectus, the related exhibits filed with the SEC and any prospectus supplement, together with the additional information described in this prospectus and in any prospectus supplement under the headings “Where You Can Find More Information” and “Incorporation by Reference.”</w:t>
      </w:r>
    </w:p>
    <w:p>
      <w:pPr>
        <w:spacing w:after="0" w:line="74" w:lineRule="exact"/>
        <w:rPr>
          <w:sz w:val="20"/>
          <w:szCs w:val="20"/>
          <w:color w:val="auto"/>
        </w:rPr>
      </w:pPr>
    </w:p>
    <w:p>
      <w:pPr>
        <w:ind w:left="300" w:right="679" w:firstLine="360"/>
        <w:spacing w:after="0" w:line="342" w:lineRule="auto"/>
        <w:rPr>
          <w:sz w:val="20"/>
          <w:szCs w:val="20"/>
          <w:color w:val="auto"/>
        </w:rPr>
      </w:pPr>
      <w:r>
        <w:rPr>
          <w:rFonts w:ascii="Arial" w:cs="Arial" w:eastAsia="Arial" w:hAnsi="Arial"/>
          <w:sz w:val="16"/>
          <w:szCs w:val="16"/>
          <w:color w:val="auto"/>
        </w:rPr>
        <w:t>For the avoidance of doubt, this prospectus is not intended to be and is not a prospectus for purposes of the E.U. Prospectus Directive and/or the U.K. Financial Conduct Authority’s Prospectus Regulation Rules.</w:t>
      </w:r>
    </w:p>
    <w:p>
      <w:pPr>
        <w:spacing w:after="0" w:line="12"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and in any accompanying prospectus supplement. We have not authorized any other person to provide you with different information. If anyone provides you with different or inconsistent information, you should not rely on it. We are not making an offer of the securities covered by this prospectus in any jurisdiction where the offer is not permitted. You should assume that the information appearing in this prospectus, any prospectus supplement and any other document incorporated by reference is accurate only as of the date on the front cover of those documents. Our business, financial condition, results of operations and prospects may have changed since those dates. Under no circumstances should the delivery to you of this create any implication that the information contained in this prospectus is correct as of any time after the date of this prospectus.</w:t>
      </w:r>
    </w:p>
    <w:p>
      <w:pPr>
        <w:spacing w:after="0" w:line="62" w:lineRule="exact"/>
        <w:rPr>
          <w:sz w:val="20"/>
          <w:szCs w:val="20"/>
          <w:color w:val="auto"/>
        </w:rPr>
      </w:pPr>
    </w:p>
    <w:p>
      <w:pPr>
        <w:ind w:left="300" w:right="579" w:firstLine="360"/>
        <w:spacing w:after="0" w:line="296" w:lineRule="auto"/>
        <w:rPr>
          <w:sz w:val="20"/>
          <w:szCs w:val="20"/>
          <w:color w:val="auto"/>
        </w:rPr>
      </w:pPr>
      <w:r>
        <w:rPr>
          <w:rFonts w:ascii="Arial" w:cs="Arial" w:eastAsia="Arial" w:hAnsi="Arial"/>
          <w:sz w:val="16"/>
          <w:szCs w:val="16"/>
          <w:color w:val="auto"/>
        </w:rPr>
        <w:t>Unless otherwise indicated or unless the context otherwise requires, all references in this prospectus to “TechnipFMC,” “we,” “us,” and “our” mean TechnipFMC plc, a public limited company incorporated under the laws of England and Wales, and its subsidiaries. TechnipFMC plc refers to TechnipFMC plc, and not to any of its subsidiaries or affiliates. In this prospectus, we sometimes refer to the ordinary shares, preference shares, debt securities, guarantees, share purchase contracts, warrants and units, collectively, as the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We have filed a registration statement with the SEC under the Securities Act that registers the issuance and sale of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79" w:lineRule="exact"/>
        <w:rPr>
          <w:sz w:val="20"/>
          <w:szCs w:val="20"/>
          <w:color w:val="auto"/>
        </w:rPr>
      </w:pPr>
    </w:p>
    <w:p>
      <w:pPr>
        <w:ind w:left="300" w:right="299" w:firstLine="360"/>
        <w:spacing w:after="0" w:line="273" w:lineRule="auto"/>
        <w:rPr>
          <w:sz w:val="20"/>
          <w:szCs w:val="20"/>
          <w:color w:val="auto"/>
        </w:rPr>
      </w:pPr>
      <w:r>
        <w:rPr>
          <w:rFonts w:ascii="Arial" w:cs="Arial" w:eastAsia="Arial" w:hAnsi="Arial"/>
          <w:sz w:val="17"/>
          <w:szCs w:val="17"/>
          <w:color w:val="auto"/>
        </w:rPr>
        <w:t>We file annual, quarterly and other reports, proxy statements and other information with the SEC under the Securities Exchange Act of 1934, as amended, or the Exchange Act. Our SEC filings are available to the public through the SEC’s website at http://www.sec.gov and are also available free of charge through our website at http://www.technipfmc.com as soon as reasonably practicable after we file them with, or furnish them to, the SEC. Other than the specific documents incorporated by reference, information on our website is not incorporated into this prospectus or our other securities filings and does not form a part of this prospectus.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121" w:lineRule="exact"/>
        <w:rPr>
          <w:sz w:val="20"/>
          <w:szCs w:val="20"/>
          <w:color w:val="auto"/>
        </w:rPr>
      </w:pPr>
    </w:p>
    <w:p>
      <w:pPr>
        <w:ind w:left="300" w:right="459" w:firstLine="360"/>
        <w:spacing w:after="0" w:line="293" w:lineRule="auto"/>
        <w:rPr>
          <w:sz w:val="20"/>
          <w:szCs w:val="20"/>
          <w:color w:val="auto"/>
        </w:rPr>
      </w:pPr>
      <w:r>
        <w:rPr>
          <w:rFonts w:ascii="Arial" w:cs="Arial" w:eastAsia="Arial" w:hAnsi="Arial"/>
          <w:sz w:val="16"/>
          <w:szCs w:val="16"/>
          <w:color w:val="auto"/>
        </w:rPr>
        <w:t>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left="300" w:right="319" w:firstLine="360"/>
        <w:spacing w:after="0" w:line="293" w:lineRule="auto"/>
        <w:rPr>
          <w:sz w:val="20"/>
          <w:szCs w:val="20"/>
          <w:color w:val="auto"/>
        </w:rPr>
      </w:pPr>
      <w:r>
        <w:rPr>
          <w:rFonts w:ascii="Arial" w:cs="Arial" w:eastAsia="Arial" w:hAnsi="Arial"/>
          <w:sz w:val="16"/>
          <w:szCs w:val="16"/>
          <w:color w:val="auto"/>
        </w:rPr>
        <w:t>The SEC’s rules allow us to “incorporate by reference” into this prospectus information that we file with them. This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We incorporate by reference the documents listed below filed by us, other than any portions of the respective filings that were furnished (pursuant to Item 2.02 or Item 7.01 of current reports on Form 8-K or other applicable SEC rules) rather than filed:</w:t>
      </w:r>
    </w:p>
    <w:p>
      <w:pPr>
        <w:spacing w:after="0" w:line="56" w:lineRule="exact"/>
        <w:rPr>
          <w:sz w:val="20"/>
          <w:szCs w:val="20"/>
          <w:color w:val="auto"/>
        </w:rPr>
      </w:pPr>
    </w:p>
    <w:p>
      <w:pPr>
        <w:ind w:left="1000" w:right="939" w:hanging="348"/>
        <w:spacing w:after="0" w:line="277" w:lineRule="auto"/>
        <w:tabs>
          <w:tab w:leader="none" w:pos="1000" w:val="left"/>
        </w:tabs>
        <w:numPr>
          <w:ilvl w:val="0"/>
          <w:numId w:val="2"/>
        </w:numPr>
        <w:rPr>
          <w:rFonts w:ascii="Arial" w:cs="Arial" w:eastAsia="Arial" w:hAnsi="Arial"/>
          <w:sz w:val="18"/>
          <w:szCs w:val="18"/>
          <w:color w:val="0000EE"/>
        </w:rPr>
      </w:pPr>
      <w:r>
        <w:rPr>
          <w:rFonts w:ascii="Arial" w:cs="Arial" w:eastAsia="Arial" w:hAnsi="Arial"/>
          <w:sz w:val="18"/>
          <w:szCs w:val="18"/>
          <w:color w:val="auto"/>
        </w:rPr>
        <w:t xml:space="preserve">our Annual Report on Form 10-K for the year ended December 31, 2019, as filed with the SEC on </w:t>
      </w:r>
      <w:hyperlink r:id="rId26">
        <w:r>
          <w:rPr>
            <w:rFonts w:ascii="Arial" w:cs="Arial" w:eastAsia="Arial" w:hAnsi="Arial"/>
            <w:sz w:val="18"/>
            <w:szCs w:val="18"/>
            <w:u w:val="single" w:color="auto"/>
            <w:color w:val="0000EE"/>
          </w:rPr>
          <w:t>March 3, 2020</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ind w:left="1000" w:right="459" w:hanging="348"/>
        <w:spacing w:after="0" w:line="263"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2019 from our Definitive Proxy Statement on Schedule 14A, as filed with the SEC on </w:t>
      </w:r>
      <w:hyperlink r:id="rId27">
        <w:r>
          <w:rPr>
            <w:rFonts w:ascii="Arial" w:cs="Arial" w:eastAsia="Arial" w:hAnsi="Arial"/>
            <w:sz w:val="18"/>
            <w:szCs w:val="18"/>
            <w:u w:val="single" w:color="auto"/>
            <w:color w:val="0000EE"/>
          </w:rPr>
          <w:t>March 13, 2020</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March 31, 2020 and June 30, 2020, as filed with the SEC on </w:t>
      </w:r>
      <w:hyperlink r:id="rId28">
        <w:r>
          <w:rPr>
            <w:rFonts w:ascii="Arial" w:cs="Arial" w:eastAsia="Arial" w:hAnsi="Arial"/>
            <w:sz w:val="18"/>
            <w:szCs w:val="18"/>
            <w:u w:val="single" w:color="auto"/>
            <w:color w:val="0000EE"/>
          </w:rPr>
          <w:t>May 4,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9">
        <w:r>
          <w:rPr>
            <w:rFonts w:ascii="Arial" w:cs="Arial" w:eastAsia="Arial" w:hAnsi="Arial"/>
            <w:sz w:val="18"/>
            <w:szCs w:val="18"/>
            <w:u w:val="single" w:color="auto"/>
            <w:color w:val="0000EE"/>
          </w:rPr>
          <w:t>July 31, 2020</w:t>
        </w:r>
      </w:hyperlink>
      <w:r>
        <w:rPr>
          <w:rFonts w:ascii="Arial" w:cs="Arial" w:eastAsia="Arial" w:hAnsi="Arial"/>
          <w:sz w:val="18"/>
          <w:szCs w:val="18"/>
          <w:color w:val="auto"/>
        </w:rPr>
        <w:t>, respectively;</w:t>
      </w:r>
    </w:p>
    <w:p>
      <w:pPr>
        <w:spacing w:after="0" w:line="62" w:lineRule="exact"/>
        <w:rPr>
          <w:rFonts w:ascii="Arial" w:cs="Arial" w:eastAsia="Arial" w:hAnsi="Arial"/>
          <w:sz w:val="18"/>
          <w:szCs w:val="18"/>
          <w:color w:val="auto"/>
        </w:rPr>
      </w:pPr>
    </w:p>
    <w:p>
      <w:pPr>
        <w:ind w:left="1000" w:right="699" w:hanging="348"/>
        <w:spacing w:after="0" w:line="277" w:lineRule="auto"/>
        <w:tabs>
          <w:tab w:leader="none" w:pos="1000" w:val="left"/>
        </w:tabs>
        <w:numPr>
          <w:ilvl w:val="0"/>
          <w:numId w:val="2"/>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as filed with the SEC on </w:t>
      </w:r>
      <w:hyperlink r:id="rId30">
        <w:r>
          <w:rPr>
            <w:rFonts w:ascii="Arial" w:cs="Arial" w:eastAsia="Arial" w:hAnsi="Arial"/>
            <w:sz w:val="18"/>
            <w:szCs w:val="18"/>
            <w:u w:val="single" w:color="auto"/>
            <w:color w:val="0000EE"/>
          </w:rPr>
          <w:t>April 22,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(Item 5.02 only), </w:t>
      </w:r>
      <w:hyperlink r:id="rId31">
        <w:r>
          <w:rPr>
            <w:rFonts w:ascii="Arial" w:cs="Arial" w:eastAsia="Arial" w:hAnsi="Arial"/>
            <w:sz w:val="18"/>
            <w:szCs w:val="18"/>
            <w:u w:val="single" w:color="auto"/>
            <w:color w:val="0000EE"/>
          </w:rPr>
          <w:t>April 24,</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EE"/>
          </w:rPr>
          <w:t>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2">
        <w:r>
          <w:rPr>
            <w:rFonts w:ascii="Arial" w:cs="Arial" w:eastAsia="Arial" w:hAnsi="Arial"/>
            <w:sz w:val="18"/>
            <w:szCs w:val="18"/>
            <w:u w:val="single" w:color="auto"/>
            <w:color w:val="0000EE"/>
          </w:rPr>
          <w:t>May 21,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3">
        <w:r>
          <w:rPr>
            <w:rFonts w:ascii="Arial" w:cs="Arial" w:eastAsia="Arial" w:hAnsi="Arial"/>
            <w:sz w:val="18"/>
            <w:szCs w:val="18"/>
            <w:u w:val="single" w:color="auto"/>
            <w:color w:val="0000EE"/>
          </w:rPr>
          <w:t>June 15,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r:id="rId34">
        <w:r>
          <w:rPr>
            <w:rFonts w:ascii="Arial" w:cs="Arial" w:eastAsia="Arial" w:hAnsi="Arial"/>
            <w:sz w:val="18"/>
            <w:szCs w:val="18"/>
            <w:u w:val="single" w:color="auto"/>
            <w:color w:val="0000EE"/>
          </w:rPr>
          <w:t>June 30,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62" w:lineRule="exact"/>
        <w:rPr>
          <w:rFonts w:ascii="Arial" w:cs="Arial" w:eastAsia="Arial" w:hAnsi="Arial"/>
          <w:sz w:val="18"/>
          <w:szCs w:val="18"/>
          <w:color w:val="0000EE"/>
        </w:rPr>
      </w:pPr>
    </w:p>
    <w:p>
      <w:pPr>
        <w:ind w:left="1000" w:right="37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our ordinary shares contained in Exhibit 4.2 to our Annual Report on Form 10-K for the fiscal year ended December 31, 2019, as filed with the SEC on </w:t>
      </w:r>
      <w:hyperlink r:id="rId35">
        <w:r>
          <w:rPr>
            <w:rFonts w:ascii="Arial" w:cs="Arial" w:eastAsia="Arial" w:hAnsi="Arial"/>
            <w:sz w:val="18"/>
            <w:szCs w:val="18"/>
            <w:u w:val="single" w:color="auto"/>
            <w:color w:val="0000EE"/>
          </w:rPr>
          <w:t>March 3, 2020</w:t>
        </w:r>
      </w:hyperlink>
      <w:r>
        <w:rPr>
          <w:rFonts w:ascii="Arial" w:cs="Arial" w:eastAsia="Arial" w:hAnsi="Arial"/>
          <w:sz w:val="18"/>
          <w:szCs w:val="18"/>
          <w:color w:val="auto"/>
        </w:rPr>
        <w:t>.</w:t>
      </w:r>
    </w:p>
    <w:p>
      <w:pPr>
        <w:spacing w:after="0" w:line="62" w:lineRule="exact"/>
        <w:rPr>
          <w:rFonts w:ascii="Arial" w:cs="Arial" w:eastAsia="Arial" w:hAnsi="Arial"/>
          <w:sz w:val="18"/>
          <w:szCs w:val="18"/>
          <w:color w:val="0000EE"/>
        </w:rPr>
      </w:pPr>
    </w:p>
    <w:p>
      <w:pPr>
        <w:ind w:left="300" w:right="319" w:firstLine="360"/>
        <w:spacing w:after="0" w:line="289" w:lineRule="auto"/>
        <w:rPr>
          <w:sz w:val="20"/>
          <w:szCs w:val="20"/>
          <w:color w:val="auto"/>
        </w:rPr>
      </w:pPr>
      <w:r>
        <w:rPr>
          <w:rFonts w:ascii="Arial" w:cs="Arial" w:eastAsia="Arial" w:hAnsi="Arial"/>
          <w:sz w:val="16"/>
          <w:szCs w:val="16"/>
          <w:color w:val="auto"/>
        </w:rPr>
        <w:t>All documents that we file with the SEC pursuant to Sections 13(a), 13(c), 14 or 15(d) of the Exchange Act after the date of this prospectus and until our offerings hereunder are completed, other than any portions of such filings that were furnished to, rather than filed with, the SEC, will be deemed to be incorporated by reference into this prospectus and will be a part of this prospectus from the date of the filing of such documents. Any statement contained in this prospectus or a previously filed document incorporated or deemed to be incorporated by reference in this prospectus will be deemed to be modified or superseded for purposes of this prospectus to the extent that a statement contained in this prospectus or in any other subsequently filed document that also is or is deemed to be incorporated by reference in this prospectus modifies or supersedes that statement. Any statement that is modified or superseded will not constitute a part of this prospectus, except as modified or superseded.</w:t>
      </w:r>
    </w:p>
    <w:p>
      <w:pPr>
        <w:spacing w:after="0" w:line="58" w:lineRule="exact"/>
        <w:rPr>
          <w:rFonts w:ascii="Arial" w:cs="Arial" w:eastAsia="Arial" w:hAnsi="Arial"/>
          <w:sz w:val="18"/>
          <w:szCs w:val="18"/>
          <w:color w:val="0000EE"/>
        </w:rPr>
      </w:pPr>
    </w:p>
    <w:p>
      <w:pPr>
        <w:jc w:val="both"/>
        <w:ind w:left="300" w:right="759" w:firstLine="360"/>
        <w:spacing w:after="0" w:line="263" w:lineRule="auto"/>
        <w:rPr>
          <w:sz w:val="20"/>
          <w:szCs w:val="20"/>
          <w:color w:val="auto"/>
        </w:rPr>
      </w:pPr>
      <w:r>
        <w:rPr>
          <w:rFonts w:ascii="Arial" w:cs="Arial" w:eastAsia="Arial" w:hAnsi="Arial"/>
          <w:sz w:val="18"/>
          <w:szCs w:val="18"/>
          <w:color w:val="auto"/>
        </w:rPr>
        <w:t>You may request a copy of these filings (other than an exhibit to a filing unless that exhibit is specifically incorporated by reference into that filing), at no cost, by writing to us at the following address or by calling the following number:</w:t>
      </w:r>
    </w:p>
    <w:p>
      <w:pPr>
        <w:spacing w:after="0" w:line="76"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TechnipFMC plc</w:t>
      </w:r>
    </w:p>
    <w:p>
      <w:pPr>
        <w:spacing w:after="0" w:line="23"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11740 Katy Freeway</w:t>
      </w:r>
    </w:p>
    <w:p>
      <w:pPr>
        <w:spacing w:after="0" w:line="9"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Energy Tower 3</w:t>
      </w:r>
    </w:p>
    <w:p>
      <w:pPr>
        <w:spacing w:after="0" w:line="9"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Houston, Texas 77079</w:t>
      </w:r>
    </w:p>
    <w:p>
      <w:pPr>
        <w:spacing w:after="0" w:line="9"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(281) 591-4000</w:t>
      </w:r>
    </w:p>
    <w:p>
      <w:pPr>
        <w:spacing w:after="0" w:line="99" w:lineRule="exact"/>
        <w:rPr>
          <w:rFonts w:ascii="Arial" w:cs="Arial" w:eastAsia="Arial" w:hAnsi="Arial"/>
          <w:sz w:val="18"/>
          <w:szCs w:val="18"/>
          <w:color w:val="0000EE"/>
        </w:rPr>
      </w:pPr>
    </w:p>
    <w:p>
      <w:pPr>
        <w:ind w:left="300" w:right="1399" w:firstLine="360"/>
        <w:spacing w:after="0" w:line="282" w:lineRule="auto"/>
        <w:rPr>
          <w:sz w:val="20"/>
          <w:szCs w:val="20"/>
          <w:color w:val="auto"/>
        </w:rPr>
      </w:pPr>
      <w:r>
        <w:rPr>
          <w:rFonts w:ascii="Arial" w:cs="Arial" w:eastAsia="Arial" w:hAnsi="Arial"/>
          <w:sz w:val="18"/>
          <w:szCs w:val="18"/>
          <w:b w:val="1"/>
          <w:bCs w:val="1"/>
          <w:color w:val="auto"/>
        </w:rPr>
        <w:t>THE INFORMATION CONTAINED ON OUR WEBSITE IS NOT INCORPORATED BY REFERENCE IN AND DOES NOT CONSTITUTE A PART OF THIS PROSPECTUS.</w:t>
      </w:r>
    </w:p>
    <w:p>
      <w:pPr>
        <w:spacing w:after="0" w:line="166"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300" w:right="299" w:firstLine="360"/>
        <w:spacing w:after="0" w:line="287" w:lineRule="auto"/>
        <w:rPr>
          <w:sz w:val="20"/>
          <w:szCs w:val="20"/>
          <w:color w:val="auto"/>
        </w:rPr>
      </w:pPr>
      <w:r>
        <w:rPr>
          <w:rFonts w:ascii="Arial" w:cs="Arial" w:eastAsia="Arial" w:hAnsi="Arial"/>
          <w:sz w:val="16"/>
          <w:szCs w:val="16"/>
          <w:color w:val="auto"/>
        </w:rPr>
        <w:t>This prospectus, any accompanying prospectus supplement, any applicable free writing prospectus and other documents incorporated by reference herein and therein may contain “forward-looking statements” as defined in Section 27A of the Securities Act and Section 21E of the Exchange Act. Forward-looking statements usually relate to future events and anticipated revenues, earnings, cash flows or other aspects of our operations or operating results. Forward-looking statements are often identified by the words “guidance,” “confident,” “believe,” “expect,” “anticipate,” “plan,” “intend,” “foresee,” “should,” “would,” “could,” “may,” “will,” “likely,” “predict,” “estimate,” “outlook” and similar expressions, including the negatives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64" w:lineRule="exact"/>
        <w:rPr>
          <w:sz w:val="20"/>
          <w:szCs w:val="20"/>
          <w:color w:val="auto"/>
        </w:rPr>
      </w:pPr>
    </w:p>
    <w:p>
      <w:pPr>
        <w:ind w:left="300" w:right="379" w:firstLine="360"/>
        <w:spacing w:after="0" w:line="273" w:lineRule="auto"/>
        <w:rPr>
          <w:sz w:val="20"/>
          <w:szCs w:val="20"/>
          <w:color w:val="auto"/>
        </w:rPr>
      </w:pPr>
      <w:r>
        <w:rPr>
          <w:rFonts w:ascii="Arial" w:cs="Arial" w:eastAsia="Arial" w:hAnsi="Arial"/>
          <w:sz w:val="17"/>
          <w:szCs w:val="17"/>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“Risk Factors” and elsewhere in this prospectus, any accompanying prospectus supplement, any applicable free writing prospectus and other documents incorporated by reference herein and therein, as well as the following:</w:t>
      </w:r>
    </w:p>
    <w:p>
      <w:pPr>
        <w:spacing w:after="0" w:line="70" w:lineRule="exact"/>
        <w:rPr>
          <w:sz w:val="20"/>
          <w:szCs w:val="20"/>
          <w:color w:val="auto"/>
        </w:rPr>
      </w:pPr>
    </w:p>
    <w:p>
      <w:pPr>
        <w:ind w:left="1000" w:right="339" w:hanging="348"/>
        <w:spacing w:after="0" w:line="275"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associated with disease outbreaks and other public health issues, including the coronavirus disease 2019, their impact on the global economy and the business of our company, customers, suppliers and other partners, changes in, and the administration of, treaties, laws, and regulations, including in response to such issues and the potential for such issues to exacerbate other risks we face, including those related to the factors listed or referenced below;</w:t>
      </w:r>
    </w:p>
    <w:p>
      <w:pPr>
        <w:spacing w:after="0" w:line="68" w:lineRule="exact"/>
        <w:rPr>
          <w:rFonts w:ascii="Arial" w:cs="Arial" w:eastAsia="Arial" w:hAnsi="Arial"/>
          <w:sz w:val="17"/>
          <w:szCs w:val="17"/>
          <w:color w:val="auto"/>
        </w:rPr>
      </w:pPr>
    </w:p>
    <w:p>
      <w:pPr>
        <w:ind w:left="1000" w:right="79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ability to consummate our proposed separation and spin-off of our Technip Energies segment;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relating to competitive factors in our industry;</w:t>
      </w:r>
    </w:p>
    <w:p>
      <w:pPr>
        <w:spacing w:after="0" w:line="117"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our products and services, which is affected by changes in the price of, and demand for, crude oil and natural gas in domestic and international markets;</w:t>
      </w:r>
    </w:p>
    <w:p>
      <w:pPr>
        <w:spacing w:after="0" w:line="62"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implement new technologies and services, as well as our ability to protect and maintain critical intellectual property assets;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liabilities arising out of the installation or use of our products;</w:t>
      </w:r>
    </w:p>
    <w:p>
      <w:pPr>
        <w:spacing w:after="0" w:line="117"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overruns related to our fixed price contracts or capital asset construction projects that may affect revenues;</w:t>
      </w:r>
    </w:p>
    <w:p>
      <w:pPr>
        <w:spacing w:after="0" w:line="62" w:lineRule="exact"/>
        <w:rPr>
          <w:rFonts w:ascii="Arial" w:cs="Arial" w:eastAsia="Arial" w:hAnsi="Arial"/>
          <w:sz w:val="18"/>
          <w:szCs w:val="18"/>
          <w:color w:val="auto"/>
        </w:rPr>
      </w:pPr>
    </w:p>
    <w:p>
      <w:pPr>
        <w:ind w:left="1000" w:right="123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timely deliver our backlog and its effect on our future sales, profitability and our relationships with our customers;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subcontractors, suppliers and joint venture partners in the performance of our contracts;</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piracy risks for our maritime employees and assets;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impacts of seasonal and weather conditions;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cumulative loss of major contracts or alliances;</w:t>
      </w:r>
    </w:p>
    <w:p>
      <w:pPr>
        <w:spacing w:after="0" w:line="117" w:lineRule="exact"/>
        <w:rPr>
          <w:rFonts w:ascii="Arial" w:cs="Arial" w:eastAsia="Arial" w:hAnsi="Arial"/>
          <w:sz w:val="18"/>
          <w:szCs w:val="18"/>
          <w:color w:val="auto"/>
        </w:rPr>
      </w:pPr>
    </w:p>
    <w:p>
      <w:pPr>
        <w:ind w:left="1000" w:right="579" w:hanging="348"/>
        <w:spacing w:after="0" w:line="342"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U.S. and international laws and regulations, including existing or future environmental regulations, that may increase our costs, limit the demand for our products and services or restrict our operations;</w:t>
      </w:r>
    </w:p>
    <w:p>
      <w:pPr>
        <w:spacing w:after="0" w:line="15" w:lineRule="exact"/>
        <w:rPr>
          <w:rFonts w:ascii="Arial" w:cs="Arial" w:eastAsia="Arial" w:hAnsi="Arial"/>
          <w:sz w:val="16"/>
          <w:szCs w:val="16"/>
          <w:color w:val="auto"/>
        </w:rPr>
      </w:pPr>
    </w:p>
    <w:p>
      <w:pPr>
        <w:ind w:left="1000" w:right="87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the political, regulatory, economic and social conditions of the countries in which we conduct business;</w:t>
      </w:r>
    </w:p>
    <w:p>
      <w:pPr>
        <w:spacing w:after="0" w:line="62" w:lineRule="exact"/>
        <w:rPr>
          <w:rFonts w:ascii="Arial" w:cs="Arial" w:eastAsia="Arial" w:hAnsi="Arial"/>
          <w:sz w:val="18"/>
          <w:szCs w:val="18"/>
          <w:color w:val="auto"/>
        </w:rPr>
      </w:pPr>
    </w:p>
    <w:p>
      <w:pPr>
        <w:ind w:left="1000" w:right="719" w:hanging="348"/>
        <w:spacing w:after="0" w:line="342"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associated with The Depository Trust Company and Euroclear for clearance services for shares traded on the New York Stock Exchange and on the regulated market of Euronext Paris,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United Kingdom’s withdrawal from the European Union;</w:t>
      </w:r>
    </w:p>
    <w:p>
      <w:pPr>
        <w:spacing w:after="0" w:line="117" w:lineRule="exact"/>
        <w:rPr>
          <w:rFonts w:ascii="Arial" w:cs="Arial" w:eastAsia="Arial" w:hAnsi="Arial"/>
          <w:sz w:val="18"/>
          <w:szCs w:val="18"/>
          <w:color w:val="auto"/>
        </w:rPr>
      </w:pPr>
    </w:p>
    <w:p>
      <w:pPr>
        <w:ind w:left="1000" w:right="399" w:hanging="348"/>
        <w:spacing w:after="0" w:line="286"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associated with being an English public limited company, including the need for “distributable profits”, shareholder approval of certain capital structure decisions and the risk that we may not be able to pay dividends or repurchase shares in accordance with our announced capital allocation plan;</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covenants under our debt instruments and conditions in the credit markets;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downgrade in the ratings of our debt could restrict our ability to access the debt capital markets;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uninsured claims and litigation against us;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of currency exchange rate fluctuations associated with our international operations;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acquisition and divestiture activities;</w:t>
      </w:r>
    </w:p>
    <w:p>
      <w:pPr>
        <w:spacing w:after="0" w:line="117" w:lineRule="exact"/>
        <w:rPr>
          <w:rFonts w:ascii="Arial" w:cs="Arial" w:eastAsia="Arial" w:hAnsi="Arial"/>
          <w:sz w:val="18"/>
          <w:szCs w:val="18"/>
          <w:color w:val="auto"/>
        </w:rPr>
      </w:pPr>
    </w:p>
    <w:p>
      <w:pPr>
        <w:ind w:left="1000" w:right="379" w:hanging="348"/>
        <w:spacing w:after="0" w:line="342"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failure of our information technology infrastructure or any significant breach of security, including related to cyber attacks, and our actual or perceived failure to comply with data security and privacy obligations;</w:t>
      </w:r>
    </w:p>
    <w:p>
      <w:pPr>
        <w:spacing w:after="0" w:line="15" w:lineRule="exact"/>
        <w:rPr>
          <w:rFonts w:ascii="Arial" w:cs="Arial" w:eastAsia="Arial" w:hAnsi="Arial"/>
          <w:sz w:val="16"/>
          <w:szCs w:val="16"/>
          <w:color w:val="auto"/>
        </w:rPr>
      </w:pPr>
    </w:p>
    <w:p>
      <w:pPr>
        <w:ind w:left="1000" w:right="53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tax liabilities, changes in U.S. federal or international tax laws or interpretations to which we are subject;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such other risk factors set forth in our filings with the SEC and in our filings with the Autorité des marchés financiers or the U.K. Financial Conduct Authority.</w:t>
      </w:r>
    </w:p>
    <w:p>
      <w:pPr>
        <w:spacing w:after="0" w:line="62"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We caution you not to place undue reliance on any forward-looking statements, which speak only as of the date they are made. We undertake no obligation to publicly update or revise any of our forward-looking statements after the date they are made, whether as a result of new information, future events or otherwise, except to the extent required by law.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We are a global energy service company with a portfolio of solutions for the production and transformation of hydrocarbons and renewable energy sources. These solutions range from discrete products and services to fully integrated solutions based on proprietary technologies, with a clear focus to deliver greater efficiency across project lifecycles from concept to delivery and beyond.</w:t>
      </w:r>
    </w:p>
    <w:p>
      <w:pPr>
        <w:spacing w:after="0" w:line="79"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We operate across three business segments: Subsea, Technip Energies and Surface Technologies. Through these segments, we are levered to the three energy growth areas of unconventionals, liquefied natural gas and deepwater developments.</w:t>
      </w:r>
    </w:p>
    <w:p>
      <w:pPr>
        <w:spacing w:after="0" w:line="76" w:lineRule="exact"/>
        <w:rPr>
          <w:sz w:val="20"/>
          <w:szCs w:val="20"/>
          <w:color w:val="auto"/>
        </w:rPr>
      </w:pPr>
    </w:p>
    <w:p>
      <w:pPr>
        <w:ind w:left="300" w:right="339" w:firstLine="360"/>
        <w:spacing w:after="0" w:line="273" w:lineRule="auto"/>
        <w:rPr>
          <w:sz w:val="20"/>
          <w:szCs w:val="20"/>
          <w:color w:val="auto"/>
        </w:rPr>
      </w:pPr>
      <w:r>
        <w:rPr>
          <w:rFonts w:ascii="Arial" w:cs="Arial" w:eastAsia="Arial" w:hAnsi="Arial"/>
          <w:sz w:val="17"/>
          <w:szCs w:val="17"/>
          <w:color w:val="auto"/>
        </w:rPr>
        <w:t>Our principal executive offices are currently located at One St. Paul’s Churchyard, London, EC4M 8AP, United Kingdom, and our telephone number is +44 203-429-3950. We also have operational headquarters in Paris, France and Houston, Texas, United States. We are registered in England and Wales under company number 09909709. Our Internet website is www.technipfmc.com. The information contained on our website or that can be accessed through our website is not incorporated by reference into this prospectus, and you should not consider the information contained on our website to be part of this prospectus.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that we file after the date of this prospectus,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899" w:firstLine="360"/>
        <w:spacing w:after="0" w:line="277" w:lineRule="auto"/>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ORDINARY SHARES</w:t>
      </w:r>
    </w:p>
    <w:p>
      <w:pPr>
        <w:spacing w:after="0" w:line="121"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The description of the ordinary shares, nominal value $1.00 per share, of TechnipFMC plc is incorporated into this prospectus by reference to the Exhibit 4.2 to our Annual Report on Form 10-K for the fiscal year ended December 31, 2019, as filed with the SEC on March 3, 2020.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PREFERENCE SHARES</w:t>
      </w:r>
    </w:p>
    <w:p>
      <w:pPr>
        <w:spacing w:after="0" w:line="121" w:lineRule="exact"/>
        <w:rPr>
          <w:sz w:val="20"/>
          <w:szCs w:val="20"/>
          <w:color w:val="auto"/>
        </w:rPr>
      </w:pPr>
    </w:p>
    <w:p>
      <w:pPr>
        <w:ind w:left="300" w:right="419" w:firstLine="360"/>
        <w:spacing w:after="0" w:line="255" w:lineRule="auto"/>
        <w:rPr>
          <w:sz w:val="20"/>
          <w:szCs w:val="20"/>
          <w:color w:val="auto"/>
        </w:rPr>
      </w:pPr>
      <w:r>
        <w:rPr>
          <w:rFonts w:ascii="Arial" w:cs="Arial" w:eastAsia="Arial" w:hAnsi="Arial"/>
          <w:sz w:val="18"/>
          <w:szCs w:val="18"/>
          <w:color w:val="auto"/>
        </w:rPr>
        <w:t>As used in this description, the words “we,” “us” and “our” refer to TechnipFMC plc and not to any of its subsidiaries or affiliates. The description set forth below is only a summary and is not complete. For more information regarding the preference shares which may be offered by this prospectus, please refer to the applicable prospectus supplement, our articles of association, which is incorporated by reference as an exhibit to the registration statement of which this prospectus forms a part, and any certificate of designations establishing a series of preference shares.</w:t>
      </w:r>
    </w:p>
    <w:p>
      <w:pPr>
        <w:spacing w:after="0" w:line="84"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color w:val="auto"/>
        </w:rPr>
        <w:t>Our articles of association authorize us to issue shares, with such preferred, deferred or other special rights, or such restrictions, whether as regards dividend, return of capital, voting or otherwise as the shareholders may from time to time by “ordinary resolution” determine (or in the absence of any such determination, as our board of directors may determine). Such ordinary resolution must be approved by holders of a simple majority of the aggregate voting power of our entire issued share capital that, being entitled to vote, vote on the resolution at a general meeting of TechnipFMC plc. Our articles of association authorize our board of directors to allot shares in TechnipFMC plc, and to grant rights to subscribe for or to convert any security into shares of TechnipFMC plc, up to a maximum aggregate nominal amount representing 20% of the number of shares in the capital of TechnipFMC plc as of the date of the adoption of our articles of association and after the consummation of the transactions that occurred on the date of the adoption of our articles of association (in addition to any authority to allot that had not yet expired granted to our board of directors prior to the date of the adoption of our articles of association). Such shares include preference shares, which would generally be afforded preferences regarding dividends and liquidation rights over ordinary shares. Such authority to allot preference shares will continue until 2022 and thereafter it must be renewed, but we may seek renewal more frequently for additional terms not to exceed five years from the date of any such further authorization.</w:t>
      </w:r>
    </w:p>
    <w:p>
      <w:pPr>
        <w:spacing w:after="0" w:line="74"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We will include the specific terms of each series of the preference shares being offered in a supplement to this prospectus.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21"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As used in this description, the words “TechnipFMC,” “we,” “us” and “our” refer to TechnipFMC plc and not to any of its subsidiaries or affiliates.</w:t>
      </w:r>
    </w:p>
    <w:p>
      <w:pPr>
        <w:spacing w:after="0" w:line="62"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53" w:lineRule="exact"/>
        <w:rPr>
          <w:sz w:val="20"/>
          <w:szCs w:val="20"/>
          <w:color w:val="auto"/>
        </w:rPr>
      </w:pPr>
    </w:p>
    <w:p>
      <w:pPr>
        <w:ind w:left="300" w:right="379" w:firstLine="360"/>
        <w:spacing w:after="0" w:line="279" w:lineRule="auto"/>
        <w:rPr>
          <w:sz w:val="20"/>
          <w:szCs w:val="20"/>
          <w:color w:val="auto"/>
        </w:rPr>
      </w:pPr>
      <w:r>
        <w:rPr>
          <w:rFonts w:ascii="Arial" w:cs="Arial" w:eastAsia="Arial" w:hAnsi="Arial"/>
          <w:sz w:val="17"/>
          <w:szCs w:val="17"/>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63"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The debt securities will be issued under an indenture between us and U.S. Bank National Association, or another trustee to be named in the applicable prospectus supplement, as trustee. We have summarized select portions of the indenture below. The summary is not complete. The indenture has been filed as an exhibit to the registration statement and you should read the indenture for provisions that may be important to you. Capitalized terms used in the summary and not defined herein have the meanings specified in the indenture.</w:t>
      </w:r>
    </w:p>
    <w:p>
      <w:pPr>
        <w:spacing w:after="0" w:line="3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379" w:firstLine="360"/>
        <w:spacing w:after="0" w:line="301" w:lineRule="auto"/>
        <w:rPr>
          <w:sz w:val="20"/>
          <w:szCs w:val="20"/>
          <w:color w:val="auto"/>
        </w:rPr>
      </w:pPr>
      <w:r>
        <w:rPr>
          <w:rFonts w:ascii="Arial" w:cs="Arial" w:eastAsia="Arial" w:hAnsi="Arial"/>
          <w:sz w:val="16"/>
          <w:szCs w:val="16"/>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49" w:lineRule="exact"/>
        <w:rPr>
          <w:sz w:val="20"/>
          <w:szCs w:val="20"/>
          <w:color w:val="auto"/>
        </w:rPr>
      </w:pPr>
    </w:p>
    <w:p>
      <w:pPr>
        <w:ind w:left="300" w:right="339" w:firstLine="360"/>
        <w:spacing w:after="0" w:line="301" w:lineRule="auto"/>
        <w:rPr>
          <w:sz w:val="20"/>
          <w:szCs w:val="20"/>
          <w:color w:val="auto"/>
        </w:rPr>
      </w:pPr>
      <w:r>
        <w:rPr>
          <w:rFonts w:ascii="Arial" w:cs="Arial" w:eastAsia="Arial" w:hAnsi="Arial"/>
          <w:sz w:val="16"/>
          <w:szCs w:val="16"/>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49" w:lineRule="exact"/>
        <w:rPr>
          <w:sz w:val="20"/>
          <w:szCs w:val="20"/>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17" w:lineRule="exact"/>
        <w:rPr>
          <w:rFonts w:ascii="Arial" w:cs="Arial" w:eastAsia="Arial" w:hAnsi="Arial"/>
          <w:sz w:val="18"/>
          <w:szCs w:val="18"/>
          <w:color w:val="auto"/>
        </w:rPr>
      </w:pPr>
    </w:p>
    <w:p>
      <w:pPr>
        <w:ind w:left="1000" w:right="8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17" w:lineRule="exact"/>
        <w:rPr>
          <w:rFonts w:ascii="Arial" w:cs="Arial" w:eastAsia="Arial" w:hAnsi="Arial"/>
          <w:sz w:val="18"/>
          <w:szCs w:val="18"/>
          <w:color w:val="auto"/>
        </w:rPr>
      </w:pPr>
    </w:p>
    <w:p>
      <w:pPr>
        <w:ind w:left="1000" w:right="439" w:hanging="348"/>
        <w:spacing w:after="0" w:line="25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79" w:lineRule="exact"/>
        <w:rPr>
          <w:rFonts w:ascii="Arial" w:cs="Arial" w:eastAsia="Arial" w:hAnsi="Arial"/>
          <w:sz w:val="18"/>
          <w:szCs w:val="18"/>
          <w:color w:val="auto"/>
        </w:rPr>
      </w:pPr>
    </w:p>
    <w:p>
      <w:pPr>
        <w:ind w:left="1000" w:right="519" w:hanging="348"/>
        <w:spacing w:after="0" w:line="259"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78"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pacing w:after="0" w:line="62" w:lineRule="exact"/>
        <w:rPr>
          <w:rFonts w:ascii="Arial" w:cs="Arial" w:eastAsia="Arial" w:hAnsi="Arial"/>
          <w:sz w:val="18"/>
          <w:szCs w:val="18"/>
          <w:color w:val="auto"/>
        </w:rPr>
      </w:pPr>
    </w:p>
    <w:p>
      <w:pPr>
        <w:ind w:left="1000" w:right="379" w:hanging="348"/>
        <w:spacing w:after="0" w:line="259"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479" w:hanging="348"/>
        <w:spacing w:after="0" w:line="342"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dates on which and the price or prices at which we will repurchase debt securities at the option of the holders of debt securities and other detailed terms and provisions of these repurchase obligations;</w:t>
      </w:r>
    </w:p>
    <w:p>
      <w:pPr>
        <w:spacing w:after="0" w:line="15" w:lineRule="exact"/>
        <w:rPr>
          <w:rFonts w:ascii="Arial" w:cs="Arial" w:eastAsia="Arial" w:hAnsi="Arial"/>
          <w:sz w:val="16"/>
          <w:szCs w:val="16"/>
          <w:color w:val="auto"/>
        </w:rPr>
      </w:pPr>
    </w:p>
    <w:p>
      <w:pPr>
        <w:ind w:left="1000" w:right="47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 if other than denominations of U.S. $2,000 and integral multiples of $1,000 in excess thereof;</w:t>
      </w:r>
    </w:p>
    <w:p>
      <w:pPr>
        <w:spacing w:after="0" w:line="62" w:lineRule="exact"/>
        <w:rPr>
          <w:rFonts w:ascii="Arial" w:cs="Arial" w:eastAsia="Arial" w:hAnsi="Arial"/>
          <w:sz w:val="18"/>
          <w:szCs w:val="18"/>
          <w:color w:val="auto"/>
        </w:rPr>
      </w:pPr>
    </w:p>
    <w:p>
      <w:pPr>
        <w:ind w:left="1000" w:right="103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62" w:lineRule="exact"/>
        <w:rPr>
          <w:rFonts w:ascii="Arial" w:cs="Arial" w:eastAsia="Arial" w:hAnsi="Arial"/>
          <w:sz w:val="18"/>
          <w:szCs w:val="18"/>
          <w:color w:val="auto"/>
        </w:rPr>
      </w:pPr>
    </w:p>
    <w:p>
      <w:pPr>
        <w:ind w:left="1000" w:right="79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62" w:lineRule="exact"/>
        <w:rPr>
          <w:rFonts w:ascii="Arial" w:cs="Arial" w:eastAsia="Arial" w:hAnsi="Arial"/>
          <w:sz w:val="18"/>
          <w:szCs w:val="18"/>
          <w:color w:val="auto"/>
        </w:rPr>
      </w:pPr>
    </w:p>
    <w:p>
      <w:pPr>
        <w:ind w:left="1000" w:right="539" w:hanging="348"/>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75" w:lineRule="exact"/>
        <w:rPr>
          <w:rFonts w:ascii="Arial" w:cs="Arial" w:eastAsia="Arial" w:hAnsi="Arial"/>
          <w:sz w:val="18"/>
          <w:szCs w:val="18"/>
          <w:color w:val="auto"/>
        </w:rPr>
      </w:pPr>
    </w:p>
    <w:p>
      <w:pPr>
        <w:ind w:left="1000" w:right="55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62" w:lineRule="exact"/>
        <w:rPr>
          <w:rFonts w:ascii="Arial" w:cs="Arial" w:eastAsia="Arial" w:hAnsi="Arial"/>
          <w:sz w:val="18"/>
          <w:szCs w:val="18"/>
          <w:color w:val="auto"/>
        </w:rPr>
      </w:pPr>
    </w:p>
    <w:p>
      <w:pPr>
        <w:ind w:left="1000" w:right="739" w:hanging="348"/>
        <w:spacing w:after="0" w:line="311"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40" w:lineRule="exact"/>
        <w:rPr>
          <w:rFonts w:ascii="Arial" w:cs="Arial" w:eastAsia="Arial" w:hAnsi="Arial"/>
          <w:sz w:val="16"/>
          <w:szCs w:val="16"/>
          <w:color w:val="auto"/>
        </w:rPr>
      </w:pPr>
    </w:p>
    <w:p>
      <w:pPr>
        <w:ind w:left="1000" w:right="659" w:hanging="348"/>
        <w:spacing w:after="0" w:line="259"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17" w:lineRule="exact"/>
        <w:rPr>
          <w:rFonts w:ascii="Arial" w:cs="Arial" w:eastAsia="Arial" w:hAnsi="Arial"/>
          <w:sz w:val="18"/>
          <w:szCs w:val="18"/>
          <w:color w:val="auto"/>
        </w:rPr>
      </w:pPr>
    </w:p>
    <w:p>
      <w:pPr>
        <w:ind w:left="1000" w:right="339" w:hanging="348"/>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75"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addition to, deletion of or change in the covenants described in this prospectus or in the indenture with respect to the debt securities;</w:t>
      </w:r>
    </w:p>
    <w:p>
      <w:pPr>
        <w:spacing w:after="0" w:line="62" w:lineRule="exact"/>
        <w:rPr>
          <w:rFonts w:ascii="Arial" w:cs="Arial" w:eastAsia="Arial" w:hAnsi="Arial"/>
          <w:sz w:val="18"/>
          <w:szCs w:val="18"/>
          <w:color w:val="auto"/>
        </w:rPr>
      </w:pPr>
    </w:p>
    <w:p>
      <w:pPr>
        <w:ind w:left="1000" w:right="67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the debt securities;</w:t>
      </w:r>
    </w:p>
    <w:p>
      <w:pPr>
        <w:spacing w:after="0" w:line="62" w:lineRule="exact"/>
        <w:rPr>
          <w:rFonts w:ascii="Arial" w:cs="Arial" w:eastAsia="Arial" w:hAnsi="Arial"/>
          <w:sz w:val="18"/>
          <w:szCs w:val="18"/>
          <w:color w:val="auto"/>
        </w:rPr>
      </w:pPr>
    </w:p>
    <w:p>
      <w:pPr>
        <w:jc w:val="both"/>
        <w:ind w:left="1000" w:right="359" w:hanging="348"/>
        <w:spacing w:after="0" w:line="259"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78" w:lineRule="exact"/>
        <w:rPr>
          <w:rFonts w:ascii="Arial" w:cs="Arial" w:eastAsia="Arial" w:hAnsi="Arial"/>
          <w:sz w:val="18"/>
          <w:szCs w:val="18"/>
          <w:color w:val="auto"/>
        </w:rPr>
      </w:pPr>
    </w:p>
    <w:p>
      <w:pPr>
        <w:ind w:left="1000" w:right="699" w:hanging="348"/>
        <w:spacing w:after="0" w:line="286"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57" w:lineRule="exact"/>
        <w:rPr>
          <w:rFonts w:ascii="Arial" w:cs="Arial" w:eastAsia="Arial" w:hAnsi="Arial"/>
          <w:sz w:val="17"/>
          <w:szCs w:val="17"/>
          <w:color w:val="auto"/>
        </w:rPr>
      </w:pPr>
    </w:p>
    <w:p>
      <w:pPr>
        <w:ind w:left="1000" w:right="35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w:t>
      </w:r>
    </w:p>
    <w:p>
      <w:pPr>
        <w:spacing w:after="0" w:line="62" w:lineRule="exact"/>
        <w:rPr>
          <w:sz w:val="20"/>
          <w:szCs w:val="20"/>
          <w:color w:val="auto"/>
        </w:rPr>
      </w:pPr>
    </w:p>
    <w:p>
      <w:pPr>
        <w:ind w:left="300" w:right="419" w:firstLine="360"/>
        <w:spacing w:after="0" w:line="279" w:lineRule="auto"/>
        <w:rPr>
          <w:sz w:val="20"/>
          <w:szCs w:val="20"/>
          <w:color w:val="auto"/>
        </w:rPr>
      </w:pPr>
      <w:r>
        <w:rPr>
          <w:rFonts w:ascii="Arial" w:cs="Arial" w:eastAsia="Arial" w:hAnsi="Arial"/>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63" w:lineRule="exact"/>
        <w:rPr>
          <w:sz w:val="20"/>
          <w:szCs w:val="20"/>
          <w:color w:val="auto"/>
        </w:rPr>
      </w:pPr>
    </w:p>
    <w:p>
      <w:pPr>
        <w:ind w:left="300" w:right="299" w:firstLine="360"/>
        <w:spacing w:after="0" w:line="255" w:lineRule="auto"/>
        <w:rPr>
          <w:sz w:val="20"/>
          <w:szCs w:val="20"/>
          <w:color w:val="auto"/>
        </w:rPr>
      </w:pPr>
      <w:r>
        <w:rPr>
          <w:rFonts w:ascii="Arial" w:cs="Arial" w:eastAsia="Arial" w:hAnsi="Arial"/>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300" w:right="539" w:firstLine="360"/>
        <w:spacing w:after="0" w:line="296" w:lineRule="auto"/>
        <w:rPr>
          <w:sz w:val="20"/>
          <w:szCs w:val="20"/>
          <w:color w:val="auto"/>
        </w:rPr>
      </w:pPr>
      <w:r>
        <w:rPr>
          <w:rFonts w:ascii="Arial" w:cs="Arial" w:eastAsia="Arial" w:hAnsi="Arial"/>
          <w:sz w:val="16"/>
          <w:szCs w:val="16"/>
          <w:color w:val="auto"/>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as set forth in the applicable prospectus supplement. Each global debt security representing book-entry debt securities will be deposited with, or on behalf of, the Depositary, and registered in the name of the Depositary or a nominee of the Depositary.</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300" w:right="539" w:firstLine="360"/>
        <w:spacing w:after="0" w:line="277" w:lineRule="auto"/>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30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 Protection in the Event of a Change of Control</w:t>
      </w:r>
    </w:p>
    <w:p>
      <w:pPr>
        <w:spacing w:after="0" w:line="117"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Merger, Consolidation and Sale of Assets</w:t>
      </w:r>
    </w:p>
    <w:p>
      <w:pPr>
        <w:spacing w:after="0" w:line="117" w:lineRule="exact"/>
        <w:rPr>
          <w:sz w:val="20"/>
          <w:szCs w:val="20"/>
          <w:color w:val="auto"/>
        </w:rPr>
      </w:pPr>
    </w:p>
    <w:p>
      <w:pPr>
        <w:ind w:left="300" w:right="539" w:firstLine="360"/>
        <w:spacing w:after="0" w:line="263" w:lineRule="auto"/>
        <w:rPr>
          <w:sz w:val="20"/>
          <w:szCs w:val="20"/>
          <w:color w:val="auto"/>
        </w:rPr>
      </w:pPr>
      <w:r>
        <w:rPr>
          <w:rFonts w:ascii="Arial" w:cs="Arial" w:eastAsia="Arial" w:hAnsi="Arial"/>
          <w:sz w:val="18"/>
          <w:szCs w:val="18"/>
          <w:color w:val="auto"/>
        </w:rPr>
        <w:t>The indenture provides that we may not convert, consolidate, amalgamate, merge or enter into a scheme of arrangement with or into any other person or sell, convey, transfer or lease all or substantially all of our properties and assets to another person, unless:</w:t>
      </w:r>
    </w:p>
    <w:p>
      <w:pPr>
        <w:spacing w:after="0" w:line="76" w:lineRule="exact"/>
        <w:rPr>
          <w:sz w:val="20"/>
          <w:szCs w:val="20"/>
          <w:color w:val="auto"/>
        </w:rPr>
      </w:pPr>
    </w:p>
    <w:p>
      <w:pPr>
        <w:ind w:left="1000" w:right="439" w:hanging="348"/>
        <w:spacing w:after="0" w:line="272"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either (a) TechnipFMC is the surviving corporation or (b) the person formed by or surviving any such conversion, consolidation, amalgamation, merger or scheme of arrangement (if other than TechnipFMC) or the person to which such sale, conveyance, transfer or lease is made (i) assumes all the obligations of TechnipFMC under the debt securities and the indenture pursuant to a supplemental indenture reasonably satisfactory to the trustee and (ii) is organized under the laws of a country that is a member of the Organisation for Economic Co-operation and Development, including the United States or any state thereof or the District of Columbia;</w:t>
      </w:r>
    </w:p>
    <w:p>
      <w:pPr>
        <w:spacing w:after="0" w:line="69" w:lineRule="exact"/>
        <w:rPr>
          <w:rFonts w:ascii="Arial" w:cs="Arial" w:eastAsia="Arial" w:hAnsi="Arial"/>
          <w:sz w:val="17"/>
          <w:szCs w:val="17"/>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or the successor will not immediately be in default under the indenture; and</w:t>
      </w:r>
    </w:p>
    <w:p>
      <w:pPr>
        <w:spacing w:after="0" w:line="117" w:lineRule="exact"/>
        <w:rPr>
          <w:rFonts w:ascii="Arial" w:cs="Arial" w:eastAsia="Arial" w:hAnsi="Arial"/>
          <w:sz w:val="18"/>
          <w:szCs w:val="18"/>
          <w:color w:val="auto"/>
        </w:rPr>
      </w:pPr>
    </w:p>
    <w:p>
      <w:pPr>
        <w:ind w:left="1000" w:right="479" w:hanging="348"/>
        <w:spacing w:after="0" w:line="259"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deliver an officers’ certificate and opinion of counsel to the trustee stating that such conversion, consolidation, amalgamation, merger, scheme of arrangement or sale, conveyance, transfer or lease, and any related supplemental indenture, comply with the indenture and that all conditions precedent set forth therein have been complied with.</w:t>
      </w:r>
    </w:p>
    <w:p>
      <w:pPr>
        <w:spacing w:after="0" w:line="79" w:lineRule="exact"/>
        <w:rPr>
          <w:sz w:val="20"/>
          <w:szCs w:val="20"/>
          <w:color w:val="auto"/>
        </w:rPr>
      </w:pPr>
    </w:p>
    <w:p>
      <w:pPr>
        <w:ind w:left="300" w:right="759" w:firstLine="360"/>
        <w:spacing w:after="0" w:line="277" w:lineRule="auto"/>
        <w:rPr>
          <w:sz w:val="20"/>
          <w:szCs w:val="20"/>
          <w:color w:val="auto"/>
        </w:rPr>
      </w:pPr>
      <w:r>
        <w:rPr>
          <w:rFonts w:ascii="Arial" w:cs="Arial" w:eastAsia="Arial" w:hAnsi="Arial"/>
          <w:sz w:val="18"/>
          <w:szCs w:val="18"/>
          <w:color w:val="auto"/>
        </w:rPr>
        <w:t>Upon the assumption of all our obligations by a successor, we will be relieved of all obligations under the indenture, except in the case of a lease.</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An “Event of Default,” when used in the indenture, with respect to debt securities of any series, means any of the following:</w:t>
      </w:r>
    </w:p>
    <w:p>
      <w:pPr>
        <w:spacing w:after="0" w:line="62" w:lineRule="exact"/>
        <w:rPr>
          <w:sz w:val="20"/>
          <w:szCs w:val="20"/>
          <w:color w:val="auto"/>
        </w:rPr>
      </w:pPr>
    </w:p>
    <w:p>
      <w:pPr>
        <w:ind w:left="1000" w:right="93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pay any interest on any debt security of that series when due, which failure continues for 30 days;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pay the principal of or any premium on any debt security of that series when due;</w:t>
      </w:r>
    </w:p>
    <w:p>
      <w:pPr>
        <w:spacing w:after="0" w:line="117"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deposit any mandatory sinking fund payment on any debt security of that series when due, which failure continues for 30 days;</w:t>
      </w:r>
    </w:p>
    <w:p>
      <w:pPr>
        <w:spacing w:after="0" w:line="62" w:lineRule="exact"/>
        <w:rPr>
          <w:rFonts w:ascii="Arial" w:cs="Arial" w:eastAsia="Arial" w:hAnsi="Arial"/>
          <w:sz w:val="18"/>
          <w:szCs w:val="18"/>
          <w:color w:val="auto"/>
        </w:rPr>
      </w:pPr>
    </w:p>
    <w:p>
      <w:pPr>
        <w:ind w:left="1000" w:right="419" w:hanging="348"/>
        <w:spacing w:after="0" w:line="259"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perform, or a breach of, any other covenant of TechnipFMC in the indenture (other than a covenant included in the indenture for the benefit of another series), which failure or breach continues for 90 days after written notice from the trustee or the holders of at least 25% in principal amount of debt securities of all series having the benefit of such covenant;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55"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TechnipFMC, pursuant to or within the meaning of any bankruptcy, insolvency, reorganization or other similar law, (i) commences a voluntary case, (ii) consents to the entry of any order for relief against it in an involuntary case, (iii) consents to the appointment of a custodian or similar official of it or for any substantial part of its property, or (iv) makes an assignment for the benefit of its creditors, or TechnipFMC admits its inability to pay its debts generally as they come due or takes any corporate action in furtherance of any of the actions referred to above in this clause (5);</w:t>
      </w:r>
    </w:p>
    <w:p>
      <w:pPr>
        <w:spacing w:after="0" w:line="84" w:lineRule="exact"/>
        <w:rPr>
          <w:rFonts w:ascii="Arial" w:cs="Arial" w:eastAsia="Arial" w:hAnsi="Arial"/>
          <w:sz w:val="18"/>
          <w:szCs w:val="18"/>
          <w:color w:val="auto"/>
        </w:rPr>
      </w:pPr>
    </w:p>
    <w:p>
      <w:pPr>
        <w:ind w:left="1000" w:right="639" w:hanging="348"/>
        <w:spacing w:after="0" w:line="275"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court of competent jurisdiction enters an order or decree under any bankruptcy, insolvency, reorganization or other similar law that (i) is for relief against TechnipFMC in an involuntary case, (ii) appoints a custodian or similar official of TechnipFMC or for any substantial part of its property or adjudges TechnipFMC insolvent, or (iii) orders the winding up or liquidation of TechnipFMC; and the order or decree remains unstayed and in effect for 60 consecutive days; or</w:t>
      </w:r>
    </w:p>
    <w:p>
      <w:pPr>
        <w:spacing w:after="0" w:line="68" w:lineRule="exact"/>
        <w:rPr>
          <w:rFonts w:ascii="Arial" w:cs="Arial" w:eastAsia="Arial" w:hAnsi="Arial"/>
          <w:sz w:val="17"/>
          <w:szCs w:val="17"/>
          <w:color w:val="auto"/>
        </w:rPr>
      </w:pPr>
    </w:p>
    <w:p>
      <w:pPr>
        <w:ind w:left="1000" w:right="33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event of default as may be specified in the supplemental indenture with respect to debt securities of that series.</w:t>
      </w:r>
    </w:p>
    <w:p>
      <w:pPr>
        <w:spacing w:after="0" w:line="49" w:lineRule="exact"/>
        <w:rPr>
          <w:sz w:val="20"/>
          <w:szCs w:val="20"/>
          <w:color w:val="auto"/>
        </w:rPr>
      </w:pPr>
    </w:p>
    <w:p>
      <w:pPr>
        <w:ind w:left="300" w:right="499" w:firstLine="360"/>
        <w:spacing w:after="0" w:line="231"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The trustee may withhold notice to the holders of debt securities of any default (except in the payment of principal, interest or any premium) if it considers the withholding of notice to be in the interests of the holders.</w:t>
      </w:r>
    </w:p>
    <w:p>
      <w:pPr>
        <w:spacing w:after="0" w:line="67" w:lineRule="exact"/>
        <w:rPr>
          <w:sz w:val="20"/>
          <w:szCs w:val="20"/>
          <w:color w:val="auto"/>
        </w:rPr>
      </w:pPr>
    </w:p>
    <w:p>
      <w:pPr>
        <w:ind w:left="300" w:right="359" w:firstLine="360"/>
        <w:spacing w:after="0" w:line="256" w:lineRule="auto"/>
        <w:rPr>
          <w:sz w:val="20"/>
          <w:szCs w:val="20"/>
          <w:color w:val="auto"/>
        </w:rPr>
      </w:pPr>
      <w:r>
        <w:rPr>
          <w:rFonts w:ascii="Arial" w:cs="Arial" w:eastAsia="Arial" w:hAnsi="Arial"/>
          <w:sz w:val="16"/>
          <w:szCs w:val="16"/>
          <w:color w:val="auto"/>
        </w:rPr>
        <w:t>If an event of default for any series of debt securities issued under the indenture occurs and continues, the trustee or the holders of not less than 25% in aggregate principal amount of (i) the series affected by such default (in the case of a default described in clause (1), (2), (3) or (7) above) or (ii) all series of debt securities affected by such default (in the case of a default described under clause (4) above) may declare the unpaid principal of, together with any accrued but unpaid premium or interest on, all the debt securities of that series to be due and payable immediately. If this happens, subject to certain conditions, the holders of a majority in principal amount of the debt securities of that series (or of all series, as the case may be) can void the declaration.</w:t>
      </w:r>
    </w:p>
    <w:p>
      <w:pPr>
        <w:spacing w:after="0" w:line="57" w:lineRule="exact"/>
        <w:rPr>
          <w:sz w:val="20"/>
          <w:szCs w:val="20"/>
          <w:color w:val="auto"/>
        </w:rPr>
      </w:pPr>
    </w:p>
    <w:p>
      <w:pPr>
        <w:ind w:left="300" w:right="479" w:firstLine="360"/>
        <w:spacing w:after="0" w:line="231" w:lineRule="auto"/>
        <w:rPr>
          <w:sz w:val="20"/>
          <w:szCs w:val="20"/>
          <w:color w:val="auto"/>
        </w:rPr>
      </w:pPr>
      <w:r>
        <w:rPr>
          <w:rFonts w:ascii="Arial" w:cs="Arial" w:eastAsia="Arial" w:hAnsi="Arial"/>
          <w:sz w:val="18"/>
          <w:szCs w:val="18"/>
          <w:color w:val="auto"/>
        </w:rPr>
        <w:t>Notwithstanding the foregoing, if an event of default specified in clause (5) or (6) above occurs and is continuing, then all unpaid principal of, together with any accrued but unpaid premium or interest on, all debt securities outstanding under the Indenture will automatically become and be immediately due and payable without any declaration or other act on the part of the trustee or any holder.</w:t>
      </w:r>
    </w:p>
    <w:p>
      <w:pPr>
        <w:spacing w:after="0" w:line="67" w:lineRule="exact"/>
        <w:rPr>
          <w:sz w:val="20"/>
          <w:szCs w:val="20"/>
          <w:color w:val="auto"/>
        </w:rPr>
      </w:pPr>
    </w:p>
    <w:p>
      <w:pPr>
        <w:jc w:val="both"/>
        <w:ind w:left="300" w:right="739" w:firstLine="360"/>
        <w:spacing w:after="0" w:line="235" w:lineRule="auto"/>
        <w:rPr>
          <w:sz w:val="20"/>
          <w:szCs w:val="20"/>
          <w:color w:val="auto"/>
        </w:rPr>
      </w:pPr>
      <w:r>
        <w:rPr>
          <w:rFonts w:ascii="Arial" w:cs="Arial" w:eastAsia="Arial" w:hAnsi="Arial"/>
          <w:sz w:val="18"/>
          <w:szCs w:val="18"/>
          <w:color w:val="auto"/>
        </w:rPr>
        <w:t>Other than its duties in case of a default, a trustee is not obligated to exercise any of its rights, security or powers under any indenture at the request, order or direction of any holders, unless the holders offer the trustee indemnity reasonably satisfactory to the trustee.</w:t>
      </w:r>
    </w:p>
    <w:p>
      <w:pPr>
        <w:spacing w:after="0" w:line="67" w:lineRule="exact"/>
        <w:rPr>
          <w:sz w:val="20"/>
          <w:szCs w:val="20"/>
          <w:color w:val="auto"/>
        </w:rPr>
      </w:pPr>
    </w:p>
    <w:p>
      <w:pPr>
        <w:ind w:left="300" w:right="559" w:firstLine="360"/>
        <w:spacing w:after="0" w:line="253" w:lineRule="auto"/>
        <w:rPr>
          <w:sz w:val="20"/>
          <w:szCs w:val="20"/>
          <w:color w:val="auto"/>
        </w:rPr>
      </w:pPr>
      <w:r>
        <w:rPr>
          <w:rFonts w:ascii="Arial" w:cs="Arial" w:eastAsia="Arial" w:hAnsi="Arial"/>
          <w:sz w:val="16"/>
          <w:szCs w:val="16"/>
          <w:color w:val="auto"/>
        </w:rPr>
        <w:t>Subject to certain limitations, the holders of a majority in principal amount outstanding of any series of debt securities may direct the time, method and place of conducting any proceeding or any remedy available to the trustee, or exercising any power conferred upon the trustee, relating to an event of default described in clause (1),</w:t>
      </w:r>
    </w:p>
    <w:p>
      <w:pPr>
        <w:spacing w:after="0" w:line="1" w:lineRule="exact"/>
        <w:rPr>
          <w:sz w:val="20"/>
          <w:szCs w:val="20"/>
          <w:color w:val="auto"/>
        </w:rPr>
      </w:pPr>
    </w:p>
    <w:p>
      <w:pPr>
        <w:ind w:left="300" w:right="359"/>
        <w:spacing w:after="0" w:line="233" w:lineRule="auto"/>
        <w:rPr>
          <w:sz w:val="20"/>
          <w:szCs w:val="20"/>
          <w:color w:val="auto"/>
        </w:rPr>
      </w:pPr>
      <w:r>
        <w:rPr>
          <w:rFonts w:ascii="Arial" w:cs="Arial" w:eastAsia="Arial" w:hAnsi="Arial"/>
          <w:sz w:val="18"/>
          <w:szCs w:val="18"/>
          <w:color w:val="auto"/>
        </w:rPr>
        <w:t>(2), (3) or (7) above respecting such series of debt securities, and the holders of a majority in principal amount of all outstanding debt securities may do the same in relation to any other event of default.</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Modification and Waiver</w:t>
      </w:r>
    </w:p>
    <w:p>
      <w:pPr>
        <w:spacing w:after="0" w:line="108" w:lineRule="exact"/>
        <w:rPr>
          <w:sz w:val="20"/>
          <w:szCs w:val="20"/>
          <w:color w:val="auto"/>
        </w:rPr>
      </w:pPr>
    </w:p>
    <w:p>
      <w:pPr>
        <w:jc w:val="both"/>
        <w:ind w:left="300" w:right="419" w:firstLine="360"/>
        <w:spacing w:after="0" w:line="231" w:lineRule="auto"/>
        <w:rPr>
          <w:sz w:val="20"/>
          <w:szCs w:val="20"/>
          <w:color w:val="auto"/>
        </w:rPr>
      </w:pPr>
      <w:r>
        <w:rPr>
          <w:rFonts w:ascii="Arial" w:cs="Arial" w:eastAsia="Arial" w:hAnsi="Arial"/>
          <w:sz w:val="18"/>
          <w:szCs w:val="18"/>
          <w:color w:val="auto"/>
        </w:rPr>
        <w:t>Holders who own a majority in principal amount of the debt securities of a series may agree with us to change the provisions of the indenture or supplemental indenture relating to that series. However, no change may affect the payment terms or the percentage required to change other terms without the consent of all holders of debt securities of the affected series.</w:t>
      </w:r>
    </w:p>
    <w:p>
      <w:pPr>
        <w:spacing w:after="0" w:line="67"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We may enter into supplemental indentures for other purposes specified in the indenture, including to make changes that would not materially adversely affect the interests of holders or to create a new series of debt securities, without the consent of any holder of debt securities.</w:t>
      </w:r>
    </w:p>
    <w:p>
      <w:pPr>
        <w:spacing w:after="0" w:line="67" w:lineRule="exact"/>
        <w:rPr>
          <w:sz w:val="20"/>
          <w:szCs w:val="20"/>
          <w:color w:val="auto"/>
        </w:rPr>
      </w:pPr>
    </w:p>
    <w:p>
      <w:pPr>
        <w:ind w:left="300" w:right="419" w:firstLine="360"/>
        <w:spacing w:after="0" w:line="228" w:lineRule="auto"/>
        <w:rPr>
          <w:sz w:val="20"/>
          <w:szCs w:val="20"/>
          <w:color w:val="auto"/>
        </w:rPr>
      </w:pPr>
      <w:r>
        <w:rPr>
          <w:rFonts w:ascii="Arial" w:cs="Arial" w:eastAsia="Arial" w:hAnsi="Arial"/>
          <w:sz w:val="18"/>
          <w:szCs w:val="18"/>
          <w:color w:val="auto"/>
        </w:rPr>
        <w:t>The holders of a majority in principal amount of the debt securities of any series may on behalf of the holders of all the debt securities of such series waive any past default under the indenture with respect to such series and its consequences, and the holders of a majority in principal amount of all outstanding debt securities may on behalf of the holders of all debt securities waive any other past default under the indenture and its consequences, except in each case a default:</w:t>
      </w:r>
    </w:p>
    <w:p>
      <w:pPr>
        <w:spacing w:after="0" w:line="56" w:lineRule="exact"/>
        <w:rPr>
          <w:sz w:val="20"/>
          <w:szCs w:val="20"/>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payment of the principal of, premium, if any, or interest on, any debt security; or</w:t>
      </w:r>
    </w:p>
    <w:p>
      <w:pPr>
        <w:spacing w:after="0" w:line="76"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respect of a covenant which under the indenture cannot be amended without the consent of the holder of each outstanding debt security affected.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Defeasance and Discharge</w:t>
      </w:r>
    </w:p>
    <w:p>
      <w:pPr>
        <w:spacing w:after="0" w:line="121" w:lineRule="exact"/>
        <w:rPr>
          <w:sz w:val="20"/>
          <w:szCs w:val="20"/>
          <w:color w:val="auto"/>
        </w:rPr>
      </w:pPr>
    </w:p>
    <w:p>
      <w:pPr>
        <w:ind w:left="300" w:right="359" w:firstLine="360"/>
        <w:spacing w:after="0" w:line="301" w:lineRule="auto"/>
        <w:rPr>
          <w:sz w:val="20"/>
          <w:szCs w:val="20"/>
          <w:color w:val="auto"/>
        </w:rPr>
      </w:pPr>
      <w:r>
        <w:rPr>
          <w:rFonts w:ascii="Arial" w:cs="Arial" w:eastAsia="Arial" w:hAnsi="Arial"/>
          <w:sz w:val="16"/>
          <w:szCs w:val="16"/>
          <w:color w:val="auto"/>
        </w:rPr>
        <w:t>We at any time may terminate all our obligations under the indenture as they relate to a series of debt securities (“legal defeasance”), except for certain obligations, including those respecting the defeasance trust and obligations to register the transfer of or exchange the debt securities of that series, to replace mutilated, destroyed, lost or stolen debt securities of that series and to maintain a securities registrar and paying agent in respect of such debt securities.</w:t>
      </w:r>
    </w:p>
    <w:p>
      <w:pPr>
        <w:spacing w:after="0" w:line="49" w:lineRule="exact"/>
        <w:rPr>
          <w:sz w:val="20"/>
          <w:szCs w:val="20"/>
          <w:color w:val="auto"/>
        </w:rPr>
      </w:pPr>
    </w:p>
    <w:p>
      <w:pPr>
        <w:ind w:left="300" w:right="439" w:firstLine="360"/>
        <w:spacing w:after="0" w:line="277" w:lineRule="auto"/>
        <w:rPr>
          <w:sz w:val="20"/>
          <w:szCs w:val="20"/>
          <w:color w:val="auto"/>
        </w:rPr>
      </w:pPr>
      <w:r>
        <w:rPr>
          <w:rFonts w:ascii="Arial" w:cs="Arial" w:eastAsia="Arial" w:hAnsi="Arial"/>
          <w:sz w:val="18"/>
          <w:szCs w:val="18"/>
          <w:color w:val="auto"/>
        </w:rPr>
        <w:t>We at any time may terminate our obligations under certain covenants, including those with respect to a series of debt securities (“covenant defeasance”).</w:t>
      </w:r>
    </w:p>
    <w:p>
      <w:pPr>
        <w:spacing w:after="0" w:line="62" w:lineRule="exact"/>
        <w:rPr>
          <w:sz w:val="20"/>
          <w:szCs w:val="20"/>
          <w:color w:val="auto"/>
        </w:rPr>
      </w:pPr>
    </w:p>
    <w:p>
      <w:pPr>
        <w:ind w:left="300" w:right="459" w:firstLine="360"/>
        <w:spacing w:after="0" w:line="275" w:lineRule="auto"/>
        <w:rPr>
          <w:sz w:val="20"/>
          <w:szCs w:val="20"/>
          <w:color w:val="auto"/>
        </w:rPr>
      </w:pPr>
      <w:r>
        <w:rPr>
          <w:rFonts w:ascii="Arial" w:cs="Arial" w:eastAsia="Arial" w:hAnsi="Arial"/>
          <w:sz w:val="17"/>
          <w:szCs w:val="17"/>
          <w:color w:val="auto"/>
        </w:rPr>
        <w:t>We may exercise our legal defeasance option notwithstanding our prior exercise of our covenant defeasance option. If we exercise our legal defeasance option, payment of the defeased series of debt securities may not be accelerated because of an Event of Default with respect thereto. If we exercise our covenant defeasance option, payment of the affected series of debt securities may not be accelerated because of an Event of Default specified in clause (4) or (7) under “Events of Default” above.</w:t>
      </w:r>
    </w:p>
    <w:p>
      <w:pPr>
        <w:spacing w:after="0" w:line="68"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relevant series of debt securities to the date of redemption or stated maturity, as the case may be, and we must comply with certain other conditions, including delivery to the trustee of an opinion of counsel (subject to customary exceptions and exclusions) to the effect that holders of that series of debt securities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a change in applicable federal income tax law.</w:t>
      </w:r>
    </w:p>
    <w:p>
      <w:pPr>
        <w:spacing w:after="0" w:line="77" w:lineRule="exact"/>
        <w:rPr>
          <w:sz w:val="20"/>
          <w:szCs w:val="20"/>
          <w:color w:val="auto"/>
        </w:rPr>
      </w:pPr>
    </w:p>
    <w:p>
      <w:pPr>
        <w:ind w:left="300" w:right="619" w:firstLine="360"/>
        <w:spacing w:after="0" w:line="263" w:lineRule="auto"/>
        <w:rPr>
          <w:sz w:val="20"/>
          <w:szCs w:val="20"/>
          <w:color w:val="auto"/>
        </w:rPr>
      </w:pPr>
      <w:r>
        <w:rPr>
          <w:rFonts w:ascii="Arial" w:cs="Arial" w:eastAsia="Arial" w:hAnsi="Arial"/>
          <w:sz w:val="18"/>
          <w:szCs w:val="18"/>
          <w:color w:val="auto"/>
        </w:rPr>
        <w:t>In the event of any legal defeasance, holders of the debt securities of the relevant series would be entitled to look only to the defeasance trust fund for payment of principal of and any premium and interest on their debt securities until maturity.</w:t>
      </w:r>
    </w:p>
    <w:p>
      <w:pPr>
        <w:spacing w:after="0" w:line="76" w:lineRule="exact"/>
        <w:rPr>
          <w:sz w:val="20"/>
          <w:szCs w:val="20"/>
          <w:color w:val="auto"/>
        </w:rPr>
      </w:pPr>
    </w:p>
    <w:p>
      <w:pPr>
        <w:ind w:left="300" w:right="299" w:firstLine="360"/>
        <w:spacing w:after="0" w:line="255" w:lineRule="auto"/>
        <w:rPr>
          <w:sz w:val="20"/>
          <w:szCs w:val="20"/>
          <w:color w:val="auto"/>
        </w:rPr>
      </w:pPr>
      <w:r>
        <w:rPr>
          <w:rFonts w:ascii="Arial" w:cs="Arial" w:eastAsia="Arial" w:hAnsi="Arial"/>
          <w:sz w:val="18"/>
          <w:szCs w:val="18"/>
          <w:color w:val="auto"/>
        </w:rPr>
        <w:t>Although the amount of money and U.S. Government Obligations on deposit with the trustee would be intended to be sufficient to pay amounts due on the debt securities of a defeased series at the time of their maturity, if we exercise our covenant defeasance option for the debt securities of any series and the debt securities are declared due and payable because of the occurrence of an event of default, such amount may not be sufficient to pay amounts due on the debt securities of that series at the time of the acceleration resulting from such event of default. We would remain liable for such payments, however.</w:t>
      </w:r>
    </w:p>
    <w:p>
      <w:pPr>
        <w:spacing w:after="0" w:line="84"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In addition, we may satisfy and discharge all our obligations under the indenture with respect to debt securities of any series, other than our obligation to register the transfer of and exchange debt securities of that series, provided that we either:</w:t>
      </w:r>
    </w:p>
    <w:p>
      <w:pPr>
        <w:spacing w:after="0" w:line="76" w:lineRule="exact"/>
        <w:rPr>
          <w:sz w:val="20"/>
          <w:szCs w:val="20"/>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deliver all outstanding debt securities of that series to the trustee for cancellation; or</w:t>
      </w:r>
    </w:p>
    <w:p>
      <w:pPr>
        <w:spacing w:after="0" w:line="117" w:lineRule="exact"/>
        <w:rPr>
          <w:rFonts w:ascii="Arial" w:cs="Arial" w:eastAsia="Arial" w:hAnsi="Arial"/>
          <w:sz w:val="18"/>
          <w:szCs w:val="18"/>
          <w:color w:val="auto"/>
        </w:rPr>
      </w:pPr>
    </w:p>
    <w:p>
      <w:pPr>
        <w:ind w:left="1000" w:right="419" w:hanging="348"/>
        <w:spacing w:after="0" w:line="25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such debt securities not so delivered for cancellation have either become due and payable or by their terms will become due and payable within one year or are called for redemption within one year, and in the case of this bullet point we have deposited with the trustee in trust an amount of cash sufficient to pay the entire indebtedness of such debt securities, including interest to their stated maturity or applicable redemption date.</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Personal Liability of Directors, Officers, Employees or Shareholders</w:t>
      </w:r>
    </w:p>
    <w:p>
      <w:pPr>
        <w:spacing w:after="0" w:line="121" w:lineRule="exact"/>
        <w:rPr>
          <w:sz w:val="20"/>
          <w:szCs w:val="20"/>
          <w:color w:val="auto"/>
        </w:rPr>
      </w:pPr>
    </w:p>
    <w:p>
      <w:pPr>
        <w:ind w:left="300" w:right="339" w:firstLine="360"/>
        <w:spacing w:after="0" w:line="293" w:lineRule="auto"/>
        <w:rPr>
          <w:sz w:val="20"/>
          <w:szCs w:val="20"/>
          <w:color w:val="auto"/>
        </w:rPr>
      </w:pPr>
      <w:r>
        <w:rPr>
          <w:rFonts w:ascii="Arial" w:cs="Arial" w:eastAsia="Arial" w:hAnsi="Arial"/>
          <w:sz w:val="16"/>
          <w:szCs w:val="16"/>
          <w:color w:val="auto"/>
        </w:rPr>
        <w:t>No past, present or future director, officer, employee, incorporator, shareholder, member, manager or partner of TechnipFMC, as such, will have any liability for any obligations of TechnipFMC under the debt securities, or the indenture, or for any claim based on, in respect of, or by reason of, such obligations or their creation. Each holder of debt securities by accepting a debt security waives and releases all such liability. Such waiver and release are part of the consideration for issuance of the debt securities. However, this waiver and release may not be effective to waive liabilities under U.S. federal securities laws, and it is the view of the SEC that such a waiver is against public policy.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300" w:right="679" w:firstLine="360"/>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62"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The indenture provides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79"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The indenture provides that any legal action or proceeding arising out of or based upon the indenture, the debt securities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jurisdiction of such courts in any such legal action or proceeding. The indenture further provides that service of any process to such party’s or its authorized agent’s address set forth in the indenture will be effective service of process for any suit, action or other proceeding brought in any such court. The indenture further provides that we, the trustee and the holders of the debt securities (by their acceptance of the debt securities) waive any objection to proceedings in any such courts, whether on the ground of venue or on the ground that the proceedings have been brought in an inconvenient forum.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GUARANTEES</w:t>
      </w:r>
    </w:p>
    <w:p>
      <w:pPr>
        <w:spacing w:after="0" w:line="121"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As used in this description, the words “we,” “us” and “our” refer to TechnipFMC plc and not to any of its subsidiaries or affiliates. TechnipFMC plc may issue guarantees of debt securities and other securities. Each guarantee will be issued under a supplement to an indenture. The prospectus supplement relating to a particular issue of guarantees will describe the terms of those guarantees, including the following:</w:t>
      </w:r>
    </w:p>
    <w:p>
      <w:pPr>
        <w:spacing w:after="0" w:line="63" w:lineRule="exact"/>
        <w:rPr>
          <w:sz w:val="20"/>
          <w:szCs w:val="20"/>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securities to which the guarantees apply;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guarantees are senior or subordinate to other guarantees or debt;</w:t>
      </w:r>
    </w:p>
    <w:p>
      <w:pPr>
        <w:spacing w:after="0" w:line="117" w:lineRule="exact"/>
        <w:rPr>
          <w:rFonts w:ascii="Arial" w:cs="Arial" w:eastAsia="Arial" w:hAnsi="Arial"/>
          <w:sz w:val="18"/>
          <w:szCs w:val="18"/>
          <w:color w:val="auto"/>
        </w:rPr>
      </w:pPr>
    </w:p>
    <w:p>
      <w:pPr>
        <w:ind w:left="1000" w:right="1099" w:hanging="348"/>
        <w:spacing w:after="0" w:line="342"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terms under which the guarantees may be amended, modified, waived, released or otherwise terminated, if different from the provisions applicable to the guaranteed debt securities; and</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additional terms of the guarantees.</w:t>
      </w:r>
    </w:p>
    <w:p>
      <w:pPr>
        <w:spacing w:after="0" w:line="117"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You should read the particular terms of the guarantee documents, which will be described in more detail in the applicable prospectus supplement. The obligations of a guarantor under any such guarantee will be limited as necessary to prevent the guarantee from constituting a fraudulent conveyance or fraudulent transfer under applicable law.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As used in this description, the words “we,” “us” and “our” refer to TechnipFMC plc and not to any of its subsidiaries or affiliates. We may issue warrants to purchase ordinary shares, preference shares, debt securities or units.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 The applicable prospectus supplement will specify the following terms of any warrants in respect of which this prospectus is being delivered:</w:t>
      </w:r>
    </w:p>
    <w:p>
      <w:pPr>
        <w:spacing w:after="0" w:line="84" w:lineRule="exact"/>
        <w:rPr>
          <w:sz w:val="20"/>
          <w:szCs w:val="20"/>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17" w:lineRule="exact"/>
        <w:rPr>
          <w:rFonts w:ascii="Arial" w:cs="Arial" w:eastAsia="Arial" w:hAnsi="Arial"/>
          <w:sz w:val="18"/>
          <w:szCs w:val="18"/>
          <w:color w:val="auto"/>
        </w:rPr>
      </w:pPr>
    </w:p>
    <w:p>
      <w:pPr>
        <w:ind w:left="1000" w:right="379" w:hanging="348"/>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75"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purchasable upon exercise of, such warrants may be purchased;</w:t>
      </w:r>
    </w:p>
    <w:p>
      <w:pPr>
        <w:spacing w:after="0" w:line="62"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62" w:lineRule="exact"/>
        <w:rPr>
          <w:rFonts w:ascii="Arial" w:cs="Arial" w:eastAsia="Arial" w:hAnsi="Arial"/>
          <w:sz w:val="18"/>
          <w:szCs w:val="18"/>
          <w:color w:val="auto"/>
        </w:rPr>
      </w:pPr>
    </w:p>
    <w:p>
      <w:pPr>
        <w:ind w:left="1000" w:right="71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62" w:lineRule="exact"/>
        <w:rPr>
          <w:rFonts w:ascii="Arial" w:cs="Arial" w:eastAsia="Arial" w:hAnsi="Arial"/>
          <w:sz w:val="18"/>
          <w:szCs w:val="18"/>
          <w:color w:val="auto"/>
        </w:rPr>
      </w:pPr>
    </w:p>
    <w:p>
      <w:pPr>
        <w:ind w:left="1000" w:right="77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62" w:lineRule="exact"/>
        <w:rPr>
          <w:rFonts w:ascii="Arial" w:cs="Arial" w:eastAsia="Arial" w:hAnsi="Arial"/>
          <w:sz w:val="18"/>
          <w:szCs w:val="18"/>
          <w:color w:val="auto"/>
        </w:rPr>
      </w:pPr>
    </w:p>
    <w:p>
      <w:pPr>
        <w:ind w:left="1000" w:right="89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applicable, a discussion of any material U.S. federal income tax considerations; and</w:t>
      </w:r>
    </w:p>
    <w:p>
      <w:pPr>
        <w:spacing w:after="0" w:line="117" w:lineRule="exact"/>
        <w:rPr>
          <w:rFonts w:ascii="Arial" w:cs="Arial" w:eastAsia="Arial" w:hAnsi="Arial"/>
          <w:sz w:val="18"/>
          <w:szCs w:val="18"/>
          <w:color w:val="auto"/>
        </w:rPr>
      </w:pPr>
    </w:p>
    <w:p>
      <w:pPr>
        <w:ind w:left="1000" w:right="77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material terms of such warrants, including terms, procedures and limitations relating to the exchange and exercise of such warrants.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PURCHASE CONTRACTS</w:t>
      </w:r>
    </w:p>
    <w:p>
      <w:pPr>
        <w:spacing w:after="0" w:line="121" w:lineRule="exact"/>
        <w:rPr>
          <w:sz w:val="20"/>
          <w:szCs w:val="20"/>
          <w:color w:val="auto"/>
        </w:rPr>
      </w:pPr>
    </w:p>
    <w:p>
      <w:pPr>
        <w:ind w:left="300" w:right="359" w:firstLine="360"/>
        <w:spacing w:after="0" w:line="290" w:lineRule="auto"/>
        <w:rPr>
          <w:sz w:val="20"/>
          <w:szCs w:val="20"/>
          <w:color w:val="auto"/>
        </w:rPr>
      </w:pPr>
      <w:r>
        <w:rPr>
          <w:rFonts w:ascii="Arial" w:cs="Arial" w:eastAsia="Arial" w:hAnsi="Arial"/>
          <w:sz w:val="16"/>
          <w:szCs w:val="16"/>
          <w:color w:val="auto"/>
        </w:rPr>
        <w:t>As used in this description, the words “we,” “us” and “our” refer to TechnipFMC plc and not to any of its subsidiaries or affiliates. We may issue share purchase contracts representing contracts obligating holders, subject to the terms of such share purchase contracts, to purchase from us, and us to sell to the holders, a specified or varying number of our ordinary shares or preference shares at a future date or dates. Alternatively, the share purchase contracts may, subject to the terms of such share purchase contracts, obligate us to purchase from holders, and obligate holders to sell to us, a specified or varying number of ordinary shares or preference shares. The price per share of our ordinary shares or preference shares may be fixed at the time the share purchase contracts are entered into or may be determined by reference to a specific formula set forth in the share purchase contracts.</w:t>
      </w:r>
    </w:p>
    <w:p>
      <w:pPr>
        <w:spacing w:after="0" w:line="57" w:lineRule="exact"/>
        <w:rPr>
          <w:sz w:val="20"/>
          <w:szCs w:val="20"/>
          <w:color w:val="auto"/>
        </w:rPr>
      </w:pPr>
    </w:p>
    <w:p>
      <w:pPr>
        <w:ind w:left="300" w:right="699" w:firstLine="360"/>
        <w:spacing w:after="0" w:line="311" w:lineRule="auto"/>
        <w:rPr>
          <w:sz w:val="20"/>
          <w:szCs w:val="20"/>
          <w:color w:val="auto"/>
        </w:rPr>
      </w:pPr>
      <w:r>
        <w:rPr>
          <w:rFonts w:ascii="Arial" w:cs="Arial" w:eastAsia="Arial" w:hAnsi="Arial"/>
          <w:sz w:val="16"/>
          <w:szCs w:val="16"/>
          <w:color w:val="auto"/>
        </w:rPr>
        <w:t>The applicable prospectus supplement will describe the terms of any share purchase contract. The share purchase contracts will be issued pursuant to documents to be entered into by us. You should read the particular terms of the documents, which will be described in more detail in the applicable prospectus supplement.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121"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As used in this description, the words “we,” “us” and “our” refer to TechnipFMC plc and not to any of its subsidiaries or affiliates. As specified in the applicable prospectus supplement, we may issue units consisting of one or more ordinary shares, preference shares, debt securities, guarantees, warrants, share purchase contracts or any combination of such securities. The applicable prospectus supplement will specify the following terms of any units in respect of which this prospectus is being delivered:</w:t>
      </w:r>
    </w:p>
    <w:p>
      <w:pPr>
        <w:spacing w:after="0" w:line="80" w:lineRule="exact"/>
        <w:rPr>
          <w:sz w:val="20"/>
          <w:szCs w:val="20"/>
          <w:color w:val="auto"/>
        </w:rPr>
      </w:pPr>
    </w:p>
    <w:p>
      <w:pPr>
        <w:ind w:left="1000" w:right="719" w:hanging="348"/>
        <w:spacing w:after="0" w:line="286"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terms of the units and of any of the ordinary shares, preference shares, debt securities, guarantees, warrants or share purchase contracts comprising the units, including whether and under what circumstances the securities comprising the units may be traded separately;</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00" w:right="779" w:firstLine="360"/>
        <w:spacing w:after="0" w:line="277" w:lineRule="auto"/>
        <w:rPr>
          <w:sz w:val="20"/>
          <w:szCs w:val="20"/>
          <w:color w:val="auto"/>
        </w:rPr>
      </w:pPr>
      <w:r>
        <w:rPr>
          <w:rFonts w:ascii="Arial" w:cs="Arial" w:eastAsia="Arial" w:hAnsi="Arial"/>
          <w:sz w:val="18"/>
          <w:szCs w:val="18"/>
          <w:color w:val="auto"/>
        </w:rPr>
        <w:t>As used in this description, the words “we,” “us” and “our” refer to TechnipFMC plc and not to any of its subsidiaries or affiliates. We may sell the securities from time to time:</w:t>
      </w:r>
    </w:p>
    <w:p>
      <w:pPr>
        <w:spacing w:after="0" w:line="62" w:lineRule="exact"/>
        <w:rPr>
          <w:sz w:val="20"/>
          <w:szCs w:val="20"/>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17" w:lineRule="exact"/>
        <w:rPr>
          <w:sz w:val="20"/>
          <w:szCs w:val="20"/>
          <w:color w:val="auto"/>
        </w:rPr>
      </w:pPr>
    </w:p>
    <w:p>
      <w:pPr>
        <w:ind w:left="300" w:right="1079" w:firstLine="360"/>
        <w:spacing w:after="0" w:line="277"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300" w:right="499" w:firstLine="360"/>
        <w:spacing w:after="0" w:line="257" w:lineRule="auto"/>
        <w:rPr>
          <w:sz w:val="20"/>
          <w:szCs w:val="20"/>
          <w:color w:val="auto"/>
        </w:rPr>
      </w:pPr>
      <w:r>
        <w:rPr>
          <w:rFonts w:ascii="Arial" w:cs="Arial" w:eastAsia="Arial" w:hAnsi="Arial"/>
          <w:sz w:val="18"/>
          <w:szCs w:val="18"/>
          <w:color w:val="auto"/>
        </w:rPr>
        <w:t>Latham &amp; Watkins LLP will be requested to advise us with respect to the validity under the laws of England and Wales, if applicable, of any securities that may be offered pursuant to this prospectus. Latham &amp; Watkins LLP may also be requested to advise us with respect to the validity under New York law, if applicable, of any securities that may be offered pursuant to this prospectus. Any underwriters, dealers or agents will be advised about other issues relating to any offering by their own legal counsel.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p>
    <w:p>
      <w:pPr>
        <w:spacing w:after="0" w:line="121" w:lineRule="exact"/>
        <w:rPr>
          <w:sz w:val="20"/>
          <w:szCs w:val="20"/>
          <w:color w:val="auto"/>
        </w:rPr>
      </w:pPr>
    </w:p>
    <w:p>
      <w:pPr>
        <w:ind w:left="300" w:right="579" w:firstLine="360"/>
        <w:spacing w:after="0" w:line="263" w:lineRule="auto"/>
        <w:rPr>
          <w:sz w:val="20"/>
          <w:szCs w:val="20"/>
          <w:color w:val="auto"/>
        </w:rPr>
      </w:pPr>
      <w:r>
        <w:rPr>
          <w:rFonts w:ascii="Arial" w:cs="Arial" w:eastAsia="Arial" w:hAnsi="Arial"/>
          <w:sz w:val="18"/>
          <w:szCs w:val="18"/>
          <w:color w:val="auto"/>
        </w:rPr>
        <w:t>The following table sets forth the best estimate of TechnipFMC plc as to its anticipated expenses and costs (other than underwriting discounts and commissions) expected to be incurred in connection with a distribution of securities registered hereby:</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358"/>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9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FINRA Filing Fee</w:t>
            </w:r>
          </w:p>
        </w:tc>
        <w:tc>
          <w:tcPr>
            <w:tcW w:w="2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54"/>
        </w:trPr>
        <w:tc>
          <w:tcPr>
            <w:tcW w:w="514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6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54"/>
        </w:trPr>
        <w:tc>
          <w:tcPr>
            <w:tcW w:w="514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6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Blue Sky Fees and Expenses</w:t>
            </w:r>
          </w:p>
        </w:tc>
        <w:tc>
          <w:tcPr>
            <w:tcW w:w="2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54"/>
        </w:trPr>
        <w:tc>
          <w:tcPr>
            <w:tcW w:w="514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 Agent Fees and Expenses</w:t>
            </w:r>
          </w:p>
        </w:tc>
        <w:tc>
          <w:tcPr>
            <w:tcW w:w="26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Rating Agency Fees and Expenses</w:t>
            </w:r>
          </w:p>
        </w:tc>
        <w:tc>
          <w:tcPr>
            <w:tcW w:w="2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54"/>
        </w:trPr>
        <w:tc>
          <w:tcPr>
            <w:tcW w:w="514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Trustee Fees and Expenses</w:t>
            </w:r>
          </w:p>
        </w:tc>
        <w:tc>
          <w:tcPr>
            <w:tcW w:w="26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Miscellaneous</w:t>
            </w:r>
          </w:p>
        </w:tc>
        <w:tc>
          <w:tcPr>
            <w:tcW w:w="2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48"/>
        </w:trPr>
        <w:tc>
          <w:tcPr>
            <w:tcW w:w="514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r>
      <w:tr>
        <w:trPr>
          <w:trHeight w:val="311"/>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6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31" w:lineRule="exact"/>
        <w:rPr>
          <w:sz w:val="20"/>
          <w:szCs w:val="20"/>
          <w:color w:val="auto"/>
        </w:rPr>
      </w:pPr>
    </w:p>
    <w:p>
      <w:pPr>
        <w:ind w:left="640" w:right="439" w:hanging="348"/>
        <w:spacing w:after="0" w:line="253" w:lineRule="auto"/>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Pursuant to Rules 456(b) and 457(r) under the Securities Act of 1933, as amended, the SEC registration fee will be paid at the time of any particular offering of securities under the registration statement, and is therefore not currently determinable.</w:t>
      </w:r>
    </w:p>
    <w:p>
      <w:pPr>
        <w:spacing w:after="0" w:line="12" w:lineRule="exact"/>
        <w:rPr>
          <w:sz w:val="20"/>
          <w:szCs w:val="20"/>
          <w:color w:val="auto"/>
        </w:rPr>
      </w:pPr>
    </w:p>
    <w:p>
      <w:pPr>
        <w:ind w:left="640" w:right="319" w:hanging="348"/>
        <w:spacing w:after="0" w:line="238" w:lineRule="auto"/>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These fees are calculated based upon the number of issuances and amount of securities offered and thus cannot be estimated at this time. An estimate of the aggregate expenses in connection with the issuance and distribution of the securities being offered will be included in the applicable prospectus supplement.</w:t>
      </w:r>
    </w:p>
    <w:p>
      <w:pPr>
        <w:spacing w:after="0" w:line="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Directors and Officers.</w:t>
      </w:r>
    </w:p>
    <w:p>
      <w:pPr>
        <w:spacing w:after="0" w:line="121"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TechnipFMC plc is a limited company incorporated under the laws of England and Wales. Chapter 7 of Part 10 of the U.K. Companies Act 2006, or the U.K. Companies Act, contains provisions relating to directors’ liability. The description below relates to the insurance and indemnification arrangements TechnipFMC plc provides to its officers and directors in such capacities. All statutory references in this Item 15 are to the U.K. Companies Act.</w:t>
      </w:r>
    </w:p>
    <w:p>
      <w:pPr>
        <w:spacing w:after="0" w:line="49" w:lineRule="exact"/>
        <w:rPr>
          <w:sz w:val="20"/>
          <w:szCs w:val="20"/>
          <w:color w:val="auto"/>
        </w:rPr>
      </w:pPr>
    </w:p>
    <w:p>
      <w:pPr>
        <w:ind w:left="300" w:right="439" w:firstLine="360"/>
        <w:spacing w:after="0" w:line="263" w:lineRule="auto"/>
        <w:rPr>
          <w:sz w:val="20"/>
          <w:szCs w:val="20"/>
          <w:color w:val="auto"/>
        </w:rPr>
      </w:pPr>
      <w:r>
        <w:rPr>
          <w:rFonts w:ascii="Arial" w:cs="Arial" w:eastAsia="Arial" w:hAnsi="Arial"/>
          <w:sz w:val="18"/>
          <w:szCs w:val="18"/>
          <w:color w:val="auto"/>
        </w:rPr>
        <w:t>Section 232(1) makes void any provision that purports to exempt a director of a company (to any extent) from any liability that would otherwise attach to her/him in connection with any negligence, default, breach of duty or breach of trust in relation to the company.</w:t>
      </w:r>
    </w:p>
    <w:p>
      <w:pPr>
        <w:spacing w:after="0" w:line="76" w:lineRule="exact"/>
        <w:rPr>
          <w:sz w:val="20"/>
          <w:szCs w:val="20"/>
          <w:color w:val="auto"/>
        </w:rPr>
      </w:pPr>
    </w:p>
    <w:p>
      <w:pPr>
        <w:jc w:val="both"/>
        <w:ind w:left="300" w:right="439" w:firstLine="360"/>
        <w:spacing w:after="0" w:line="259" w:lineRule="auto"/>
        <w:rPr>
          <w:sz w:val="20"/>
          <w:szCs w:val="20"/>
          <w:color w:val="auto"/>
        </w:rPr>
      </w:pPr>
      <w:r>
        <w:rPr>
          <w:rFonts w:ascii="Arial" w:cs="Arial" w:eastAsia="Arial" w:hAnsi="Arial"/>
          <w:sz w:val="18"/>
          <w:szCs w:val="18"/>
          <w:color w:val="auto"/>
        </w:rPr>
        <w:t>Section 232(2) makes void any provision by which a company directly or indirectly provides an indemnity (to any extent) for a director of the company, or of an associated company, against any liability attaching to him or her in connection with any negligence, default, breach of duty or breach of trust in relation to the company of which he or she is a director, except if permitted as:</w:t>
      </w:r>
    </w:p>
    <w:p>
      <w:pPr>
        <w:spacing w:after="0" w:line="79" w:lineRule="exact"/>
        <w:rPr>
          <w:sz w:val="20"/>
          <w:szCs w:val="20"/>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liability insurance within Section 233;</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qualifying third-party indemnity provisions falling within Section 234;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qualifying pension scheme indemnity provision under Section 235.</w:t>
      </w:r>
    </w:p>
    <w:p>
      <w:pPr>
        <w:spacing w:after="0" w:line="117" w:lineRule="exact"/>
        <w:rPr>
          <w:sz w:val="20"/>
          <w:szCs w:val="20"/>
          <w:color w:val="auto"/>
        </w:rPr>
      </w:pPr>
    </w:p>
    <w:p>
      <w:pPr>
        <w:ind w:left="300" w:right="339" w:firstLine="360"/>
        <w:spacing w:after="0" w:line="311" w:lineRule="auto"/>
        <w:rPr>
          <w:sz w:val="20"/>
          <w:szCs w:val="20"/>
          <w:color w:val="auto"/>
        </w:rPr>
      </w:pPr>
      <w:r>
        <w:rPr>
          <w:rFonts w:ascii="Arial" w:cs="Arial" w:eastAsia="Arial" w:hAnsi="Arial"/>
          <w:sz w:val="16"/>
          <w:szCs w:val="16"/>
          <w:color w:val="auto"/>
        </w:rPr>
        <w:t>Section 233 permits liability insurance, commonly known as directors’ and officers’ liability insurance, to be purchased and maintained by a company for a director of that company or of an associated company against liability for negligence, default, breach of duty or breach of trust in relation to the company of which he or she is a director.</w:t>
      </w:r>
    </w:p>
    <w:p>
      <w:pPr>
        <w:spacing w:after="0" w:line="41"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Section 234 allows TechnipFMC plc to provide an indemnity against liability incurred by a director to someone other than TechnipFMC plc or an associated company of TechnipFMC plc. Such an indemnity does not permit indemnification against liability to pay criminal fines or a sum payable to a regulatory authority by way of a penalty in respect of non-compliance with any requirement of a regulatory nature or the costs of defense of criminal proceedings in which such director is convicted or civil proceedings brought by TechnipFMC plc, or 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spacing w:after="0" w:line="259" w:lineRule="auto"/>
        <w:rPr>
          <w:sz w:val="20"/>
          <w:szCs w:val="20"/>
          <w:color w:val="auto"/>
        </w:rPr>
      </w:pPr>
      <w:r>
        <w:rPr>
          <w:rFonts w:ascii="Arial" w:cs="Arial" w:eastAsia="Arial" w:hAnsi="Arial"/>
          <w:sz w:val="18"/>
          <w:szCs w:val="18"/>
          <w:color w:val="auto"/>
        </w:rPr>
        <w:t>associated company, in which judgment is given against such director or application for relief under Sections 661 (power of court to grant relief in case of acquisition of shares by innocent nominee) or 1157 (general power of court to grant relief in case of honest and reasonable conduct) of the U.K. Companies Act, in which the court refuses to grant him or her relief.</w:t>
      </w:r>
    </w:p>
    <w:p>
      <w:pPr>
        <w:spacing w:after="0" w:line="79"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Section 235 allows TechnipFMC plc to provide indemnification to a director that is a trustee of an occupational pension scheme against liability incurred in connection with the company’s activities as trustee of the scheme. Such provision does not permit indemnification against liability to pay criminal fines or a sum payable to a regulatory authority by way of a penalty in respect of non-compliance with any requirement of a regulatory nature or the costs of an unsuccessful defense of criminal proceedings.</w:t>
      </w:r>
    </w:p>
    <w:p>
      <w:pPr>
        <w:spacing w:after="0" w:line="80" w:lineRule="exact"/>
        <w:rPr>
          <w:sz w:val="20"/>
          <w:szCs w:val="20"/>
          <w:color w:val="auto"/>
        </w:rPr>
      </w:pPr>
    </w:p>
    <w:p>
      <w:pPr>
        <w:ind w:left="300" w:right="359" w:firstLine="360"/>
        <w:spacing w:after="0" w:line="279" w:lineRule="auto"/>
        <w:rPr>
          <w:sz w:val="20"/>
          <w:szCs w:val="20"/>
          <w:color w:val="auto"/>
        </w:rPr>
      </w:pPr>
      <w:r>
        <w:rPr>
          <w:rFonts w:ascii="Arial" w:cs="Arial" w:eastAsia="Arial" w:hAnsi="Arial"/>
          <w:sz w:val="17"/>
          <w:szCs w:val="17"/>
          <w:color w:val="auto"/>
        </w:rPr>
        <w:t>Any indemnity provided under Section 234 or Section 235 must be disclosed in the company’s annual report in accordance with Section 236 and copies of such indemnification provisions made available for inspection at TechnipFMC plc’s registered office or otherwise in accordance with Section 237 (and every shareholder has a right to inspect and request such copies under Section 238 free of charge).</w:t>
      </w:r>
    </w:p>
    <w:p>
      <w:pPr>
        <w:spacing w:after="0" w:line="63" w:lineRule="exact"/>
        <w:rPr>
          <w:sz w:val="20"/>
          <w:szCs w:val="20"/>
          <w:color w:val="auto"/>
        </w:rPr>
      </w:pPr>
    </w:p>
    <w:p>
      <w:pPr>
        <w:ind w:left="300" w:right="779" w:firstLine="360"/>
        <w:spacing w:after="0" w:line="286" w:lineRule="auto"/>
        <w:rPr>
          <w:sz w:val="20"/>
          <w:szCs w:val="20"/>
          <w:color w:val="auto"/>
        </w:rPr>
      </w:pPr>
      <w:r>
        <w:rPr>
          <w:rFonts w:ascii="Arial" w:cs="Arial" w:eastAsia="Arial" w:hAnsi="Arial"/>
          <w:sz w:val="17"/>
          <w:szCs w:val="17"/>
          <w:color w:val="auto"/>
        </w:rPr>
        <w:t>Conduct of a director amounting to negligence, default, breach of duty or breach of trust in relation to the company can be ratified, in accordance with Section 239, by a resolution of the shareholders of the company, disregarding the votes of the director (if a shareholder) and any connected shareholder.</w:t>
      </w:r>
    </w:p>
    <w:p>
      <w:pPr>
        <w:spacing w:after="0" w:line="57"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The TechnipFMC plc Articles of Association, or the TechnipFMC plc Articles, provide that, subject to the U.K. Companies Act and applicable law, TechnipFMC plc shall exercise all the powers of the company to indemnify any person who is or was a director of TechnipFMC plc or of any associated company against any loss or liability incurred by him or her whether in connection with any negligence, default, breach of duty or breach of trust by him or her or otherwise, in relation to TechnipFMC plc or any associated company, and/ or any person who is or was a director of an associated company that is a trustee of an occupational pension scheme, against any liability incurred by him or her in connection with the company’s activities as trustee of an occupational pension scheme.</w:t>
      </w:r>
    </w:p>
    <w:p>
      <w:pPr>
        <w:spacing w:after="0" w:line="58" w:lineRule="exact"/>
        <w:rPr>
          <w:sz w:val="20"/>
          <w:szCs w:val="20"/>
          <w:color w:val="auto"/>
        </w:rPr>
      </w:pPr>
    </w:p>
    <w:p>
      <w:pPr>
        <w:ind w:left="300" w:right="419" w:firstLine="360"/>
        <w:spacing w:after="0" w:line="269" w:lineRule="auto"/>
        <w:rPr>
          <w:sz w:val="20"/>
          <w:szCs w:val="20"/>
          <w:color w:val="auto"/>
        </w:rPr>
      </w:pPr>
      <w:r>
        <w:rPr>
          <w:rFonts w:ascii="Arial" w:cs="Arial" w:eastAsia="Arial" w:hAnsi="Arial"/>
          <w:sz w:val="17"/>
          <w:szCs w:val="17"/>
          <w:color w:val="auto"/>
        </w:rPr>
        <w:t>The TechnipFMC plc Articles also provide that, subject to the U.K. Companies Act, TechnipFMC plc may exercise all the powers of the company to purchase and maintain insurance for or for the benefit of any person who is or was: a director, officer or employee of TechnipFMC plc, or any corporate entity which is or was the holding company or subsidiary undertaking of TechnipFMC plc, or in which TechnipFMC plc or such holding company or subsidiary undertaking has or had any interest or with which TechnipFMC plc or such holding company or subsidiary undertaking is or was in any way allied or associated; or a trustee of any pension fund in which employees of the company or any other body referred to are or have been interested. This includes, without limitation, insurance against any loss or liability or any expenditure such director, officer or employee may incur, whether in connection with any proven or alleged act or omission in the actual or purported execution or discharge of his or her duties or in the exercise or purported exercise of his or her powers or otherwise in relation to his or her duties, powers or offices, whether comprising negligence, default, breach of duty, breach of trust or otherwise, in relation to the relevant body or fund.</w:t>
      </w:r>
    </w:p>
    <w:p>
      <w:pPr>
        <w:spacing w:after="0" w:line="71" w:lineRule="exact"/>
        <w:rPr>
          <w:sz w:val="20"/>
          <w:szCs w:val="20"/>
          <w:color w:val="auto"/>
        </w:rPr>
      </w:pPr>
    </w:p>
    <w:p>
      <w:pPr>
        <w:ind w:left="300" w:right="359" w:firstLine="360"/>
        <w:spacing w:after="0" w:line="283" w:lineRule="auto"/>
        <w:rPr>
          <w:sz w:val="20"/>
          <w:szCs w:val="20"/>
          <w:color w:val="auto"/>
        </w:rPr>
      </w:pPr>
      <w:r>
        <w:rPr>
          <w:rFonts w:ascii="Arial" w:cs="Arial" w:eastAsia="Arial" w:hAnsi="Arial"/>
          <w:sz w:val="16"/>
          <w:szCs w:val="16"/>
          <w:color w:val="auto"/>
        </w:rPr>
        <w:t>The business combination agreement, dated as of June 14, 2016, by and among FMC Technologies, Inc., FMC Technologies SIS Limited and Technip S.A., as amended, or the Business Combination Agreement, provides that, for a period of six years from and after completion of the mergers effected in accordance with the Business Combination Agreement, or the Mergers, TechnipFMC plc will indemnify and hold harmless and provide advancement of expenses to each past and present (as of completion of the Mergers) director, officer and employee of FMC Technologies, Inc., Technip S.A. or any of their subsidiaries against all costs or expenses (including reasonable attorney’s fees and disbursements), judgments, inquiries, fines, losses, claims, damages or liabilities incurred by such individual in connection with any civil, criminal, administrative or investigative proceeding arising out of or pertaining to any act or omission of such director, officer or employee prior to completion of the Mergers</w:t>
      </w:r>
    </w:p>
    <w:p>
      <w:pPr>
        <w:spacing w:after="0" w:line="6" w:lineRule="exact"/>
        <w:rPr>
          <w:sz w:val="20"/>
          <w:szCs w:val="20"/>
          <w:color w:val="auto"/>
        </w:rPr>
      </w:pPr>
    </w:p>
    <w:p>
      <w:pPr>
        <w:ind w:left="300" w:right="359" w:hanging="8"/>
        <w:spacing w:after="0" w:line="253" w:lineRule="auto"/>
        <w:tabs>
          <w:tab w:leader="none" w:pos="5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each case, to the same extent as such person is indemnified or has the right to advancement of expenses as of the date of the memorandum of understanding by FMC Technologies, Inc., Technip S.A. or their subsidiaries, as applicable, pursuant to the organizational documents and indemnification agreements thereof and (ii) with respect to directors and officers, to the fullest extent permitted by applicable law for acts or omissions occurring at or prior to completion of the Mergers.</w:t>
      </w:r>
    </w:p>
    <w:p>
      <w:pPr>
        <w:spacing w:after="0" w:line="83" w:lineRule="exact"/>
        <w:rPr>
          <w:sz w:val="20"/>
          <w:szCs w:val="20"/>
          <w:color w:val="auto"/>
        </w:rPr>
      </w:pPr>
    </w:p>
    <w:p>
      <w:pPr>
        <w:ind w:left="300" w:right="819" w:firstLine="360"/>
        <w:spacing w:after="0" w:line="342" w:lineRule="auto"/>
        <w:rPr>
          <w:sz w:val="20"/>
          <w:szCs w:val="20"/>
          <w:color w:val="auto"/>
        </w:rPr>
      </w:pPr>
      <w:r>
        <w:rPr>
          <w:rFonts w:ascii="Arial" w:cs="Arial" w:eastAsia="Arial" w:hAnsi="Arial"/>
          <w:sz w:val="16"/>
          <w:szCs w:val="16"/>
          <w:color w:val="auto"/>
        </w:rPr>
        <w:t>The Business Combination Agreement further provides that, for a period of not less than six years after completion of the Mergers, the organizational documents of TechnipFMC plc (and any successor thereto) will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86" w:lineRule="auto"/>
        <w:rPr>
          <w:sz w:val="20"/>
          <w:szCs w:val="20"/>
          <w:color w:val="auto"/>
        </w:rPr>
      </w:pPr>
      <w:r>
        <w:rPr>
          <w:rFonts w:ascii="Arial" w:cs="Arial" w:eastAsia="Arial" w:hAnsi="Arial"/>
          <w:sz w:val="16"/>
          <w:szCs w:val="16"/>
          <w:color w:val="auto"/>
        </w:rPr>
        <w:t>contain provisions providing for the elimination of liability of directors, indemnification of officers and directors and advancement of expenses to the fullest extent permitted by applicable law. Additionally, for the benefit of Technip S.A.’s and FMC Technologies, Inc.’s directors and officers, TechnipFMC plc shall cause to be maintained for a period of six years after completion of the Mergers the policies of directors’ and officers’ liability insurance and fiduciary liability insurance previously maintained by Technip S.A. and FMC Technologies, Inc. (provided, that TechnipFMC plc (or its successor) may substitute another policy with at least the same coverage and amounts containing terms and conditions which are, in the aggregate, no less advantageous to the insured) with respect to claims arising from facts or events that occurred on or before completion of the Mergers; provided, however, that TechnipFMC plc is not required to spend more than 200% of the annual premiums then payable by Technip S.A. or FMC Technologies, Inc., as applicable, for such insurance annually. Alternatively, TechnipFMC plc may purchase a six year “tail” prepaid policy; provided, that the aggregate amount paid by TechnipFMC plc shall not exceed 1200% of the annual premiums then payable by Technip S.A. or FMC Technologies, Inc., as applicable, for their then current policies of directors’ and officers’ liability insurance and fiduciary liability insurance annually.</w:t>
      </w:r>
    </w:p>
    <w:p>
      <w:pPr>
        <w:spacing w:after="0" w:line="66" w:lineRule="exact"/>
        <w:rPr>
          <w:sz w:val="20"/>
          <w:szCs w:val="20"/>
          <w:color w:val="auto"/>
        </w:rPr>
      </w:pPr>
    </w:p>
    <w:p>
      <w:pPr>
        <w:ind w:left="300" w:right="419" w:firstLine="360"/>
        <w:spacing w:after="0" w:line="275" w:lineRule="auto"/>
        <w:rPr>
          <w:sz w:val="20"/>
          <w:szCs w:val="20"/>
          <w:color w:val="auto"/>
        </w:rPr>
      </w:pPr>
      <w:r>
        <w:rPr>
          <w:rFonts w:ascii="Arial" w:cs="Arial" w:eastAsia="Arial" w:hAnsi="Arial"/>
          <w:sz w:val="17"/>
          <w:szCs w:val="17"/>
          <w:color w:val="auto"/>
        </w:rPr>
        <w:t>We are also party to deeds of indemnity with our directors and executive officers to indemnify them to the fullest extent allowed under applicable law. These agreements indemnify these individuals against certain costs, charges, losses, liabilities, damages and expenses incurred by such director or officer in connection with the actual or purported exercise of, or failure to exercise or alleged failure to exercise, any of the such person’s powers, duties or responsibilities as a director or officer of TechnipFMC plc or any of its subsidiaries.</w:t>
      </w:r>
    </w:p>
    <w:p>
      <w:pPr>
        <w:spacing w:after="0" w:line="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w:t>
      </w:r>
      <w:r>
        <w:rPr>
          <w:rFonts w:ascii="Arial" w:cs="Arial" w:eastAsia="Arial" w:hAnsi="Arial"/>
          <w:sz w:val="18"/>
          <w:szCs w:val="18"/>
          <w:color w:val="auto"/>
        </w:rPr>
        <w:t>.</w:t>
      </w:r>
    </w:p>
    <w:p>
      <w:pPr>
        <w:spacing w:after="0" w:line="121" w:lineRule="exact"/>
        <w:rPr>
          <w:sz w:val="20"/>
          <w:szCs w:val="20"/>
          <w:color w:val="auto"/>
        </w:rPr>
      </w:pPr>
    </w:p>
    <w:p>
      <w:pPr>
        <w:ind w:left="300" w:right="539" w:firstLine="360"/>
        <w:spacing w:after="0" w:line="277" w:lineRule="auto"/>
        <w:rPr>
          <w:sz w:val="20"/>
          <w:szCs w:val="20"/>
          <w:color w:val="auto"/>
        </w:rPr>
      </w:pPr>
      <w:r>
        <w:rPr>
          <w:rFonts w:ascii="Arial" w:cs="Arial" w:eastAsia="Arial" w:hAnsi="Arial"/>
          <w:sz w:val="18"/>
          <w:szCs w:val="18"/>
          <w:color w:val="auto"/>
        </w:rPr>
        <w:t>The exhibits listed in the accompanying Exhibit Index are filed (except where otherwise indicated) as part of this registration statement.</w:t>
      </w:r>
    </w:p>
    <w:p>
      <w:pPr>
        <w:spacing w:after="0" w:line="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r>
        <w:rPr>
          <w:rFonts w:ascii="Arial" w:cs="Arial" w:eastAsia="Arial" w:hAnsi="Arial"/>
          <w:sz w:val="18"/>
          <w:szCs w:val="18"/>
          <w:color w:val="auto"/>
        </w:rPr>
        <w: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300" w:right="719" w:firstLine="352"/>
        <w:spacing w:after="0" w:line="277" w:lineRule="auto"/>
        <w:tabs>
          <w:tab w:leader="none" w:pos="10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62" w:lineRule="exact"/>
        <w:rPr>
          <w:rFonts w:ascii="Arial" w:cs="Arial" w:eastAsia="Arial" w:hAnsi="Arial"/>
          <w:sz w:val="18"/>
          <w:szCs w:val="18"/>
          <w:color w:val="auto"/>
        </w:rPr>
      </w:pPr>
    </w:p>
    <w:p>
      <w:pPr>
        <w:ind w:left="660" w:right="399" w:firstLine="352"/>
        <w:spacing w:after="0" w:line="277" w:lineRule="auto"/>
        <w:tabs>
          <w:tab w:leader="none" w:pos="141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or the Securities Act;</w:t>
      </w:r>
    </w:p>
    <w:p>
      <w:pPr>
        <w:spacing w:after="0" w:line="62" w:lineRule="exact"/>
        <w:rPr>
          <w:rFonts w:ascii="Arial" w:cs="Arial" w:eastAsia="Arial" w:hAnsi="Arial"/>
          <w:sz w:val="18"/>
          <w:szCs w:val="18"/>
          <w:color w:val="auto"/>
        </w:rPr>
      </w:pPr>
    </w:p>
    <w:p>
      <w:pPr>
        <w:ind w:left="660" w:right="359" w:firstLine="352"/>
        <w:spacing w:after="0" w:line="270" w:lineRule="auto"/>
        <w:tabs>
          <w:tab w:leader="none" w:pos="1410" w:val="left"/>
        </w:tabs>
        <w:numPr>
          <w:ilvl w:val="1"/>
          <w:numId w:val="20"/>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72" w:lineRule="exact"/>
        <w:rPr>
          <w:rFonts w:ascii="Arial" w:cs="Arial" w:eastAsia="Arial" w:hAnsi="Arial"/>
          <w:sz w:val="17"/>
          <w:szCs w:val="17"/>
          <w:color w:val="auto"/>
        </w:rPr>
      </w:pPr>
    </w:p>
    <w:p>
      <w:pPr>
        <w:ind w:left="660" w:right="479" w:firstLine="352"/>
        <w:spacing w:after="0" w:line="342" w:lineRule="auto"/>
        <w:tabs>
          <w:tab w:leader="none" w:pos="141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6" w:lineRule="exact"/>
        <w:rPr>
          <w:sz w:val="20"/>
          <w:szCs w:val="20"/>
          <w:color w:val="auto"/>
        </w:rPr>
      </w:pPr>
    </w:p>
    <w:p>
      <w:pPr>
        <w:ind w:left="300" w:right="359"/>
        <w:spacing w:after="0" w:line="296" w:lineRule="auto"/>
        <w:rPr>
          <w:sz w:val="20"/>
          <w:szCs w:val="20"/>
          <w:color w:val="auto"/>
        </w:rPr>
      </w:pPr>
      <w:r>
        <w:rPr>
          <w:rFonts w:ascii="Arial" w:cs="Arial" w:eastAsia="Arial" w:hAnsi="Arial"/>
          <w:sz w:val="16"/>
          <w:szCs w:val="16"/>
          <w:color w:val="auto"/>
        </w:rPr>
        <w:t>provided, however, that the undertakings set forth in paragraphs (a)(1), (a)(2) and (a)(3) above do not apply if the information required to be included in a post-effective amendment by those paragraphs is contained in reports filed with or furnished to the SEC by the registrant pursuant to Section 13 or Section 15(d) of the Securities Exchange Act of 1934, as amended, or the Exchange Act, that are incorporated by reference in this registration statement, or is contained in a form of prospectus filed pursuant to Rule 424(b) that is a part of this registration statement.</w:t>
      </w:r>
    </w:p>
    <w:p>
      <w:pPr>
        <w:spacing w:after="0" w:line="53" w:lineRule="exact"/>
        <w:rPr>
          <w:sz w:val="20"/>
          <w:szCs w:val="20"/>
          <w:color w:val="auto"/>
        </w:rPr>
      </w:pPr>
    </w:p>
    <w:p>
      <w:pPr>
        <w:ind w:left="300" w:right="299" w:firstLine="352"/>
        <w:spacing w:after="0" w:line="311" w:lineRule="auto"/>
        <w:tabs>
          <w:tab w:leader="none" w:pos="105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firstLine="352"/>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6" w:lineRule="exact"/>
        <w:rPr>
          <w:rFonts w:ascii="Arial" w:cs="Arial" w:eastAsia="Arial" w:hAnsi="Arial"/>
          <w:sz w:val="18"/>
          <w:szCs w:val="18"/>
          <w:color w:val="auto"/>
        </w:rPr>
      </w:pPr>
    </w:p>
    <w:p>
      <w:pPr>
        <w:ind w:left="1040" w:hanging="388"/>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660" w:right="519" w:firstLine="352"/>
        <w:spacing w:after="0" w:line="263" w:lineRule="auto"/>
        <w:tabs>
          <w:tab w:leader="none" w:pos="141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660" w:right="299" w:firstLine="352"/>
        <w:spacing w:after="0" w:line="286" w:lineRule="auto"/>
        <w:tabs>
          <w:tab w:leader="none" w:pos="141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62" w:lineRule="exact"/>
        <w:rPr>
          <w:rFonts w:ascii="Arial" w:cs="Arial" w:eastAsia="Arial" w:hAnsi="Arial"/>
          <w:sz w:val="16"/>
          <w:szCs w:val="16"/>
          <w:color w:val="auto"/>
        </w:rPr>
      </w:pPr>
    </w:p>
    <w:p>
      <w:pPr>
        <w:ind w:left="300" w:right="379" w:firstLine="352"/>
        <w:spacing w:after="0" w:line="273"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9" w:lineRule="exact"/>
        <w:rPr>
          <w:rFonts w:ascii="Arial" w:cs="Arial" w:eastAsia="Arial" w:hAnsi="Arial"/>
          <w:sz w:val="17"/>
          <w:szCs w:val="17"/>
          <w:color w:val="auto"/>
        </w:rPr>
      </w:pPr>
    </w:p>
    <w:p>
      <w:pPr>
        <w:ind w:left="660" w:right="879" w:firstLine="352"/>
        <w:spacing w:after="0" w:line="277" w:lineRule="auto"/>
        <w:tabs>
          <w:tab w:leader="none" w:pos="141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62" w:lineRule="exact"/>
        <w:rPr>
          <w:rFonts w:ascii="Arial" w:cs="Arial" w:eastAsia="Arial" w:hAnsi="Arial"/>
          <w:sz w:val="18"/>
          <w:szCs w:val="18"/>
          <w:color w:val="auto"/>
        </w:rPr>
      </w:pPr>
    </w:p>
    <w:p>
      <w:pPr>
        <w:ind w:left="660" w:right="839" w:firstLine="352"/>
        <w:spacing w:after="0" w:line="277" w:lineRule="auto"/>
        <w:tabs>
          <w:tab w:leader="none" w:pos="141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an undersigned registrant or used or referred to by the undersigned registrant;</w:t>
      </w:r>
    </w:p>
    <w:p>
      <w:pPr>
        <w:spacing w:after="0" w:line="62" w:lineRule="exact"/>
        <w:rPr>
          <w:rFonts w:ascii="Arial" w:cs="Arial" w:eastAsia="Arial" w:hAnsi="Arial"/>
          <w:sz w:val="18"/>
          <w:szCs w:val="18"/>
          <w:color w:val="auto"/>
        </w:rPr>
      </w:pPr>
    </w:p>
    <w:p>
      <w:pPr>
        <w:ind w:left="660" w:right="819" w:firstLine="352"/>
        <w:spacing w:after="0" w:line="263" w:lineRule="auto"/>
        <w:tabs>
          <w:tab w:leader="none" w:pos="141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1400" w:hanging="388"/>
        <w:spacing w:after="0"/>
        <w:tabs>
          <w:tab w:leader="none" w:pos="14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registrant to the purchaser.</w:t>
      </w:r>
    </w:p>
    <w:p>
      <w:pPr>
        <w:spacing w:after="0" w:line="128" w:lineRule="exact"/>
        <w:rPr>
          <w:rFonts w:ascii="Arial" w:cs="Arial" w:eastAsia="Arial" w:hAnsi="Arial"/>
          <w:sz w:val="17"/>
          <w:szCs w:val="17"/>
          <w:color w:val="auto"/>
        </w:rPr>
      </w:pPr>
    </w:p>
    <w:p>
      <w:pPr>
        <w:ind w:left="300" w:right="419" w:firstLine="352"/>
        <w:spacing w:after="0" w:line="293" w:lineRule="auto"/>
        <w:tabs>
          <w:tab w:leader="none" w:pos="1016"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56" w:lineRule="exact"/>
        <w:rPr>
          <w:rFonts w:ascii="Arial" w:cs="Arial" w:eastAsia="Arial" w:hAnsi="Arial"/>
          <w:sz w:val="16"/>
          <w:szCs w:val="16"/>
          <w:color w:val="auto"/>
        </w:rPr>
      </w:pPr>
    </w:p>
    <w:p>
      <w:pPr>
        <w:ind w:left="300" w:right="379" w:firstLine="352"/>
        <w:spacing w:after="0" w:line="272" w:lineRule="auto"/>
        <w:tabs>
          <w:tab w:leader="none" w:pos="105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311" w:lineRule="auto"/>
        <w:rPr>
          <w:sz w:val="20"/>
          <w:szCs w:val="20"/>
          <w:color w:val="auto"/>
        </w:rPr>
      </w:pPr>
      <w:r>
        <w:rPr>
          <w:rFonts w:ascii="Arial" w:cs="Arial" w:eastAsia="Arial" w:hAnsi="Arial"/>
          <w:sz w:val="16"/>
          <w:szCs w:val="16"/>
          <w:color w:val="auto"/>
        </w:rPr>
        <w:t>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95" w:lineRule="exact"/>
        <w:rPr>
          <w:sz w:val="20"/>
          <w:szCs w:val="20"/>
          <w:color w:val="auto"/>
        </w:rPr>
      </w:pPr>
    </w:p>
    <w:p>
      <w:pPr>
        <w:ind w:left="1040" w:hanging="388"/>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660" w:right="479" w:firstLine="352"/>
        <w:spacing w:after="0" w:line="257" w:lineRule="auto"/>
        <w:tabs>
          <w:tab w:leader="none" w:pos="1410" w:val="left"/>
        </w:tabs>
        <w:numPr>
          <w:ilvl w:val="1"/>
          <w:numId w:val="2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79" w:lineRule="exact"/>
        <w:rPr>
          <w:rFonts w:ascii="Arial" w:cs="Arial" w:eastAsia="Arial" w:hAnsi="Arial"/>
          <w:sz w:val="18"/>
          <w:szCs w:val="18"/>
          <w:color w:val="auto"/>
        </w:rPr>
      </w:pPr>
    </w:p>
    <w:p>
      <w:pPr>
        <w:jc w:val="both"/>
        <w:ind w:left="660" w:right="819" w:firstLine="352"/>
        <w:spacing w:after="0" w:line="259" w:lineRule="auto"/>
        <w:tabs>
          <w:tab w:leader="none" w:pos="1410" w:val="left"/>
        </w:tabs>
        <w:numPr>
          <w:ilvl w:val="1"/>
          <w:numId w:val="2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0" w:type="dxa"/>
            <w:vAlign w:val="bottom"/>
          </w:tcPr>
          <w:p>
            <w:pPr>
              <w:ind w:left="26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23"/>
        </w:trPr>
        <w:tc>
          <w:tcPr>
            <w:tcW w:w="620" w:type="dxa"/>
            <w:vAlign w:val="bottom"/>
          </w:tcPr>
          <w:p>
            <w:pPr>
              <w:ind w:left="60"/>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24"/>
                <w:szCs w:val="24"/>
                <w:color w:val="auto"/>
              </w:rPr>
            </w:pPr>
          </w:p>
        </w:tc>
        <w:tc>
          <w:tcPr>
            <w:tcW w:w="7600" w:type="dxa"/>
            <w:vAlign w:val="bottom"/>
            <w:vMerge w:val="restart"/>
          </w:tcPr>
          <w:p>
            <w:pPr>
              <w:ind w:left="34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620" w:type="dxa"/>
            <w:vAlign w:val="bottom"/>
          </w:tcPr>
          <w:p>
            <w:pPr>
              <w:ind w:left="6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6"/>
                <w:szCs w:val="16"/>
                <w:color w:val="auto"/>
              </w:rPr>
            </w:pPr>
          </w:p>
        </w:tc>
        <w:tc>
          <w:tcPr>
            <w:tcW w:w="7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6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7"/>
        </w:trPr>
        <w:tc>
          <w:tcPr>
            <w:tcW w:w="620" w:type="dxa"/>
            <w:vAlign w:val="bottom"/>
          </w:tcPr>
          <w:p>
            <w:pPr>
              <w:jc w:val="center"/>
              <w:spacing w:after="0"/>
              <w:rPr>
                <w:sz w:val="20"/>
                <w:szCs w:val="20"/>
                <w:color w:val="auto"/>
              </w:rPr>
            </w:pPr>
            <w:r>
              <w:rPr>
                <w:rFonts w:ascii="Arial" w:cs="Arial" w:eastAsia="Arial" w:hAnsi="Arial"/>
                <w:sz w:val="18"/>
                <w:szCs w:val="18"/>
                <w:color w:val="auto"/>
                <w:w w:val="92"/>
              </w:rPr>
              <w:t>1.1</w:t>
            </w:r>
            <w:r>
              <w:rPr>
                <w:rFonts w:ascii="Arial" w:cs="Arial" w:eastAsia="Arial" w:hAnsi="Arial"/>
                <w:sz w:val="29"/>
                <w:szCs w:val="29"/>
                <w:color w:val="auto"/>
                <w:w w:val="92"/>
                <w:vertAlign w:val="superscript"/>
              </w:rPr>
              <w:t>*</w:t>
            </w: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Form of Underwriting Agreement for each of the securities registered hereby.</w:t>
            </w:r>
          </w:p>
        </w:tc>
        <w:tc>
          <w:tcPr>
            <w:tcW w:w="0" w:type="dxa"/>
            <w:vAlign w:val="bottom"/>
          </w:tcPr>
          <w:p>
            <w:pPr>
              <w:spacing w:after="0"/>
              <w:rPr>
                <w:sz w:val="1"/>
                <w:szCs w:val="1"/>
                <w:color w:val="auto"/>
              </w:rPr>
            </w:pPr>
          </w:p>
        </w:tc>
      </w:tr>
      <w:tr>
        <w:trPr>
          <w:trHeight w:val="484"/>
        </w:trPr>
        <w:tc>
          <w:tcPr>
            <w:tcW w:w="620" w:type="dxa"/>
            <w:vAlign w:val="bottom"/>
          </w:tcPr>
          <w:p>
            <w:pPr>
              <w:jc w:val="center"/>
              <w:spacing w:after="0"/>
              <w:rPr>
                <w:rFonts w:ascii="Arial" w:cs="Arial" w:eastAsia="Arial" w:hAnsi="Arial"/>
                <w:sz w:val="18"/>
                <w:szCs w:val="18"/>
                <w:u w:val="single" w:color="auto"/>
                <w:color w:val="0000EE"/>
                <w:w w:val="87"/>
              </w:rPr>
            </w:pPr>
            <w:hyperlink r:id="rId63">
              <w:r>
                <w:rPr>
                  <w:rFonts w:ascii="Arial" w:cs="Arial" w:eastAsia="Arial" w:hAnsi="Arial"/>
                  <w:sz w:val="18"/>
                  <w:szCs w:val="18"/>
                  <w:u w:val="single" w:color="auto"/>
                  <w:color w:val="0000EE"/>
                  <w:w w:val="87"/>
                </w:rPr>
                <w:t>2.1</w:t>
              </w:r>
            </w:hyperlink>
          </w:p>
        </w:tc>
        <w:tc>
          <w:tcPr>
            <w:tcW w:w="7800" w:type="dxa"/>
            <w:vAlign w:val="bottom"/>
            <w:gridSpan w:val="2"/>
          </w:tcPr>
          <w:p>
            <w:pPr>
              <w:ind w:left="200"/>
              <w:spacing w:after="0"/>
              <w:rPr>
                <w:sz w:val="20"/>
                <w:szCs w:val="20"/>
                <w:color w:val="auto"/>
              </w:rPr>
            </w:pPr>
            <w:r>
              <w:rPr>
                <w:rFonts w:ascii="Arial" w:cs="Arial" w:eastAsia="Arial" w:hAnsi="Arial"/>
                <w:sz w:val="18"/>
                <w:szCs w:val="18"/>
                <w:color w:val="auto"/>
                <w:w w:val="93"/>
              </w:rPr>
              <w:t>Business Combination Agreement, dated as of June 14, 2016, by and among FMC Technologies, Inc.,</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w w:val="95"/>
              </w:rPr>
              <w:t>TechnipFMC plc (f/k/a FMC Technologies SIS Limited) and Technip S.A. (incorporated by reference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w w:val="95"/>
              </w:rPr>
              <w:t>from Annex A-1 to the Registration Statement on Form S-4, as amended, filed on October 21, 2016)</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(File No. 333-213067).</w:t>
            </w:r>
          </w:p>
        </w:tc>
        <w:tc>
          <w:tcPr>
            <w:tcW w:w="0" w:type="dxa"/>
            <w:vAlign w:val="bottom"/>
          </w:tcPr>
          <w:p>
            <w:pPr>
              <w:spacing w:after="0"/>
              <w:rPr>
                <w:sz w:val="1"/>
                <w:szCs w:val="1"/>
                <w:color w:val="auto"/>
              </w:rPr>
            </w:pPr>
          </w:p>
        </w:tc>
      </w:tr>
      <w:tr>
        <w:trPr>
          <w:trHeight w:val="634"/>
        </w:trPr>
        <w:tc>
          <w:tcPr>
            <w:tcW w:w="620" w:type="dxa"/>
            <w:vAlign w:val="bottom"/>
          </w:tcPr>
          <w:p>
            <w:pPr>
              <w:jc w:val="center"/>
              <w:spacing w:after="0"/>
              <w:rPr>
                <w:rFonts w:ascii="Arial" w:cs="Arial" w:eastAsia="Arial" w:hAnsi="Arial"/>
                <w:sz w:val="18"/>
                <w:szCs w:val="18"/>
                <w:u w:val="single" w:color="auto"/>
                <w:color w:val="0000EE"/>
                <w:w w:val="87"/>
              </w:rPr>
            </w:pPr>
            <w:hyperlink r:id="rId64">
              <w:r>
                <w:rPr>
                  <w:rFonts w:ascii="Arial" w:cs="Arial" w:eastAsia="Arial" w:hAnsi="Arial"/>
                  <w:sz w:val="18"/>
                  <w:szCs w:val="18"/>
                  <w:u w:val="single" w:color="auto"/>
                  <w:color w:val="0000EE"/>
                  <w:w w:val="87"/>
                </w:rPr>
                <w:t>2.2</w:t>
              </w:r>
            </w:hyperlink>
          </w:p>
        </w:tc>
        <w:tc>
          <w:tcPr>
            <w:tcW w:w="7800" w:type="dxa"/>
            <w:vAlign w:val="bottom"/>
            <w:gridSpan w:val="2"/>
          </w:tcPr>
          <w:p>
            <w:pPr>
              <w:ind w:left="200"/>
              <w:spacing w:after="0"/>
              <w:rPr>
                <w:sz w:val="20"/>
                <w:szCs w:val="20"/>
                <w:color w:val="auto"/>
              </w:rPr>
            </w:pPr>
            <w:r>
              <w:rPr>
                <w:rFonts w:ascii="Arial" w:cs="Arial" w:eastAsia="Arial" w:hAnsi="Arial"/>
                <w:sz w:val="18"/>
                <w:szCs w:val="18"/>
                <w:color w:val="auto"/>
                <w:w w:val="91"/>
              </w:rPr>
              <w:t>Amendment No. 1 to Business Combination Agreement, dated as of December 14, 2016, by and among</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w w:val="93"/>
              </w:rPr>
              <w:t>FMC Technologies, Inc., TechnipFMC plc (f/k/a TechnipFMC Limited) and Technip S.A. (incorporated</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by reference from Exhibit 2.1 to the Current Report on Form 8-K filed on December 14, 2016)</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(File No. 333-213067).</w:t>
            </w:r>
          </w:p>
        </w:tc>
        <w:tc>
          <w:tcPr>
            <w:tcW w:w="0" w:type="dxa"/>
            <w:vAlign w:val="bottom"/>
          </w:tcPr>
          <w:p>
            <w:pPr>
              <w:spacing w:after="0"/>
              <w:rPr>
                <w:sz w:val="1"/>
                <w:szCs w:val="1"/>
                <w:color w:val="auto"/>
              </w:rPr>
            </w:pPr>
          </w:p>
        </w:tc>
      </w:tr>
      <w:tr>
        <w:trPr>
          <w:trHeight w:val="634"/>
        </w:trPr>
        <w:tc>
          <w:tcPr>
            <w:tcW w:w="620" w:type="dxa"/>
            <w:vAlign w:val="bottom"/>
          </w:tcPr>
          <w:p>
            <w:pPr>
              <w:jc w:val="center"/>
              <w:spacing w:after="0"/>
              <w:rPr>
                <w:rFonts w:ascii="Arial" w:cs="Arial" w:eastAsia="Arial" w:hAnsi="Arial"/>
                <w:sz w:val="18"/>
                <w:szCs w:val="18"/>
                <w:u w:val="single" w:color="auto"/>
                <w:color w:val="0000EE"/>
                <w:w w:val="87"/>
              </w:rPr>
            </w:pPr>
            <w:hyperlink r:id="rId65">
              <w:r>
                <w:rPr>
                  <w:rFonts w:ascii="Arial" w:cs="Arial" w:eastAsia="Arial" w:hAnsi="Arial"/>
                  <w:sz w:val="18"/>
                  <w:szCs w:val="18"/>
                  <w:u w:val="single" w:color="auto"/>
                  <w:color w:val="0000EE"/>
                  <w:w w:val="87"/>
                </w:rPr>
                <w:t>2.3</w:t>
              </w:r>
            </w:hyperlink>
          </w:p>
        </w:tc>
        <w:tc>
          <w:tcPr>
            <w:tcW w:w="7800" w:type="dxa"/>
            <w:vAlign w:val="bottom"/>
            <w:gridSpan w:val="2"/>
          </w:tcPr>
          <w:p>
            <w:pPr>
              <w:ind w:left="200"/>
              <w:spacing w:after="0"/>
              <w:rPr>
                <w:sz w:val="20"/>
                <w:szCs w:val="20"/>
                <w:color w:val="auto"/>
              </w:rPr>
            </w:pPr>
            <w:r>
              <w:rPr>
                <w:rFonts w:ascii="Arial" w:cs="Arial" w:eastAsia="Arial" w:hAnsi="Arial"/>
                <w:sz w:val="18"/>
                <w:szCs w:val="18"/>
                <w:color w:val="auto"/>
                <w:w w:val="94"/>
              </w:rPr>
              <w:t>Joinder  Agreement,  dated  as  of  December  14,  2016,  by  and  among  FMC  Technologies,  Inc.,</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w w:val="98"/>
              </w:rPr>
              <w:t>TechnipFMC  plc  (f/k/a  TechnipFMC  Limited),  Technip  S.A.,  TechnipFMC  Holdings  Limited,</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w w:val="93"/>
              </w:rPr>
              <w:t>TechnipFMC US Holdings LLC and TechnipFMC US Merger Sub LLC (incorporated by reference from</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w w:val="97"/>
              </w:rPr>
              <w:t>Exhibit 2.2 to the Current Report on Form 8-K filed on December 14, 2016) (File No. 333-213067).</w:t>
            </w:r>
          </w:p>
        </w:tc>
        <w:tc>
          <w:tcPr>
            <w:tcW w:w="0" w:type="dxa"/>
            <w:vAlign w:val="bottom"/>
          </w:tcPr>
          <w:p>
            <w:pPr>
              <w:spacing w:after="0"/>
              <w:rPr>
                <w:sz w:val="1"/>
                <w:szCs w:val="1"/>
                <w:color w:val="auto"/>
              </w:rPr>
            </w:pPr>
          </w:p>
        </w:tc>
      </w:tr>
      <w:tr>
        <w:trPr>
          <w:trHeight w:val="634"/>
        </w:trPr>
        <w:tc>
          <w:tcPr>
            <w:tcW w:w="620" w:type="dxa"/>
            <w:vAlign w:val="bottom"/>
          </w:tcPr>
          <w:p>
            <w:pPr>
              <w:jc w:val="center"/>
              <w:spacing w:after="0"/>
              <w:rPr>
                <w:rFonts w:ascii="Arial" w:cs="Arial" w:eastAsia="Arial" w:hAnsi="Arial"/>
                <w:sz w:val="18"/>
                <w:szCs w:val="18"/>
                <w:u w:val="single" w:color="auto"/>
                <w:color w:val="0000EE"/>
                <w:w w:val="87"/>
              </w:rPr>
            </w:pPr>
            <w:hyperlink r:id="rId66">
              <w:r>
                <w:rPr>
                  <w:rFonts w:ascii="Arial" w:cs="Arial" w:eastAsia="Arial" w:hAnsi="Arial"/>
                  <w:sz w:val="18"/>
                  <w:szCs w:val="18"/>
                  <w:u w:val="single" w:color="auto"/>
                  <w:color w:val="0000EE"/>
                  <w:w w:val="87"/>
                </w:rPr>
                <w:t>3.1</w:t>
              </w:r>
            </w:hyperlink>
          </w:p>
        </w:tc>
        <w:tc>
          <w:tcPr>
            <w:tcW w:w="7800" w:type="dxa"/>
            <w:vAlign w:val="bottom"/>
            <w:gridSpan w:val="2"/>
          </w:tcPr>
          <w:p>
            <w:pPr>
              <w:ind w:left="200"/>
              <w:spacing w:after="0"/>
              <w:rPr>
                <w:sz w:val="20"/>
                <w:szCs w:val="20"/>
                <w:color w:val="auto"/>
              </w:rPr>
            </w:pPr>
            <w:r>
              <w:rPr>
                <w:rFonts w:ascii="Arial" w:cs="Arial" w:eastAsia="Arial" w:hAnsi="Arial"/>
                <w:sz w:val="18"/>
                <w:szCs w:val="18"/>
                <w:color w:val="auto"/>
                <w:w w:val="95"/>
              </w:rPr>
              <w:t>Articles of Association of TechnipFMC plc (incorporated by reference from Exhibit 3.1 to the Current</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Report on Form 8-K filed on January 17, 2017) (File No. 001-37983).</w:t>
            </w:r>
          </w:p>
        </w:tc>
        <w:tc>
          <w:tcPr>
            <w:tcW w:w="0" w:type="dxa"/>
            <w:vAlign w:val="bottom"/>
          </w:tcPr>
          <w:p>
            <w:pPr>
              <w:spacing w:after="0"/>
              <w:rPr>
                <w:sz w:val="1"/>
                <w:szCs w:val="1"/>
                <w:color w:val="auto"/>
              </w:rPr>
            </w:pPr>
          </w:p>
        </w:tc>
      </w:tr>
      <w:tr>
        <w:trPr>
          <w:trHeight w:val="634"/>
        </w:trPr>
        <w:tc>
          <w:tcPr>
            <w:tcW w:w="620" w:type="dxa"/>
            <w:vAlign w:val="bottom"/>
          </w:tcPr>
          <w:p>
            <w:pPr>
              <w:jc w:val="center"/>
              <w:spacing w:after="0"/>
              <w:rPr>
                <w:rFonts w:ascii="Arial" w:cs="Arial" w:eastAsia="Arial" w:hAnsi="Arial"/>
                <w:sz w:val="18"/>
                <w:szCs w:val="18"/>
                <w:u w:val="single" w:color="auto"/>
                <w:color w:val="0000EE"/>
                <w:w w:val="87"/>
              </w:rPr>
            </w:pPr>
            <w:hyperlink r:id="rId67">
              <w:r>
                <w:rPr>
                  <w:rFonts w:ascii="Arial" w:cs="Arial" w:eastAsia="Arial" w:hAnsi="Arial"/>
                  <w:sz w:val="18"/>
                  <w:szCs w:val="18"/>
                  <w:u w:val="single" w:color="auto"/>
                  <w:color w:val="0000EE"/>
                  <w:w w:val="87"/>
                </w:rPr>
                <w:t>4.1</w:t>
              </w:r>
            </w:hyperlink>
          </w:p>
        </w:tc>
        <w:tc>
          <w:tcPr>
            <w:tcW w:w="7800" w:type="dxa"/>
            <w:vAlign w:val="bottom"/>
            <w:gridSpan w:val="2"/>
          </w:tcPr>
          <w:p>
            <w:pPr>
              <w:ind w:left="200"/>
              <w:spacing w:after="0"/>
              <w:rPr>
                <w:sz w:val="20"/>
                <w:szCs w:val="20"/>
                <w:color w:val="auto"/>
              </w:rPr>
            </w:pPr>
            <w:r>
              <w:rPr>
                <w:rFonts w:ascii="Arial" w:cs="Arial" w:eastAsia="Arial" w:hAnsi="Arial"/>
                <w:sz w:val="18"/>
                <w:szCs w:val="18"/>
                <w:color w:val="auto"/>
                <w:w w:val="95"/>
              </w:rPr>
              <w:t>Indenture, dated March 29, 2017, between TechnipFMC plc and U.S. Bank National Association, as</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trustee (incorporated by reference from Exhibit 4.1 to the Current Report on Form 8-K filed on</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March 30, 2017) (File No. 001-37983).</w:t>
            </w:r>
          </w:p>
        </w:tc>
        <w:tc>
          <w:tcPr>
            <w:tcW w:w="0" w:type="dxa"/>
            <w:vAlign w:val="bottom"/>
          </w:tcPr>
          <w:p>
            <w:pPr>
              <w:spacing w:after="0"/>
              <w:rPr>
                <w:sz w:val="1"/>
                <w:szCs w:val="1"/>
                <w:color w:val="auto"/>
              </w:rPr>
            </w:pPr>
          </w:p>
        </w:tc>
      </w:tr>
      <w:tr>
        <w:trPr>
          <w:trHeight w:val="634"/>
        </w:trPr>
        <w:tc>
          <w:tcPr>
            <w:tcW w:w="620" w:type="dxa"/>
            <w:vAlign w:val="bottom"/>
          </w:tcPr>
          <w:p>
            <w:pPr>
              <w:jc w:val="center"/>
              <w:spacing w:after="0"/>
              <w:rPr>
                <w:rFonts w:ascii="Arial" w:cs="Arial" w:eastAsia="Arial" w:hAnsi="Arial"/>
                <w:sz w:val="18"/>
                <w:szCs w:val="18"/>
                <w:u w:val="single" w:color="auto"/>
                <w:color w:val="0000EE"/>
                <w:w w:val="87"/>
              </w:rPr>
            </w:pPr>
            <w:hyperlink r:id="rId68">
              <w:r>
                <w:rPr>
                  <w:rFonts w:ascii="Arial" w:cs="Arial" w:eastAsia="Arial" w:hAnsi="Arial"/>
                  <w:sz w:val="18"/>
                  <w:szCs w:val="18"/>
                  <w:u w:val="single" w:color="auto"/>
                  <w:color w:val="0000EE"/>
                  <w:w w:val="87"/>
                </w:rPr>
                <w:t>4.2</w:t>
              </w:r>
            </w:hyperlink>
          </w:p>
        </w:tc>
        <w:tc>
          <w:tcPr>
            <w:tcW w:w="7800" w:type="dxa"/>
            <w:vAlign w:val="bottom"/>
            <w:gridSpan w:val="2"/>
          </w:tcPr>
          <w:p>
            <w:pPr>
              <w:ind w:left="200"/>
              <w:spacing w:after="0"/>
              <w:rPr>
                <w:sz w:val="20"/>
                <w:szCs w:val="20"/>
                <w:color w:val="auto"/>
              </w:rPr>
            </w:pPr>
            <w:r>
              <w:rPr>
                <w:rFonts w:ascii="Arial" w:cs="Arial" w:eastAsia="Arial" w:hAnsi="Arial"/>
                <w:sz w:val="18"/>
                <w:szCs w:val="18"/>
                <w:color w:val="auto"/>
                <w:w w:val="97"/>
              </w:rPr>
              <w:t>Second Supplemental Indenture, dated March 29, 2017, between TechnipFMC plc and U.S. Bank</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w w:val="93"/>
              </w:rPr>
              <w:t>National Association, as trustee (including the form of 3.45% Senior Notes due 2022) (incorporated by</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w w:val="94"/>
              </w:rPr>
              <w:t>reference from Exhibit 4.3 to the Current Report on Form 8-K filed on March 30, 2017) (File No. 001-</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37983).</w:t>
            </w:r>
          </w:p>
        </w:tc>
        <w:tc>
          <w:tcPr>
            <w:tcW w:w="0" w:type="dxa"/>
            <w:vAlign w:val="bottom"/>
          </w:tcPr>
          <w:p>
            <w:pPr>
              <w:spacing w:after="0"/>
              <w:rPr>
                <w:sz w:val="1"/>
                <w:szCs w:val="1"/>
                <w:color w:val="auto"/>
              </w:rPr>
            </w:pPr>
          </w:p>
        </w:tc>
      </w:tr>
      <w:tr>
        <w:trPr>
          <w:trHeight w:val="798"/>
        </w:trPr>
        <w:tc>
          <w:tcPr>
            <w:tcW w:w="620" w:type="dxa"/>
            <w:vAlign w:val="bottom"/>
          </w:tcPr>
          <w:p>
            <w:pPr>
              <w:jc w:val="center"/>
              <w:spacing w:after="0"/>
              <w:rPr>
                <w:sz w:val="20"/>
                <w:szCs w:val="20"/>
                <w:color w:val="auto"/>
              </w:rPr>
            </w:pPr>
            <w:r>
              <w:rPr>
                <w:rFonts w:ascii="Arial" w:cs="Arial" w:eastAsia="Arial" w:hAnsi="Arial"/>
                <w:sz w:val="18"/>
                <w:szCs w:val="18"/>
                <w:color w:val="auto"/>
                <w:w w:val="92"/>
              </w:rPr>
              <w:t>4.4</w:t>
            </w:r>
            <w:r>
              <w:rPr>
                <w:rFonts w:ascii="Arial" w:cs="Arial" w:eastAsia="Arial" w:hAnsi="Arial"/>
                <w:sz w:val="29"/>
                <w:szCs w:val="29"/>
                <w:color w:val="auto"/>
                <w:w w:val="92"/>
                <w:vertAlign w:val="superscript"/>
              </w:rPr>
              <w:t>*</w:t>
            </w: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Form of senior note.</w:t>
            </w:r>
          </w:p>
        </w:tc>
        <w:tc>
          <w:tcPr>
            <w:tcW w:w="0" w:type="dxa"/>
            <w:vAlign w:val="bottom"/>
          </w:tcPr>
          <w:p>
            <w:pPr>
              <w:spacing w:after="0"/>
              <w:rPr>
                <w:sz w:val="1"/>
                <w:szCs w:val="1"/>
                <w:color w:val="auto"/>
              </w:rPr>
            </w:pPr>
          </w:p>
        </w:tc>
      </w:tr>
      <w:tr>
        <w:trPr>
          <w:trHeight w:val="648"/>
        </w:trPr>
        <w:tc>
          <w:tcPr>
            <w:tcW w:w="620" w:type="dxa"/>
            <w:vAlign w:val="bottom"/>
          </w:tcPr>
          <w:p>
            <w:pPr>
              <w:jc w:val="center"/>
              <w:spacing w:after="0"/>
              <w:rPr>
                <w:sz w:val="20"/>
                <w:szCs w:val="20"/>
                <w:color w:val="auto"/>
              </w:rPr>
            </w:pPr>
            <w:r>
              <w:rPr>
                <w:rFonts w:ascii="Arial" w:cs="Arial" w:eastAsia="Arial" w:hAnsi="Arial"/>
                <w:sz w:val="18"/>
                <w:szCs w:val="18"/>
                <w:color w:val="auto"/>
                <w:w w:val="92"/>
              </w:rPr>
              <w:t>4.5</w:t>
            </w:r>
            <w:r>
              <w:rPr>
                <w:rFonts w:ascii="Arial" w:cs="Arial" w:eastAsia="Arial" w:hAnsi="Arial"/>
                <w:sz w:val="29"/>
                <w:szCs w:val="29"/>
                <w:color w:val="auto"/>
                <w:w w:val="92"/>
                <w:vertAlign w:val="superscript"/>
              </w:rPr>
              <w:t>*</w:t>
            </w: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Form of subordinated debt securities indenture.</w:t>
            </w:r>
          </w:p>
        </w:tc>
        <w:tc>
          <w:tcPr>
            <w:tcW w:w="0" w:type="dxa"/>
            <w:vAlign w:val="bottom"/>
          </w:tcPr>
          <w:p>
            <w:pPr>
              <w:spacing w:after="0"/>
              <w:rPr>
                <w:sz w:val="1"/>
                <w:szCs w:val="1"/>
                <w:color w:val="auto"/>
              </w:rPr>
            </w:pPr>
          </w:p>
        </w:tc>
      </w:tr>
      <w:tr>
        <w:trPr>
          <w:trHeight w:val="648"/>
        </w:trPr>
        <w:tc>
          <w:tcPr>
            <w:tcW w:w="620" w:type="dxa"/>
            <w:vAlign w:val="bottom"/>
          </w:tcPr>
          <w:p>
            <w:pPr>
              <w:jc w:val="center"/>
              <w:spacing w:after="0"/>
              <w:rPr>
                <w:sz w:val="20"/>
                <w:szCs w:val="20"/>
                <w:color w:val="auto"/>
              </w:rPr>
            </w:pPr>
            <w:r>
              <w:rPr>
                <w:rFonts w:ascii="Arial" w:cs="Arial" w:eastAsia="Arial" w:hAnsi="Arial"/>
                <w:sz w:val="18"/>
                <w:szCs w:val="18"/>
                <w:color w:val="auto"/>
                <w:w w:val="92"/>
              </w:rPr>
              <w:t>4.6</w:t>
            </w:r>
            <w:r>
              <w:rPr>
                <w:rFonts w:ascii="Arial" w:cs="Arial" w:eastAsia="Arial" w:hAnsi="Arial"/>
                <w:sz w:val="29"/>
                <w:szCs w:val="29"/>
                <w:color w:val="auto"/>
                <w:w w:val="92"/>
                <w:vertAlign w:val="superscript"/>
              </w:rPr>
              <w:t>*</w:t>
            </w: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Form of subordinated note.</w:t>
            </w:r>
          </w:p>
        </w:tc>
        <w:tc>
          <w:tcPr>
            <w:tcW w:w="0" w:type="dxa"/>
            <w:vAlign w:val="bottom"/>
          </w:tcPr>
          <w:p>
            <w:pPr>
              <w:spacing w:after="0"/>
              <w:rPr>
                <w:sz w:val="1"/>
                <w:szCs w:val="1"/>
                <w:color w:val="auto"/>
              </w:rPr>
            </w:pPr>
          </w:p>
        </w:tc>
      </w:tr>
      <w:tr>
        <w:trPr>
          <w:trHeight w:val="648"/>
        </w:trPr>
        <w:tc>
          <w:tcPr>
            <w:tcW w:w="620" w:type="dxa"/>
            <w:vAlign w:val="bottom"/>
          </w:tcPr>
          <w:p>
            <w:pPr>
              <w:jc w:val="center"/>
              <w:spacing w:after="0"/>
              <w:rPr>
                <w:sz w:val="20"/>
                <w:szCs w:val="20"/>
                <w:color w:val="auto"/>
              </w:rPr>
            </w:pPr>
            <w:r>
              <w:rPr>
                <w:rFonts w:ascii="Arial" w:cs="Arial" w:eastAsia="Arial" w:hAnsi="Arial"/>
                <w:sz w:val="18"/>
                <w:szCs w:val="18"/>
                <w:color w:val="auto"/>
                <w:w w:val="92"/>
              </w:rPr>
              <w:t>4.7</w:t>
            </w:r>
            <w:r>
              <w:rPr>
                <w:rFonts w:ascii="Arial" w:cs="Arial" w:eastAsia="Arial" w:hAnsi="Arial"/>
                <w:sz w:val="29"/>
                <w:szCs w:val="29"/>
                <w:color w:val="auto"/>
                <w:w w:val="92"/>
                <w:vertAlign w:val="superscript"/>
              </w:rPr>
              <w:t>*</w:t>
            </w: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Form of Warrant Agreement.</w:t>
            </w:r>
          </w:p>
        </w:tc>
        <w:tc>
          <w:tcPr>
            <w:tcW w:w="0" w:type="dxa"/>
            <w:vAlign w:val="bottom"/>
          </w:tcPr>
          <w:p>
            <w:pPr>
              <w:spacing w:after="0"/>
              <w:rPr>
                <w:sz w:val="1"/>
                <w:szCs w:val="1"/>
                <w:color w:val="auto"/>
              </w:rPr>
            </w:pPr>
          </w:p>
        </w:tc>
      </w:tr>
      <w:tr>
        <w:trPr>
          <w:trHeight w:val="648"/>
        </w:trPr>
        <w:tc>
          <w:tcPr>
            <w:tcW w:w="620" w:type="dxa"/>
            <w:vAlign w:val="bottom"/>
          </w:tcPr>
          <w:p>
            <w:pPr>
              <w:jc w:val="center"/>
              <w:spacing w:after="0"/>
              <w:rPr>
                <w:sz w:val="20"/>
                <w:szCs w:val="20"/>
                <w:color w:val="auto"/>
              </w:rPr>
            </w:pPr>
            <w:r>
              <w:rPr>
                <w:rFonts w:ascii="Arial" w:cs="Arial" w:eastAsia="Arial" w:hAnsi="Arial"/>
                <w:sz w:val="18"/>
                <w:szCs w:val="18"/>
                <w:color w:val="auto"/>
                <w:w w:val="92"/>
              </w:rPr>
              <w:t>4.8</w:t>
            </w:r>
            <w:r>
              <w:rPr>
                <w:rFonts w:ascii="Arial" w:cs="Arial" w:eastAsia="Arial" w:hAnsi="Arial"/>
                <w:sz w:val="29"/>
                <w:szCs w:val="29"/>
                <w:color w:val="auto"/>
                <w:w w:val="92"/>
                <w:vertAlign w:val="superscript"/>
              </w:rPr>
              <w:t>*</w:t>
            </w: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Form of Unit Agreement.</w:t>
            </w:r>
          </w:p>
        </w:tc>
        <w:tc>
          <w:tcPr>
            <w:tcW w:w="0" w:type="dxa"/>
            <w:vAlign w:val="bottom"/>
          </w:tcPr>
          <w:p>
            <w:pPr>
              <w:spacing w:after="0"/>
              <w:rPr>
                <w:sz w:val="1"/>
                <w:szCs w:val="1"/>
                <w:color w:val="auto"/>
              </w:rPr>
            </w:pPr>
          </w:p>
        </w:tc>
      </w:tr>
      <w:tr>
        <w:trPr>
          <w:trHeight w:val="648"/>
        </w:trPr>
        <w:tc>
          <w:tcPr>
            <w:tcW w:w="620" w:type="dxa"/>
            <w:vAlign w:val="bottom"/>
          </w:tcPr>
          <w:p>
            <w:pPr>
              <w:jc w:val="center"/>
              <w:spacing w:after="0"/>
              <w:rPr>
                <w:sz w:val="20"/>
                <w:szCs w:val="20"/>
                <w:color w:val="auto"/>
              </w:rPr>
            </w:pPr>
            <w:r>
              <w:rPr>
                <w:rFonts w:ascii="Arial" w:cs="Arial" w:eastAsia="Arial" w:hAnsi="Arial"/>
                <w:sz w:val="18"/>
                <w:szCs w:val="18"/>
                <w:color w:val="auto"/>
                <w:w w:val="92"/>
              </w:rPr>
              <w:t>4.9</w:t>
            </w:r>
            <w:r>
              <w:rPr>
                <w:rFonts w:ascii="Arial" w:cs="Arial" w:eastAsia="Arial" w:hAnsi="Arial"/>
                <w:sz w:val="29"/>
                <w:szCs w:val="29"/>
                <w:color w:val="auto"/>
                <w:w w:val="92"/>
                <w:vertAlign w:val="superscript"/>
              </w:rPr>
              <w:t>*</w:t>
            </w: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Form of Purchase Contract Agreement.</w:t>
            </w:r>
          </w:p>
        </w:tc>
        <w:tc>
          <w:tcPr>
            <w:tcW w:w="0" w:type="dxa"/>
            <w:vAlign w:val="bottom"/>
          </w:tcPr>
          <w:p>
            <w:pPr>
              <w:spacing w:after="0"/>
              <w:rPr>
                <w:sz w:val="1"/>
                <w:szCs w:val="1"/>
                <w:color w:val="auto"/>
              </w:rPr>
            </w:pPr>
          </w:p>
        </w:tc>
      </w:tr>
      <w:tr>
        <w:trPr>
          <w:trHeight w:val="498"/>
        </w:trPr>
        <w:tc>
          <w:tcPr>
            <w:tcW w:w="620" w:type="dxa"/>
            <w:vAlign w:val="bottom"/>
          </w:tcPr>
          <w:p>
            <w:pPr>
              <w:jc w:val="center"/>
              <w:spacing w:after="0"/>
              <w:rPr>
                <w:rFonts w:ascii="Arial" w:cs="Arial" w:eastAsia="Arial" w:hAnsi="Arial"/>
                <w:sz w:val="18"/>
                <w:szCs w:val="18"/>
                <w:u w:val="single" w:color="auto"/>
                <w:color w:val="0000EE"/>
                <w:w w:val="87"/>
              </w:rPr>
            </w:pPr>
            <w:hyperlink w:anchor="page35">
              <w:r>
                <w:rPr>
                  <w:rFonts w:ascii="Arial" w:cs="Arial" w:eastAsia="Arial" w:hAnsi="Arial"/>
                  <w:sz w:val="18"/>
                  <w:szCs w:val="18"/>
                  <w:u w:val="single" w:color="auto"/>
                  <w:color w:val="0000EE"/>
                  <w:w w:val="87"/>
                </w:rPr>
                <w:t>5.1</w:t>
              </w:r>
            </w:hyperlink>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Opinion of Latham &amp; Watkins (London) LLP.</w:t>
            </w:r>
          </w:p>
        </w:tc>
        <w:tc>
          <w:tcPr>
            <w:tcW w:w="0" w:type="dxa"/>
            <w:vAlign w:val="bottom"/>
          </w:tcPr>
          <w:p>
            <w:pPr>
              <w:spacing w:after="0"/>
              <w:rPr>
                <w:sz w:val="1"/>
                <w:szCs w:val="1"/>
                <w:color w:val="auto"/>
              </w:rPr>
            </w:pPr>
          </w:p>
        </w:tc>
      </w:tr>
      <w:tr>
        <w:trPr>
          <w:trHeight w:val="648"/>
        </w:trPr>
        <w:tc>
          <w:tcPr>
            <w:tcW w:w="620" w:type="dxa"/>
            <w:vAlign w:val="bottom"/>
          </w:tcPr>
          <w:p>
            <w:pPr>
              <w:jc w:val="center"/>
              <w:spacing w:after="0"/>
              <w:rPr>
                <w:rFonts w:ascii="Arial" w:cs="Arial" w:eastAsia="Arial" w:hAnsi="Arial"/>
                <w:sz w:val="18"/>
                <w:szCs w:val="18"/>
                <w:u w:val="single" w:color="auto"/>
                <w:color w:val="0000EE"/>
                <w:w w:val="87"/>
              </w:rPr>
            </w:pPr>
            <w:hyperlink w:anchor="page46">
              <w:r>
                <w:rPr>
                  <w:rFonts w:ascii="Arial" w:cs="Arial" w:eastAsia="Arial" w:hAnsi="Arial"/>
                  <w:sz w:val="18"/>
                  <w:szCs w:val="18"/>
                  <w:u w:val="single" w:color="auto"/>
                  <w:color w:val="0000EE"/>
                  <w:w w:val="87"/>
                </w:rPr>
                <w:t>5.2</w:t>
              </w:r>
            </w:hyperlink>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Opinion of Latham &amp; Watkins LLP (U.S.).</w:t>
            </w:r>
          </w:p>
        </w:tc>
        <w:tc>
          <w:tcPr>
            <w:tcW w:w="0" w:type="dxa"/>
            <w:vAlign w:val="bottom"/>
          </w:tcPr>
          <w:p>
            <w:pPr>
              <w:spacing w:after="0"/>
              <w:rPr>
                <w:sz w:val="1"/>
                <w:szCs w:val="1"/>
                <w:color w:val="auto"/>
              </w:rPr>
            </w:pPr>
          </w:p>
        </w:tc>
      </w:tr>
      <w:tr>
        <w:trPr>
          <w:trHeight w:val="798"/>
        </w:trPr>
        <w:tc>
          <w:tcPr>
            <w:tcW w:w="620" w:type="dxa"/>
            <w:vAlign w:val="bottom"/>
          </w:tcPr>
          <w:p>
            <w:pPr>
              <w:jc w:val="center"/>
              <w:spacing w:after="0"/>
              <w:rPr>
                <w:sz w:val="20"/>
                <w:szCs w:val="20"/>
                <w:color w:val="auto"/>
              </w:rPr>
            </w:pPr>
            <w:r>
              <w:rPr>
                <w:rFonts w:ascii="Arial" w:cs="Arial" w:eastAsia="Arial" w:hAnsi="Arial"/>
                <w:sz w:val="18"/>
                <w:szCs w:val="18"/>
                <w:color w:val="auto"/>
                <w:w w:val="92"/>
              </w:rPr>
              <w:t>8.1</w:t>
            </w:r>
            <w:r>
              <w:rPr>
                <w:rFonts w:ascii="Arial" w:cs="Arial" w:eastAsia="Arial" w:hAnsi="Arial"/>
                <w:sz w:val="29"/>
                <w:szCs w:val="29"/>
                <w:color w:val="auto"/>
                <w:w w:val="92"/>
                <w:vertAlign w:val="superscript"/>
              </w:rPr>
              <w:t>*</w:t>
            </w: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Opinion of Latham &amp; Watkins LLP regarding material U.S. federal income tax matters.</w:t>
            </w:r>
          </w:p>
        </w:tc>
        <w:tc>
          <w:tcPr>
            <w:tcW w:w="0" w:type="dxa"/>
            <w:vAlign w:val="bottom"/>
          </w:tcPr>
          <w:p>
            <w:pPr>
              <w:spacing w:after="0"/>
              <w:rPr>
                <w:sz w:val="1"/>
                <w:szCs w:val="1"/>
                <w:color w:val="auto"/>
              </w:rPr>
            </w:pPr>
          </w:p>
        </w:tc>
      </w:tr>
      <w:tr>
        <w:trPr>
          <w:trHeight w:val="498"/>
        </w:trPr>
        <w:tc>
          <w:tcPr>
            <w:tcW w:w="620" w:type="dxa"/>
            <w:vAlign w:val="bottom"/>
          </w:tcPr>
          <w:p>
            <w:pPr>
              <w:jc w:val="center"/>
              <w:spacing w:after="0"/>
              <w:rPr>
                <w:rFonts w:ascii="Arial" w:cs="Arial" w:eastAsia="Arial" w:hAnsi="Arial"/>
                <w:sz w:val="18"/>
                <w:szCs w:val="18"/>
                <w:u w:val="single" w:color="auto"/>
                <w:color w:val="0000EE"/>
                <w:w w:val="85"/>
              </w:rPr>
            </w:pPr>
            <w:hyperlink w:anchor="page51">
              <w:r>
                <w:rPr>
                  <w:rFonts w:ascii="Arial" w:cs="Arial" w:eastAsia="Arial" w:hAnsi="Arial"/>
                  <w:sz w:val="18"/>
                  <w:szCs w:val="18"/>
                  <w:u w:val="single" w:color="auto"/>
                  <w:color w:val="0000EE"/>
                  <w:w w:val="85"/>
                </w:rPr>
                <w:t>23.1</w:t>
              </w:r>
            </w:hyperlink>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Consent of PricewaterhouseCoopers LLP.</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65" w:right="1440" w:bottom="187"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87" w:gutter="0" w:footer="0" w:header="0"/>
          <w:type w:val="continuous"/>
        </w:sectPr>
      </w:pPr>
    </w:p>
    <w:bookmarkStart w:id="31" w:name="page32"/>
    <w:bookmarkEnd w:id="31"/>
    <w:tbl>
      <w:tblPr>
        <w:tblLayout w:type="fixed"/>
        <w:tblInd w:w="300" w:type="dxa"/>
        <w:tblCellMar>
          <w:top w:w="0" w:type="dxa"/>
          <w:left w:w="0" w:type="dxa"/>
          <w:bottom w:w="0" w:type="dxa"/>
          <w:right w:w="0" w:type="dxa"/>
        </w:tblCellMar>
      </w:tblPr>
      <w:tr>
        <w:trPr>
          <w:trHeight w:val="186"/>
        </w:trPr>
        <w:tc>
          <w:tcPr>
            <w:tcW w:w="2900" w:type="dxa"/>
            <w:vAlign w:val="bottom"/>
          </w:tcPr>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900" w:type="dxa"/>
            <w:vAlign w:val="bottom"/>
          </w:tcPr>
          <w:p>
            <w:pPr>
              <w:ind w:left="60"/>
              <w:spacing w:after="0"/>
              <w:rPr>
                <w:sz w:val="20"/>
                <w:szCs w:val="20"/>
                <w:color w:val="auto"/>
              </w:rPr>
            </w:pPr>
            <w:r>
              <w:rPr>
                <w:rFonts w:ascii="Arial" w:cs="Arial" w:eastAsia="Arial" w:hAnsi="Arial"/>
                <w:sz w:val="14"/>
                <w:szCs w:val="14"/>
                <w:b w:val="1"/>
                <w:bCs w:val="1"/>
                <w:color w:val="auto"/>
              </w:rPr>
              <w:t>Exhibit</w:t>
            </w:r>
          </w:p>
        </w:tc>
        <w:tc>
          <w:tcPr>
            <w:tcW w:w="2080" w:type="dxa"/>
            <w:vAlign w:val="bottom"/>
            <w:vMerge w:val="restart"/>
          </w:tcPr>
          <w:p>
            <w:pPr>
              <w:ind w:left="136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2900" w:type="dxa"/>
            <w:vAlign w:val="bottom"/>
          </w:tcPr>
          <w:p>
            <w:pPr>
              <w:ind w:left="60"/>
              <w:spacing w:after="0"/>
              <w:rPr>
                <w:sz w:val="20"/>
                <w:szCs w:val="20"/>
                <w:color w:val="auto"/>
              </w:rPr>
            </w:pPr>
            <w:r>
              <w:rPr>
                <w:rFonts w:ascii="Arial" w:cs="Arial" w:eastAsia="Arial" w:hAnsi="Arial"/>
                <w:sz w:val="14"/>
                <w:szCs w:val="14"/>
                <w:b w:val="1"/>
                <w:bCs w:val="1"/>
                <w:color w:val="auto"/>
              </w:rPr>
              <w:t>Number</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99" w:lineRule="exact"/>
        <w:rPr>
          <w:sz w:val="20"/>
          <w:szCs w:val="20"/>
          <w:color w:val="auto"/>
        </w:rPr>
      </w:pPr>
    </w:p>
    <w:p>
      <w:pPr>
        <w:ind w:left="460"/>
        <w:spacing w:after="0"/>
        <w:tabs>
          <w:tab w:leader="none" w:pos="1100" w:val="left"/>
        </w:tabs>
        <w:rPr>
          <w:rFonts w:ascii="Arial" w:cs="Arial" w:eastAsia="Arial" w:hAnsi="Arial"/>
          <w:sz w:val="18"/>
          <w:szCs w:val="18"/>
          <w:color w:val="0000EE"/>
        </w:rPr>
      </w:pPr>
      <w:hyperlink w:anchor="page35">
        <w:r>
          <w:rPr>
            <w:rFonts w:ascii="Arial" w:cs="Arial" w:eastAsia="Arial" w:hAnsi="Arial"/>
            <w:sz w:val="18"/>
            <w:szCs w:val="18"/>
            <w:u w:val="single" w:color="auto"/>
            <w:color w:val="0000EE"/>
          </w:rPr>
          <w:t>23.2</w:t>
        </w:r>
      </w:hyperlink>
      <w:r>
        <w:rPr>
          <w:rFonts w:ascii="Arial" w:cs="Arial" w:eastAsia="Arial" w:hAnsi="Arial"/>
          <w:sz w:val="18"/>
          <w:szCs w:val="18"/>
          <w:color w:val="0000EE"/>
        </w:rPr>
        <w:tab/>
      </w:r>
      <w:r>
        <w:rPr>
          <w:rFonts w:ascii="Arial" w:cs="Arial" w:eastAsia="Arial" w:hAnsi="Arial"/>
          <w:sz w:val="16"/>
          <w:szCs w:val="16"/>
          <w:color w:val="0000EE"/>
        </w:rPr>
        <w:t>Consent of Latham &amp; Watkins (London) LLP (included in Exhibit 5.1).</w:t>
      </w:r>
    </w:p>
    <w:p>
      <w:pPr>
        <w:spacing w:after="0" w:line="200" w:lineRule="exact"/>
        <w:rPr>
          <w:sz w:val="20"/>
          <w:szCs w:val="20"/>
          <w:color w:val="auto"/>
        </w:rPr>
      </w:pPr>
    </w:p>
    <w:p>
      <w:pPr>
        <w:spacing w:after="0" w:line="241" w:lineRule="exact"/>
        <w:rPr>
          <w:sz w:val="20"/>
          <w:szCs w:val="20"/>
          <w:color w:val="auto"/>
        </w:rPr>
      </w:pPr>
    </w:p>
    <w:p>
      <w:pPr>
        <w:ind w:left="460"/>
        <w:spacing w:after="0"/>
        <w:tabs>
          <w:tab w:leader="none" w:pos="1100" w:val="left"/>
        </w:tabs>
        <w:rPr>
          <w:rFonts w:ascii="Arial" w:cs="Arial" w:eastAsia="Arial" w:hAnsi="Arial"/>
          <w:sz w:val="18"/>
          <w:szCs w:val="18"/>
          <w:color w:val="0000EE"/>
        </w:rPr>
      </w:pPr>
      <w:hyperlink w:anchor="page46">
        <w:r>
          <w:rPr>
            <w:rFonts w:ascii="Arial" w:cs="Arial" w:eastAsia="Arial" w:hAnsi="Arial"/>
            <w:sz w:val="18"/>
            <w:szCs w:val="18"/>
            <w:u w:val="single" w:color="auto"/>
            <w:color w:val="0000EE"/>
          </w:rPr>
          <w:t>23.3</w:t>
        </w:r>
      </w:hyperlink>
      <w:r>
        <w:rPr>
          <w:rFonts w:ascii="Arial" w:cs="Arial" w:eastAsia="Arial" w:hAnsi="Arial"/>
          <w:sz w:val="18"/>
          <w:szCs w:val="18"/>
          <w:color w:val="0000EE"/>
        </w:rPr>
        <w:tab/>
      </w:r>
      <w:r>
        <w:rPr>
          <w:rFonts w:ascii="Arial" w:cs="Arial" w:eastAsia="Arial" w:hAnsi="Arial"/>
          <w:sz w:val="16"/>
          <w:szCs w:val="16"/>
          <w:color w:val="0000EE"/>
        </w:rPr>
        <w:t>Consent of Latham &amp; Watkins LLP (U.S.) (included in Exhibit 5.2).</w:t>
      </w:r>
    </w:p>
    <w:p>
      <w:pPr>
        <w:spacing w:after="0" w:line="200" w:lineRule="exact"/>
        <w:rPr>
          <w:sz w:val="20"/>
          <w:szCs w:val="20"/>
          <w:color w:val="auto"/>
        </w:rPr>
      </w:pPr>
    </w:p>
    <w:p>
      <w:pPr>
        <w:spacing w:after="0" w:line="241" w:lineRule="exact"/>
        <w:rPr>
          <w:sz w:val="20"/>
          <w:szCs w:val="20"/>
          <w:color w:val="auto"/>
        </w:rPr>
      </w:pPr>
    </w:p>
    <w:p>
      <w:pPr>
        <w:ind w:left="460"/>
        <w:spacing w:after="0"/>
        <w:tabs>
          <w:tab w:leader="none" w:pos="1100" w:val="left"/>
        </w:tabs>
        <w:rPr>
          <w:rFonts w:ascii="Arial" w:cs="Arial" w:eastAsia="Arial" w:hAnsi="Arial"/>
          <w:sz w:val="18"/>
          <w:szCs w:val="18"/>
          <w:color w:val="0000EE"/>
        </w:rPr>
      </w:pPr>
      <w:hyperlink w:anchor="page33">
        <w:r>
          <w:rPr>
            <w:rFonts w:ascii="Arial" w:cs="Arial" w:eastAsia="Arial" w:hAnsi="Arial"/>
            <w:sz w:val="18"/>
            <w:szCs w:val="18"/>
            <w:u w:val="single" w:color="auto"/>
            <w:color w:val="0000EE"/>
          </w:rPr>
          <w:t>24.1</w:t>
        </w:r>
      </w:hyperlink>
      <w:r>
        <w:rPr>
          <w:rFonts w:ascii="Arial" w:cs="Arial" w:eastAsia="Arial" w:hAnsi="Arial"/>
          <w:sz w:val="18"/>
          <w:szCs w:val="18"/>
          <w:color w:val="0000EE"/>
        </w:rPr>
        <w:tab/>
      </w:r>
      <w:r>
        <w:rPr>
          <w:rFonts w:ascii="Arial" w:cs="Arial" w:eastAsia="Arial" w:hAnsi="Arial"/>
          <w:sz w:val="16"/>
          <w:szCs w:val="16"/>
          <w:color w:val="0000EE"/>
        </w:rPr>
        <w:t>Powers of Attorney (included in signature page hereto).</w:t>
      </w:r>
    </w:p>
    <w:p>
      <w:pPr>
        <w:spacing w:after="0" w:line="200" w:lineRule="exact"/>
        <w:rPr>
          <w:sz w:val="20"/>
          <w:szCs w:val="20"/>
          <w:color w:val="auto"/>
        </w:rPr>
      </w:pPr>
    </w:p>
    <w:p>
      <w:pPr>
        <w:spacing w:after="0" w:line="241" w:lineRule="exact"/>
        <w:rPr>
          <w:sz w:val="20"/>
          <w:szCs w:val="20"/>
          <w:color w:val="auto"/>
        </w:rPr>
      </w:pPr>
    </w:p>
    <w:p>
      <w:pPr>
        <w:ind w:left="1120" w:right="319" w:hanging="663"/>
        <w:spacing w:after="0" w:line="277" w:lineRule="auto"/>
        <w:tabs>
          <w:tab w:leader="none" w:pos="1100" w:val="left"/>
        </w:tabs>
        <w:rPr>
          <w:rFonts w:ascii="Arial" w:cs="Arial" w:eastAsia="Arial" w:hAnsi="Arial"/>
          <w:sz w:val="18"/>
          <w:szCs w:val="18"/>
          <w:color w:val="0000EE"/>
        </w:rPr>
      </w:pPr>
      <w:hyperlink w:anchor="page52">
        <w:r>
          <w:rPr>
            <w:rFonts w:ascii="Arial" w:cs="Arial" w:eastAsia="Arial" w:hAnsi="Arial"/>
            <w:sz w:val="18"/>
            <w:szCs w:val="18"/>
            <w:u w:val="single" w:color="auto"/>
            <w:color w:val="0000EE"/>
          </w:rPr>
          <w:t>25.1</w:t>
        </w:r>
      </w:hyperlink>
      <w:r>
        <w:rPr>
          <w:rFonts w:ascii="Arial" w:cs="Arial" w:eastAsia="Arial" w:hAnsi="Arial"/>
          <w:sz w:val="18"/>
          <w:szCs w:val="18"/>
          <w:color w:val="0000EE"/>
        </w:rPr>
        <w:tab/>
        <w:t>Statement of Eligibility on Form T-1 under the Trust Indenture Act of 1939, as amended, of U.S. Bank National Association, as trustee under the indenture included as Exhibit 4.1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134620</wp:posOffset>
            </wp:positionV>
            <wp:extent cx="8229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40" w:lineRule="exact"/>
        <w:rPr>
          <w:sz w:val="20"/>
          <w:szCs w:val="20"/>
          <w:color w:val="auto"/>
        </w:rPr>
      </w:pPr>
    </w:p>
    <w:p>
      <w:pPr>
        <w:ind w:left="640" w:right="359" w:hanging="348"/>
        <w:spacing w:after="0" w:line="253"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To be filed either by amendment or as an exhibit to a report filed under the Securities Exchange Act of 1934, as amended, and incorporated by reference to this Registration Statement.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300" w:right="1440" w:firstLine="360"/>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Houston, Texas, United States, on the 4th day of August, 2020.</w:t>
      </w:r>
    </w:p>
    <w:p>
      <w:pPr>
        <w:spacing w:after="0" w:line="277"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TechnipFMC plc</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280"/>
        <w:spacing w:after="0"/>
        <w:tabs>
          <w:tab w:leader="none" w:pos="5720" w:val="left"/>
        </w:tabs>
        <w:rPr>
          <w:sz w:val="20"/>
          <w:szCs w:val="20"/>
          <w:color w:val="auto"/>
        </w:rPr>
      </w:pPr>
      <w:r>
        <w:rPr>
          <w:rFonts w:ascii="Arial" w:cs="Arial" w:eastAsia="Arial" w:hAnsi="Arial"/>
          <w:sz w:val="18"/>
          <w:szCs w:val="18"/>
          <w:color w:val="auto"/>
        </w:rPr>
        <w:t>By:</w:t>
        <w:tab/>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57785</wp:posOffset>
            </wp:positionV>
            <wp:extent cx="25203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3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Maryann T. Mannen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 a Duly Authorized</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Officer and an Authorized U.S. Representative)</w:t>
      </w: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POWERS OF ATTORNEY</w:t>
      </w:r>
    </w:p>
    <w:p>
      <w:pPr>
        <w:spacing w:after="0" w:line="121" w:lineRule="exact"/>
        <w:rPr>
          <w:sz w:val="20"/>
          <w:szCs w:val="20"/>
          <w:color w:val="auto"/>
        </w:rPr>
      </w:pPr>
    </w:p>
    <w:p>
      <w:pPr>
        <w:ind w:left="1300" w:right="1300" w:firstLine="360"/>
        <w:spacing w:after="0" w:line="268" w:lineRule="auto"/>
        <w:rPr>
          <w:sz w:val="20"/>
          <w:szCs w:val="20"/>
          <w:color w:val="auto"/>
        </w:rPr>
      </w:pPr>
      <w:r>
        <w:rPr>
          <w:rFonts w:ascii="Arial" w:cs="Arial" w:eastAsia="Arial" w:hAnsi="Arial"/>
          <w:sz w:val="17"/>
          <w:szCs w:val="17"/>
          <w:color w:val="auto"/>
        </w:rPr>
        <w:t>Each person whose signature appears below hereby constitutes and appoints Maryann T. Mannen and Dianne B. Ralston, and each of them (with full power to act alone), as his or her true and lawful attorneys-in-fact and agents, with full power of substitution and re-substitution, for him or her in his or her name, place and stead, in any and all capacity, in connection with this Registration Statement, including to sign and file in the name and on behalf of the undersigned as director or officer of the Registrant (i) any and all amendments or supplements (including any and all prospectus supplements, stickers and post-effective amendments) to the Registration Statement, with all exhibits thereto, and other documents in connection therewith and (ii) any registration statement relating to the same offering pursuant to Rule 462(b) under the Securities Act of 1933, as amended,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76" w:lineRule="exact"/>
        <w:rPr>
          <w:sz w:val="20"/>
          <w:szCs w:val="20"/>
          <w:color w:val="auto"/>
        </w:rPr>
      </w:pPr>
    </w:p>
    <w:p>
      <w:pPr>
        <w:ind w:left="1300" w:right="154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 indicated.</w:t>
      </w:r>
    </w:p>
    <w:p>
      <w:pPr>
        <w:spacing w:after="0" w:line="256" w:lineRule="exact"/>
        <w:rPr>
          <w:sz w:val="20"/>
          <w:szCs w:val="20"/>
          <w:color w:val="auto"/>
        </w:rPr>
      </w:pPr>
    </w:p>
    <w:p>
      <w:pPr>
        <w:ind w:left="2520"/>
        <w:spacing w:after="0"/>
        <w:tabs>
          <w:tab w:leader="none" w:pos="6120" w:val="left"/>
          <w:tab w:leader="none" w:pos="87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 Douglas J. Pferdehirt</w:t>
            </w:r>
          </w:p>
        </w:tc>
        <w:tc>
          <w:tcPr>
            <w:tcW w:w="3660" w:type="dxa"/>
            <w:vAlign w:val="bottom"/>
          </w:tcPr>
          <w:p>
            <w:pPr>
              <w:jc w:val="center"/>
              <w:ind w:left="130"/>
              <w:spacing w:after="0"/>
              <w:rPr>
                <w:sz w:val="20"/>
                <w:szCs w:val="20"/>
                <w:color w:val="auto"/>
              </w:rPr>
            </w:pPr>
            <w:r>
              <w:rPr>
                <w:rFonts w:ascii="Arial" w:cs="Arial" w:eastAsia="Arial" w:hAnsi="Arial"/>
                <w:sz w:val="18"/>
                <w:szCs w:val="18"/>
                <w:color w:val="auto"/>
                <w:w w:val="92"/>
              </w:rPr>
              <w:t>Chairman of the Board of Directors</w:t>
            </w:r>
          </w:p>
        </w:tc>
        <w:tc>
          <w:tcPr>
            <w:tcW w:w="3040" w:type="dxa"/>
            <w:vAlign w:val="bottom"/>
          </w:tcPr>
          <w:p>
            <w:pPr>
              <w:ind w:left="420"/>
              <w:spacing w:after="0"/>
              <w:rPr>
                <w:sz w:val="20"/>
                <w:szCs w:val="20"/>
                <w:color w:val="auto"/>
              </w:rPr>
            </w:pPr>
            <w:r>
              <w:rPr>
                <w:rFonts w:ascii="Arial" w:cs="Arial" w:eastAsia="Arial" w:hAnsi="Arial"/>
                <w:sz w:val="18"/>
                <w:szCs w:val="18"/>
                <w:color w:val="auto"/>
              </w:rPr>
              <w:t>August 4, 2020</w:t>
            </w:r>
          </w:p>
        </w:tc>
        <w:tc>
          <w:tcPr>
            <w:tcW w:w="0" w:type="dxa"/>
            <w:vAlign w:val="bottom"/>
          </w:tcPr>
          <w:p>
            <w:pPr>
              <w:spacing w:after="0"/>
              <w:rPr>
                <w:sz w:val="1"/>
                <w:szCs w:val="1"/>
                <w:color w:val="auto"/>
              </w:rPr>
            </w:pPr>
          </w:p>
        </w:tc>
      </w:tr>
      <w:tr>
        <w:trPr>
          <w:trHeight w:val="109"/>
        </w:trPr>
        <w:tc>
          <w:tcPr>
            <w:tcW w:w="1300" w:type="dxa"/>
            <w:vAlign w:val="bottom"/>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3660" w:type="dxa"/>
            <w:vAlign w:val="bottom"/>
            <w:vMerge w:val="restart"/>
          </w:tcPr>
          <w:p>
            <w:pPr>
              <w:jc w:val="center"/>
              <w:ind w:left="130"/>
              <w:spacing w:after="0"/>
              <w:rPr>
                <w:sz w:val="20"/>
                <w:szCs w:val="20"/>
                <w:color w:val="auto"/>
              </w:rPr>
            </w:pPr>
            <w:r>
              <w:rPr>
                <w:rFonts w:ascii="Arial" w:cs="Arial" w:eastAsia="Arial" w:hAnsi="Arial"/>
                <w:sz w:val="18"/>
                <w:szCs w:val="18"/>
                <w:color w:val="auto"/>
                <w:w w:val="93"/>
              </w:rPr>
              <w:t>and Chief Executive Officer</w:t>
            </w:r>
          </w:p>
        </w:tc>
        <w:tc>
          <w:tcPr>
            <w:tcW w:w="3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00" w:type="dxa"/>
            <w:vAlign w:val="bottom"/>
          </w:tcPr>
          <w:p>
            <w:pPr>
              <w:spacing w:after="0"/>
              <w:rPr>
                <w:sz w:val="7"/>
                <w:szCs w:val="7"/>
                <w:color w:val="auto"/>
              </w:rPr>
            </w:pPr>
          </w:p>
        </w:tc>
        <w:tc>
          <w:tcPr>
            <w:tcW w:w="3020" w:type="dxa"/>
            <w:vAlign w:val="bottom"/>
            <w:vMerge w:val="restart"/>
          </w:tcPr>
          <w:p>
            <w:pPr>
              <w:spacing w:after="0"/>
              <w:rPr>
                <w:sz w:val="20"/>
                <w:szCs w:val="20"/>
                <w:color w:val="auto"/>
              </w:rPr>
            </w:pPr>
            <w:r>
              <w:rPr>
                <w:rFonts w:ascii="Arial" w:cs="Arial" w:eastAsia="Arial" w:hAnsi="Arial"/>
                <w:sz w:val="18"/>
                <w:szCs w:val="18"/>
                <w:color w:val="auto"/>
              </w:rPr>
              <w:t>Douglas J. Pferdehirt</w:t>
            </w:r>
          </w:p>
        </w:tc>
        <w:tc>
          <w:tcPr>
            <w:tcW w:w="366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20" w:type="dxa"/>
            <w:vAlign w:val="bottom"/>
            <w:vMerge w:val="continue"/>
          </w:tcPr>
          <w:p>
            <w:pPr>
              <w:spacing w:after="0"/>
              <w:rPr>
                <w:sz w:val="20"/>
                <w:szCs w:val="20"/>
                <w:color w:val="auto"/>
              </w:rPr>
            </w:pPr>
          </w:p>
        </w:tc>
        <w:tc>
          <w:tcPr>
            <w:tcW w:w="3660" w:type="dxa"/>
            <w:vAlign w:val="bottom"/>
          </w:tcPr>
          <w:p>
            <w:pPr>
              <w:jc w:val="center"/>
              <w:ind w:left="170"/>
              <w:spacing w:after="0"/>
              <w:rPr>
                <w:sz w:val="20"/>
                <w:szCs w:val="20"/>
                <w:color w:val="auto"/>
              </w:rPr>
            </w:pPr>
            <w:r>
              <w:rPr>
                <w:rFonts w:ascii="Arial" w:cs="Arial" w:eastAsia="Arial" w:hAnsi="Arial"/>
                <w:sz w:val="18"/>
                <w:szCs w:val="18"/>
                <w:color w:val="auto"/>
                <w:w w:val="93"/>
              </w:rPr>
              <w:t>(Principal Executive Officer)</w:t>
            </w: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130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 Maryann T. Mannen</w:t>
            </w:r>
          </w:p>
        </w:tc>
        <w:tc>
          <w:tcPr>
            <w:tcW w:w="3660" w:type="dxa"/>
            <w:vAlign w:val="bottom"/>
          </w:tcPr>
          <w:p>
            <w:pPr>
              <w:jc w:val="center"/>
              <w:ind w:left="130"/>
              <w:spacing w:after="0"/>
              <w:rPr>
                <w:sz w:val="20"/>
                <w:szCs w:val="20"/>
                <w:color w:val="auto"/>
              </w:rPr>
            </w:pPr>
            <w:r>
              <w:rPr>
                <w:rFonts w:ascii="Arial" w:cs="Arial" w:eastAsia="Arial" w:hAnsi="Arial"/>
                <w:sz w:val="18"/>
                <w:szCs w:val="18"/>
                <w:color w:val="auto"/>
                <w:w w:val="90"/>
              </w:rPr>
              <w:t>Executive Vice President and</w:t>
            </w:r>
          </w:p>
        </w:tc>
        <w:tc>
          <w:tcPr>
            <w:tcW w:w="3040" w:type="dxa"/>
            <w:vAlign w:val="bottom"/>
          </w:tcPr>
          <w:p>
            <w:pPr>
              <w:ind w:left="420"/>
              <w:spacing w:after="0"/>
              <w:rPr>
                <w:sz w:val="20"/>
                <w:szCs w:val="20"/>
                <w:color w:val="auto"/>
              </w:rPr>
            </w:pPr>
            <w:r>
              <w:rPr>
                <w:rFonts w:ascii="Arial" w:cs="Arial" w:eastAsia="Arial" w:hAnsi="Arial"/>
                <w:sz w:val="18"/>
                <w:szCs w:val="18"/>
                <w:color w:val="auto"/>
              </w:rPr>
              <w:t>August 4, 2020</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3020" w:type="dxa"/>
            <w:vAlign w:val="bottom"/>
            <w:tcBorders>
              <w:bottom w:val="single" w:sz="8" w:color="auto"/>
            </w:tcBorders>
          </w:tcPr>
          <w:p>
            <w:pPr>
              <w:spacing w:after="0"/>
              <w:rPr>
                <w:sz w:val="7"/>
                <w:szCs w:val="7"/>
                <w:color w:val="auto"/>
              </w:rPr>
            </w:pPr>
          </w:p>
        </w:tc>
        <w:tc>
          <w:tcPr>
            <w:tcW w:w="3660" w:type="dxa"/>
            <w:vAlign w:val="bottom"/>
            <w:vMerge w:val="restart"/>
          </w:tcPr>
          <w:p>
            <w:pPr>
              <w:jc w:val="center"/>
              <w:ind w:left="130"/>
              <w:spacing w:after="0"/>
              <w:rPr>
                <w:sz w:val="20"/>
                <w:szCs w:val="20"/>
                <w:color w:val="auto"/>
              </w:rPr>
            </w:pPr>
            <w:r>
              <w:rPr>
                <w:rFonts w:ascii="Arial" w:cs="Arial" w:eastAsia="Arial" w:hAnsi="Arial"/>
                <w:sz w:val="18"/>
                <w:szCs w:val="18"/>
                <w:color w:val="auto"/>
                <w:w w:val="94"/>
              </w:rPr>
              <w:t>Chief Financial Officer</w:t>
            </w:r>
          </w:p>
        </w:tc>
        <w:tc>
          <w:tcPr>
            <w:tcW w:w="3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300" w:type="dxa"/>
            <w:vAlign w:val="bottom"/>
          </w:tcPr>
          <w:p>
            <w:pPr>
              <w:spacing w:after="0"/>
              <w:rPr>
                <w:sz w:val="9"/>
                <w:szCs w:val="9"/>
                <w:color w:val="auto"/>
              </w:rPr>
            </w:pPr>
          </w:p>
        </w:tc>
        <w:tc>
          <w:tcPr>
            <w:tcW w:w="3020" w:type="dxa"/>
            <w:vAlign w:val="bottom"/>
            <w:vMerge w:val="restart"/>
          </w:tcPr>
          <w:p>
            <w:pPr>
              <w:spacing w:after="0"/>
              <w:rPr>
                <w:sz w:val="20"/>
                <w:szCs w:val="20"/>
                <w:color w:val="auto"/>
              </w:rPr>
            </w:pPr>
            <w:r>
              <w:rPr>
                <w:rFonts w:ascii="Arial" w:cs="Arial" w:eastAsia="Arial" w:hAnsi="Arial"/>
                <w:sz w:val="18"/>
                <w:szCs w:val="18"/>
                <w:color w:val="auto"/>
              </w:rPr>
              <w:t>Maryann T. Mannen</w:t>
            </w:r>
          </w:p>
        </w:tc>
        <w:tc>
          <w:tcPr>
            <w:tcW w:w="3660" w:type="dxa"/>
            <w:vAlign w:val="bottom"/>
            <w:vMerge w:val="continue"/>
          </w:tcPr>
          <w:p>
            <w:pPr>
              <w:spacing w:after="0"/>
              <w:rPr>
                <w:sz w:val="9"/>
                <w:szCs w:val="9"/>
                <w:color w:val="auto"/>
              </w:rPr>
            </w:pPr>
          </w:p>
        </w:tc>
        <w:tc>
          <w:tcPr>
            <w:tcW w:w="3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1300" w:type="dxa"/>
            <w:vAlign w:val="bottom"/>
          </w:tcPr>
          <w:p>
            <w:pPr>
              <w:spacing w:after="0"/>
              <w:rPr>
                <w:sz w:val="14"/>
                <w:szCs w:val="14"/>
                <w:color w:val="auto"/>
              </w:rPr>
            </w:pPr>
          </w:p>
        </w:tc>
        <w:tc>
          <w:tcPr>
            <w:tcW w:w="3020" w:type="dxa"/>
            <w:vAlign w:val="bottom"/>
            <w:vMerge w:val="continue"/>
          </w:tcPr>
          <w:p>
            <w:pPr>
              <w:spacing w:after="0"/>
              <w:rPr>
                <w:sz w:val="14"/>
                <w:szCs w:val="14"/>
                <w:color w:val="auto"/>
              </w:rPr>
            </w:pPr>
          </w:p>
        </w:tc>
        <w:tc>
          <w:tcPr>
            <w:tcW w:w="3660" w:type="dxa"/>
            <w:vAlign w:val="bottom"/>
            <w:vMerge w:val="restart"/>
          </w:tcPr>
          <w:p>
            <w:pPr>
              <w:jc w:val="center"/>
              <w:ind w:left="130"/>
              <w:spacing w:after="0"/>
              <w:rPr>
                <w:sz w:val="20"/>
                <w:szCs w:val="20"/>
                <w:color w:val="auto"/>
              </w:rPr>
            </w:pPr>
            <w:r>
              <w:rPr>
                <w:rFonts w:ascii="Arial" w:cs="Arial" w:eastAsia="Arial" w:hAnsi="Arial"/>
                <w:sz w:val="18"/>
                <w:szCs w:val="18"/>
                <w:color w:val="auto"/>
                <w:w w:val="94"/>
              </w:rPr>
              <w:t>(Principal Financial Officer, a Duly</w:t>
            </w:r>
          </w:p>
        </w:tc>
        <w:tc>
          <w:tcPr>
            <w:tcW w:w="3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020" w:type="dxa"/>
            <w:vAlign w:val="bottom"/>
          </w:tcPr>
          <w:p>
            <w:pPr>
              <w:spacing w:after="0"/>
              <w:rPr>
                <w:sz w:val="4"/>
                <w:szCs w:val="4"/>
                <w:color w:val="auto"/>
              </w:rPr>
            </w:pPr>
          </w:p>
        </w:tc>
        <w:tc>
          <w:tcPr>
            <w:tcW w:w="3660" w:type="dxa"/>
            <w:vAlign w:val="bottom"/>
            <w:vMerge w:val="continue"/>
          </w:tcPr>
          <w:p>
            <w:pPr>
              <w:spacing w:after="0"/>
              <w:rPr>
                <w:sz w:val="4"/>
                <w:szCs w:val="4"/>
                <w:color w:val="auto"/>
              </w:rPr>
            </w:pPr>
          </w:p>
        </w:tc>
        <w:tc>
          <w:tcPr>
            <w:tcW w:w="3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660" w:type="dxa"/>
            <w:vAlign w:val="bottom"/>
          </w:tcPr>
          <w:p>
            <w:pPr>
              <w:jc w:val="center"/>
              <w:ind w:left="130"/>
              <w:spacing w:after="0"/>
              <w:rPr>
                <w:sz w:val="20"/>
                <w:szCs w:val="20"/>
                <w:color w:val="auto"/>
              </w:rPr>
            </w:pPr>
            <w:r>
              <w:rPr>
                <w:rFonts w:ascii="Arial" w:cs="Arial" w:eastAsia="Arial" w:hAnsi="Arial"/>
                <w:sz w:val="18"/>
                <w:szCs w:val="18"/>
                <w:color w:val="auto"/>
                <w:w w:val="92"/>
              </w:rPr>
              <w:t>Authorized Officer and an</w:t>
            </w: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660" w:type="dxa"/>
            <w:vAlign w:val="bottom"/>
          </w:tcPr>
          <w:p>
            <w:pPr>
              <w:jc w:val="center"/>
              <w:ind w:left="170"/>
              <w:spacing w:after="0"/>
              <w:rPr>
                <w:sz w:val="20"/>
                <w:szCs w:val="20"/>
                <w:color w:val="auto"/>
              </w:rPr>
            </w:pPr>
            <w:r>
              <w:rPr>
                <w:rFonts w:ascii="Arial" w:cs="Arial" w:eastAsia="Arial" w:hAnsi="Arial"/>
                <w:sz w:val="18"/>
                <w:szCs w:val="18"/>
                <w:color w:val="auto"/>
                <w:w w:val="91"/>
              </w:rPr>
              <w:t>Authorized U.S. Representative)</w:t>
            </w: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2"/>
        </w:trPr>
        <w:tc>
          <w:tcPr>
            <w:tcW w:w="130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 Krisztina Doroghazi</w:t>
            </w:r>
          </w:p>
        </w:tc>
        <w:tc>
          <w:tcPr>
            <w:tcW w:w="3660" w:type="dxa"/>
            <w:vAlign w:val="bottom"/>
          </w:tcPr>
          <w:p>
            <w:pPr>
              <w:jc w:val="center"/>
              <w:ind w:left="130"/>
              <w:spacing w:after="0"/>
              <w:rPr>
                <w:sz w:val="20"/>
                <w:szCs w:val="20"/>
                <w:color w:val="auto"/>
              </w:rPr>
            </w:pPr>
            <w:r>
              <w:rPr>
                <w:rFonts w:ascii="Arial" w:cs="Arial" w:eastAsia="Arial" w:hAnsi="Arial"/>
                <w:sz w:val="18"/>
                <w:szCs w:val="18"/>
                <w:color w:val="auto"/>
                <w:w w:val="91"/>
              </w:rPr>
              <w:t>Senior Vice President, Controller</w:t>
            </w:r>
          </w:p>
        </w:tc>
        <w:tc>
          <w:tcPr>
            <w:tcW w:w="3040" w:type="dxa"/>
            <w:vAlign w:val="bottom"/>
          </w:tcPr>
          <w:p>
            <w:pPr>
              <w:ind w:left="420"/>
              <w:spacing w:after="0"/>
              <w:rPr>
                <w:sz w:val="20"/>
                <w:szCs w:val="20"/>
                <w:color w:val="auto"/>
              </w:rPr>
            </w:pPr>
            <w:r>
              <w:rPr>
                <w:rFonts w:ascii="Arial" w:cs="Arial" w:eastAsia="Arial" w:hAnsi="Arial"/>
                <w:sz w:val="18"/>
                <w:szCs w:val="18"/>
                <w:color w:val="auto"/>
              </w:rPr>
              <w:t>August 4, 2020</w:t>
            </w:r>
          </w:p>
        </w:tc>
        <w:tc>
          <w:tcPr>
            <w:tcW w:w="0" w:type="dxa"/>
            <w:vAlign w:val="bottom"/>
          </w:tcPr>
          <w:p>
            <w:pPr>
              <w:spacing w:after="0"/>
              <w:rPr>
                <w:sz w:val="1"/>
                <w:szCs w:val="1"/>
                <w:color w:val="auto"/>
              </w:rPr>
            </w:pPr>
          </w:p>
        </w:tc>
      </w:tr>
      <w:tr>
        <w:trPr>
          <w:trHeight w:val="109"/>
        </w:trPr>
        <w:tc>
          <w:tcPr>
            <w:tcW w:w="1300" w:type="dxa"/>
            <w:vAlign w:val="bottom"/>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3660" w:type="dxa"/>
            <w:vAlign w:val="bottom"/>
            <w:vMerge w:val="restart"/>
          </w:tcPr>
          <w:p>
            <w:pPr>
              <w:jc w:val="center"/>
              <w:ind w:left="130"/>
              <w:spacing w:after="0"/>
              <w:rPr>
                <w:sz w:val="20"/>
                <w:szCs w:val="20"/>
                <w:color w:val="auto"/>
              </w:rPr>
            </w:pPr>
            <w:r>
              <w:rPr>
                <w:rFonts w:ascii="Arial" w:cs="Arial" w:eastAsia="Arial" w:hAnsi="Arial"/>
                <w:sz w:val="18"/>
                <w:szCs w:val="18"/>
                <w:color w:val="auto"/>
                <w:w w:val="94"/>
              </w:rPr>
              <w:t>and Chief Accounting Officer</w:t>
            </w:r>
          </w:p>
        </w:tc>
        <w:tc>
          <w:tcPr>
            <w:tcW w:w="3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00" w:type="dxa"/>
            <w:vAlign w:val="bottom"/>
          </w:tcPr>
          <w:p>
            <w:pPr>
              <w:spacing w:after="0"/>
              <w:rPr>
                <w:sz w:val="7"/>
                <w:szCs w:val="7"/>
                <w:color w:val="auto"/>
              </w:rPr>
            </w:pPr>
          </w:p>
        </w:tc>
        <w:tc>
          <w:tcPr>
            <w:tcW w:w="3020" w:type="dxa"/>
            <w:vAlign w:val="bottom"/>
            <w:vMerge w:val="restart"/>
          </w:tcPr>
          <w:p>
            <w:pPr>
              <w:spacing w:after="0"/>
              <w:rPr>
                <w:sz w:val="20"/>
                <w:szCs w:val="20"/>
                <w:color w:val="auto"/>
              </w:rPr>
            </w:pPr>
            <w:r>
              <w:rPr>
                <w:rFonts w:ascii="Arial" w:cs="Arial" w:eastAsia="Arial" w:hAnsi="Arial"/>
                <w:sz w:val="18"/>
                <w:szCs w:val="18"/>
                <w:color w:val="auto"/>
              </w:rPr>
              <w:t>Krisztina Doroghazi</w:t>
            </w:r>
          </w:p>
        </w:tc>
        <w:tc>
          <w:tcPr>
            <w:tcW w:w="366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20" w:type="dxa"/>
            <w:vAlign w:val="bottom"/>
            <w:vMerge w:val="continue"/>
          </w:tcPr>
          <w:p>
            <w:pPr>
              <w:spacing w:after="0"/>
              <w:rPr>
                <w:sz w:val="20"/>
                <w:szCs w:val="20"/>
                <w:color w:val="auto"/>
              </w:rPr>
            </w:pPr>
          </w:p>
        </w:tc>
        <w:tc>
          <w:tcPr>
            <w:tcW w:w="3660" w:type="dxa"/>
            <w:vAlign w:val="bottom"/>
          </w:tcPr>
          <w:p>
            <w:pPr>
              <w:jc w:val="center"/>
              <w:ind w:left="170"/>
              <w:spacing w:after="0"/>
              <w:rPr>
                <w:sz w:val="20"/>
                <w:szCs w:val="20"/>
                <w:color w:val="auto"/>
              </w:rPr>
            </w:pPr>
            <w:r>
              <w:rPr>
                <w:rFonts w:ascii="Arial" w:cs="Arial" w:eastAsia="Arial" w:hAnsi="Arial"/>
                <w:sz w:val="18"/>
                <w:szCs w:val="18"/>
                <w:color w:val="auto"/>
                <w:w w:val="94"/>
              </w:rPr>
              <w:t>(Principal Accounting Officer)</w:t>
            </w: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130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 Eleazar de Carvalho Filho</w:t>
            </w:r>
          </w:p>
        </w:tc>
        <w:tc>
          <w:tcPr>
            <w:tcW w:w="3660" w:type="dxa"/>
            <w:vAlign w:val="bottom"/>
          </w:tcPr>
          <w:p>
            <w:pPr>
              <w:jc w:val="center"/>
              <w:ind w:left="170"/>
              <w:spacing w:after="0"/>
              <w:rPr>
                <w:sz w:val="20"/>
                <w:szCs w:val="20"/>
                <w:color w:val="auto"/>
              </w:rPr>
            </w:pPr>
            <w:r>
              <w:rPr>
                <w:rFonts w:ascii="Arial" w:cs="Arial" w:eastAsia="Arial" w:hAnsi="Arial"/>
                <w:sz w:val="18"/>
                <w:szCs w:val="18"/>
                <w:color w:val="auto"/>
                <w:w w:val="95"/>
              </w:rPr>
              <w:t>Director</w:t>
            </w:r>
          </w:p>
        </w:tc>
        <w:tc>
          <w:tcPr>
            <w:tcW w:w="3040" w:type="dxa"/>
            <w:vAlign w:val="bottom"/>
          </w:tcPr>
          <w:p>
            <w:pPr>
              <w:ind w:left="420"/>
              <w:spacing w:after="0"/>
              <w:rPr>
                <w:sz w:val="20"/>
                <w:szCs w:val="20"/>
                <w:color w:val="auto"/>
              </w:rPr>
            </w:pPr>
            <w:r>
              <w:rPr>
                <w:rFonts w:ascii="Arial" w:cs="Arial" w:eastAsia="Arial" w:hAnsi="Arial"/>
                <w:sz w:val="18"/>
                <w:szCs w:val="18"/>
                <w:color w:val="auto"/>
              </w:rPr>
              <w:t>August 4, 2020</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3020" w:type="dxa"/>
            <w:vAlign w:val="bottom"/>
            <w:tcBorders>
              <w:bottom w:val="single" w:sz="8" w:color="auto"/>
            </w:tcBorders>
          </w:tcPr>
          <w:p>
            <w:pPr>
              <w:spacing w:after="0"/>
              <w:rPr>
                <w:sz w:val="5"/>
                <w:szCs w:val="5"/>
                <w:color w:val="auto"/>
              </w:rPr>
            </w:pPr>
          </w:p>
        </w:tc>
        <w:tc>
          <w:tcPr>
            <w:tcW w:w="3660" w:type="dxa"/>
            <w:vAlign w:val="bottom"/>
          </w:tcPr>
          <w:p>
            <w:pPr>
              <w:spacing w:after="0"/>
              <w:rPr>
                <w:sz w:val="5"/>
                <w:szCs w:val="5"/>
                <w:color w:val="auto"/>
              </w:rPr>
            </w:pPr>
          </w:p>
        </w:tc>
        <w:tc>
          <w:tcPr>
            <w:tcW w:w="3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Eleazar de Carvalho Filho</w:t>
            </w:r>
          </w:p>
        </w:tc>
        <w:tc>
          <w:tcPr>
            <w:tcW w:w="36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660" w:type="dxa"/>
            <w:vAlign w:val="bottom"/>
          </w:tcPr>
          <w:p>
            <w:pPr>
              <w:ind w:left="1040"/>
              <w:spacing w:after="0"/>
              <w:rPr>
                <w:sz w:val="20"/>
                <w:szCs w:val="20"/>
                <w:color w:val="auto"/>
              </w:rPr>
            </w:pPr>
            <w:r>
              <w:rPr>
                <w:rFonts w:ascii="Arial" w:cs="Arial" w:eastAsia="Arial" w:hAnsi="Arial"/>
                <w:sz w:val="18"/>
                <w:szCs w:val="18"/>
                <w:color w:val="auto"/>
              </w:rPr>
              <w:t>II-8</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9019"/>
          </w:cols>
          <w:pgMar w:left="1440" w:top="265" w:right="1440" w:bottom="1440" w:gutter="0" w:footer="0" w:header="0"/>
        </w:sectPr>
      </w:pPr>
    </w:p>
    <w:p>
      <w:pPr>
        <w:spacing w:after="0" w:line="23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64135</wp:posOffset>
            </wp:positionV>
            <wp:extent cx="19284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-1012190</wp:posOffset>
            </wp:positionH>
            <wp:positionV relativeFrom="paragraph">
              <wp:posOffset>56515</wp:posOffset>
            </wp:positionV>
            <wp:extent cx="22028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64135</wp:posOffset>
            </wp:positionV>
            <wp:extent cx="9601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420" w:space="720"/>
            <w:col w:w="1920" w:space="720"/>
            <w:col w:w="1239"/>
          </w:cols>
          <w:pgMar w:left="1440" w:top="265" w:right="1440" w:bottom="1440" w:gutter="0" w:footer="0" w:header="0"/>
          <w:type w:val="continuous"/>
        </w:sect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/s/ Arnaud Caudoux</w:t>
            </w:r>
          </w:p>
        </w:tc>
        <w:tc>
          <w:tcPr>
            <w:tcW w:w="3180" w:type="dxa"/>
            <w:vAlign w:val="bottom"/>
          </w:tcPr>
          <w:p>
            <w:pPr>
              <w:ind w:left="166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900"/>
              <w:spacing w:after="0"/>
              <w:rPr>
                <w:sz w:val="20"/>
                <w:szCs w:val="20"/>
                <w:color w:val="auto"/>
              </w:rPr>
            </w:pPr>
            <w:r>
              <w:rPr>
                <w:rFonts w:ascii="Arial" w:cs="Arial" w:eastAsia="Arial" w:hAnsi="Arial"/>
                <w:sz w:val="18"/>
                <w:szCs w:val="18"/>
                <w:color w:val="auto"/>
                <w:w w:val="90"/>
              </w:rPr>
              <w:t>August 4, 2020</w:t>
            </w:r>
          </w:p>
        </w:tc>
      </w:tr>
      <w:tr>
        <w:trPr>
          <w:trHeight w:val="67"/>
        </w:trPr>
        <w:tc>
          <w:tcPr>
            <w:tcW w:w="3020" w:type="dxa"/>
            <w:vAlign w:val="bottom"/>
            <w:tcBorders>
              <w:bottom w:val="single" w:sz="8" w:color="auto"/>
            </w:tcBorders>
          </w:tcPr>
          <w:p>
            <w:pPr>
              <w:spacing w:after="0"/>
              <w:rPr>
                <w:sz w:val="5"/>
                <w:szCs w:val="5"/>
                <w:color w:val="auto"/>
              </w:rPr>
            </w:pPr>
          </w:p>
        </w:tc>
        <w:tc>
          <w:tcPr>
            <w:tcW w:w="3180" w:type="dxa"/>
            <w:vAlign w:val="bottom"/>
          </w:tcPr>
          <w:p>
            <w:pPr>
              <w:spacing w:after="0"/>
              <w:rPr>
                <w:sz w:val="5"/>
                <w:szCs w:val="5"/>
                <w:color w:val="auto"/>
              </w:rPr>
            </w:pPr>
          </w:p>
        </w:tc>
        <w:tc>
          <w:tcPr>
            <w:tcW w:w="2020" w:type="dxa"/>
            <w:vAlign w:val="bottom"/>
          </w:tcPr>
          <w:p>
            <w:pPr>
              <w:spacing w:after="0"/>
              <w:rPr>
                <w:sz w:val="5"/>
                <w:szCs w:val="5"/>
                <w:color w:val="auto"/>
              </w:rPr>
            </w:pPr>
          </w:p>
        </w:tc>
      </w:tr>
      <w:tr>
        <w:trPr>
          <w:trHeight w:val="277"/>
        </w:trPr>
        <w:tc>
          <w:tcPr>
            <w:tcW w:w="3020" w:type="dxa"/>
            <w:vAlign w:val="bottom"/>
          </w:tcPr>
          <w:p>
            <w:pPr>
              <w:spacing w:after="0"/>
              <w:rPr>
                <w:sz w:val="20"/>
                <w:szCs w:val="20"/>
                <w:color w:val="auto"/>
              </w:rPr>
            </w:pPr>
            <w:r>
              <w:rPr>
                <w:rFonts w:ascii="Arial" w:cs="Arial" w:eastAsia="Arial" w:hAnsi="Arial"/>
                <w:sz w:val="18"/>
                <w:szCs w:val="18"/>
                <w:color w:val="auto"/>
              </w:rPr>
              <w:t>Arnaud Caudoux</w:t>
            </w:r>
          </w:p>
        </w:tc>
        <w:tc>
          <w:tcPr>
            <w:tcW w:w="31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648"/>
        </w:trPr>
        <w:tc>
          <w:tcPr>
            <w:tcW w:w="3020" w:type="dxa"/>
            <w:vAlign w:val="bottom"/>
          </w:tcPr>
          <w:p>
            <w:pPr>
              <w:spacing w:after="0"/>
              <w:rPr>
                <w:sz w:val="20"/>
                <w:szCs w:val="20"/>
                <w:color w:val="auto"/>
              </w:rPr>
            </w:pPr>
            <w:r>
              <w:rPr>
                <w:rFonts w:ascii="Arial" w:cs="Arial" w:eastAsia="Arial" w:hAnsi="Arial"/>
                <w:sz w:val="18"/>
                <w:szCs w:val="18"/>
                <w:color w:val="auto"/>
              </w:rPr>
              <w:t>/s/ Pascal Colombani</w:t>
            </w:r>
          </w:p>
        </w:tc>
        <w:tc>
          <w:tcPr>
            <w:tcW w:w="3180" w:type="dxa"/>
            <w:vAlign w:val="bottom"/>
          </w:tcPr>
          <w:p>
            <w:pPr>
              <w:ind w:left="166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900"/>
              <w:spacing w:after="0"/>
              <w:rPr>
                <w:sz w:val="20"/>
                <w:szCs w:val="20"/>
                <w:color w:val="auto"/>
              </w:rPr>
            </w:pPr>
            <w:r>
              <w:rPr>
                <w:rFonts w:ascii="Arial" w:cs="Arial" w:eastAsia="Arial" w:hAnsi="Arial"/>
                <w:sz w:val="18"/>
                <w:szCs w:val="18"/>
                <w:color w:val="auto"/>
                <w:w w:val="90"/>
              </w:rPr>
              <w:t>August 4, 2020</w:t>
            </w:r>
          </w:p>
        </w:tc>
      </w:tr>
      <w:tr>
        <w:trPr>
          <w:trHeight w:val="67"/>
        </w:trPr>
        <w:tc>
          <w:tcPr>
            <w:tcW w:w="3020" w:type="dxa"/>
            <w:vAlign w:val="bottom"/>
            <w:tcBorders>
              <w:bottom w:val="single" w:sz="8" w:color="auto"/>
            </w:tcBorders>
          </w:tcPr>
          <w:p>
            <w:pPr>
              <w:spacing w:after="0"/>
              <w:rPr>
                <w:sz w:val="5"/>
                <w:szCs w:val="5"/>
                <w:color w:val="auto"/>
              </w:rPr>
            </w:pPr>
          </w:p>
        </w:tc>
        <w:tc>
          <w:tcPr>
            <w:tcW w:w="3180" w:type="dxa"/>
            <w:vAlign w:val="bottom"/>
          </w:tcPr>
          <w:p>
            <w:pPr>
              <w:spacing w:after="0"/>
              <w:rPr>
                <w:sz w:val="5"/>
                <w:szCs w:val="5"/>
                <w:color w:val="auto"/>
              </w:rPr>
            </w:pPr>
          </w:p>
        </w:tc>
        <w:tc>
          <w:tcPr>
            <w:tcW w:w="2020" w:type="dxa"/>
            <w:vAlign w:val="bottom"/>
          </w:tcPr>
          <w:p>
            <w:pPr>
              <w:spacing w:after="0"/>
              <w:rPr>
                <w:sz w:val="5"/>
                <w:szCs w:val="5"/>
                <w:color w:val="auto"/>
              </w:rPr>
            </w:pPr>
          </w:p>
        </w:tc>
      </w:tr>
      <w:tr>
        <w:trPr>
          <w:trHeight w:val="277"/>
        </w:trPr>
        <w:tc>
          <w:tcPr>
            <w:tcW w:w="3020" w:type="dxa"/>
            <w:vAlign w:val="bottom"/>
          </w:tcPr>
          <w:p>
            <w:pPr>
              <w:spacing w:after="0"/>
              <w:rPr>
                <w:sz w:val="20"/>
                <w:szCs w:val="20"/>
                <w:color w:val="auto"/>
              </w:rPr>
            </w:pPr>
            <w:r>
              <w:rPr>
                <w:rFonts w:ascii="Arial" w:cs="Arial" w:eastAsia="Arial" w:hAnsi="Arial"/>
                <w:sz w:val="18"/>
                <w:szCs w:val="18"/>
                <w:color w:val="auto"/>
              </w:rPr>
              <w:t>Pascal Colombani</w:t>
            </w:r>
          </w:p>
        </w:tc>
        <w:tc>
          <w:tcPr>
            <w:tcW w:w="31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648"/>
        </w:trPr>
        <w:tc>
          <w:tcPr>
            <w:tcW w:w="3020" w:type="dxa"/>
            <w:vAlign w:val="bottom"/>
          </w:tcPr>
          <w:p>
            <w:pPr>
              <w:spacing w:after="0"/>
              <w:rPr>
                <w:sz w:val="20"/>
                <w:szCs w:val="20"/>
                <w:color w:val="auto"/>
              </w:rPr>
            </w:pPr>
            <w:r>
              <w:rPr>
                <w:rFonts w:ascii="Arial" w:cs="Arial" w:eastAsia="Arial" w:hAnsi="Arial"/>
                <w:sz w:val="18"/>
                <w:szCs w:val="18"/>
                <w:color w:val="auto"/>
              </w:rPr>
              <w:t>/s/ Marie-Ange Debon</w:t>
            </w:r>
          </w:p>
        </w:tc>
        <w:tc>
          <w:tcPr>
            <w:tcW w:w="3180" w:type="dxa"/>
            <w:vAlign w:val="bottom"/>
          </w:tcPr>
          <w:p>
            <w:pPr>
              <w:ind w:left="166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900"/>
              <w:spacing w:after="0"/>
              <w:rPr>
                <w:sz w:val="20"/>
                <w:szCs w:val="20"/>
                <w:color w:val="auto"/>
              </w:rPr>
            </w:pPr>
            <w:r>
              <w:rPr>
                <w:rFonts w:ascii="Arial" w:cs="Arial" w:eastAsia="Arial" w:hAnsi="Arial"/>
                <w:sz w:val="18"/>
                <w:szCs w:val="18"/>
                <w:color w:val="auto"/>
                <w:w w:val="90"/>
              </w:rPr>
              <w:t>August 4, 2020</w:t>
            </w:r>
          </w:p>
        </w:tc>
      </w:tr>
      <w:tr>
        <w:trPr>
          <w:trHeight w:val="68"/>
        </w:trPr>
        <w:tc>
          <w:tcPr>
            <w:tcW w:w="3020" w:type="dxa"/>
            <w:vAlign w:val="bottom"/>
            <w:tcBorders>
              <w:bottom w:val="single" w:sz="8" w:color="auto"/>
            </w:tcBorders>
          </w:tcPr>
          <w:p>
            <w:pPr>
              <w:spacing w:after="0"/>
              <w:rPr>
                <w:sz w:val="5"/>
                <w:szCs w:val="5"/>
                <w:color w:val="auto"/>
              </w:rPr>
            </w:pPr>
          </w:p>
        </w:tc>
        <w:tc>
          <w:tcPr>
            <w:tcW w:w="3180" w:type="dxa"/>
            <w:vAlign w:val="bottom"/>
          </w:tcPr>
          <w:p>
            <w:pPr>
              <w:spacing w:after="0"/>
              <w:rPr>
                <w:sz w:val="5"/>
                <w:szCs w:val="5"/>
                <w:color w:val="auto"/>
              </w:rPr>
            </w:pPr>
          </w:p>
        </w:tc>
        <w:tc>
          <w:tcPr>
            <w:tcW w:w="2020" w:type="dxa"/>
            <w:vAlign w:val="bottom"/>
          </w:tcPr>
          <w:p>
            <w:pPr>
              <w:spacing w:after="0"/>
              <w:rPr>
                <w:sz w:val="5"/>
                <w:szCs w:val="5"/>
                <w:color w:val="auto"/>
              </w:rPr>
            </w:pPr>
          </w:p>
        </w:tc>
      </w:tr>
      <w:tr>
        <w:trPr>
          <w:trHeight w:val="277"/>
        </w:trPr>
        <w:tc>
          <w:tcPr>
            <w:tcW w:w="3020" w:type="dxa"/>
            <w:vAlign w:val="bottom"/>
          </w:tcPr>
          <w:p>
            <w:pPr>
              <w:spacing w:after="0"/>
              <w:rPr>
                <w:sz w:val="20"/>
                <w:szCs w:val="20"/>
                <w:color w:val="auto"/>
              </w:rPr>
            </w:pPr>
            <w:r>
              <w:rPr>
                <w:rFonts w:ascii="Arial" w:cs="Arial" w:eastAsia="Arial" w:hAnsi="Arial"/>
                <w:sz w:val="18"/>
                <w:szCs w:val="18"/>
                <w:color w:val="auto"/>
              </w:rPr>
              <w:t>Marie-Ange Debon</w:t>
            </w:r>
          </w:p>
        </w:tc>
        <w:tc>
          <w:tcPr>
            <w:tcW w:w="31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648"/>
        </w:trPr>
        <w:tc>
          <w:tcPr>
            <w:tcW w:w="3020" w:type="dxa"/>
            <w:vAlign w:val="bottom"/>
          </w:tcPr>
          <w:p>
            <w:pPr>
              <w:spacing w:after="0"/>
              <w:rPr>
                <w:sz w:val="20"/>
                <w:szCs w:val="20"/>
                <w:color w:val="auto"/>
              </w:rPr>
            </w:pPr>
            <w:r>
              <w:rPr>
                <w:rFonts w:ascii="Arial" w:cs="Arial" w:eastAsia="Arial" w:hAnsi="Arial"/>
                <w:sz w:val="18"/>
                <w:szCs w:val="18"/>
                <w:color w:val="auto"/>
              </w:rPr>
              <w:t>/s/ Claire S. Farley</w:t>
            </w:r>
          </w:p>
        </w:tc>
        <w:tc>
          <w:tcPr>
            <w:tcW w:w="3180" w:type="dxa"/>
            <w:vAlign w:val="bottom"/>
          </w:tcPr>
          <w:p>
            <w:pPr>
              <w:ind w:left="166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900"/>
              <w:spacing w:after="0"/>
              <w:rPr>
                <w:sz w:val="20"/>
                <w:szCs w:val="20"/>
                <w:color w:val="auto"/>
              </w:rPr>
            </w:pPr>
            <w:r>
              <w:rPr>
                <w:rFonts w:ascii="Arial" w:cs="Arial" w:eastAsia="Arial" w:hAnsi="Arial"/>
                <w:sz w:val="18"/>
                <w:szCs w:val="18"/>
                <w:color w:val="auto"/>
                <w:w w:val="90"/>
              </w:rPr>
              <w:t>August 4, 2020</w:t>
            </w:r>
          </w:p>
        </w:tc>
      </w:tr>
      <w:tr>
        <w:trPr>
          <w:trHeight w:val="68"/>
        </w:trPr>
        <w:tc>
          <w:tcPr>
            <w:tcW w:w="3020" w:type="dxa"/>
            <w:vAlign w:val="bottom"/>
            <w:tcBorders>
              <w:bottom w:val="single" w:sz="8" w:color="auto"/>
            </w:tcBorders>
          </w:tcPr>
          <w:p>
            <w:pPr>
              <w:spacing w:after="0"/>
              <w:rPr>
                <w:sz w:val="5"/>
                <w:szCs w:val="5"/>
                <w:color w:val="auto"/>
              </w:rPr>
            </w:pPr>
          </w:p>
        </w:tc>
        <w:tc>
          <w:tcPr>
            <w:tcW w:w="3180" w:type="dxa"/>
            <w:vAlign w:val="bottom"/>
          </w:tcPr>
          <w:p>
            <w:pPr>
              <w:spacing w:after="0"/>
              <w:rPr>
                <w:sz w:val="5"/>
                <w:szCs w:val="5"/>
                <w:color w:val="auto"/>
              </w:rPr>
            </w:pPr>
          </w:p>
        </w:tc>
        <w:tc>
          <w:tcPr>
            <w:tcW w:w="2020" w:type="dxa"/>
            <w:vAlign w:val="bottom"/>
          </w:tcPr>
          <w:p>
            <w:pPr>
              <w:spacing w:after="0"/>
              <w:rPr>
                <w:sz w:val="5"/>
                <w:szCs w:val="5"/>
                <w:color w:val="auto"/>
              </w:rPr>
            </w:pPr>
          </w:p>
        </w:tc>
      </w:tr>
      <w:tr>
        <w:trPr>
          <w:trHeight w:val="277"/>
        </w:trPr>
        <w:tc>
          <w:tcPr>
            <w:tcW w:w="3020" w:type="dxa"/>
            <w:vAlign w:val="bottom"/>
          </w:tcPr>
          <w:p>
            <w:pPr>
              <w:spacing w:after="0"/>
              <w:rPr>
                <w:sz w:val="20"/>
                <w:szCs w:val="20"/>
                <w:color w:val="auto"/>
              </w:rPr>
            </w:pPr>
            <w:r>
              <w:rPr>
                <w:rFonts w:ascii="Arial" w:cs="Arial" w:eastAsia="Arial" w:hAnsi="Arial"/>
                <w:sz w:val="18"/>
                <w:szCs w:val="18"/>
                <w:color w:val="auto"/>
              </w:rPr>
              <w:t>Claire S. Farley</w:t>
            </w:r>
          </w:p>
        </w:tc>
        <w:tc>
          <w:tcPr>
            <w:tcW w:w="31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648"/>
        </w:trPr>
        <w:tc>
          <w:tcPr>
            <w:tcW w:w="3020" w:type="dxa"/>
            <w:vAlign w:val="bottom"/>
          </w:tcPr>
          <w:p>
            <w:pPr>
              <w:spacing w:after="0"/>
              <w:rPr>
                <w:sz w:val="20"/>
                <w:szCs w:val="20"/>
                <w:color w:val="auto"/>
              </w:rPr>
            </w:pPr>
            <w:r>
              <w:rPr>
                <w:rFonts w:ascii="Arial" w:cs="Arial" w:eastAsia="Arial" w:hAnsi="Arial"/>
                <w:sz w:val="18"/>
                <w:szCs w:val="18"/>
                <w:color w:val="auto"/>
              </w:rPr>
              <w:t>/s/ Kay G. Priestly</w:t>
            </w:r>
          </w:p>
        </w:tc>
        <w:tc>
          <w:tcPr>
            <w:tcW w:w="3180" w:type="dxa"/>
            <w:vAlign w:val="bottom"/>
          </w:tcPr>
          <w:p>
            <w:pPr>
              <w:ind w:left="166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900"/>
              <w:spacing w:after="0"/>
              <w:rPr>
                <w:sz w:val="20"/>
                <w:szCs w:val="20"/>
                <w:color w:val="auto"/>
              </w:rPr>
            </w:pPr>
            <w:r>
              <w:rPr>
                <w:rFonts w:ascii="Arial" w:cs="Arial" w:eastAsia="Arial" w:hAnsi="Arial"/>
                <w:sz w:val="18"/>
                <w:szCs w:val="18"/>
                <w:color w:val="auto"/>
                <w:w w:val="90"/>
              </w:rPr>
              <w:t>August 4, 2020</w:t>
            </w:r>
          </w:p>
        </w:tc>
      </w:tr>
      <w:tr>
        <w:trPr>
          <w:trHeight w:val="68"/>
        </w:trPr>
        <w:tc>
          <w:tcPr>
            <w:tcW w:w="3020" w:type="dxa"/>
            <w:vAlign w:val="bottom"/>
            <w:tcBorders>
              <w:bottom w:val="single" w:sz="8" w:color="auto"/>
            </w:tcBorders>
          </w:tcPr>
          <w:p>
            <w:pPr>
              <w:spacing w:after="0"/>
              <w:rPr>
                <w:sz w:val="5"/>
                <w:szCs w:val="5"/>
                <w:color w:val="auto"/>
              </w:rPr>
            </w:pPr>
          </w:p>
        </w:tc>
        <w:tc>
          <w:tcPr>
            <w:tcW w:w="3180" w:type="dxa"/>
            <w:vAlign w:val="bottom"/>
          </w:tcPr>
          <w:p>
            <w:pPr>
              <w:spacing w:after="0"/>
              <w:rPr>
                <w:sz w:val="5"/>
                <w:szCs w:val="5"/>
                <w:color w:val="auto"/>
              </w:rPr>
            </w:pPr>
          </w:p>
        </w:tc>
        <w:tc>
          <w:tcPr>
            <w:tcW w:w="2020" w:type="dxa"/>
            <w:vAlign w:val="bottom"/>
          </w:tcPr>
          <w:p>
            <w:pPr>
              <w:spacing w:after="0"/>
              <w:rPr>
                <w:sz w:val="5"/>
                <w:szCs w:val="5"/>
                <w:color w:val="auto"/>
              </w:rPr>
            </w:pPr>
          </w:p>
        </w:tc>
      </w:tr>
      <w:tr>
        <w:trPr>
          <w:trHeight w:val="277"/>
        </w:trPr>
        <w:tc>
          <w:tcPr>
            <w:tcW w:w="3020" w:type="dxa"/>
            <w:vAlign w:val="bottom"/>
          </w:tcPr>
          <w:p>
            <w:pPr>
              <w:spacing w:after="0"/>
              <w:rPr>
                <w:sz w:val="20"/>
                <w:szCs w:val="20"/>
                <w:color w:val="auto"/>
              </w:rPr>
            </w:pPr>
            <w:r>
              <w:rPr>
                <w:rFonts w:ascii="Arial" w:cs="Arial" w:eastAsia="Arial" w:hAnsi="Arial"/>
                <w:sz w:val="18"/>
                <w:szCs w:val="18"/>
                <w:color w:val="auto"/>
              </w:rPr>
              <w:t>Kay G. Priestly</w:t>
            </w:r>
          </w:p>
        </w:tc>
        <w:tc>
          <w:tcPr>
            <w:tcW w:w="31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648"/>
        </w:trPr>
        <w:tc>
          <w:tcPr>
            <w:tcW w:w="3020" w:type="dxa"/>
            <w:vAlign w:val="bottom"/>
          </w:tcPr>
          <w:p>
            <w:pPr>
              <w:spacing w:after="0"/>
              <w:rPr>
                <w:sz w:val="20"/>
                <w:szCs w:val="20"/>
                <w:color w:val="auto"/>
              </w:rPr>
            </w:pPr>
            <w:r>
              <w:rPr>
                <w:rFonts w:ascii="Arial" w:cs="Arial" w:eastAsia="Arial" w:hAnsi="Arial"/>
                <w:sz w:val="18"/>
                <w:szCs w:val="18"/>
                <w:color w:val="auto"/>
              </w:rPr>
              <w:t>/s/ Joseph Rinaldi</w:t>
            </w:r>
          </w:p>
        </w:tc>
        <w:tc>
          <w:tcPr>
            <w:tcW w:w="3180" w:type="dxa"/>
            <w:vAlign w:val="bottom"/>
          </w:tcPr>
          <w:p>
            <w:pPr>
              <w:ind w:left="166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900"/>
              <w:spacing w:after="0"/>
              <w:rPr>
                <w:sz w:val="20"/>
                <w:szCs w:val="20"/>
                <w:color w:val="auto"/>
              </w:rPr>
            </w:pPr>
            <w:r>
              <w:rPr>
                <w:rFonts w:ascii="Arial" w:cs="Arial" w:eastAsia="Arial" w:hAnsi="Arial"/>
                <w:sz w:val="18"/>
                <w:szCs w:val="18"/>
                <w:color w:val="auto"/>
                <w:w w:val="90"/>
              </w:rPr>
              <w:t>August 4, 2020</w:t>
            </w:r>
          </w:p>
        </w:tc>
      </w:tr>
      <w:tr>
        <w:trPr>
          <w:trHeight w:val="68"/>
        </w:trPr>
        <w:tc>
          <w:tcPr>
            <w:tcW w:w="3020" w:type="dxa"/>
            <w:vAlign w:val="bottom"/>
            <w:tcBorders>
              <w:bottom w:val="single" w:sz="8" w:color="auto"/>
            </w:tcBorders>
          </w:tcPr>
          <w:p>
            <w:pPr>
              <w:spacing w:after="0"/>
              <w:rPr>
                <w:sz w:val="5"/>
                <w:szCs w:val="5"/>
                <w:color w:val="auto"/>
              </w:rPr>
            </w:pPr>
          </w:p>
        </w:tc>
        <w:tc>
          <w:tcPr>
            <w:tcW w:w="3180" w:type="dxa"/>
            <w:vAlign w:val="bottom"/>
          </w:tcPr>
          <w:p>
            <w:pPr>
              <w:spacing w:after="0"/>
              <w:rPr>
                <w:sz w:val="5"/>
                <w:szCs w:val="5"/>
                <w:color w:val="auto"/>
              </w:rPr>
            </w:pPr>
          </w:p>
        </w:tc>
        <w:tc>
          <w:tcPr>
            <w:tcW w:w="2020" w:type="dxa"/>
            <w:vAlign w:val="bottom"/>
          </w:tcPr>
          <w:p>
            <w:pPr>
              <w:spacing w:after="0"/>
              <w:rPr>
                <w:sz w:val="5"/>
                <w:szCs w:val="5"/>
                <w:color w:val="auto"/>
              </w:rPr>
            </w:pPr>
          </w:p>
        </w:tc>
      </w:tr>
      <w:tr>
        <w:trPr>
          <w:trHeight w:val="277"/>
        </w:trPr>
        <w:tc>
          <w:tcPr>
            <w:tcW w:w="3020" w:type="dxa"/>
            <w:vAlign w:val="bottom"/>
          </w:tcPr>
          <w:p>
            <w:pPr>
              <w:spacing w:after="0"/>
              <w:rPr>
                <w:sz w:val="20"/>
                <w:szCs w:val="20"/>
                <w:color w:val="auto"/>
              </w:rPr>
            </w:pPr>
            <w:r>
              <w:rPr>
                <w:rFonts w:ascii="Arial" w:cs="Arial" w:eastAsia="Arial" w:hAnsi="Arial"/>
                <w:sz w:val="18"/>
                <w:szCs w:val="18"/>
                <w:color w:val="auto"/>
              </w:rPr>
              <w:t>Joseph Rinaldi</w:t>
            </w:r>
          </w:p>
        </w:tc>
        <w:tc>
          <w:tcPr>
            <w:tcW w:w="31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32"/>
        </w:trPr>
        <w:tc>
          <w:tcPr>
            <w:tcW w:w="3020" w:type="dxa"/>
            <w:vAlign w:val="bottom"/>
          </w:tcPr>
          <w:p>
            <w:pPr>
              <w:spacing w:after="0"/>
              <w:rPr>
                <w:sz w:val="24"/>
                <w:szCs w:val="24"/>
                <w:color w:val="auto"/>
              </w:rPr>
            </w:pPr>
          </w:p>
        </w:tc>
        <w:tc>
          <w:tcPr>
            <w:tcW w:w="3180" w:type="dxa"/>
            <w:vAlign w:val="bottom"/>
          </w:tcPr>
          <w:p>
            <w:pPr>
              <w:ind w:left="1040"/>
              <w:spacing w:after="0"/>
              <w:rPr>
                <w:sz w:val="20"/>
                <w:szCs w:val="20"/>
                <w:color w:val="auto"/>
              </w:rPr>
            </w:pPr>
            <w:r>
              <w:rPr>
                <w:rFonts w:ascii="Arial" w:cs="Arial" w:eastAsia="Arial" w:hAnsi="Arial"/>
                <w:sz w:val="18"/>
                <w:szCs w:val="18"/>
                <w:color w:val="auto"/>
              </w:rPr>
              <w:t>II-9</w:t>
            </w:r>
          </w:p>
        </w:tc>
        <w:tc>
          <w:tcPr>
            <w:tcW w:w="2020" w:type="dxa"/>
            <w:vAlign w:val="bottom"/>
          </w:tcPr>
          <w:p>
            <w:pPr>
              <w:spacing w:after="0"/>
              <w:rPr>
                <w:sz w:val="24"/>
                <w:szCs w:val="24"/>
                <w:color w:val="auto"/>
              </w:rPr>
            </w:pPr>
          </w:p>
        </w:tc>
      </w:tr>
    </w:tbl>
    <w:p>
      <w:pPr>
        <w:sectPr>
          <w:pgSz w:w="11900" w:h="16838" w:orient="portrait"/>
          <w:cols w:equalWidth="0" w:num="1">
            <w:col w:w="9019"/>
          </w:cols>
          <w:pgMar w:left="1440" w:top="265" w:right="1440" w:bottom="144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5.1</w:t>
      </w:r>
    </w:p>
    <w:p>
      <w:pPr>
        <w:spacing w:after="0" w:line="248" w:lineRule="exact"/>
        <w:rPr>
          <w:sz w:val="20"/>
          <w:szCs w:val="20"/>
          <w:color w:val="auto"/>
        </w:rPr>
      </w:pPr>
    </w:p>
    <w:p>
      <w:pPr>
        <w:ind w:left="7880"/>
        <w:spacing w:after="0"/>
        <w:rPr>
          <w:sz w:val="20"/>
          <w:szCs w:val="20"/>
          <w:color w:val="auto"/>
        </w:rPr>
      </w:pPr>
      <w:r>
        <w:rPr>
          <w:rFonts w:ascii="Arial" w:cs="Arial" w:eastAsia="Arial" w:hAnsi="Arial"/>
          <w:sz w:val="14"/>
          <w:szCs w:val="14"/>
          <w:color w:val="auto"/>
        </w:rPr>
        <w:t>99 Bishopsgate</w:t>
      </w:r>
    </w:p>
    <w:p>
      <w:pPr>
        <w:spacing w:after="0" w:line="1" w:lineRule="exact"/>
        <w:rPr>
          <w:sz w:val="20"/>
          <w:szCs w:val="20"/>
          <w:color w:val="auto"/>
        </w:rPr>
      </w:pPr>
    </w:p>
    <w:p>
      <w:pPr>
        <w:ind w:left="7880"/>
        <w:spacing w:after="0"/>
        <w:rPr>
          <w:sz w:val="20"/>
          <w:szCs w:val="20"/>
          <w:color w:val="auto"/>
        </w:rPr>
      </w:pPr>
      <w:r>
        <w:rPr>
          <w:rFonts w:ascii="Arial" w:cs="Arial" w:eastAsia="Arial" w:hAnsi="Arial"/>
          <w:sz w:val="14"/>
          <w:szCs w:val="14"/>
          <w:color w:val="auto"/>
        </w:rPr>
        <w:t>London EC2M 3XF</w:t>
      </w:r>
    </w:p>
    <w:p>
      <w:pPr>
        <w:spacing w:after="0" w:line="1" w:lineRule="exact"/>
        <w:rPr>
          <w:sz w:val="20"/>
          <w:szCs w:val="20"/>
          <w:color w:val="auto"/>
        </w:rPr>
      </w:pPr>
    </w:p>
    <w:p>
      <w:pPr>
        <w:ind w:left="7880"/>
        <w:spacing w:after="0"/>
        <w:rPr>
          <w:sz w:val="20"/>
          <w:szCs w:val="20"/>
          <w:color w:val="auto"/>
        </w:rPr>
      </w:pPr>
      <w:r>
        <w:rPr>
          <w:rFonts w:ascii="Arial" w:cs="Arial" w:eastAsia="Arial" w:hAnsi="Arial"/>
          <w:sz w:val="14"/>
          <w:szCs w:val="14"/>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-1905</wp:posOffset>
            </wp:positionV>
            <wp:extent cx="2665730" cy="196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2665730" cy="196850"/>
                    </a:xfrm>
                    <a:prstGeom prst="rect">
                      <a:avLst/>
                    </a:prstGeom>
                    <a:noFill/>
                  </pic:spPr>
                </pic:pic>
              </a:graphicData>
            </a:graphic>
          </wp:anchor>
        </w:drawing>
      </w:r>
    </w:p>
    <w:p>
      <w:pPr>
        <w:ind w:left="7880" w:right="140"/>
        <w:spacing w:after="0" w:line="258" w:lineRule="auto"/>
        <w:rPr>
          <w:sz w:val="20"/>
          <w:szCs w:val="20"/>
          <w:color w:val="auto"/>
        </w:rPr>
      </w:pPr>
      <w:r>
        <w:rPr>
          <w:rFonts w:ascii="Arial" w:cs="Arial" w:eastAsia="Arial" w:hAnsi="Arial"/>
          <w:sz w:val="14"/>
          <w:szCs w:val="14"/>
          <w:color w:val="auto"/>
        </w:rPr>
        <w:t>Tel: +44(0)20.7710.1000 Fax: +44(0)20.7374.4460 www.lw.com</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520" w:type="dxa"/>
            <w:vAlign w:val="bottom"/>
            <w:gridSpan w:val="2"/>
          </w:tcPr>
          <w:p>
            <w:pPr>
              <w:ind w:left="280"/>
              <w:spacing w:after="0"/>
              <w:rPr>
                <w:sz w:val="20"/>
                <w:szCs w:val="20"/>
                <w:color w:val="auto"/>
              </w:rPr>
            </w:pPr>
            <w:r>
              <w:rPr>
                <w:rFonts w:ascii="Arial" w:cs="Arial" w:eastAsia="Arial" w:hAnsi="Arial"/>
                <w:sz w:val="14"/>
                <w:szCs w:val="14"/>
                <w:color w:val="auto"/>
              </w:rPr>
              <w:t>FIRM / AFFILIATE OFFICES</w:t>
            </w:r>
          </w:p>
        </w:tc>
      </w:tr>
      <w:tr>
        <w:trPr>
          <w:trHeight w:val="172"/>
        </w:trPr>
        <w:tc>
          <w:tcPr>
            <w:tcW w:w="46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240" w:type="dxa"/>
            <w:vAlign w:val="bottom"/>
          </w:tcPr>
          <w:p>
            <w:pPr>
              <w:ind w:left="280"/>
              <w:spacing w:after="0"/>
              <w:rPr>
                <w:sz w:val="20"/>
                <w:szCs w:val="20"/>
                <w:color w:val="auto"/>
              </w:rPr>
            </w:pPr>
            <w:r>
              <w:rPr>
                <w:rFonts w:ascii="Arial" w:cs="Arial" w:eastAsia="Arial" w:hAnsi="Arial"/>
                <w:sz w:val="14"/>
                <w:szCs w:val="14"/>
                <w:color w:val="auto"/>
              </w:rPr>
              <w:t>Beijing</w:t>
            </w:r>
          </w:p>
        </w:tc>
        <w:tc>
          <w:tcPr>
            <w:tcW w:w="1280" w:type="dxa"/>
            <w:vAlign w:val="bottom"/>
          </w:tcPr>
          <w:p>
            <w:pPr>
              <w:ind w:left="160"/>
              <w:spacing w:after="0"/>
              <w:rPr>
                <w:sz w:val="20"/>
                <w:szCs w:val="20"/>
                <w:color w:val="auto"/>
              </w:rPr>
            </w:pPr>
            <w:r>
              <w:rPr>
                <w:rFonts w:ascii="Arial" w:cs="Arial" w:eastAsia="Arial" w:hAnsi="Arial"/>
                <w:sz w:val="14"/>
                <w:szCs w:val="14"/>
                <w:color w:val="auto"/>
              </w:rPr>
              <w:t>Moscow</w:t>
            </w:r>
          </w:p>
        </w:tc>
      </w:tr>
      <w:tr>
        <w:trPr>
          <w:trHeight w:val="216"/>
        </w:trPr>
        <w:tc>
          <w:tcPr>
            <w:tcW w:w="46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240" w:type="dxa"/>
            <w:vAlign w:val="bottom"/>
          </w:tcPr>
          <w:p>
            <w:pPr>
              <w:ind w:left="280"/>
              <w:spacing w:after="0"/>
              <w:rPr>
                <w:sz w:val="20"/>
                <w:szCs w:val="20"/>
                <w:color w:val="auto"/>
              </w:rPr>
            </w:pPr>
            <w:r>
              <w:rPr>
                <w:rFonts w:ascii="Arial" w:cs="Arial" w:eastAsia="Arial" w:hAnsi="Arial"/>
                <w:sz w:val="14"/>
                <w:szCs w:val="14"/>
                <w:color w:val="auto"/>
              </w:rPr>
              <w:t>Boston</w:t>
            </w:r>
          </w:p>
        </w:tc>
        <w:tc>
          <w:tcPr>
            <w:tcW w:w="1280" w:type="dxa"/>
            <w:vAlign w:val="bottom"/>
          </w:tcPr>
          <w:p>
            <w:pPr>
              <w:ind w:left="160"/>
              <w:spacing w:after="0"/>
              <w:rPr>
                <w:sz w:val="20"/>
                <w:szCs w:val="20"/>
                <w:color w:val="auto"/>
              </w:rPr>
            </w:pPr>
            <w:r>
              <w:rPr>
                <w:rFonts w:ascii="Arial" w:cs="Arial" w:eastAsia="Arial" w:hAnsi="Arial"/>
                <w:sz w:val="14"/>
                <w:szCs w:val="14"/>
                <w:color w:val="auto"/>
              </w:rPr>
              <w:t>Munich</w:t>
            </w:r>
          </w:p>
        </w:tc>
      </w:tr>
      <w:tr>
        <w:trPr>
          <w:trHeight w:val="216"/>
        </w:trPr>
        <w:tc>
          <w:tcPr>
            <w:tcW w:w="46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240" w:type="dxa"/>
            <w:vAlign w:val="bottom"/>
          </w:tcPr>
          <w:p>
            <w:pPr>
              <w:ind w:left="280"/>
              <w:spacing w:after="0"/>
              <w:rPr>
                <w:sz w:val="20"/>
                <w:szCs w:val="20"/>
                <w:color w:val="auto"/>
              </w:rPr>
            </w:pPr>
            <w:r>
              <w:rPr>
                <w:rFonts w:ascii="Arial" w:cs="Arial" w:eastAsia="Arial" w:hAnsi="Arial"/>
                <w:sz w:val="14"/>
                <w:szCs w:val="14"/>
                <w:color w:val="auto"/>
              </w:rPr>
              <w:t>Brussels</w:t>
            </w:r>
          </w:p>
        </w:tc>
        <w:tc>
          <w:tcPr>
            <w:tcW w:w="1280" w:type="dxa"/>
            <w:vAlign w:val="bottom"/>
          </w:tcPr>
          <w:p>
            <w:pPr>
              <w:ind w:left="160"/>
              <w:spacing w:after="0"/>
              <w:rPr>
                <w:sz w:val="20"/>
                <w:szCs w:val="20"/>
                <w:color w:val="auto"/>
              </w:rPr>
            </w:pPr>
            <w:r>
              <w:rPr>
                <w:rFonts w:ascii="Arial" w:cs="Arial" w:eastAsia="Arial" w:hAnsi="Arial"/>
                <w:sz w:val="14"/>
                <w:szCs w:val="14"/>
                <w:color w:val="auto"/>
              </w:rPr>
              <w:t>New York</w:t>
            </w:r>
          </w:p>
        </w:tc>
      </w:tr>
      <w:tr>
        <w:trPr>
          <w:trHeight w:val="216"/>
        </w:trPr>
        <w:tc>
          <w:tcPr>
            <w:tcW w:w="46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240" w:type="dxa"/>
            <w:vAlign w:val="bottom"/>
          </w:tcPr>
          <w:p>
            <w:pPr>
              <w:ind w:left="280"/>
              <w:spacing w:after="0"/>
              <w:rPr>
                <w:sz w:val="20"/>
                <w:szCs w:val="20"/>
                <w:color w:val="auto"/>
              </w:rPr>
            </w:pPr>
            <w:r>
              <w:rPr>
                <w:rFonts w:ascii="Arial" w:cs="Arial" w:eastAsia="Arial" w:hAnsi="Arial"/>
                <w:sz w:val="14"/>
                <w:szCs w:val="14"/>
                <w:color w:val="auto"/>
              </w:rPr>
              <w:t>Century City</w:t>
            </w:r>
          </w:p>
        </w:tc>
        <w:tc>
          <w:tcPr>
            <w:tcW w:w="1280" w:type="dxa"/>
            <w:vAlign w:val="bottom"/>
          </w:tcPr>
          <w:p>
            <w:pPr>
              <w:ind w:left="160"/>
              <w:spacing w:after="0"/>
              <w:rPr>
                <w:sz w:val="20"/>
                <w:szCs w:val="20"/>
                <w:color w:val="auto"/>
              </w:rPr>
            </w:pPr>
            <w:r>
              <w:rPr>
                <w:rFonts w:ascii="Arial" w:cs="Arial" w:eastAsia="Arial" w:hAnsi="Arial"/>
                <w:sz w:val="14"/>
                <w:szCs w:val="14"/>
                <w:color w:val="auto"/>
              </w:rPr>
              <w:t>Orange County</w:t>
            </w:r>
          </w:p>
        </w:tc>
      </w:tr>
      <w:tr>
        <w:trPr>
          <w:trHeight w:val="216"/>
        </w:trPr>
        <w:tc>
          <w:tcPr>
            <w:tcW w:w="46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240" w:type="dxa"/>
            <w:vAlign w:val="bottom"/>
          </w:tcPr>
          <w:p>
            <w:pPr>
              <w:ind w:left="280"/>
              <w:spacing w:after="0"/>
              <w:rPr>
                <w:sz w:val="20"/>
                <w:szCs w:val="20"/>
                <w:color w:val="auto"/>
              </w:rPr>
            </w:pPr>
            <w:r>
              <w:rPr>
                <w:rFonts w:ascii="Arial" w:cs="Arial" w:eastAsia="Arial" w:hAnsi="Arial"/>
                <w:sz w:val="14"/>
                <w:szCs w:val="14"/>
                <w:color w:val="auto"/>
              </w:rPr>
              <w:t>Chicago</w:t>
            </w:r>
          </w:p>
        </w:tc>
        <w:tc>
          <w:tcPr>
            <w:tcW w:w="1280" w:type="dxa"/>
            <w:vAlign w:val="bottom"/>
          </w:tcPr>
          <w:p>
            <w:pPr>
              <w:ind w:left="160"/>
              <w:spacing w:after="0"/>
              <w:rPr>
                <w:sz w:val="20"/>
                <w:szCs w:val="20"/>
                <w:color w:val="auto"/>
              </w:rPr>
            </w:pPr>
            <w:r>
              <w:rPr>
                <w:rFonts w:ascii="Arial" w:cs="Arial" w:eastAsia="Arial" w:hAnsi="Arial"/>
                <w:sz w:val="14"/>
                <w:szCs w:val="14"/>
                <w:color w:val="auto"/>
              </w:rPr>
              <w:t>Paris</w:t>
            </w:r>
          </w:p>
        </w:tc>
      </w:tr>
      <w:tr>
        <w:trPr>
          <w:trHeight w:val="255"/>
        </w:trPr>
        <w:tc>
          <w:tcPr>
            <w:tcW w:w="7600" w:type="dxa"/>
            <w:vAlign w:val="bottom"/>
            <w:gridSpan w:val="2"/>
          </w:tcPr>
          <w:p>
            <w:pPr>
              <w:spacing w:after="0"/>
              <w:rPr>
                <w:sz w:val="20"/>
                <w:szCs w:val="20"/>
                <w:color w:val="auto"/>
              </w:rPr>
            </w:pPr>
            <w:r>
              <w:rPr>
                <w:rFonts w:ascii="Arial" w:cs="Arial" w:eastAsia="Arial" w:hAnsi="Arial"/>
                <w:sz w:val="18"/>
                <w:szCs w:val="18"/>
                <w:color w:val="auto"/>
              </w:rPr>
              <w:t>4 August 2020</w:t>
            </w:r>
          </w:p>
        </w:tc>
        <w:tc>
          <w:tcPr>
            <w:tcW w:w="1240" w:type="dxa"/>
            <w:vAlign w:val="bottom"/>
          </w:tcPr>
          <w:p>
            <w:pPr>
              <w:ind w:left="280"/>
              <w:spacing w:after="0"/>
              <w:rPr>
                <w:sz w:val="20"/>
                <w:szCs w:val="20"/>
                <w:color w:val="auto"/>
              </w:rPr>
            </w:pPr>
            <w:r>
              <w:rPr>
                <w:rFonts w:ascii="Arial" w:cs="Arial" w:eastAsia="Arial" w:hAnsi="Arial"/>
                <w:sz w:val="14"/>
                <w:szCs w:val="14"/>
                <w:color w:val="auto"/>
              </w:rPr>
              <w:t>Dubai</w:t>
            </w:r>
          </w:p>
        </w:tc>
        <w:tc>
          <w:tcPr>
            <w:tcW w:w="1280" w:type="dxa"/>
            <w:vAlign w:val="bottom"/>
          </w:tcPr>
          <w:p>
            <w:pPr>
              <w:ind w:left="160"/>
              <w:spacing w:after="0"/>
              <w:rPr>
                <w:sz w:val="20"/>
                <w:szCs w:val="20"/>
                <w:color w:val="auto"/>
              </w:rPr>
            </w:pPr>
            <w:r>
              <w:rPr>
                <w:rFonts w:ascii="Arial" w:cs="Arial" w:eastAsia="Arial" w:hAnsi="Arial"/>
                <w:sz w:val="14"/>
                <w:szCs w:val="14"/>
                <w:color w:val="auto"/>
              </w:rPr>
              <w:t>Riyadh</w:t>
            </w:r>
          </w:p>
        </w:tc>
      </w:tr>
      <w:tr>
        <w:trPr>
          <w:trHeight w:val="177"/>
        </w:trPr>
        <w:tc>
          <w:tcPr>
            <w:tcW w:w="46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240" w:type="dxa"/>
            <w:vAlign w:val="bottom"/>
          </w:tcPr>
          <w:p>
            <w:pPr>
              <w:ind w:left="280"/>
              <w:spacing w:after="0"/>
              <w:rPr>
                <w:sz w:val="20"/>
                <w:szCs w:val="20"/>
                <w:color w:val="auto"/>
              </w:rPr>
            </w:pPr>
            <w:r>
              <w:rPr>
                <w:rFonts w:ascii="Arial" w:cs="Arial" w:eastAsia="Arial" w:hAnsi="Arial"/>
                <w:sz w:val="14"/>
                <w:szCs w:val="14"/>
                <w:color w:val="auto"/>
              </w:rPr>
              <w:t>Düsseldorf</w:t>
            </w:r>
          </w:p>
        </w:tc>
        <w:tc>
          <w:tcPr>
            <w:tcW w:w="1280" w:type="dxa"/>
            <w:vAlign w:val="bottom"/>
          </w:tcPr>
          <w:p>
            <w:pPr>
              <w:ind w:left="160"/>
              <w:spacing w:after="0"/>
              <w:rPr>
                <w:sz w:val="20"/>
                <w:szCs w:val="20"/>
                <w:color w:val="auto"/>
              </w:rPr>
            </w:pPr>
            <w:r>
              <w:rPr>
                <w:rFonts w:ascii="Arial" w:cs="Arial" w:eastAsia="Arial" w:hAnsi="Arial"/>
                <w:sz w:val="14"/>
                <w:szCs w:val="14"/>
                <w:color w:val="auto"/>
              </w:rPr>
              <w:t>San Diego</w:t>
            </w:r>
          </w:p>
        </w:tc>
      </w:tr>
      <w:tr>
        <w:trPr>
          <w:trHeight w:val="216"/>
        </w:trPr>
        <w:tc>
          <w:tcPr>
            <w:tcW w:w="46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240" w:type="dxa"/>
            <w:vAlign w:val="bottom"/>
          </w:tcPr>
          <w:p>
            <w:pPr>
              <w:ind w:left="280"/>
              <w:spacing w:after="0"/>
              <w:rPr>
                <w:sz w:val="20"/>
                <w:szCs w:val="20"/>
                <w:color w:val="auto"/>
              </w:rPr>
            </w:pPr>
            <w:r>
              <w:rPr>
                <w:rFonts w:ascii="Arial" w:cs="Arial" w:eastAsia="Arial" w:hAnsi="Arial"/>
                <w:sz w:val="14"/>
                <w:szCs w:val="14"/>
                <w:color w:val="auto"/>
              </w:rPr>
              <w:t>Frankfurt</w:t>
            </w:r>
          </w:p>
        </w:tc>
        <w:tc>
          <w:tcPr>
            <w:tcW w:w="1280" w:type="dxa"/>
            <w:vAlign w:val="bottom"/>
          </w:tcPr>
          <w:p>
            <w:pPr>
              <w:ind w:left="160"/>
              <w:spacing w:after="0"/>
              <w:rPr>
                <w:sz w:val="20"/>
                <w:szCs w:val="20"/>
                <w:color w:val="auto"/>
              </w:rPr>
            </w:pPr>
            <w:r>
              <w:rPr>
                <w:rFonts w:ascii="Arial" w:cs="Arial" w:eastAsia="Arial" w:hAnsi="Arial"/>
                <w:sz w:val="14"/>
                <w:szCs w:val="14"/>
                <w:color w:val="auto"/>
              </w:rPr>
              <w:t>San Francisco</w:t>
            </w:r>
          </w:p>
        </w:tc>
      </w:tr>
      <w:tr>
        <w:trPr>
          <w:trHeight w:val="206"/>
        </w:trPr>
        <w:tc>
          <w:tcPr>
            <w:tcW w:w="46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1240" w:type="dxa"/>
            <w:vAlign w:val="bottom"/>
          </w:tcPr>
          <w:p>
            <w:pPr>
              <w:ind w:left="280"/>
              <w:spacing w:after="0"/>
              <w:rPr>
                <w:sz w:val="20"/>
                <w:szCs w:val="20"/>
                <w:color w:val="auto"/>
              </w:rPr>
            </w:pPr>
            <w:r>
              <w:rPr>
                <w:rFonts w:ascii="Arial" w:cs="Arial" w:eastAsia="Arial" w:hAnsi="Arial"/>
                <w:sz w:val="14"/>
                <w:szCs w:val="14"/>
                <w:color w:val="auto"/>
              </w:rPr>
              <w:t>Hamburg</w:t>
            </w:r>
          </w:p>
        </w:tc>
        <w:tc>
          <w:tcPr>
            <w:tcW w:w="1280" w:type="dxa"/>
            <w:vAlign w:val="bottom"/>
          </w:tcPr>
          <w:p>
            <w:pPr>
              <w:ind w:left="160"/>
              <w:spacing w:after="0"/>
              <w:rPr>
                <w:sz w:val="20"/>
                <w:szCs w:val="20"/>
                <w:color w:val="auto"/>
              </w:rPr>
            </w:pPr>
            <w:r>
              <w:rPr>
                <w:rFonts w:ascii="Arial" w:cs="Arial" w:eastAsia="Arial" w:hAnsi="Arial"/>
                <w:sz w:val="14"/>
                <w:szCs w:val="14"/>
                <w:color w:val="auto"/>
              </w:rPr>
              <w:t>Seoul</w:t>
            </w:r>
          </w:p>
        </w:tc>
      </w:tr>
      <w:tr>
        <w:trPr>
          <w:trHeight w:val="172"/>
        </w:trPr>
        <w:tc>
          <w:tcPr>
            <w:tcW w:w="46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240" w:type="dxa"/>
            <w:vAlign w:val="bottom"/>
          </w:tcPr>
          <w:p>
            <w:pPr>
              <w:ind w:left="280"/>
              <w:spacing w:after="0"/>
              <w:rPr>
                <w:sz w:val="20"/>
                <w:szCs w:val="20"/>
                <w:color w:val="auto"/>
              </w:rPr>
            </w:pPr>
            <w:r>
              <w:rPr>
                <w:rFonts w:ascii="Arial" w:cs="Arial" w:eastAsia="Arial" w:hAnsi="Arial"/>
                <w:sz w:val="14"/>
                <w:szCs w:val="14"/>
                <w:color w:val="auto"/>
              </w:rPr>
              <w:t>Hong Kong</w:t>
            </w:r>
          </w:p>
        </w:tc>
        <w:tc>
          <w:tcPr>
            <w:tcW w:w="1280" w:type="dxa"/>
            <w:vAlign w:val="bottom"/>
          </w:tcPr>
          <w:p>
            <w:pPr>
              <w:ind w:left="160"/>
              <w:spacing w:after="0"/>
              <w:rPr>
                <w:sz w:val="20"/>
                <w:szCs w:val="20"/>
                <w:color w:val="auto"/>
              </w:rPr>
            </w:pPr>
            <w:r>
              <w:rPr>
                <w:rFonts w:ascii="Arial" w:cs="Arial" w:eastAsia="Arial" w:hAnsi="Arial"/>
                <w:sz w:val="14"/>
                <w:szCs w:val="14"/>
                <w:color w:val="auto"/>
              </w:rPr>
              <w:t>Shanghai</w:t>
            </w:r>
          </w:p>
        </w:tc>
      </w:tr>
      <w:tr>
        <w:trPr>
          <w:trHeight w:val="216"/>
        </w:trPr>
        <w:tc>
          <w:tcPr>
            <w:tcW w:w="46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240" w:type="dxa"/>
            <w:vAlign w:val="bottom"/>
          </w:tcPr>
          <w:p>
            <w:pPr>
              <w:ind w:left="280"/>
              <w:spacing w:after="0"/>
              <w:rPr>
                <w:sz w:val="20"/>
                <w:szCs w:val="20"/>
                <w:color w:val="auto"/>
              </w:rPr>
            </w:pPr>
            <w:r>
              <w:rPr>
                <w:rFonts w:ascii="Arial" w:cs="Arial" w:eastAsia="Arial" w:hAnsi="Arial"/>
                <w:sz w:val="14"/>
                <w:szCs w:val="14"/>
                <w:color w:val="auto"/>
              </w:rPr>
              <w:t>Houston</w:t>
            </w:r>
          </w:p>
        </w:tc>
        <w:tc>
          <w:tcPr>
            <w:tcW w:w="1280" w:type="dxa"/>
            <w:vAlign w:val="bottom"/>
          </w:tcPr>
          <w:p>
            <w:pPr>
              <w:ind w:left="160"/>
              <w:spacing w:after="0"/>
              <w:rPr>
                <w:sz w:val="20"/>
                <w:szCs w:val="20"/>
                <w:color w:val="auto"/>
              </w:rPr>
            </w:pPr>
            <w:r>
              <w:rPr>
                <w:rFonts w:ascii="Arial" w:cs="Arial" w:eastAsia="Arial" w:hAnsi="Arial"/>
                <w:sz w:val="14"/>
                <w:szCs w:val="14"/>
                <w:color w:val="auto"/>
              </w:rPr>
              <w:t>Silicon Valley</w:t>
            </w:r>
          </w:p>
        </w:tc>
      </w:tr>
      <w:tr>
        <w:trPr>
          <w:trHeight w:val="241"/>
        </w:trPr>
        <w:tc>
          <w:tcPr>
            <w:tcW w:w="7600" w:type="dxa"/>
            <w:vAlign w:val="bottom"/>
            <w:gridSpan w:val="2"/>
          </w:tcPr>
          <w:p>
            <w:pPr>
              <w:spacing w:after="0"/>
              <w:rPr>
                <w:sz w:val="20"/>
                <w:szCs w:val="20"/>
                <w:color w:val="auto"/>
              </w:rPr>
            </w:pPr>
            <w:r>
              <w:rPr>
                <w:rFonts w:ascii="Arial" w:cs="Arial" w:eastAsia="Arial" w:hAnsi="Arial"/>
                <w:sz w:val="18"/>
                <w:szCs w:val="18"/>
                <w:color w:val="auto"/>
              </w:rPr>
              <w:t>TechnipFMC plc</w:t>
            </w:r>
          </w:p>
        </w:tc>
        <w:tc>
          <w:tcPr>
            <w:tcW w:w="1240" w:type="dxa"/>
            <w:vAlign w:val="bottom"/>
          </w:tcPr>
          <w:p>
            <w:pPr>
              <w:ind w:left="280"/>
              <w:spacing w:after="0"/>
              <w:rPr>
                <w:sz w:val="20"/>
                <w:szCs w:val="20"/>
                <w:color w:val="auto"/>
              </w:rPr>
            </w:pPr>
            <w:r>
              <w:rPr>
                <w:rFonts w:ascii="Arial" w:cs="Arial" w:eastAsia="Arial" w:hAnsi="Arial"/>
                <w:sz w:val="14"/>
                <w:szCs w:val="14"/>
                <w:color w:val="auto"/>
              </w:rPr>
              <w:t>London</w:t>
            </w:r>
          </w:p>
        </w:tc>
        <w:tc>
          <w:tcPr>
            <w:tcW w:w="1280" w:type="dxa"/>
            <w:vAlign w:val="bottom"/>
          </w:tcPr>
          <w:p>
            <w:pPr>
              <w:ind w:left="160"/>
              <w:spacing w:after="0"/>
              <w:rPr>
                <w:sz w:val="20"/>
                <w:szCs w:val="20"/>
                <w:color w:val="auto"/>
              </w:rPr>
            </w:pPr>
            <w:r>
              <w:rPr>
                <w:rFonts w:ascii="Arial" w:cs="Arial" w:eastAsia="Arial" w:hAnsi="Arial"/>
                <w:sz w:val="14"/>
                <w:szCs w:val="14"/>
                <w:color w:val="auto"/>
              </w:rPr>
              <w:t>Singapore</w:t>
            </w: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One St Paul’s Churchyard</w:t>
            </w:r>
          </w:p>
        </w:tc>
        <w:tc>
          <w:tcPr>
            <w:tcW w:w="1240" w:type="dxa"/>
            <w:vAlign w:val="bottom"/>
          </w:tcPr>
          <w:p>
            <w:pPr>
              <w:ind w:left="280"/>
              <w:spacing w:after="0"/>
              <w:rPr>
                <w:sz w:val="20"/>
                <w:szCs w:val="20"/>
                <w:color w:val="auto"/>
              </w:rPr>
            </w:pPr>
            <w:r>
              <w:rPr>
                <w:rFonts w:ascii="Arial" w:cs="Arial" w:eastAsia="Arial" w:hAnsi="Arial"/>
                <w:sz w:val="14"/>
                <w:szCs w:val="14"/>
                <w:color w:val="auto"/>
              </w:rPr>
              <w:t>Los Angeles</w:t>
            </w:r>
          </w:p>
        </w:tc>
        <w:tc>
          <w:tcPr>
            <w:tcW w:w="1280" w:type="dxa"/>
            <w:vAlign w:val="bottom"/>
          </w:tcPr>
          <w:p>
            <w:pPr>
              <w:ind w:left="160"/>
              <w:spacing w:after="0"/>
              <w:rPr>
                <w:sz w:val="20"/>
                <w:szCs w:val="20"/>
                <w:color w:val="auto"/>
              </w:rPr>
            </w:pPr>
            <w:r>
              <w:rPr>
                <w:rFonts w:ascii="Arial" w:cs="Arial" w:eastAsia="Arial" w:hAnsi="Arial"/>
                <w:sz w:val="14"/>
                <w:szCs w:val="14"/>
                <w:color w:val="auto"/>
              </w:rPr>
              <w:t>Tokyo</w:t>
            </w: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London EC4M 8AP</w:t>
            </w:r>
          </w:p>
        </w:tc>
        <w:tc>
          <w:tcPr>
            <w:tcW w:w="1240" w:type="dxa"/>
            <w:vAlign w:val="bottom"/>
          </w:tcPr>
          <w:p>
            <w:pPr>
              <w:ind w:left="280"/>
              <w:spacing w:after="0"/>
              <w:rPr>
                <w:sz w:val="20"/>
                <w:szCs w:val="20"/>
                <w:color w:val="auto"/>
              </w:rPr>
            </w:pPr>
            <w:r>
              <w:rPr>
                <w:rFonts w:ascii="Arial" w:cs="Arial" w:eastAsia="Arial" w:hAnsi="Arial"/>
                <w:sz w:val="14"/>
                <w:szCs w:val="14"/>
                <w:color w:val="auto"/>
              </w:rPr>
              <w:t>Madrid</w:t>
            </w:r>
          </w:p>
        </w:tc>
        <w:tc>
          <w:tcPr>
            <w:tcW w:w="1280" w:type="dxa"/>
            <w:vAlign w:val="bottom"/>
          </w:tcPr>
          <w:p>
            <w:pPr>
              <w:ind w:left="160"/>
              <w:spacing w:after="0"/>
              <w:rPr>
                <w:sz w:val="20"/>
                <w:szCs w:val="20"/>
                <w:color w:val="auto"/>
              </w:rPr>
            </w:pPr>
            <w:r>
              <w:rPr>
                <w:rFonts w:ascii="Arial" w:cs="Arial" w:eastAsia="Arial" w:hAnsi="Arial"/>
                <w:sz w:val="14"/>
                <w:szCs w:val="14"/>
                <w:color w:val="auto"/>
              </w:rPr>
              <w:t>Washington, D.C.</w:t>
            </w:r>
          </w:p>
        </w:tc>
      </w:t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240" w:type="dxa"/>
            <w:vAlign w:val="bottom"/>
          </w:tcPr>
          <w:p>
            <w:pPr>
              <w:ind w:left="280"/>
              <w:spacing w:after="0"/>
              <w:rPr>
                <w:sz w:val="20"/>
                <w:szCs w:val="20"/>
                <w:color w:val="auto"/>
              </w:rPr>
            </w:pPr>
            <w:r>
              <w:rPr>
                <w:rFonts w:ascii="Arial" w:cs="Arial" w:eastAsia="Arial" w:hAnsi="Arial"/>
                <w:sz w:val="14"/>
                <w:szCs w:val="14"/>
                <w:color w:val="auto"/>
              </w:rPr>
              <w:t>Milan</w:t>
            </w:r>
          </w:p>
        </w:tc>
        <w:tc>
          <w:tcPr>
            <w:tcW w:w="1280" w:type="dxa"/>
            <w:vAlign w:val="bottom"/>
          </w:tcPr>
          <w:p>
            <w:pPr>
              <w:spacing w:after="0"/>
              <w:rPr>
                <w:sz w:val="20"/>
                <w:szCs w:val="20"/>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b w:val="1"/>
                <w:bCs w:val="1"/>
                <w:color w:val="auto"/>
              </w:rPr>
              <w:t>Re:</w:t>
            </w:r>
          </w:p>
        </w:tc>
        <w:tc>
          <w:tcPr>
            <w:tcW w:w="7140" w:type="dxa"/>
            <w:vAlign w:val="bottom"/>
          </w:tcPr>
          <w:p>
            <w:pPr>
              <w:ind w:left="200"/>
              <w:spacing w:after="0"/>
              <w:rPr>
                <w:sz w:val="20"/>
                <w:szCs w:val="20"/>
                <w:color w:val="auto"/>
              </w:rPr>
            </w:pPr>
            <w:r>
              <w:rPr>
                <w:rFonts w:ascii="Arial" w:cs="Arial" w:eastAsia="Arial" w:hAnsi="Arial"/>
                <w:sz w:val="18"/>
                <w:szCs w:val="18"/>
                <w:b w:val="1"/>
                <w:bCs w:val="1"/>
                <w:color w:val="auto"/>
                <w:w w:val="95"/>
              </w:rPr>
              <w:t>TechnipFMC plc (the “Company”) – Registration Statement on Form S-3 – Exhibit 5.1</w:t>
            </w: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acted as English legal advisers to the Company, a public limited company incorporated in England and Wales, in connection with the preparation and filing of a registration statement on Form S-3 (such registration statement, including the documents incorporated by reference therein,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pursuant to the United States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on 4 August 2020.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Registration Statement has been filed in connection with the registration for issuance, offering, sale and delivery from time to time, of ordinary shares of the Company with a nominal value of US $1.00 per share (the “</w:t>
      </w:r>
      <w:r>
        <w:rPr>
          <w:rFonts w:ascii="Arial" w:cs="Arial" w:eastAsia="Arial" w:hAnsi="Arial"/>
          <w:sz w:val="18"/>
          <w:szCs w:val="18"/>
          <w:b w:val="1"/>
          <w:bCs w:val="1"/>
          <w:color w:val="auto"/>
        </w:rPr>
        <w:t>Ordinary Shares</w:t>
      </w:r>
      <w:r>
        <w:rPr>
          <w:rFonts w:ascii="Arial" w:cs="Arial" w:eastAsia="Arial" w:hAnsi="Arial"/>
          <w:sz w:val="18"/>
          <w:szCs w:val="18"/>
          <w:color w:val="auto"/>
        </w:rPr>
        <w:t>”) and preference shares of the Company as determined by the directors of the Company in accordance with the Articles of Association (as defined in paragraph 1.3(c)) and English law as then in force (together with the Ordinary Shares, the “</w:t>
      </w:r>
      <w:r>
        <w:rPr>
          <w:rFonts w:ascii="Arial" w:cs="Arial" w:eastAsia="Arial" w:hAnsi="Arial"/>
          <w:sz w:val="18"/>
          <w:szCs w:val="18"/>
          <w:b w:val="1"/>
          <w:bCs w:val="1"/>
          <w:color w:val="auto"/>
        </w:rPr>
        <w:t>Shares</w:t>
      </w:r>
      <w:r>
        <w:rPr>
          <w:rFonts w:ascii="Arial" w:cs="Arial" w:eastAsia="Arial" w:hAnsi="Arial"/>
          <w:sz w:val="18"/>
          <w:szCs w:val="18"/>
          <w:color w:val="auto"/>
        </w:rPr>
        <w:t>”), amongst other securities.</w:t>
      </w:r>
    </w:p>
    <w:p>
      <w:pPr>
        <w:spacing w:after="0" w:line="183"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b w:val="1"/>
          <w:bCs w:val="1"/>
          <w:color w:val="auto"/>
        </w:rPr>
        <w:t>Purpose</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connection with the Registration Statement, we have been asked to provide this letter. We have taken instructions in this regard solely from the Company.</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Defined terms and headings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letter:</w:t>
      </w:r>
    </w:p>
    <w:p>
      <w:pPr>
        <w:spacing w:after="0" w:line="225" w:lineRule="exact"/>
        <w:rPr>
          <w:sz w:val="20"/>
          <w:szCs w:val="20"/>
          <w:color w:val="auto"/>
        </w:rPr>
      </w:pPr>
    </w:p>
    <w:p>
      <w:pPr>
        <w:ind w:left="13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capitalised terms used without definition in this letter or the schedules hereto have the meanings assigned to them in the Registration Statement unless a contrary indication appears;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headings are for ease of reference only and shall not affect interpretation.</w:t>
      </w:r>
    </w:p>
    <w:p>
      <w:pPr>
        <w:spacing w:after="0" w:line="244"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Latham &amp; Watkins is the business name of Latham &amp; Watkins (London) LLP, a registered limited liability partnership organised under the laws of New York and authorised and regulated by the Solicitors Regulation Authority (SRA No. 203820). A list of the names of the partners of Latham &amp; Watkins (London) LLP is open to inspection at its principal place of business, 99 Bishopsgate, London EC2M 3XF, and such persons are either solicitors, registered foreign lawyers, European lawyers or managers authorised by the SRA. We are affiliated with the firm Latham &amp; Watkins LLP, a limited liability partnership organised under the laws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color w:val="auto"/>
        </w:rPr>
        <w:t>4 August 2020</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100330</wp:posOffset>
            </wp:positionV>
            <wp:extent cx="2237105" cy="308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223710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Legal review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purpose of issuing this letter, we have reviewed only the following documents and conducted only the following enquiries and searches:</w:t>
      </w:r>
    </w:p>
    <w:p>
      <w:pPr>
        <w:spacing w:after="0" w:line="248"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 online search at Companies House in respect of information available for inspection about the Company conducted on 4 August 2020;</w:t>
      </w:r>
    </w:p>
    <w:p>
      <w:pPr>
        <w:spacing w:after="0" w:line="248"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online search at the Central Registry of Winding Up Petitions, London on 4 August 2020 at 3 pm (London time) with respect to the Company (paragraphs 1.3(a) and 1.3(b) together,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PDF copy of the articles of association of the Company adopted at a general meeting of the Company by special resolution on 12 January 2017, effective as from 16 January 2017, (the “</w:t>
      </w:r>
      <w:r>
        <w:rPr>
          <w:rFonts w:ascii="Arial" w:cs="Arial" w:eastAsia="Arial" w:hAnsi="Arial"/>
          <w:sz w:val="18"/>
          <w:szCs w:val="18"/>
          <w:b w:val="1"/>
          <w:bCs w:val="1"/>
          <w:color w:val="auto"/>
        </w:rPr>
        <w:t>Articles of Association</w:t>
      </w:r>
      <w:r>
        <w:rPr>
          <w:rFonts w:ascii="Arial" w:cs="Arial" w:eastAsia="Arial" w:hAnsi="Arial"/>
          <w:sz w:val="18"/>
          <w:szCs w:val="18"/>
          <w:color w:val="auto"/>
        </w:rPr>
        <w:t>”) which:</w:t>
      </w:r>
    </w:p>
    <w:p>
      <w:pPr>
        <w:spacing w:after="0" w:line="166" w:lineRule="exact"/>
        <w:rPr>
          <w:rFonts w:ascii="Arial" w:cs="Arial" w:eastAsia="Arial" w:hAnsi="Arial"/>
          <w:sz w:val="18"/>
          <w:szCs w:val="18"/>
          <w:color w:val="auto"/>
        </w:rPr>
      </w:pPr>
    </w:p>
    <w:p>
      <w:pPr>
        <w:jc w:val="both"/>
        <w:ind w:left="1920" w:hanging="643"/>
        <w:spacing w:after="0" w:line="303" w:lineRule="auto"/>
        <w:tabs>
          <w:tab w:leader="none" w:pos="19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authorise the board of directors of the Company, for the purposes of section 551 of the Companies Act 2006 (the “</w:t>
      </w:r>
      <w:r>
        <w:rPr>
          <w:rFonts w:ascii="Arial" w:cs="Arial" w:eastAsia="Arial" w:hAnsi="Arial"/>
          <w:sz w:val="16"/>
          <w:szCs w:val="16"/>
          <w:b w:val="1"/>
          <w:bCs w:val="1"/>
          <w:color w:val="auto"/>
        </w:rPr>
        <w:t>Companies</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to allot shares in the Company, and to grant rights to subscribe for or convert any security into shares in the capital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up to an aggregate nominal amount representing 20 per cent. of the number of shares in the capital of the Company as at 16 January 2017, such authorisation being for an amount up to 93,318,402 shares (the “</w:t>
      </w:r>
      <w:r>
        <w:rPr>
          <w:rFonts w:ascii="Arial" w:cs="Arial" w:eastAsia="Arial" w:hAnsi="Arial"/>
          <w:sz w:val="16"/>
          <w:szCs w:val="16"/>
          <w:b w:val="1"/>
          <w:bCs w:val="1"/>
          <w:color w:val="auto"/>
        </w:rPr>
        <w:t>Authorised Shares</w:t>
      </w:r>
      <w:r>
        <w:rPr>
          <w:rFonts w:ascii="Arial" w:cs="Arial" w:eastAsia="Arial" w:hAnsi="Arial"/>
          <w:sz w:val="16"/>
          <w:szCs w:val="16"/>
          <w:color w:val="auto"/>
        </w:rPr>
        <w:t>”); and</w:t>
      </w:r>
    </w:p>
    <w:p>
      <w:pPr>
        <w:spacing w:after="0" w:line="154" w:lineRule="exact"/>
        <w:rPr>
          <w:rFonts w:ascii="Arial" w:cs="Arial" w:eastAsia="Arial" w:hAnsi="Arial"/>
          <w:sz w:val="16"/>
          <w:szCs w:val="16"/>
          <w:color w:val="auto"/>
        </w:rPr>
      </w:pPr>
    </w:p>
    <w:p>
      <w:pPr>
        <w:ind w:left="1920" w:hanging="643"/>
        <w:spacing w:after="0"/>
        <w:tabs>
          <w:tab w:leader="none" w:pos="1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disapplied section 561 of the Companies Act in respect of the allotment of the Authorised Shares,</w:t>
      </w:r>
    </w:p>
    <w:p>
      <w:pPr>
        <w:spacing w:after="0" w:line="2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(together the “</w:t>
      </w:r>
      <w:r>
        <w:rPr>
          <w:rFonts w:ascii="Arial" w:cs="Arial" w:eastAsia="Arial" w:hAnsi="Arial"/>
          <w:sz w:val="18"/>
          <w:szCs w:val="18"/>
          <w:b w:val="1"/>
          <w:bCs w:val="1"/>
          <w:color w:val="auto"/>
        </w:rPr>
        <w:t>Articles Authorities</w:t>
      </w:r>
      <w:r>
        <w:rPr>
          <w:rFonts w:ascii="Arial" w:cs="Arial" w:eastAsia="Arial" w:hAnsi="Arial"/>
          <w:sz w:val="18"/>
          <w:szCs w:val="18"/>
          <w:color w:val="auto"/>
        </w:rPr>
        <w:t>”);</w:t>
      </w:r>
    </w:p>
    <w:p>
      <w:pPr>
        <w:spacing w:after="0" w:line="229" w:lineRule="exact"/>
        <w:rPr>
          <w:sz w:val="20"/>
          <w:szCs w:val="20"/>
          <w:color w:val="auto"/>
        </w:rPr>
      </w:pPr>
    </w:p>
    <w:p>
      <w:pPr>
        <w:ind w:left="1300" w:hanging="644"/>
        <w:spacing w:after="0" w:line="342"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a draft copy of an extract of the minutes of a meeting of the directors of the Company held on 21 July 2020 at which the directors of the Company approved, </w:t>
      </w:r>
      <w:r>
        <w:rPr>
          <w:rFonts w:ascii="Arial" w:cs="Arial" w:eastAsia="Arial" w:hAnsi="Arial"/>
          <w:sz w:val="16"/>
          <w:szCs w:val="16"/>
          <w:i w:val="1"/>
          <w:iCs w:val="1"/>
          <w:color w:val="auto"/>
        </w:rPr>
        <w:t>inter alia</w:t>
      </w:r>
      <w:r>
        <w:rPr>
          <w:rFonts w:ascii="Arial" w:cs="Arial" w:eastAsia="Arial" w:hAnsi="Arial"/>
          <w:sz w:val="16"/>
          <w:szCs w:val="16"/>
          <w:color w:val="auto"/>
        </w:rPr>
        <w:t>, the preparation and filing of one or more registration statements on Form S-3 (the “</w:t>
      </w:r>
      <w:r>
        <w:rPr>
          <w:rFonts w:ascii="Arial" w:cs="Arial" w:eastAsia="Arial" w:hAnsi="Arial"/>
          <w:sz w:val="16"/>
          <w:szCs w:val="16"/>
          <w:b w:val="1"/>
          <w:bCs w:val="1"/>
          <w:color w:val="auto"/>
        </w:rPr>
        <w:t>Board Minutes</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jc w:val="both"/>
        <w:ind w:left="1300" w:hanging="644"/>
        <w:spacing w:after="0" w:line="259"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PDF copies of the certificate of incorporation of the Company with the name FMC Technologies SIS Limited dated 9 December 2015, the certificate of incorporation on change of name of the Company with the name TechnipFMC Limited dated 4 August 2016 and the certificate of incorporation on re-registration of the Company as a public limited company under the name TechnipFMC plc dated 11 January 2017; and</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PDF copy of the draft Registration Statement dated 4 August 2020.</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Applicable law</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This letter, the opinion given in it, and any non-contractual obligations arising out of or in connection with this letter and/or the opinion given in it, are governed by, and shall be construed in accordance with English law (including European Union law to the extent directly applicable), and relate only to English law (including European Union law to the extent directly applicable), as applied by the English courts as at today’s date. In particular:</w:t>
      </w:r>
    </w:p>
    <w:p>
      <w:pPr>
        <w:spacing w:after="0" w:line="187" w:lineRule="exact"/>
        <w:rPr>
          <w:sz w:val="20"/>
          <w:szCs w:val="20"/>
          <w:color w:val="auto"/>
        </w:rPr>
      </w:pPr>
    </w:p>
    <w:p>
      <w:pPr>
        <w:ind w:left="130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not investigated the laws of any country other than England and we assume that no foreign law affects the opinion stated below;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express no opinion in this letter on the laws of any jurisdiction other than England.</w:t>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color w:val="auto"/>
        </w:rPr>
        <w:t>4 August 2020</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100330</wp:posOffset>
            </wp:positionV>
            <wp:extent cx="2237105"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223710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United Kingdom exited the European Union on 31 January 2020. By virtue of sections 1A and 1B of the European Union (Withdrawal) Act 2018 (as amended by the European Union (Withdrawal Agreement) Act 2020) (the “</w:t>
      </w:r>
      <w:r>
        <w:rPr>
          <w:rFonts w:ascii="Arial" w:cs="Arial" w:eastAsia="Arial" w:hAnsi="Arial"/>
          <w:sz w:val="17"/>
          <w:szCs w:val="17"/>
          <w:b w:val="1"/>
          <w:bCs w:val="1"/>
          <w:color w:val="auto"/>
        </w:rPr>
        <w:t>EUWA</w:t>
      </w:r>
      <w:r>
        <w:rPr>
          <w:rFonts w:ascii="Arial" w:cs="Arial" w:eastAsia="Arial" w:hAnsi="Arial"/>
          <w:sz w:val="17"/>
          <w:szCs w:val="17"/>
          <w:color w:val="auto"/>
        </w:rPr>
        <w:t>”), European Union law will continue to be applicable to the United Kingdom for the duration of the implementation period set out in section 1A(6) of the EUWA. We express no opinion on the effect of European Union law in the United Kingdom after the end of such implementation period.</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b w:val="1"/>
          <w:bCs w:val="1"/>
          <w:color w:val="auto"/>
        </w:rPr>
        <w:t>Assumptions and reservations</w:t>
      </w:r>
    </w:p>
    <w:p>
      <w:pPr>
        <w:spacing w:after="0" w:line="229"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opinion given in this letter is given on the basis of each of the assumptions set out in Schedule 1 (</w:t>
      </w:r>
      <w:r>
        <w:rPr>
          <w:rFonts w:ascii="Arial" w:cs="Arial" w:eastAsia="Arial" w:hAnsi="Arial"/>
          <w:sz w:val="17"/>
          <w:szCs w:val="17"/>
          <w:i w:val="1"/>
          <w:iCs w:val="1"/>
          <w:color w:val="auto"/>
        </w:rPr>
        <w:t>Assumptions</w:t>
      </w:r>
      <w:r>
        <w:rPr>
          <w:rFonts w:ascii="Arial" w:cs="Arial" w:eastAsia="Arial" w:hAnsi="Arial"/>
          <w:sz w:val="17"/>
          <w:szCs w:val="17"/>
          <w:color w:val="auto"/>
        </w:rPr>
        <w:t>) and are subject to each of the reservations set out in Schedule 2 (</w:t>
      </w:r>
      <w:r>
        <w:rPr>
          <w:rFonts w:ascii="Arial" w:cs="Arial" w:eastAsia="Arial" w:hAnsi="Arial"/>
          <w:sz w:val="17"/>
          <w:szCs w:val="17"/>
          <w:i w:val="1"/>
          <w:iCs w:val="1"/>
          <w:color w:val="auto"/>
        </w:rPr>
        <w:t>Reservations</w:t>
      </w:r>
      <w:r>
        <w:rPr>
          <w:rFonts w:ascii="Arial" w:cs="Arial" w:eastAsia="Arial" w:hAnsi="Arial"/>
          <w:sz w:val="17"/>
          <w:szCs w:val="17"/>
          <w:color w:val="auto"/>
        </w:rPr>
        <w:t>) to this letter. The opinion given in this letter is strictly limited to the matters stated in paragraph 2 (</w:t>
      </w:r>
      <w:r>
        <w:rPr>
          <w:rFonts w:ascii="Arial" w:cs="Arial" w:eastAsia="Arial" w:hAnsi="Arial"/>
          <w:sz w:val="17"/>
          <w:szCs w:val="17"/>
          <w:i w:val="1"/>
          <w:iCs w:val="1"/>
          <w:color w:val="auto"/>
        </w:rPr>
        <w:t>Opinion</w:t>
      </w:r>
      <w:r>
        <w:rPr>
          <w:rFonts w:ascii="Arial" w:cs="Arial" w:eastAsia="Arial" w:hAnsi="Arial"/>
          <w:sz w:val="17"/>
          <w:szCs w:val="17"/>
          <w:color w:val="auto"/>
        </w:rPr>
        <w:t>) below and does not extend, and should not be read as extending, by implication or otherwise, to any other matters.</w:t>
      </w:r>
    </w:p>
    <w:p>
      <w:pPr>
        <w:spacing w:after="0" w:line="161"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Subject to paragraph 1 (</w:t>
      </w:r>
      <w:r>
        <w:rPr>
          <w:rFonts w:ascii="Arial" w:cs="Arial" w:eastAsia="Arial" w:hAnsi="Arial"/>
          <w:sz w:val="17"/>
          <w:szCs w:val="17"/>
          <w:i w:val="1"/>
          <w:iCs w:val="1"/>
          <w:color w:val="auto"/>
        </w:rPr>
        <w:t>Introduction</w:t>
      </w:r>
      <w:r>
        <w:rPr>
          <w:rFonts w:ascii="Arial" w:cs="Arial" w:eastAsia="Arial" w:hAnsi="Arial"/>
          <w:sz w:val="17"/>
          <w:szCs w:val="17"/>
          <w:color w:val="auto"/>
        </w:rPr>
        <w:t>) and the other matters set out in this letter and its Schedules, and subject further to the following:</w:t>
      </w:r>
    </w:p>
    <w:p>
      <w:pPr>
        <w:spacing w:after="0" w:line="236" w:lineRule="exact"/>
        <w:rPr>
          <w:rFonts w:ascii="Arial" w:cs="Arial" w:eastAsia="Arial" w:hAnsi="Arial"/>
          <w:sz w:val="18"/>
          <w:szCs w:val="18"/>
          <w:b w:val="1"/>
          <w:bCs w:val="1"/>
          <w:color w:val="auto"/>
        </w:rPr>
      </w:pPr>
    </w:p>
    <w:p>
      <w:pPr>
        <w:ind w:left="1300" w:hanging="644"/>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Registration Statement, as amended and supplemented, having become effective under the Securities Act and continuing to be so effective;</w:t>
      </w:r>
    </w:p>
    <w:p>
      <w:pPr>
        <w:spacing w:after="0" w:line="17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directors of the Company at the time of any allotment and issue of Shares being duly authorised pursuant to the articles of association of the Company in force at the time of such allotment and issue, the Companies Act and any relevant authority given by the members of the Company to allot such Shares and any rights of pre-emption under such articles of association or the Companies Act in respect of such allotment having been validly disapplied;</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directors of the Company having validly resolved to allot the Shares;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receipt in full of payment for the Shares in an amount of “cash consideration” (as defined in section 583(3) of the Companies Act) of not less than the aggregate nominal value for such Shares;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valid entries having been made in relation to the allotment and issue of the Shares in the books and registers of the Company,</w:t>
      </w:r>
    </w:p>
    <w:p>
      <w:pPr>
        <w:spacing w:after="0" w:line="23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it is our opinion that, as of today’s date, the Shares, if and when allotted and issued, registered in the name of the recipient in the register of members of the Company and delivered in accordance with the terms of the Registration Statement and as described therein, will be duly and validly authorised and issued, fully paid or credited as fully paid (subject to the receipt of valid consideration by the Company for the issue thereof) and will not be subject to any call for payment of further capital.</w:t>
      </w:r>
    </w:p>
    <w:p>
      <w:pPr>
        <w:spacing w:after="0" w:line="183"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EXTENT OF OPINION</w:t>
      </w:r>
    </w:p>
    <w:p>
      <w:pPr>
        <w:spacing w:after="0" w:line="229" w:lineRule="exact"/>
        <w:rPr>
          <w:rFonts w:ascii="Arial" w:cs="Arial" w:eastAsia="Arial" w:hAnsi="Arial"/>
          <w:sz w:val="18"/>
          <w:szCs w:val="18"/>
          <w:b w:val="1"/>
          <w:bCs w:val="1"/>
          <w:color w:val="auto"/>
        </w:rPr>
      </w:pPr>
    </w:p>
    <w:p>
      <w:pPr>
        <w:ind w:left="6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We express no opinion as to any agreement, instrument or other document other than as specified in this letter or as to any liability to tax which may arise or be suffered as a result of or in connection with the transactions contemplated by the Registration Statement.</w:t>
      </w:r>
    </w:p>
    <w:p>
      <w:pPr>
        <w:spacing w:after="0" w:line="146" w:lineRule="exact"/>
        <w:rPr>
          <w:rFonts w:ascii="Arial" w:cs="Arial" w:eastAsia="Arial" w:hAnsi="Arial"/>
          <w:sz w:val="18"/>
          <w:szCs w:val="18"/>
          <w:b w:val="1"/>
          <w:bCs w:val="1"/>
          <w:color w:val="auto"/>
        </w:rPr>
      </w:pPr>
    </w:p>
    <w:p>
      <w:pPr>
        <w:jc w:val="both"/>
        <w:ind w:left="6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35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color w:val="auto"/>
        </w:rPr>
        <w:t>4 August 2020</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2612390</wp:posOffset>
            </wp:positionV>
            <wp:extent cx="7132320" cy="9772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132320"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RELIANCE AND DISCLOSURE</w:t>
      </w:r>
    </w:p>
    <w:p>
      <w:pPr>
        <w:spacing w:after="0" w:line="229" w:lineRule="exact"/>
        <w:rPr>
          <w:rFonts w:ascii="Arial" w:cs="Arial" w:eastAsia="Arial" w:hAnsi="Arial"/>
          <w:sz w:val="18"/>
          <w:szCs w:val="18"/>
          <w:b w:val="1"/>
          <w:bCs w:val="1"/>
          <w:color w:val="auto"/>
        </w:rPr>
      </w:pPr>
    </w:p>
    <w:p>
      <w:pPr>
        <w:jc w:val="both"/>
        <w:ind w:lef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This letter is addressed to you solely for your benefit in connection with the Registration Statement. We consent to the filing of this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183" w:lineRule="exact"/>
        <w:rPr>
          <w:rFonts w:ascii="Arial" w:cs="Arial" w:eastAsia="Arial" w:hAnsi="Arial"/>
          <w:sz w:val="18"/>
          <w:szCs w:val="18"/>
          <w:b w:val="1"/>
          <w:bCs w:val="1"/>
          <w:color w:val="auto"/>
        </w:rPr>
      </w:pPr>
    </w:p>
    <w:p>
      <w:pPr>
        <w:jc w:val="both"/>
        <w:ind w:left="6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This letter may not be relied upon by you for any other purpose, and, other than as set out in this paragraph 4, may not be furnished to, or assigned to or relied upon by any other person, firm or entity for any purpose (including, without limitation, by any person, firm or other entity that acquires Shares from the Company), without our prior written consent, which may be granted or withheld in our discretion.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Latham &amp; Watkins LLP</w:t>
      </w: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color w:val="auto"/>
        </w:rPr>
        <w:t>4 August 2020</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2612390</wp:posOffset>
            </wp:positionV>
            <wp:extent cx="7132320" cy="9772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132320"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 in this letter has been given on the basis of the following assumptions:</w:t>
      </w:r>
    </w:p>
    <w:p>
      <w:pPr>
        <w:spacing w:after="0" w:line="221"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GENUINE, AUTHENTIC AND COMPLETE DOCUMENTS/SEARCHES</w:t>
      </w:r>
    </w:p>
    <w:p>
      <w:pPr>
        <w:spacing w:after="0" w:line="229" w:lineRule="exact"/>
        <w:rPr>
          <w:rFonts w:ascii="Arial" w:cs="Arial" w:eastAsia="Arial" w:hAnsi="Arial"/>
          <w:sz w:val="18"/>
          <w:szCs w:val="18"/>
          <w:b w:val="1"/>
          <w:bCs w:val="1"/>
          <w:color w:val="auto"/>
        </w:rPr>
      </w:pPr>
    </w:p>
    <w:p>
      <w:pPr>
        <w:ind w:left="1300" w:hanging="644"/>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genuineness of all signatures, stamps and seals on all documents, the authenticity and completeness of all documents submitted to us as originals, and the conformity to authentic original documents of all documents submitted to us as copies;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that in the case of a document signed electronically, the person signing it intended to sign and be bound by the document;</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that where a document has been examined by us in draft or specimen form, it will be or has been duly executed in the form of that draft or specimen. For the avoidance of doubt, we draw to your attention that the Board Minutes referenced at paragraph 1.3(d) above have not been signed at the date of this letter;</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that the filing of the Registration Statement with the SEC has been authorised by all necessary actions under all applicable laws other than English law;</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that the Articles of Association remain in full force and effect, and (subject to (f)(i) below) no alteration has been made or will be made to the Articles of Association, in each case prior to any date on which Shares are allotted or issued (each such date being an “</w:t>
      </w:r>
      <w:r>
        <w:rPr>
          <w:rFonts w:ascii="Arial" w:cs="Arial" w:eastAsia="Arial" w:hAnsi="Arial"/>
          <w:sz w:val="18"/>
          <w:szCs w:val="18"/>
          <w:b w:val="1"/>
          <w:bCs w:val="1"/>
          <w:color w:val="auto"/>
        </w:rPr>
        <w:t>Allotment</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that a complete prospectus supplement will have been prepared and filed with the SEC describing the Shares offered before each Allotment Date;</w:t>
      </w:r>
    </w:p>
    <w:p>
      <w:pPr>
        <w:sectPr>
          <w:pgSz w:w="11900" w:h="16838" w:orient="portrait"/>
          <w:cols w:equalWidth="0" w:num="1">
            <w:col w:w="11240"/>
          </w:cols>
          <w:pgMar w:left="320" w:top="342" w:right="339" w:bottom="0" w:gutter="0" w:footer="0" w:header="0"/>
        </w:sectPr>
      </w:pPr>
    </w:p>
    <w:bookmarkStart w:id="39" w:name="page40"/>
    <w:bookmarkEnd w:id="39"/>
    <w:p>
      <w:pPr>
        <w:ind w:left="644" w:hanging="644"/>
        <w:spacing w:after="0" w:line="277" w:lineRule="auto"/>
        <w:tabs>
          <w:tab w:leader="none" w:pos="6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to the extent required to ensure that any Shares (other than the Ordinary Shares) are validly allotted and issued in accordance with the Articles of Association, the Companies Act and all other applicable laws:</w:t>
      </w:r>
    </w:p>
    <w:p>
      <w:pPr>
        <w:spacing w:after="0" w:line="170" w:lineRule="exact"/>
        <w:rPr>
          <w:rFonts w:ascii="Arial" w:cs="Arial" w:eastAsia="Arial" w:hAnsi="Arial"/>
          <w:sz w:val="18"/>
          <w:szCs w:val="18"/>
          <w:color w:val="auto"/>
        </w:rPr>
      </w:pPr>
    </w:p>
    <w:p>
      <w:pPr>
        <w:ind w:left="1264" w:hanging="643"/>
        <w:spacing w:after="0"/>
        <w:tabs>
          <w:tab w:leader="none" w:pos="1264"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necessary changes having been made to the Articles of Association;</w:t>
      </w:r>
    </w:p>
    <w:p>
      <w:pPr>
        <w:spacing w:after="0" w:line="225" w:lineRule="exact"/>
        <w:rPr>
          <w:rFonts w:ascii="Arial" w:cs="Arial" w:eastAsia="Arial" w:hAnsi="Arial"/>
          <w:sz w:val="18"/>
          <w:szCs w:val="18"/>
          <w:color w:val="auto"/>
        </w:rPr>
      </w:pPr>
    </w:p>
    <w:p>
      <w:pPr>
        <w:ind w:left="1264" w:hanging="643"/>
        <w:spacing w:after="0" w:line="342" w:lineRule="auto"/>
        <w:tabs>
          <w:tab w:leader="none" w:pos="1264"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consents or sanctions of each relevant class of shares having been provided in accordance with the Articles of Association and the Companies Act and such consents and/or sanctions remaining in full force and effect at each Allotment Date; and</w:t>
      </w:r>
    </w:p>
    <w:p>
      <w:pPr>
        <w:spacing w:after="0" w:line="123" w:lineRule="exact"/>
        <w:rPr>
          <w:rFonts w:ascii="Arial" w:cs="Arial" w:eastAsia="Arial" w:hAnsi="Arial"/>
          <w:sz w:val="16"/>
          <w:szCs w:val="16"/>
          <w:color w:val="auto"/>
        </w:rPr>
      </w:pPr>
    </w:p>
    <w:p>
      <w:pPr>
        <w:ind w:left="1264" w:hanging="643"/>
        <w:spacing w:after="0" w:line="277" w:lineRule="auto"/>
        <w:tabs>
          <w:tab w:leader="none" w:pos="1264"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other necessary shareholder resolutions having been duly passed and such resolutions remaining in full force and effect on each Allotment Date;</w:t>
      </w:r>
    </w:p>
    <w:p>
      <w:pPr>
        <w:spacing w:after="0" w:line="170" w:lineRule="exact"/>
        <w:rPr>
          <w:rFonts w:ascii="Arial" w:cs="Arial" w:eastAsia="Arial" w:hAnsi="Arial"/>
          <w:sz w:val="18"/>
          <w:szCs w:val="18"/>
          <w:color w:val="auto"/>
        </w:rPr>
      </w:pPr>
    </w:p>
    <w:p>
      <w:pPr>
        <w:jc w:val="both"/>
        <w:ind w:left="644" w:hanging="644"/>
        <w:spacing w:after="0" w:line="311" w:lineRule="auto"/>
        <w:tabs>
          <w:tab w:leader="none" w:pos="644"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that all documents, forms and notices which should have been delivered to the UK Companies House in respect of the Company have been so delivered, that the results of the Searches are complete and accurate, and that the position has not changed since the times at which the Searches were made and that the results of the Searches will remain complete and accurate as at each Allotment Date;</w:t>
      </w:r>
    </w:p>
    <w:p>
      <w:pPr>
        <w:spacing w:after="0" w:line="148" w:lineRule="exact"/>
        <w:rPr>
          <w:rFonts w:ascii="Arial" w:cs="Arial" w:eastAsia="Arial" w:hAnsi="Arial"/>
          <w:sz w:val="16"/>
          <w:szCs w:val="16"/>
          <w:color w:val="auto"/>
        </w:rPr>
      </w:pPr>
    </w:p>
    <w:p>
      <w:pPr>
        <w:jc w:val="both"/>
        <w:ind w:left="644" w:hanging="644"/>
        <w:spacing w:after="0" w:line="254" w:lineRule="auto"/>
        <w:tabs>
          <w:tab w:leader="none" w:pos="6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the resolutions of the board of directors of the Company contained in the Board Minutes provided to us in connection with the giving of this opinion and the resolutions of the board of the directors referred to in paragraph 2(c) of this opinion were duly passed at a meeting of the board of directors that was duly constituted, convened and conducted and all constitutional, statutory and other formalities were duly observed (including, if applicable, those relating to the declaration of directors’ interests or the power of interested directors to vote), a quorum was present throughout, the requisite majority of directors voted in favour of approving the resolutions and the resolutions passed thereat were duly adopted, have not been revoked or varied and remain in full force and effect and will remain so as at each Allotment Date;</w:t>
      </w:r>
    </w:p>
    <w:p>
      <w:pPr>
        <w:spacing w:after="0" w:line="181"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color w:val="auto"/>
        </w:rPr>
        <w:t>4 August 2020</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2612390</wp:posOffset>
            </wp:positionV>
            <wp:extent cx="7132320" cy="9772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7132320"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1300" w:hanging="644"/>
        <w:spacing w:after="0" w:line="254"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as at each Allotment Date, the authority granted pursuant to the Articles Authorities will remain unutilised to the extent necessary to permit such allotment and issue of Shares, or if at any Allotment Date, the Articles Authorities have expired, the Company in general meeting duly and validly having resolved (i) as an ordinary resolution to authorise the board of directors of the Company pursuant to section 551 of the Companies Act to allot such Shares, and (ii) as may be required, as a special resolution to empower the directors of the Company pursuant to section 570 or section 571 (as applicable) of the Companies Act to allot such Shares, free of the restrictions in section 561 of the Companies Act, and such resolutions and authorities remaining in full force and effect and not having expired, been rescinded or amended;</w:t>
      </w:r>
    </w:p>
    <w:p>
      <w:pPr>
        <w:spacing w:after="0" w:line="194"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any subsequent general meeting referred to in (i) above will be validly constituted, convened and conducted in accordance with the Articles of Association, that all constitutional, statutory and other formalities will be observed at the general meeting in connection with the passing of the resolutions and no such resolution will have been revoked or varied prior to each Allotment Date and will remain in full force and effect at each Allotment Date;</w:t>
      </w:r>
    </w:p>
    <w:p>
      <w:pPr>
        <w:spacing w:after="0" w:line="186"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at the time of each allotment and issue of any Shares, the Company shall have received “cash consideration” (as such term is defined in section 583(3) of the Companies Act) in full, equal to the subscription price payable for such Shares and shall have entered the holder or holders thereof in the register of members of the Company showing that all such Shares shall have been fully paid up as to their nominal value and any premium thereon as at each Allotment Date;</w:t>
      </w:r>
    </w:p>
    <w:p>
      <w:pPr>
        <w:spacing w:after="0" w:line="186"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immediately prior to allotment, the directors of the Company had or shall have sufficient authority and powers conferred upon them to allot and issue such Shares under section 551 of the Companies Act and under section 570 or section 571 (as applicable) of the Companies Act as if section 561 of the Companies Act did not apply to such allotment and issue, and the directors of the Company shall not allot or issue (or purport to allot or issue) Shares in excess of such powers or in breach of any other limitation on their power to allot and issue Shares;</w:t>
      </w:r>
    </w:p>
    <w:p>
      <w:pPr>
        <w:spacing w:after="0" w:line="18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no Shares shall be allotted or issued, or are or shall be committed to be allotted or issued, at a discount to their nominal value (whether in dollars or equivalent in any other currency);</w:t>
      </w:r>
    </w:p>
    <w:p>
      <w:pPr>
        <w:sectPr>
          <w:pgSz w:w="11900" w:h="16838" w:orient="portrait"/>
          <w:cols w:equalWidth="0" w:num="1">
            <w:col w:w="11240"/>
          </w:cols>
          <w:pgMar w:left="320" w:top="342" w:right="339" w:bottom="0" w:gutter="0" w:footer="0" w:header="0"/>
        </w:sectPr>
      </w:pPr>
    </w:p>
    <w:bookmarkStart w:id="41" w:name="page42"/>
    <w:bookmarkEnd w:id="41"/>
    <w:p>
      <w:pPr>
        <w:jc w:val="both"/>
        <w:ind w:left="644" w:right="20" w:hanging="644"/>
        <w:spacing w:after="0" w:line="263" w:lineRule="auto"/>
        <w:tabs>
          <w:tab w:leader="none" w:pos="6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any allotment and issue of Shares will be duly made in accordance with both the Articles of Association (as may be amended), the Companies Act and the applicable law, rules and regulations in force at the time of such allotment and issue, including without limitation, the rules of any stock exchange on which the Company’s securities may be traded;</w:t>
      </w:r>
    </w:p>
    <w:p>
      <w:pPr>
        <w:spacing w:after="0" w:line="183"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there is, at each Allotment Date, no matter affecting the authority of the directors to issue and allot the Shares which would have any adverse implications in relation to the opinion given above;</w:t>
      </w:r>
    </w:p>
    <w:p>
      <w:pPr>
        <w:spacing w:after="0" w:line="170" w:lineRule="exact"/>
        <w:rPr>
          <w:rFonts w:ascii="Arial" w:cs="Arial" w:eastAsia="Arial" w:hAnsi="Arial"/>
          <w:sz w:val="18"/>
          <w:szCs w:val="18"/>
          <w:color w:val="auto"/>
        </w:rPr>
      </w:pPr>
    </w:p>
    <w:p>
      <w:pPr>
        <w:jc w:val="both"/>
        <w:ind w:left="644" w:hanging="644"/>
        <w:spacing w:after="0" w:line="257" w:lineRule="auto"/>
        <w:tabs>
          <w:tab w:leader="none" w:pos="6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no Shares or rights to subscribe for Shares have been or shall be offered to the public in the United Kingdom in breach of the Financial Services and Markets Act 2000 (“</w:t>
      </w:r>
      <w:r>
        <w:rPr>
          <w:rFonts w:ascii="Arial" w:cs="Arial" w:eastAsia="Arial" w:hAnsi="Arial"/>
          <w:sz w:val="18"/>
          <w:szCs w:val="18"/>
          <w:b w:val="1"/>
          <w:bCs w:val="1"/>
          <w:color w:val="auto"/>
        </w:rPr>
        <w:t>FSMA</w:t>
      </w:r>
      <w:r>
        <w:rPr>
          <w:rFonts w:ascii="Arial" w:cs="Arial" w:eastAsia="Arial" w:hAnsi="Arial"/>
          <w:sz w:val="18"/>
          <w:szCs w:val="18"/>
          <w:color w:val="auto"/>
        </w:rPr>
        <w:t>”) or of any other United Kingdom laws or regulations concerning offers of securities to the public, and no communication has been or shall be made in relation to the Shares in breach of section 21 of the FSMA or any other United Kingdom laws or regulations relating to offers or invitations to subscribe for, or to acquire rights to subscribe for or otherwise acquire, shares or other securities;</w:t>
      </w:r>
    </w:p>
    <w:p>
      <w:pPr>
        <w:spacing w:after="0" w:line="390"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color w:val="auto"/>
        </w:rPr>
        <w:t>4 August 2020</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2612390</wp:posOffset>
            </wp:positionV>
            <wp:extent cx="7132320" cy="9772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7132320"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300" w:hanging="644"/>
        <w:spacing w:after="0"/>
        <w:tabs>
          <w:tab w:leader="none" w:pos="13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that in issuing and allotting Shares, the Company is not carrying on a regulated activity for the purposes of section 19 of FSMA;</w:t>
      </w:r>
    </w:p>
    <w:p>
      <w:pPr>
        <w:spacing w:after="0" w:line="23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that the Company has complied and will comply with all applicable anti-terrorism, anti-money laundering, sanctions and human rights laws and regulations and that each allotment and issue of Shares will be consistent with all such laws and regulations;</w:t>
      </w:r>
    </w:p>
    <w:p>
      <w:pPr>
        <w:spacing w:after="0" w:line="146"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that the Shares will be allotted and issued in good faith and on bona fide commercial terms and on arms’ length terms and for the purpose of carrying on the business of the Company and that there will be reasonable grounds for believing that the allotment and issue of the Shares will promote the success of the Company for the benefit of its members as a whole; and</w:t>
      </w:r>
    </w:p>
    <w:p>
      <w:pPr>
        <w:spacing w:after="0" w:line="183"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that in relation to the allotment and issue of the Shares, the directors of the Company have acted and will act in the manner required by section 172 of the Companies Act (duty to promote the success of the Company), and there has not and will not be any bad faith, breach of duty, breach of trust, fraud, coercion, duress or undue influence on the part of any of the directors of the Company in relation to any allotment and issue of Shares.</w:t>
      </w:r>
    </w:p>
    <w:p>
      <w:pPr>
        <w:spacing w:after="0" w:line="182" w:lineRule="exact"/>
        <w:rPr>
          <w:rFonts w:ascii="Arial" w:cs="Arial" w:eastAsia="Arial" w:hAnsi="Arial"/>
          <w:sz w:val="18"/>
          <w:szCs w:val="18"/>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FILINGS, APPROVALS, CONSENTS ETC.</w:t>
      </w:r>
    </w:p>
    <w:p>
      <w:pPr>
        <w:spacing w:after="0" w:line="229"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That except to the extent expressly set out in the opinion given in this letter no consents, approvals, authorisations, orders, licences, registrations, filings or similar formalities are required from any governmental or regulatory authority in connection with the execution, delivery and performance of the Registration Statement by the Company or if such consents, approvals, authorisations, orders, licences, registrations, filings or similar formalities are required, these have been made or will be made within the prescribed time limits.</w:t>
      </w:r>
    </w:p>
    <w:p>
      <w:pPr>
        <w:spacing w:after="0" w:line="167" w:lineRule="exact"/>
        <w:rPr>
          <w:rFonts w:ascii="Arial" w:cs="Arial" w:eastAsia="Arial" w:hAnsi="Arial"/>
          <w:sz w:val="18"/>
          <w:szCs w:val="18"/>
          <w:b w:val="1"/>
          <w:bCs w:val="1"/>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INSOLVENCY</w:t>
      </w:r>
    </w:p>
    <w:p>
      <w:pPr>
        <w:spacing w:after="0" w:line="229" w:lineRule="exact"/>
        <w:rPr>
          <w:rFonts w:ascii="Arial" w:cs="Arial" w:eastAsia="Arial" w:hAnsi="Arial"/>
          <w:sz w:val="18"/>
          <w:szCs w:val="18"/>
          <w:b w:val="1"/>
          <w:bCs w:val="1"/>
          <w:color w:val="auto"/>
        </w:rPr>
      </w:pPr>
    </w:p>
    <w:p>
      <w:pPr>
        <w:jc w:val="both"/>
        <w:ind w:left="66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That the Company has not taken any corporate or other action nor have any steps been taken or legal proceedings been started against the Company for the liquidation, administration, winding up, dissolution, reorganisation, or bankruptcy or similar procedures in other relevant jurisdictions, of, or for the commencement of a moratorium in respect of or the appointment of a liquidator, receiver, trustee, administrator, administrative receiver, monitor or similar officer of, the Company or all or any of its assets (or any analogous proceedings in any jurisdiction) and</w:t>
      </w:r>
    </w:p>
    <w:p>
      <w:pPr>
        <w:sectPr>
          <w:pgSz w:w="11900" w:h="16838" w:orient="portrait"/>
          <w:cols w:equalWidth="0" w:num="1">
            <w:col w:w="11240"/>
          </w:cols>
          <w:pgMar w:left="320" w:top="342" w:right="339" w:bottom="0" w:gutter="0" w:footer="0" w:header="0"/>
        </w:sectPr>
      </w:pPr>
    </w:p>
    <w:bookmarkStart w:id="43" w:name="page44"/>
    <w:bookmarkEnd w:id="43"/>
    <w:p>
      <w:pPr>
        <w:jc w:val="both"/>
        <w:spacing w:after="0" w:line="275" w:lineRule="auto"/>
        <w:rPr>
          <w:sz w:val="20"/>
          <w:szCs w:val="20"/>
          <w:color w:val="auto"/>
        </w:rPr>
      </w:pPr>
      <w:r>
        <w:rPr>
          <w:rFonts w:ascii="Arial" w:cs="Arial" w:eastAsia="Arial" w:hAnsi="Arial"/>
          <w:sz w:val="17"/>
          <w:szCs w:val="17"/>
          <w:color w:val="auto"/>
        </w:rPr>
        <w:t>the Company is not unable to pay its debts as they fall due within the meaning of section 123 of the Insolvency Act 1986 and will not become unable to pay its debts within the meaning of that section as a result of any of the transactions contemplated herein, is not insolvent and has not been dissolved or declared bankrupt (although the Searches gave no indication that any winding-up, dissolution, moratorium or administration order, application or filing or appointment of a liquidator, receiver, administrator, administrative receiver, monitor or similar officer has been made with respect to the Company) and such actions and steps will not have been taken as at any Allotment Date.</w:t>
      </w:r>
    </w:p>
    <w:p>
      <w:pPr>
        <w:spacing w:after="0" w:line="37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color w:val="auto"/>
        </w:rPr>
        <w:t>4 August 2020</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2612390</wp:posOffset>
            </wp:positionV>
            <wp:extent cx="7132320" cy="9772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7132320"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 in this letter is subject to the following reservations:</w:t>
      </w:r>
    </w:p>
    <w:p>
      <w:pPr>
        <w:spacing w:after="0" w:line="225" w:lineRule="exact"/>
        <w:rPr>
          <w:sz w:val="20"/>
          <w:szCs w:val="20"/>
          <w:color w:val="auto"/>
        </w:rPr>
      </w:pPr>
    </w:p>
    <w:p>
      <w:pPr>
        <w:jc w:val="both"/>
        <w:ind w:left="1300" w:hanging="644"/>
        <w:spacing w:after="0" w:line="286" w:lineRule="auto"/>
        <w:tabs>
          <w:tab w:leader="none" w:pos="1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Searches are not capable of revealing conclusively whether or not a winding-up or administration petition, filing or order has been presented or made, a monitor or receiver appointed, a company voluntary arrangement proposed or approved or a moratorium or any other insolvency proceeding commenced. We have not made enquiries of any District Registry or County Court;</w:t>
      </w:r>
    </w:p>
    <w:p>
      <w:pPr>
        <w:spacing w:after="0" w:line="165" w:lineRule="exact"/>
        <w:rPr>
          <w:rFonts w:ascii="Arial" w:cs="Arial" w:eastAsia="Arial" w:hAnsi="Arial"/>
          <w:sz w:val="17"/>
          <w:szCs w:val="17"/>
          <w:color w:val="auto"/>
        </w:rPr>
      </w:pPr>
    </w:p>
    <w:p>
      <w:pPr>
        <w:jc w:val="both"/>
        <w:ind w:left="1300" w:hanging="644"/>
        <w:spacing w:after="0" w:line="301" w:lineRule="auto"/>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opinion set out in this letter is subject to (i) any limitations arising from applicable laws relating to insolvency, bankruptcy, administration, reorganisation, liquidation, moratoria, schemes or analogous circumstances; and (ii) an English court exercising its discretion under section 426 of the Insolvency Act 1986 (co-operation between courts exercising jurisdiction in relation to insolvency) to assist the courts having the corresponding jurisdiction in any part of the United Kingdom or any relevant country or territory;</w:t>
      </w:r>
    </w:p>
    <w:p>
      <w:pPr>
        <w:spacing w:after="0" w:line="157" w:lineRule="exact"/>
        <w:rPr>
          <w:rFonts w:ascii="Arial" w:cs="Arial" w:eastAsia="Arial" w:hAnsi="Arial"/>
          <w:sz w:val="16"/>
          <w:szCs w:val="16"/>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express no opinion as to matters of fact; and</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should be understood that we have not been responsible for investigating or verifying the accuracy of the facts, including statements of foreign law, or the reasonableness of any statements of opinion, contained in the Registration Statement, or that no material facts have been omitted from it.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862"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5.2</w:t>
      </w:r>
    </w:p>
    <w:p>
      <w:pPr>
        <w:spacing w:after="0" w:line="248" w:lineRule="exact"/>
        <w:rPr>
          <w:sz w:val="20"/>
          <w:szCs w:val="20"/>
          <w:color w:val="auto"/>
        </w:rPr>
      </w:pPr>
    </w:p>
    <w:p>
      <w:pPr>
        <w:ind w:left="7880"/>
        <w:spacing w:after="0"/>
        <w:rPr>
          <w:sz w:val="20"/>
          <w:szCs w:val="20"/>
          <w:color w:val="auto"/>
        </w:rPr>
      </w:pPr>
      <w:r>
        <w:rPr>
          <w:rFonts w:ascii="Arial" w:cs="Arial" w:eastAsia="Arial" w:hAnsi="Arial"/>
          <w:sz w:val="14"/>
          <w:szCs w:val="14"/>
          <w:color w:val="auto"/>
        </w:rPr>
        <w:t>811 Main Street, Suite 3700</w:t>
      </w:r>
    </w:p>
    <w:p>
      <w:pPr>
        <w:spacing w:after="0" w:line="1" w:lineRule="exact"/>
        <w:rPr>
          <w:sz w:val="20"/>
          <w:szCs w:val="20"/>
          <w:color w:val="auto"/>
        </w:rPr>
      </w:pPr>
    </w:p>
    <w:p>
      <w:pPr>
        <w:ind w:left="7880"/>
        <w:spacing w:after="0"/>
        <w:rPr>
          <w:sz w:val="20"/>
          <w:szCs w:val="20"/>
          <w:color w:val="auto"/>
        </w:rPr>
      </w:pPr>
      <w:r>
        <w:rPr>
          <w:rFonts w:ascii="Arial" w:cs="Arial" w:eastAsia="Arial" w:hAnsi="Arial"/>
          <w:sz w:val="14"/>
          <w:szCs w:val="14"/>
          <w:color w:val="auto"/>
        </w:rPr>
        <w:t>Houston, TX 77002</w:t>
      </w:r>
    </w:p>
    <w:p>
      <w:pPr>
        <w:spacing w:after="0" w:line="1" w:lineRule="exact"/>
        <w:rPr>
          <w:sz w:val="20"/>
          <w:szCs w:val="20"/>
          <w:color w:val="auto"/>
        </w:rPr>
      </w:pPr>
    </w:p>
    <w:p>
      <w:pPr>
        <w:ind w:left="7880"/>
        <w:spacing w:after="0"/>
        <w:rPr>
          <w:sz w:val="20"/>
          <w:szCs w:val="20"/>
          <w:color w:val="auto"/>
        </w:rPr>
      </w:pPr>
      <w:r>
        <w:rPr>
          <w:rFonts w:ascii="Arial" w:cs="Arial" w:eastAsia="Arial" w:hAnsi="Arial"/>
          <w:sz w:val="14"/>
          <w:szCs w:val="14"/>
          <w:color w:val="auto"/>
        </w:rPr>
        <w:t>Tel: +1.713.546.5400 Fax: +1.713.546.5401</w:t>
      </w:r>
    </w:p>
    <w:p>
      <w:pPr>
        <w:spacing w:after="0" w:line="1" w:lineRule="exact"/>
        <w:rPr>
          <w:sz w:val="20"/>
          <w:szCs w:val="20"/>
          <w:color w:val="auto"/>
        </w:rPr>
      </w:pPr>
    </w:p>
    <w:p>
      <w:pPr>
        <w:ind w:left="7880"/>
        <w:spacing w:after="0"/>
        <w:rPr>
          <w:sz w:val="20"/>
          <w:szCs w:val="20"/>
          <w:color w:val="auto"/>
        </w:rPr>
      </w:pPr>
      <w:r>
        <w:rPr>
          <w:rFonts w:ascii="Arial" w:cs="Arial" w:eastAsia="Arial" w:hAnsi="Arial"/>
          <w:sz w:val="14"/>
          <w:szCs w:val="14"/>
          <w:color w:val="auto"/>
        </w:rPr>
        <w:t>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4997450" cy="3511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4997450" cy="3511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140" w:type="dxa"/>
            <w:vAlign w:val="bottom"/>
            <w:gridSpan w:val="2"/>
          </w:tcPr>
          <w:p>
            <w:pPr>
              <w:ind w:left="1900"/>
              <w:spacing w:after="0"/>
              <w:rPr>
                <w:sz w:val="20"/>
                <w:szCs w:val="20"/>
                <w:color w:val="auto"/>
              </w:rPr>
            </w:pPr>
            <w:r>
              <w:rPr>
                <w:rFonts w:ascii="Arial" w:cs="Arial" w:eastAsia="Arial" w:hAnsi="Arial"/>
                <w:sz w:val="14"/>
                <w:szCs w:val="14"/>
                <w:color w:val="auto"/>
              </w:rPr>
              <w:t>FIRM / AFFILIATE OFFICES</w:t>
            </w:r>
          </w:p>
        </w:tc>
      </w:tr>
      <w:tr>
        <w:trPr>
          <w:trHeight w:val="172"/>
        </w:trPr>
        <w:tc>
          <w:tcPr>
            <w:tcW w:w="12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860" w:type="dxa"/>
            <w:vAlign w:val="bottom"/>
          </w:tcPr>
          <w:p>
            <w:pPr>
              <w:ind w:left="1900"/>
              <w:spacing w:after="0"/>
              <w:rPr>
                <w:sz w:val="20"/>
                <w:szCs w:val="20"/>
                <w:color w:val="auto"/>
              </w:rPr>
            </w:pPr>
            <w:r>
              <w:rPr>
                <w:rFonts w:ascii="Arial" w:cs="Arial" w:eastAsia="Arial" w:hAnsi="Arial"/>
                <w:sz w:val="14"/>
                <w:szCs w:val="14"/>
                <w:color w:val="auto"/>
              </w:rPr>
              <w:t>Beijing</w:t>
            </w:r>
          </w:p>
        </w:tc>
        <w:tc>
          <w:tcPr>
            <w:tcW w:w="1280" w:type="dxa"/>
            <w:vAlign w:val="bottom"/>
          </w:tcPr>
          <w:p>
            <w:pPr>
              <w:ind w:left="160"/>
              <w:spacing w:after="0"/>
              <w:rPr>
                <w:sz w:val="20"/>
                <w:szCs w:val="20"/>
                <w:color w:val="auto"/>
              </w:rPr>
            </w:pPr>
            <w:r>
              <w:rPr>
                <w:rFonts w:ascii="Arial" w:cs="Arial" w:eastAsia="Arial" w:hAnsi="Arial"/>
                <w:sz w:val="14"/>
                <w:szCs w:val="14"/>
                <w:color w:val="auto"/>
              </w:rPr>
              <w:t>Moscow</w:t>
            </w:r>
          </w:p>
        </w:tc>
      </w:tr>
      <w:tr>
        <w:trPr>
          <w:trHeight w:val="216"/>
        </w:trPr>
        <w:tc>
          <w:tcPr>
            <w:tcW w:w="12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860" w:type="dxa"/>
            <w:vAlign w:val="bottom"/>
          </w:tcPr>
          <w:p>
            <w:pPr>
              <w:ind w:left="1900"/>
              <w:spacing w:after="0"/>
              <w:rPr>
                <w:sz w:val="20"/>
                <w:szCs w:val="20"/>
                <w:color w:val="auto"/>
              </w:rPr>
            </w:pPr>
            <w:r>
              <w:rPr>
                <w:rFonts w:ascii="Arial" w:cs="Arial" w:eastAsia="Arial" w:hAnsi="Arial"/>
                <w:sz w:val="14"/>
                <w:szCs w:val="14"/>
                <w:color w:val="auto"/>
              </w:rPr>
              <w:t>Boston</w:t>
            </w:r>
          </w:p>
        </w:tc>
        <w:tc>
          <w:tcPr>
            <w:tcW w:w="1280" w:type="dxa"/>
            <w:vAlign w:val="bottom"/>
          </w:tcPr>
          <w:p>
            <w:pPr>
              <w:ind w:left="160"/>
              <w:spacing w:after="0"/>
              <w:rPr>
                <w:sz w:val="20"/>
                <w:szCs w:val="20"/>
                <w:color w:val="auto"/>
              </w:rPr>
            </w:pPr>
            <w:r>
              <w:rPr>
                <w:rFonts w:ascii="Arial" w:cs="Arial" w:eastAsia="Arial" w:hAnsi="Arial"/>
                <w:sz w:val="14"/>
                <w:szCs w:val="14"/>
                <w:color w:val="auto"/>
              </w:rPr>
              <w:t>Munich</w:t>
            </w:r>
          </w:p>
        </w:tc>
      </w:tr>
      <w:tr>
        <w:trPr>
          <w:trHeight w:val="216"/>
        </w:trPr>
        <w:tc>
          <w:tcPr>
            <w:tcW w:w="12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860" w:type="dxa"/>
            <w:vAlign w:val="bottom"/>
          </w:tcPr>
          <w:p>
            <w:pPr>
              <w:ind w:left="1900"/>
              <w:spacing w:after="0"/>
              <w:rPr>
                <w:sz w:val="20"/>
                <w:szCs w:val="20"/>
                <w:color w:val="auto"/>
              </w:rPr>
            </w:pPr>
            <w:r>
              <w:rPr>
                <w:rFonts w:ascii="Arial" w:cs="Arial" w:eastAsia="Arial" w:hAnsi="Arial"/>
                <w:sz w:val="14"/>
                <w:szCs w:val="14"/>
                <w:color w:val="auto"/>
              </w:rPr>
              <w:t>Brussels</w:t>
            </w:r>
          </w:p>
        </w:tc>
        <w:tc>
          <w:tcPr>
            <w:tcW w:w="1280" w:type="dxa"/>
            <w:vAlign w:val="bottom"/>
          </w:tcPr>
          <w:p>
            <w:pPr>
              <w:ind w:left="160"/>
              <w:spacing w:after="0"/>
              <w:rPr>
                <w:sz w:val="20"/>
                <w:szCs w:val="20"/>
                <w:color w:val="auto"/>
              </w:rPr>
            </w:pPr>
            <w:r>
              <w:rPr>
                <w:rFonts w:ascii="Arial" w:cs="Arial" w:eastAsia="Arial" w:hAnsi="Arial"/>
                <w:sz w:val="14"/>
                <w:szCs w:val="14"/>
                <w:color w:val="auto"/>
              </w:rPr>
              <w:t>New York</w:t>
            </w:r>
          </w:p>
        </w:tc>
      </w:tr>
      <w:tr>
        <w:trPr>
          <w:trHeight w:val="216"/>
        </w:trPr>
        <w:tc>
          <w:tcPr>
            <w:tcW w:w="12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860" w:type="dxa"/>
            <w:vAlign w:val="bottom"/>
          </w:tcPr>
          <w:p>
            <w:pPr>
              <w:ind w:left="1900"/>
              <w:spacing w:after="0"/>
              <w:rPr>
                <w:sz w:val="20"/>
                <w:szCs w:val="20"/>
                <w:color w:val="auto"/>
              </w:rPr>
            </w:pPr>
            <w:r>
              <w:rPr>
                <w:rFonts w:ascii="Arial" w:cs="Arial" w:eastAsia="Arial" w:hAnsi="Arial"/>
                <w:sz w:val="14"/>
                <w:szCs w:val="14"/>
                <w:color w:val="auto"/>
              </w:rPr>
              <w:t>Century City</w:t>
            </w:r>
          </w:p>
        </w:tc>
        <w:tc>
          <w:tcPr>
            <w:tcW w:w="1280" w:type="dxa"/>
            <w:vAlign w:val="bottom"/>
          </w:tcPr>
          <w:p>
            <w:pPr>
              <w:ind w:left="160"/>
              <w:spacing w:after="0"/>
              <w:rPr>
                <w:sz w:val="20"/>
                <w:szCs w:val="20"/>
                <w:color w:val="auto"/>
              </w:rPr>
            </w:pPr>
            <w:r>
              <w:rPr>
                <w:rFonts w:ascii="Arial" w:cs="Arial" w:eastAsia="Arial" w:hAnsi="Arial"/>
                <w:sz w:val="14"/>
                <w:szCs w:val="14"/>
                <w:color w:val="auto"/>
              </w:rPr>
              <w:t>Orange County</w:t>
            </w:r>
          </w:p>
        </w:tc>
      </w:tr>
      <w:tr>
        <w:trPr>
          <w:trHeight w:val="216"/>
        </w:trPr>
        <w:tc>
          <w:tcPr>
            <w:tcW w:w="12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860" w:type="dxa"/>
            <w:vAlign w:val="bottom"/>
          </w:tcPr>
          <w:p>
            <w:pPr>
              <w:ind w:left="1900"/>
              <w:spacing w:after="0"/>
              <w:rPr>
                <w:sz w:val="20"/>
                <w:szCs w:val="20"/>
                <w:color w:val="auto"/>
              </w:rPr>
            </w:pPr>
            <w:r>
              <w:rPr>
                <w:rFonts w:ascii="Arial" w:cs="Arial" w:eastAsia="Arial" w:hAnsi="Arial"/>
                <w:sz w:val="14"/>
                <w:szCs w:val="14"/>
                <w:color w:val="auto"/>
              </w:rPr>
              <w:t>Chicago</w:t>
            </w:r>
          </w:p>
        </w:tc>
        <w:tc>
          <w:tcPr>
            <w:tcW w:w="1280" w:type="dxa"/>
            <w:vAlign w:val="bottom"/>
          </w:tcPr>
          <w:p>
            <w:pPr>
              <w:ind w:left="160"/>
              <w:spacing w:after="0"/>
              <w:rPr>
                <w:sz w:val="20"/>
                <w:szCs w:val="20"/>
                <w:color w:val="auto"/>
              </w:rPr>
            </w:pPr>
            <w:r>
              <w:rPr>
                <w:rFonts w:ascii="Arial" w:cs="Arial" w:eastAsia="Arial" w:hAnsi="Arial"/>
                <w:sz w:val="14"/>
                <w:szCs w:val="14"/>
                <w:color w:val="auto"/>
              </w:rPr>
              <w:t>Paris</w:t>
            </w:r>
          </w:p>
        </w:tc>
      </w:tr>
      <w:tr>
        <w:trPr>
          <w:trHeight w:val="216"/>
        </w:trPr>
        <w:tc>
          <w:tcPr>
            <w:tcW w:w="12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860" w:type="dxa"/>
            <w:vAlign w:val="bottom"/>
          </w:tcPr>
          <w:p>
            <w:pPr>
              <w:ind w:left="1900"/>
              <w:spacing w:after="0"/>
              <w:rPr>
                <w:sz w:val="20"/>
                <w:szCs w:val="20"/>
                <w:color w:val="auto"/>
              </w:rPr>
            </w:pPr>
            <w:r>
              <w:rPr>
                <w:rFonts w:ascii="Arial" w:cs="Arial" w:eastAsia="Arial" w:hAnsi="Arial"/>
                <w:sz w:val="14"/>
                <w:szCs w:val="14"/>
                <w:color w:val="auto"/>
              </w:rPr>
              <w:t>Dubai</w:t>
            </w:r>
          </w:p>
        </w:tc>
        <w:tc>
          <w:tcPr>
            <w:tcW w:w="1280" w:type="dxa"/>
            <w:vAlign w:val="bottom"/>
          </w:tcPr>
          <w:p>
            <w:pPr>
              <w:ind w:left="160"/>
              <w:spacing w:after="0"/>
              <w:rPr>
                <w:sz w:val="20"/>
                <w:szCs w:val="20"/>
                <w:color w:val="auto"/>
              </w:rPr>
            </w:pPr>
            <w:r>
              <w:rPr>
                <w:rFonts w:ascii="Arial" w:cs="Arial" w:eastAsia="Arial" w:hAnsi="Arial"/>
                <w:sz w:val="14"/>
                <w:szCs w:val="14"/>
                <w:color w:val="auto"/>
              </w:rPr>
              <w:t>Riyadh</w:t>
            </w:r>
          </w:p>
        </w:tc>
      </w:tr>
      <w:tr>
        <w:trPr>
          <w:trHeight w:val="255"/>
        </w:trPr>
        <w:tc>
          <w:tcPr>
            <w:tcW w:w="1260" w:type="dxa"/>
            <w:vAlign w:val="bottom"/>
          </w:tcPr>
          <w:p>
            <w:pPr>
              <w:spacing w:after="0"/>
              <w:rPr>
                <w:sz w:val="20"/>
                <w:szCs w:val="20"/>
                <w:color w:val="auto"/>
              </w:rPr>
            </w:pPr>
            <w:r>
              <w:rPr>
                <w:rFonts w:ascii="Arial" w:cs="Arial" w:eastAsia="Arial" w:hAnsi="Arial"/>
                <w:sz w:val="18"/>
                <w:szCs w:val="18"/>
                <w:color w:val="auto"/>
              </w:rPr>
              <w:t>August 4, 2020</w:t>
            </w:r>
          </w:p>
        </w:tc>
        <w:tc>
          <w:tcPr>
            <w:tcW w:w="4720" w:type="dxa"/>
            <w:vAlign w:val="bottom"/>
          </w:tcPr>
          <w:p>
            <w:pPr>
              <w:spacing w:after="0"/>
              <w:rPr>
                <w:sz w:val="22"/>
                <w:szCs w:val="22"/>
                <w:color w:val="auto"/>
              </w:rPr>
            </w:pPr>
          </w:p>
        </w:tc>
        <w:tc>
          <w:tcPr>
            <w:tcW w:w="2860" w:type="dxa"/>
            <w:vAlign w:val="bottom"/>
          </w:tcPr>
          <w:p>
            <w:pPr>
              <w:ind w:left="1900"/>
              <w:spacing w:after="0"/>
              <w:rPr>
                <w:sz w:val="20"/>
                <w:szCs w:val="20"/>
                <w:color w:val="auto"/>
              </w:rPr>
            </w:pPr>
            <w:r>
              <w:rPr>
                <w:rFonts w:ascii="Arial" w:cs="Arial" w:eastAsia="Arial" w:hAnsi="Arial"/>
                <w:sz w:val="14"/>
                <w:szCs w:val="14"/>
                <w:color w:val="auto"/>
              </w:rPr>
              <w:t>Düsseldorf</w:t>
            </w:r>
          </w:p>
        </w:tc>
        <w:tc>
          <w:tcPr>
            <w:tcW w:w="1280" w:type="dxa"/>
            <w:vAlign w:val="bottom"/>
          </w:tcPr>
          <w:p>
            <w:pPr>
              <w:ind w:left="160"/>
              <w:spacing w:after="0"/>
              <w:rPr>
                <w:sz w:val="20"/>
                <w:szCs w:val="20"/>
                <w:color w:val="auto"/>
              </w:rPr>
            </w:pPr>
            <w:r>
              <w:rPr>
                <w:rFonts w:ascii="Arial" w:cs="Arial" w:eastAsia="Arial" w:hAnsi="Arial"/>
                <w:sz w:val="14"/>
                <w:szCs w:val="14"/>
                <w:color w:val="auto"/>
              </w:rPr>
              <w:t>San Diego</w:t>
            </w:r>
          </w:p>
        </w:tc>
      </w:tr>
      <w:tr>
        <w:trPr>
          <w:trHeight w:val="177"/>
        </w:trPr>
        <w:tc>
          <w:tcPr>
            <w:tcW w:w="126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860" w:type="dxa"/>
            <w:vAlign w:val="bottom"/>
          </w:tcPr>
          <w:p>
            <w:pPr>
              <w:ind w:left="1900"/>
              <w:spacing w:after="0"/>
              <w:rPr>
                <w:sz w:val="20"/>
                <w:szCs w:val="20"/>
                <w:color w:val="auto"/>
              </w:rPr>
            </w:pPr>
            <w:r>
              <w:rPr>
                <w:rFonts w:ascii="Arial" w:cs="Arial" w:eastAsia="Arial" w:hAnsi="Arial"/>
                <w:sz w:val="14"/>
                <w:szCs w:val="14"/>
                <w:color w:val="auto"/>
              </w:rPr>
              <w:t>Frankfurt</w:t>
            </w:r>
          </w:p>
        </w:tc>
        <w:tc>
          <w:tcPr>
            <w:tcW w:w="1280" w:type="dxa"/>
            <w:vAlign w:val="bottom"/>
          </w:tcPr>
          <w:p>
            <w:pPr>
              <w:ind w:left="160"/>
              <w:spacing w:after="0"/>
              <w:rPr>
                <w:sz w:val="20"/>
                <w:szCs w:val="20"/>
                <w:color w:val="auto"/>
              </w:rPr>
            </w:pPr>
            <w:r>
              <w:rPr>
                <w:rFonts w:ascii="Arial" w:cs="Arial" w:eastAsia="Arial" w:hAnsi="Arial"/>
                <w:sz w:val="14"/>
                <w:szCs w:val="14"/>
                <w:color w:val="auto"/>
              </w:rPr>
              <w:t>San Francisco</w:t>
            </w:r>
          </w:p>
        </w:tc>
      </w:tr>
      <w:tr>
        <w:trPr>
          <w:trHeight w:val="216"/>
        </w:trPr>
        <w:tc>
          <w:tcPr>
            <w:tcW w:w="12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860" w:type="dxa"/>
            <w:vAlign w:val="bottom"/>
          </w:tcPr>
          <w:p>
            <w:pPr>
              <w:ind w:left="1900"/>
              <w:spacing w:after="0"/>
              <w:rPr>
                <w:sz w:val="20"/>
                <w:szCs w:val="20"/>
                <w:color w:val="auto"/>
              </w:rPr>
            </w:pPr>
            <w:r>
              <w:rPr>
                <w:rFonts w:ascii="Arial" w:cs="Arial" w:eastAsia="Arial" w:hAnsi="Arial"/>
                <w:sz w:val="14"/>
                <w:szCs w:val="14"/>
                <w:color w:val="auto"/>
              </w:rPr>
              <w:t>Hamburg</w:t>
            </w:r>
          </w:p>
        </w:tc>
        <w:tc>
          <w:tcPr>
            <w:tcW w:w="1280" w:type="dxa"/>
            <w:vAlign w:val="bottom"/>
          </w:tcPr>
          <w:p>
            <w:pPr>
              <w:ind w:left="160"/>
              <w:spacing w:after="0"/>
              <w:rPr>
                <w:sz w:val="20"/>
                <w:szCs w:val="20"/>
                <w:color w:val="auto"/>
              </w:rPr>
            </w:pPr>
            <w:r>
              <w:rPr>
                <w:rFonts w:ascii="Arial" w:cs="Arial" w:eastAsia="Arial" w:hAnsi="Arial"/>
                <w:sz w:val="14"/>
                <w:szCs w:val="14"/>
                <w:color w:val="auto"/>
              </w:rPr>
              <w:t>Seoul</w:t>
            </w:r>
          </w:p>
        </w:tc>
      </w:tr>
      <w:tr>
        <w:trPr>
          <w:trHeight w:val="216"/>
        </w:trPr>
        <w:tc>
          <w:tcPr>
            <w:tcW w:w="12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860" w:type="dxa"/>
            <w:vAlign w:val="bottom"/>
          </w:tcPr>
          <w:p>
            <w:pPr>
              <w:ind w:left="1900"/>
              <w:spacing w:after="0"/>
              <w:rPr>
                <w:sz w:val="20"/>
                <w:szCs w:val="20"/>
                <w:color w:val="auto"/>
              </w:rPr>
            </w:pPr>
            <w:r>
              <w:rPr>
                <w:rFonts w:ascii="Arial" w:cs="Arial" w:eastAsia="Arial" w:hAnsi="Arial"/>
                <w:sz w:val="14"/>
                <w:szCs w:val="14"/>
                <w:color w:val="auto"/>
              </w:rPr>
              <w:t>Hong Kong</w:t>
            </w:r>
          </w:p>
        </w:tc>
        <w:tc>
          <w:tcPr>
            <w:tcW w:w="1280" w:type="dxa"/>
            <w:vAlign w:val="bottom"/>
          </w:tcPr>
          <w:p>
            <w:pPr>
              <w:ind w:left="160"/>
              <w:spacing w:after="0"/>
              <w:rPr>
                <w:sz w:val="20"/>
                <w:szCs w:val="20"/>
                <w:color w:val="auto"/>
              </w:rPr>
            </w:pPr>
            <w:r>
              <w:rPr>
                <w:rFonts w:ascii="Arial" w:cs="Arial" w:eastAsia="Arial" w:hAnsi="Arial"/>
                <w:sz w:val="14"/>
                <w:szCs w:val="14"/>
                <w:color w:val="auto"/>
              </w:rPr>
              <w:t>Shanghai</w:t>
            </w:r>
          </w:p>
        </w:tc>
      </w:tr>
      <w:tr>
        <w:trPr>
          <w:trHeight w:val="216"/>
        </w:trPr>
        <w:tc>
          <w:tcPr>
            <w:tcW w:w="12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860" w:type="dxa"/>
            <w:vAlign w:val="bottom"/>
          </w:tcPr>
          <w:p>
            <w:pPr>
              <w:ind w:left="1900"/>
              <w:spacing w:after="0"/>
              <w:rPr>
                <w:sz w:val="20"/>
                <w:szCs w:val="20"/>
                <w:color w:val="auto"/>
              </w:rPr>
            </w:pPr>
            <w:r>
              <w:rPr>
                <w:rFonts w:ascii="Arial" w:cs="Arial" w:eastAsia="Arial" w:hAnsi="Arial"/>
                <w:sz w:val="14"/>
                <w:szCs w:val="14"/>
                <w:color w:val="auto"/>
              </w:rPr>
              <w:t>Houston</w:t>
            </w:r>
          </w:p>
        </w:tc>
        <w:tc>
          <w:tcPr>
            <w:tcW w:w="1280" w:type="dxa"/>
            <w:vAlign w:val="bottom"/>
          </w:tcPr>
          <w:p>
            <w:pPr>
              <w:ind w:left="160"/>
              <w:spacing w:after="0"/>
              <w:rPr>
                <w:sz w:val="20"/>
                <w:szCs w:val="20"/>
                <w:color w:val="auto"/>
              </w:rPr>
            </w:pPr>
            <w:r>
              <w:rPr>
                <w:rFonts w:ascii="Arial" w:cs="Arial" w:eastAsia="Arial" w:hAnsi="Arial"/>
                <w:sz w:val="14"/>
                <w:szCs w:val="14"/>
                <w:color w:val="auto"/>
              </w:rPr>
              <w:t>Silicon Valley</w:t>
            </w:r>
          </w:p>
        </w:tc>
      </w:tr>
      <w:tr>
        <w:trPr>
          <w:trHeight w:val="216"/>
        </w:trPr>
        <w:tc>
          <w:tcPr>
            <w:tcW w:w="12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860" w:type="dxa"/>
            <w:vAlign w:val="bottom"/>
          </w:tcPr>
          <w:p>
            <w:pPr>
              <w:ind w:left="1900"/>
              <w:spacing w:after="0"/>
              <w:rPr>
                <w:sz w:val="20"/>
                <w:szCs w:val="20"/>
                <w:color w:val="auto"/>
              </w:rPr>
            </w:pPr>
            <w:r>
              <w:rPr>
                <w:rFonts w:ascii="Arial" w:cs="Arial" w:eastAsia="Arial" w:hAnsi="Arial"/>
                <w:sz w:val="14"/>
                <w:szCs w:val="14"/>
                <w:color w:val="auto"/>
              </w:rPr>
              <w:t>London</w:t>
            </w:r>
          </w:p>
        </w:tc>
        <w:tc>
          <w:tcPr>
            <w:tcW w:w="1280" w:type="dxa"/>
            <w:vAlign w:val="bottom"/>
          </w:tcPr>
          <w:p>
            <w:pPr>
              <w:ind w:left="160"/>
              <w:spacing w:after="0"/>
              <w:rPr>
                <w:sz w:val="20"/>
                <w:szCs w:val="20"/>
                <w:color w:val="auto"/>
              </w:rPr>
            </w:pPr>
            <w:r>
              <w:rPr>
                <w:rFonts w:ascii="Arial" w:cs="Arial" w:eastAsia="Arial" w:hAnsi="Arial"/>
                <w:sz w:val="14"/>
                <w:szCs w:val="14"/>
                <w:color w:val="auto"/>
              </w:rPr>
              <w:t>Singapore</w:t>
            </w:r>
          </w:p>
        </w:tc>
      </w:tr>
      <w:tr>
        <w:trPr>
          <w:trHeight w:val="216"/>
        </w:trPr>
        <w:tc>
          <w:tcPr>
            <w:tcW w:w="12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860" w:type="dxa"/>
            <w:vAlign w:val="bottom"/>
          </w:tcPr>
          <w:p>
            <w:pPr>
              <w:ind w:left="1900"/>
              <w:spacing w:after="0"/>
              <w:rPr>
                <w:sz w:val="20"/>
                <w:szCs w:val="20"/>
                <w:color w:val="auto"/>
              </w:rPr>
            </w:pPr>
            <w:r>
              <w:rPr>
                <w:rFonts w:ascii="Arial" w:cs="Arial" w:eastAsia="Arial" w:hAnsi="Arial"/>
                <w:sz w:val="14"/>
                <w:szCs w:val="14"/>
                <w:color w:val="auto"/>
              </w:rPr>
              <w:t>Los Angeles</w:t>
            </w:r>
          </w:p>
        </w:tc>
        <w:tc>
          <w:tcPr>
            <w:tcW w:w="1280" w:type="dxa"/>
            <w:vAlign w:val="bottom"/>
          </w:tcPr>
          <w:p>
            <w:pPr>
              <w:ind w:left="160"/>
              <w:spacing w:after="0"/>
              <w:rPr>
                <w:sz w:val="20"/>
                <w:szCs w:val="20"/>
                <w:color w:val="auto"/>
              </w:rPr>
            </w:pPr>
            <w:r>
              <w:rPr>
                <w:rFonts w:ascii="Arial" w:cs="Arial" w:eastAsia="Arial" w:hAnsi="Arial"/>
                <w:sz w:val="14"/>
                <w:szCs w:val="14"/>
                <w:color w:val="auto"/>
              </w:rPr>
              <w:t>Tokyo</w:t>
            </w:r>
          </w:p>
        </w:tc>
      </w:tr>
      <w:tr>
        <w:trPr>
          <w:trHeight w:val="241"/>
        </w:trPr>
        <w:tc>
          <w:tcPr>
            <w:tcW w:w="1260" w:type="dxa"/>
            <w:vAlign w:val="bottom"/>
          </w:tcPr>
          <w:p>
            <w:pPr>
              <w:spacing w:after="0"/>
              <w:rPr>
                <w:sz w:val="20"/>
                <w:szCs w:val="20"/>
                <w:color w:val="auto"/>
              </w:rPr>
            </w:pPr>
            <w:r>
              <w:rPr>
                <w:rFonts w:ascii="Arial" w:cs="Arial" w:eastAsia="Arial" w:hAnsi="Arial"/>
                <w:sz w:val="18"/>
                <w:szCs w:val="18"/>
                <w:color w:val="auto"/>
                <w:w w:val="94"/>
              </w:rPr>
              <w:t>TechnipFMC plc</w:t>
            </w:r>
          </w:p>
        </w:tc>
        <w:tc>
          <w:tcPr>
            <w:tcW w:w="4720" w:type="dxa"/>
            <w:vAlign w:val="bottom"/>
          </w:tcPr>
          <w:p>
            <w:pPr>
              <w:spacing w:after="0"/>
              <w:rPr>
                <w:sz w:val="20"/>
                <w:szCs w:val="20"/>
                <w:color w:val="auto"/>
              </w:rPr>
            </w:pPr>
          </w:p>
        </w:tc>
        <w:tc>
          <w:tcPr>
            <w:tcW w:w="2860" w:type="dxa"/>
            <w:vAlign w:val="bottom"/>
          </w:tcPr>
          <w:p>
            <w:pPr>
              <w:ind w:left="1900"/>
              <w:spacing w:after="0"/>
              <w:rPr>
                <w:sz w:val="20"/>
                <w:szCs w:val="20"/>
                <w:color w:val="auto"/>
              </w:rPr>
            </w:pPr>
            <w:r>
              <w:rPr>
                <w:rFonts w:ascii="Arial" w:cs="Arial" w:eastAsia="Arial" w:hAnsi="Arial"/>
                <w:sz w:val="14"/>
                <w:szCs w:val="14"/>
                <w:color w:val="auto"/>
              </w:rPr>
              <w:t>Madrid</w:t>
            </w:r>
          </w:p>
        </w:tc>
        <w:tc>
          <w:tcPr>
            <w:tcW w:w="1280" w:type="dxa"/>
            <w:vAlign w:val="bottom"/>
          </w:tcPr>
          <w:p>
            <w:pPr>
              <w:ind w:left="160"/>
              <w:spacing w:after="0"/>
              <w:rPr>
                <w:sz w:val="20"/>
                <w:szCs w:val="20"/>
                <w:color w:val="auto"/>
              </w:rPr>
            </w:pPr>
            <w:r>
              <w:rPr>
                <w:rFonts w:ascii="Arial" w:cs="Arial" w:eastAsia="Arial" w:hAnsi="Arial"/>
                <w:sz w:val="14"/>
                <w:szCs w:val="14"/>
                <w:color w:val="auto"/>
              </w:rPr>
              <w:t>Washington, D.C.</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One St Paul’s Churchyard</w:t>
            </w:r>
          </w:p>
        </w:tc>
        <w:tc>
          <w:tcPr>
            <w:tcW w:w="2860" w:type="dxa"/>
            <w:vAlign w:val="bottom"/>
          </w:tcPr>
          <w:p>
            <w:pPr>
              <w:ind w:left="1900"/>
              <w:spacing w:after="0"/>
              <w:rPr>
                <w:sz w:val="20"/>
                <w:szCs w:val="20"/>
                <w:color w:val="auto"/>
              </w:rPr>
            </w:pPr>
            <w:r>
              <w:rPr>
                <w:rFonts w:ascii="Arial" w:cs="Arial" w:eastAsia="Arial" w:hAnsi="Arial"/>
                <w:sz w:val="14"/>
                <w:szCs w:val="14"/>
                <w:color w:val="auto"/>
              </w:rPr>
              <w:t>Milan</w:t>
            </w:r>
          </w:p>
        </w:tc>
        <w:tc>
          <w:tcPr>
            <w:tcW w:w="1280" w:type="dxa"/>
            <w:vAlign w:val="bottom"/>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London EC4M 8AP</w:t>
            </w:r>
          </w:p>
        </w:tc>
        <w:tc>
          <w:tcPr>
            <w:tcW w:w="28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w w:val="96"/>
              </w:rPr>
              <w:t>United Kingdom</w:t>
            </w:r>
          </w:p>
        </w:tc>
        <w:tc>
          <w:tcPr>
            <w:tcW w:w="47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b w:val="1"/>
                <w:bCs w:val="1"/>
                <w:color w:val="auto"/>
              </w:rPr>
              <w:t>Re:</w:t>
            </w:r>
          </w:p>
        </w:tc>
        <w:tc>
          <w:tcPr>
            <w:tcW w:w="4720" w:type="dxa"/>
            <w:vAlign w:val="bottom"/>
          </w:tcPr>
          <w:p>
            <w:pPr>
              <w:ind w:left="40"/>
              <w:spacing w:after="0"/>
              <w:rPr>
                <w:sz w:val="20"/>
                <w:szCs w:val="20"/>
                <w:color w:val="auto"/>
              </w:rPr>
            </w:pPr>
            <w:r>
              <w:rPr>
                <w:rFonts w:ascii="Arial" w:cs="Arial" w:eastAsia="Arial" w:hAnsi="Arial"/>
                <w:sz w:val="18"/>
                <w:szCs w:val="18"/>
                <w:b w:val="1"/>
                <w:bCs w:val="1"/>
                <w:color w:val="auto"/>
              </w:rPr>
              <w:t>Registration Statement on Form S-3</w:t>
            </w:r>
          </w:p>
        </w:tc>
        <w:tc>
          <w:tcPr>
            <w:tcW w:w="286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We have acted as special United States counsel to TechnipFMC plc, a public limited company organized under the laws of England and Wales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its filing on the date hereof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of a registration statement on Form S-3 (as amended,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including a base prospectus (the “</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which provides that it will be supplemented by one or more prospectus supplements (each such prospectus supplement, together with the Base Prospectus, a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relating to the registration for issue and sale by the Company of: (i) the Company’s ordinary shares, nominal value $1.00 per share (“</w:t>
      </w:r>
      <w:r>
        <w:rPr>
          <w:rFonts w:ascii="Arial" w:cs="Arial" w:eastAsia="Arial" w:hAnsi="Arial"/>
          <w:sz w:val="16"/>
          <w:szCs w:val="16"/>
          <w:b w:val="1"/>
          <w:bCs w:val="1"/>
          <w:i w:val="1"/>
          <w:iCs w:val="1"/>
          <w:color w:val="auto"/>
        </w:rPr>
        <w:t>Ordinary Shares</w:t>
      </w:r>
      <w:r>
        <w:rPr>
          <w:rFonts w:ascii="Arial" w:cs="Arial" w:eastAsia="Arial" w:hAnsi="Arial"/>
          <w:sz w:val="16"/>
          <w:szCs w:val="16"/>
          <w:color w:val="auto"/>
        </w:rPr>
        <w:t>”), (ii) one or more series of the Company’s preference shares (“</w:t>
      </w:r>
      <w:r>
        <w:rPr>
          <w:rFonts w:ascii="Arial" w:cs="Arial" w:eastAsia="Arial" w:hAnsi="Arial"/>
          <w:sz w:val="16"/>
          <w:szCs w:val="16"/>
          <w:b w:val="1"/>
          <w:bCs w:val="1"/>
          <w:i w:val="1"/>
          <w:iCs w:val="1"/>
          <w:color w:val="auto"/>
        </w:rPr>
        <w:t>Preference Shares</w:t>
      </w:r>
      <w:r>
        <w:rPr>
          <w:rFonts w:ascii="Arial" w:cs="Arial" w:eastAsia="Arial" w:hAnsi="Arial"/>
          <w:sz w:val="16"/>
          <w:szCs w:val="16"/>
          <w:color w:val="auto"/>
        </w:rPr>
        <w:t>”), (iii) one or more series of the Company’s debt securities (collectively, “</w:t>
      </w:r>
      <w:r>
        <w:rPr>
          <w:rFonts w:ascii="Arial" w:cs="Arial" w:eastAsia="Arial" w:hAnsi="Arial"/>
          <w:sz w:val="16"/>
          <w:szCs w:val="16"/>
          <w:b w:val="1"/>
          <w:bCs w:val="1"/>
          <w:i w:val="1"/>
          <w:iCs w:val="1"/>
          <w:color w:val="auto"/>
        </w:rPr>
        <w:t>Debt Securities</w:t>
      </w:r>
      <w:r>
        <w:rPr>
          <w:rFonts w:ascii="Arial" w:cs="Arial" w:eastAsia="Arial" w:hAnsi="Arial"/>
          <w:sz w:val="16"/>
          <w:szCs w:val="16"/>
          <w:color w:val="auto"/>
        </w:rPr>
        <w:t>”) to be issued under an Indenture, dated as of March 29, 2017, between the Company, as issuer, and U.S. Bank National Association, as trustee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which is included as Exhibit 4.1 to the Registration Statement, and one or more board resolutions, supplements thereto or officers’ certificates thereunder (such indenture, together with the applicable board resolution, supplement or officers’ certificate pertaining to the applicable series of Debt Securities, the “</w:t>
      </w:r>
      <w:r>
        <w:rPr>
          <w:rFonts w:ascii="Arial" w:cs="Arial" w:eastAsia="Arial" w:hAnsi="Arial"/>
          <w:sz w:val="16"/>
          <w:szCs w:val="16"/>
          <w:b w:val="1"/>
          <w:bCs w:val="1"/>
          <w:i w:val="1"/>
          <w:iCs w:val="1"/>
          <w:color w:val="auto"/>
        </w:rPr>
        <w:t>Applicable Indenture</w:t>
      </w:r>
      <w:r>
        <w:rPr>
          <w:rFonts w:ascii="Arial" w:cs="Arial" w:eastAsia="Arial" w:hAnsi="Arial"/>
          <w:sz w:val="16"/>
          <w:szCs w:val="16"/>
          <w:color w:val="auto"/>
        </w:rPr>
        <w:t>”), (iv) guarantees of debt securities and other securities (“</w:t>
      </w:r>
      <w:r>
        <w:rPr>
          <w:rFonts w:ascii="Arial" w:cs="Arial" w:eastAsia="Arial" w:hAnsi="Arial"/>
          <w:sz w:val="16"/>
          <w:szCs w:val="16"/>
          <w:b w:val="1"/>
          <w:bCs w:val="1"/>
          <w:i w:val="1"/>
          <w:iCs w:val="1"/>
          <w:color w:val="auto"/>
        </w:rPr>
        <w:t>Guarantees</w:t>
      </w:r>
      <w:r>
        <w:rPr>
          <w:rFonts w:ascii="Arial" w:cs="Arial" w:eastAsia="Arial" w:hAnsi="Arial"/>
          <w:sz w:val="16"/>
          <w:szCs w:val="16"/>
          <w:color w:val="auto"/>
        </w:rPr>
        <w:t>”), (v) warrants to purchase Ordinary Shares, Preference Shares, Debt Securities or Units (as defined below)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w:t>
      </w:r>
    </w:p>
    <w:p>
      <w:pPr>
        <w:spacing w:after="0" w:line="4" w:lineRule="exact"/>
        <w:rPr>
          <w:sz w:val="20"/>
          <w:szCs w:val="20"/>
          <w:color w:val="auto"/>
        </w:rPr>
      </w:pPr>
    </w:p>
    <w:p>
      <w:pPr>
        <w:jc w:val="both"/>
        <w:ind w:firstLine="8"/>
        <w:spacing w:after="0" w:line="253" w:lineRule="auto"/>
        <w:tabs>
          <w:tab w:leader="none" w:pos="305"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share purchase contracts of the Company with respect to Ordinary Shares or Preference Shares (“</w:t>
      </w:r>
      <w:r>
        <w:rPr>
          <w:rFonts w:ascii="Arial" w:cs="Arial" w:eastAsia="Arial" w:hAnsi="Arial"/>
          <w:sz w:val="18"/>
          <w:szCs w:val="18"/>
          <w:b w:val="1"/>
          <w:bCs w:val="1"/>
          <w:i w:val="1"/>
          <w:iCs w:val="1"/>
          <w:color w:val="auto"/>
        </w:rPr>
        <w:t>Share Purchase Contracts</w:t>
      </w:r>
      <w:r>
        <w:rPr>
          <w:rFonts w:ascii="Arial" w:cs="Arial" w:eastAsia="Arial" w:hAnsi="Arial"/>
          <w:sz w:val="18"/>
          <w:szCs w:val="18"/>
          <w:color w:val="auto"/>
        </w:rPr>
        <w:t>”) and (vii) units consisting of one or more Ordinary Shares, Preference Shares, Debt Securities, Guarantees, Warrants, Share Purchase Contracts or any combination of such securities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The Ordinary Shares, Preference Shares, Debt Securities, Guarantees, Warrants, Share Purchase Contracts and Units are referred to herein collectively as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w:t>
      </w:r>
    </w:p>
    <w:p>
      <w:pPr>
        <w:spacing w:after="0" w:line="193"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This opinion is being furnished in connection with the requirements of Item 601(b)(5) of Regulation S-K under the Act, and no opinion is expressed herein as to any matter pertaining to the contents of the Registration Statement or related applicable Prospectus, other than as expressly stated herein with respect to the issue of the Securities.</w:t>
      </w:r>
    </w:p>
    <w:p>
      <w:pPr>
        <w:spacing w:after="0" w:line="1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internal laws of the State of New York, and we express no opinion with respect to the applicability thereto, or the effect thereon, of the laws of any other jurisdiction or as to any matters of municipal law or the laws of any local agencies within any state. Various matters concerning the laws of England and Wales with respect to the Ordinary Shares and Preference Shares are addressed in the opinion of Latham &amp; Watkins (London) LLP, which has been separately provided to you. We express no opinion with respect to those matters herein, and, to the extent such matters are necessary to the conclusions expressed herein, we have, with your consent, assumed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August 4, 2020</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2792095</wp:posOffset>
            </wp:positionV>
            <wp:extent cx="7132320" cy="5314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Subject to the foregoing and the other matters set forth herein, it is our opinion that, as of the date hereof:</w:t>
      </w:r>
    </w:p>
    <w:p>
      <w:pPr>
        <w:spacing w:after="0" w:line="225" w:lineRule="exact"/>
        <w:rPr>
          <w:sz w:val="20"/>
          <w:szCs w:val="20"/>
          <w:color w:val="auto"/>
        </w:rPr>
      </w:pPr>
    </w:p>
    <w:p>
      <w:pPr>
        <w:jc w:val="both"/>
        <w:ind w:firstLine="656"/>
        <w:spacing w:after="0" w:line="255" w:lineRule="auto"/>
        <w:tabs>
          <w:tab w:leader="none" w:pos="1297"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When the Applicable Indenture has been duly authorized, executed and delivered by all necessary corporate action of the Company, and when the specific terms of a particular series of Debt Securities have been duly established in accordance with the terms of the Applicable Indenture and authorized by all necessary corporate action of the Company, and such Debt Securities have been duly executed, authenticated, issued and delivered against payment therefor in accordance with the terms of the Applicable Indenture and in the manner contemplated by the applicable Prospectus and by such corporate action, such Debt Securities will be the legally valid and binding obligations of the Company, enforceable against the Company in accordance with their terms.</w:t>
      </w:r>
    </w:p>
    <w:p>
      <w:pPr>
        <w:spacing w:after="0" w:line="192" w:lineRule="exact"/>
        <w:rPr>
          <w:rFonts w:ascii="Arial" w:cs="Arial" w:eastAsia="Arial" w:hAnsi="Arial"/>
          <w:sz w:val="18"/>
          <w:szCs w:val="18"/>
          <w:color w:val="auto"/>
        </w:rPr>
      </w:pPr>
    </w:p>
    <w:p>
      <w:pPr>
        <w:jc w:val="both"/>
        <w:ind w:firstLine="656"/>
        <w:spacing w:after="0" w:line="255" w:lineRule="auto"/>
        <w:tabs>
          <w:tab w:leader="none" w:pos="1316"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When the applicable supplemental indenture has been duly authorized, executed and delivered by all necessary corporate action of the Company, and when the specific terms of a particular issuance of Guarantees has been duly established in accordance with the terms of the applicable supplemental indenture and authorized by all necessary corporate action of the Company, and such Guarantees have been duly executed, authenticated, issued and delivered against payment therefor in accordance with the terms of the applicable supplemental indenture and in the manner contemplated by the applicable Prospectus and by such corporate action, such Guarantees will be the legally valid and binding obligations of the Company, enforceable against the Company in accordance with their terms.</w:t>
      </w:r>
    </w:p>
    <w:p>
      <w:pPr>
        <w:spacing w:after="0" w:line="192" w:lineRule="exact"/>
        <w:rPr>
          <w:rFonts w:ascii="Arial" w:cs="Arial" w:eastAsia="Arial" w:hAnsi="Arial"/>
          <w:sz w:val="18"/>
          <w:szCs w:val="18"/>
          <w:color w:val="auto"/>
        </w:rPr>
      </w:pPr>
    </w:p>
    <w:p>
      <w:pPr>
        <w:jc w:val="both"/>
        <w:ind w:firstLine="656"/>
        <w:spacing w:after="0" w:line="254" w:lineRule="auto"/>
        <w:tabs>
          <w:tab w:leader="none" w:pos="1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When the applicable warrant agreement has been duly authorized, executed and delivered by all necessary corporate action of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enforceable against the Company in accordance with their terms.</w:t>
      </w:r>
    </w:p>
    <w:p>
      <w:pPr>
        <w:spacing w:after="0" w:line="194" w:lineRule="exact"/>
        <w:rPr>
          <w:rFonts w:ascii="Arial" w:cs="Arial" w:eastAsia="Arial" w:hAnsi="Arial"/>
          <w:sz w:val="18"/>
          <w:szCs w:val="18"/>
          <w:color w:val="auto"/>
        </w:rPr>
      </w:pPr>
    </w:p>
    <w:p>
      <w:pPr>
        <w:jc w:val="both"/>
        <w:ind w:firstLine="656"/>
        <w:spacing w:after="0" w:line="301" w:lineRule="auto"/>
        <w:tabs>
          <w:tab w:leader="none" w:pos="1202" w:val="left"/>
        </w:tabs>
        <w:numPr>
          <w:ilvl w:val="0"/>
          <w:numId w:val="41"/>
        </w:numPr>
        <w:rPr>
          <w:rFonts w:ascii="Arial" w:cs="Arial" w:eastAsia="Arial" w:hAnsi="Arial"/>
          <w:sz w:val="16"/>
          <w:szCs w:val="16"/>
          <w:color w:val="auto"/>
        </w:rPr>
      </w:pPr>
      <w:r>
        <w:rPr>
          <w:rFonts w:ascii="Arial" w:cs="Arial" w:eastAsia="Arial" w:hAnsi="Arial"/>
          <w:sz w:val="16"/>
          <w:szCs w:val="16"/>
          <w:color w:val="auto"/>
        </w:rPr>
        <w:t>When the applicable share purchase contract agreement has been duly authorized, executed and delivered by all necessary corporate action of the Company, and when the specific terms of a particular issue of Share Purchase Contracts have been duly authorized in accordance with the terms of the applicable share purchase contract agreement and authorized by all necessary corporate action of the Company, and such Share Purchase Contracts have been duly executed, authenticated, issued and delivered against payment therefor in accordance with the terms of the applicable share purchase contract</w:t>
      </w:r>
    </w:p>
    <w:p>
      <w:pPr>
        <w:sectPr>
          <w:pgSz w:w="11900" w:h="16936" w:orient="portrait"/>
          <w:cols w:equalWidth="0" w:num="1">
            <w:col w:w="11240"/>
          </w:cols>
          <w:pgMar w:left="320" w:top="342" w:right="339" w:bottom="0" w:gutter="0" w:footer="0" w:header="0"/>
        </w:sectPr>
      </w:pPr>
    </w:p>
    <w:bookmarkStart w:id="47" w:name="page48"/>
    <w:bookmarkEnd w:id="47"/>
    <w:p>
      <w:pPr>
        <w:jc w:val="both"/>
        <w:spacing w:after="0" w:line="286" w:lineRule="auto"/>
        <w:rPr>
          <w:sz w:val="20"/>
          <w:szCs w:val="20"/>
          <w:color w:val="auto"/>
        </w:rPr>
      </w:pPr>
      <w:r>
        <w:rPr>
          <w:rFonts w:ascii="Arial" w:cs="Arial" w:eastAsia="Arial" w:hAnsi="Arial"/>
          <w:sz w:val="17"/>
          <w:szCs w:val="17"/>
          <w:color w:val="auto"/>
        </w:rPr>
        <w:t>agreement and in the manner contemplated by the applicable Prospectus and by such corporate action (assuming the securities issuable under such Share Purchase Contracts have been duly authorized and reserved for issuance by all necessary corporate action), such Share Purchase Contracts will be the legally valid and binding obligations of the Company, enforceable against the Company in accordance with their terms.</w:t>
      </w:r>
    </w:p>
    <w:p>
      <w:pPr>
        <w:spacing w:after="0" w:line="3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color w:val="auto"/>
        </w:rPr>
        <w:t>August 4, 2020</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2792095</wp:posOffset>
            </wp:positionV>
            <wp:extent cx="7132320" cy="5314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656"/>
        <w:spacing w:after="0" w:line="293" w:lineRule="auto"/>
        <w:tabs>
          <w:tab w:leader="none" w:pos="12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When the applicable unit agreement has been duly authorized, executed and delivered by all necessary corporate action of the Company, and when the specific terms of a particular issuance of Units have been duly authorized in accordance with the terms of the applicable unit agreement and authorized by all necessary corporate action of the Company, and such Units have been duly executed, authenticated, issued and delivered against payment therefor in accordance with the terms of the applicable unit agreement and in the manner contemplated by the applicable Prospectus and by such corporate action (assuming the securities issuable upon exercise of such Units have been duly authorized and reserved for issuance by all necessary corporate action), such Units will be the legally valid and binding obligations of the Company, enforceable against the Company in accordance with their terms.</w:t>
      </w:r>
    </w:p>
    <w:p>
      <w:pPr>
        <w:spacing w:after="0" w:line="164"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Our opinions are subject to: (i) the effect of bankruptcy, insolvency, reorganization, preference, fraudulent transfer, moratorium or other similar laws relating to or affecting the rights and remedies of creditors; (ii)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(iii) the invalidity under certain circumstances under law or court decisions of provisions providing for the indemnification of or contribution to a party with respect to a liability where such indemnification or contribution is contrary to public policy; and (iv)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w:t>
      </w:r>
    </w:p>
    <w:p>
      <w:pPr>
        <w:spacing w:after="0" w:line="1" w:lineRule="exact"/>
        <w:rPr>
          <w:sz w:val="20"/>
          <w:szCs w:val="20"/>
          <w:color w:val="auto"/>
        </w:rPr>
      </w:pPr>
    </w:p>
    <w:p>
      <w:pPr>
        <w:jc w:val="both"/>
        <w:ind w:firstLine="8"/>
        <w:spacing w:after="0" w:line="255" w:lineRule="auto"/>
        <w:tabs>
          <w:tab w:leader="none" w:pos="261"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color w:val="auto"/>
        </w:rPr>
        <w:t>August 4, 2020</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2792095</wp:posOffset>
            </wp:positionV>
            <wp:extent cx="7132320" cy="5314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With your consent, we have assumed (a) that each of the Debt Securities, Guarantees, Warrants, Share Purchase Contracts and Units and the Applicable Indenture, supplemental indentures, warrant agreements, share purchase contract agreements and unit agreements governing such Securities (collectively, the “</w:t>
      </w:r>
      <w:r>
        <w:rPr>
          <w:rFonts w:ascii="Arial" w:cs="Arial" w:eastAsia="Arial" w:hAnsi="Arial"/>
          <w:sz w:val="17"/>
          <w:szCs w:val="17"/>
          <w:b w:val="1"/>
          <w:bCs w:val="1"/>
          <w:i w:val="1"/>
          <w:iCs w:val="1"/>
          <w:color w:val="auto"/>
        </w:rPr>
        <w:t>Documents</w:t>
      </w:r>
      <w:r>
        <w:rPr>
          <w:rFonts w:ascii="Arial" w:cs="Arial" w:eastAsia="Arial" w:hAnsi="Arial"/>
          <w:sz w:val="17"/>
          <w:szCs w:val="17"/>
          <w:color w:val="auto"/>
        </w:rPr>
        <w:t>”) will be governed by the internal laws of the State of New York, (b) that each of the Documents has been or will be duly authorized, executed and delivered by the parties thereto, (c) that each of the Documents constitutes or will constitute legally valid and binding obligations of the parties thereto other than the Company, enforceable against each of them in accordance with their respective terms, and (d) that the status of each of the Documents as legally valid and binding obligations of the parties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71"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Latham &amp; Watkins LLP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33"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We hereby consent to the incorporation by reference in this Registration Statement on Form S-3 of TechnipFMC plc of our report dated March 2, 2020 relating to the financial statements, financial statement schedule and the effectiveness of internal control over financial reporting, which appears in TechnipFMC plc’s Annual Report on Form 10-K for the year ended December 31, 2019. We also consent to the reference to us under the heading “Experts” in such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/s/ PricewaterhouseCoopers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Houston, Texas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August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1" w:name="page52"/>
    <w:bookmarkEnd w:id="51"/>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FORM T-1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STATEMENT OF ELIGIBILITY UNDER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TRUST INDENTURE ACT OF 1939 OF A</w:t>
      </w:r>
    </w:p>
    <w:p>
      <w:pPr>
        <w:jc w:val="center"/>
        <w:spacing w:after="0"/>
        <w:rPr>
          <w:sz w:val="20"/>
          <w:szCs w:val="20"/>
          <w:color w:val="auto"/>
        </w:rPr>
      </w:pPr>
      <w:r>
        <w:rPr>
          <w:rFonts w:ascii="Arial" w:cs="Arial" w:eastAsia="Arial" w:hAnsi="Arial"/>
          <w:sz w:val="20"/>
          <w:szCs w:val="20"/>
          <w:b w:val="1"/>
          <w:bCs w:val="1"/>
          <w:color w:val="auto"/>
        </w:rPr>
        <w:t>CORPORATION DESIGNATED TO ACT AS TRUSTEE</w:t>
      </w:r>
    </w:p>
    <w:p>
      <w:pPr>
        <w:ind w:left="3600"/>
        <w:spacing w:after="0"/>
        <w:rPr>
          <w:sz w:val="20"/>
          <w:szCs w:val="20"/>
          <w:color w:val="auto"/>
        </w:rPr>
      </w:pPr>
      <w:r>
        <w:rPr>
          <w:rFonts w:ascii="Arial" w:cs="Arial" w:eastAsia="Arial" w:hAnsi="Arial"/>
          <w:sz w:val="20"/>
          <w:szCs w:val="20"/>
          <w:color w:val="auto"/>
        </w:rPr>
        <w:t>Check if an Application to Determine Eligibility of</w:t>
      </w:r>
    </w:p>
    <w:p>
      <w:pPr>
        <w:ind w:left="4040"/>
        <w:spacing w:after="0"/>
        <w:rPr>
          <w:sz w:val="20"/>
          <w:szCs w:val="20"/>
          <w:color w:val="auto"/>
        </w:rPr>
      </w:pPr>
      <w:r>
        <w:rPr>
          <w:rFonts w:ascii="Arial" w:cs="Arial" w:eastAsia="Arial" w:hAnsi="Arial"/>
          <w:sz w:val="20"/>
          <w:szCs w:val="20"/>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6120765</wp:posOffset>
            </wp:positionV>
            <wp:extent cx="284607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4852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7132320" cy="485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U.S. BANK NATIONAL ASSOCIATION</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(Exact name of Trustee as specified in its charter)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31-0841368</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(I.R.S. Employer Identification No.)</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5640" w:type="dxa"/>
            <w:vAlign w:val="bottom"/>
            <w:tcBorders>
              <w:top w:val="single" w:sz="8" w:color="auto"/>
              <w:left w:val="single" w:sz="8" w:color="auto"/>
              <w:right w:val="single" w:sz="8" w:color="auto"/>
            </w:tcBorders>
          </w:tcPr>
          <w:p>
            <w:pPr>
              <w:jc w:val="center"/>
              <w:spacing w:after="0" w:line="227" w:lineRule="exact"/>
              <w:rPr>
                <w:sz w:val="20"/>
                <w:szCs w:val="20"/>
                <w:color w:val="auto"/>
              </w:rPr>
            </w:pPr>
            <w:r>
              <w:rPr>
                <w:rFonts w:ascii="Arial" w:cs="Arial" w:eastAsia="Arial" w:hAnsi="Arial"/>
                <w:sz w:val="20"/>
                <w:szCs w:val="20"/>
                <w:color w:val="auto"/>
                <w:w w:val="95"/>
              </w:rPr>
              <w:t>800 Nicollet Mall</w:t>
            </w:r>
          </w:p>
        </w:tc>
        <w:tc>
          <w:tcPr>
            <w:tcW w:w="5600" w:type="dxa"/>
            <w:vAlign w:val="bottom"/>
            <w:tcBorders>
              <w:top w:val="single" w:sz="8" w:color="auto"/>
              <w:right w:val="single" w:sz="8" w:color="auto"/>
            </w:tcBorders>
          </w:tcPr>
          <w:p>
            <w:pPr>
              <w:spacing w:after="0"/>
              <w:rPr>
                <w:sz w:val="19"/>
                <w:szCs w:val="19"/>
                <w:color w:val="auto"/>
              </w:rPr>
            </w:pPr>
          </w:p>
        </w:tc>
      </w:tr>
      <w:tr>
        <w:trPr>
          <w:trHeight w:val="246"/>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Minneapolis, Minnesota</w:t>
            </w:r>
          </w:p>
        </w:tc>
        <w:tc>
          <w:tcPr>
            <w:tcW w:w="5600" w:type="dxa"/>
            <w:vAlign w:val="bottom"/>
            <w:tcBorders>
              <w:bottom w:val="single" w:sz="8" w:color="auto"/>
              <w:right w:val="single" w:sz="8" w:color="auto"/>
            </w:tcBorders>
          </w:tcPr>
          <w:p>
            <w:pPr>
              <w:jc w:val="right"/>
              <w:ind w:right="2475"/>
              <w:spacing w:after="0"/>
              <w:rPr>
                <w:sz w:val="20"/>
                <w:szCs w:val="20"/>
                <w:color w:val="auto"/>
              </w:rPr>
            </w:pPr>
            <w:r>
              <w:rPr>
                <w:rFonts w:ascii="Arial" w:cs="Arial" w:eastAsia="Arial" w:hAnsi="Arial"/>
                <w:sz w:val="20"/>
                <w:szCs w:val="20"/>
                <w:color w:val="auto"/>
              </w:rPr>
              <w:t>55402</w:t>
            </w:r>
          </w:p>
        </w:tc>
      </w:tr>
      <w:tr>
        <w:trPr>
          <w:trHeight w:val="142"/>
        </w:trPr>
        <w:tc>
          <w:tcPr>
            <w:tcW w:w="564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(Address of principal executive offices)</w:t>
            </w:r>
          </w:p>
        </w:tc>
        <w:tc>
          <w:tcPr>
            <w:tcW w:w="56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(Zip Code)</w:t>
            </w:r>
          </w:p>
        </w:tc>
      </w:tr>
    </w:tbl>
    <w:p>
      <w:pPr>
        <w:spacing w:after="0" w:line="199" w:lineRule="exact"/>
        <w:rPr>
          <w:sz w:val="20"/>
          <w:szCs w:val="20"/>
          <w:color w:val="auto"/>
        </w:rPr>
      </w:pPr>
    </w:p>
    <w:p>
      <w:pPr>
        <w:sectPr>
          <w:pgSz w:w="11900" w:h="16850" w:orient="portrait"/>
          <w:cols w:equalWidth="0" w:num="1">
            <w:col w:w="11240"/>
          </w:cols>
          <w:pgMar w:left="320" w:top="121" w:right="339" w:bottom="0" w:gutter="0" w:footer="0" w:header="0"/>
        </w:sectPr>
      </w:pPr>
    </w:p>
    <w:p>
      <w:pPr>
        <w:jc w:val="center"/>
        <w:ind w:right="-19"/>
        <w:spacing w:after="0"/>
        <w:rPr>
          <w:sz w:val="20"/>
          <w:szCs w:val="20"/>
          <w:color w:val="auto"/>
        </w:rPr>
      </w:pPr>
      <w:r>
        <w:rPr>
          <w:rFonts w:ascii="Arial" w:cs="Arial" w:eastAsia="Arial" w:hAnsi="Arial"/>
          <w:sz w:val="20"/>
          <w:szCs w:val="20"/>
          <w:color w:val="auto"/>
        </w:rPr>
        <w:t>Michael K. Herberger</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13737 Noel Road</w:t>
      </w:r>
    </w:p>
    <w:p>
      <w:pPr>
        <w:sectPr>
          <w:pgSz w:w="11900" w:h="16850" w:orient="portrait"/>
          <w:cols w:equalWidth="0" w:num="1">
            <w:col w:w="11240"/>
          </w:cols>
          <w:pgMar w:left="320" w:top="121" w:right="339" w:bottom="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20"/>
          <w:szCs w:val="20"/>
          <w:color w:val="auto"/>
        </w:rPr>
        <w:t>Suite 800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Dallas, TX 75240</w:t>
      </w:r>
    </w:p>
    <w:p>
      <w:pPr>
        <w:jc w:val="center"/>
        <w:spacing w:after="0"/>
        <w:rPr>
          <w:sz w:val="20"/>
          <w:szCs w:val="20"/>
          <w:color w:val="auto"/>
        </w:rPr>
      </w:pPr>
      <w:r>
        <w:rPr>
          <w:rFonts w:ascii="Arial" w:cs="Arial" w:eastAsia="Arial" w:hAnsi="Arial"/>
          <w:sz w:val="20"/>
          <w:szCs w:val="20"/>
          <w:color w:val="auto"/>
        </w:rPr>
        <w:t>(972) 581-1612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(Name, address and telephone number of agent for service)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TechnipFMC plc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(Exact name of obligor as specified in its charter)</w:t>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640" w:type="dxa"/>
            <w:vAlign w:val="bottom"/>
            <w:tcBorders>
              <w:top w:val="single" w:sz="8" w:color="auto"/>
              <w:left w:val="single" w:sz="8" w:color="auto"/>
              <w:bottom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6"/>
              </w:rPr>
              <w:t>England and Wales</w:t>
            </w:r>
          </w:p>
        </w:tc>
        <w:tc>
          <w:tcPr>
            <w:tcW w:w="1340" w:type="dxa"/>
            <w:vAlign w:val="bottom"/>
            <w:tcBorders>
              <w:top w:val="single" w:sz="8" w:color="auto"/>
              <w:bottom w:val="single" w:sz="8" w:color="auto"/>
            </w:tcBorders>
          </w:tcPr>
          <w:p>
            <w:pPr>
              <w:spacing w:after="0"/>
              <w:rPr>
                <w:sz w:val="21"/>
                <w:szCs w:val="21"/>
                <w:color w:val="auto"/>
              </w:rPr>
            </w:pPr>
          </w:p>
        </w:tc>
        <w:tc>
          <w:tcPr>
            <w:tcW w:w="4260" w:type="dxa"/>
            <w:vAlign w:val="bottom"/>
            <w:tcBorders>
              <w:top w:val="single" w:sz="8" w:color="auto"/>
              <w:bottom w:val="single" w:sz="8" w:color="auto"/>
              <w:right w:val="single" w:sz="8" w:color="auto"/>
            </w:tcBorders>
          </w:tcPr>
          <w:p>
            <w:pPr>
              <w:jc w:val="right"/>
              <w:ind w:right="2181"/>
              <w:spacing w:after="0" w:line="243" w:lineRule="exact"/>
              <w:rPr>
                <w:sz w:val="20"/>
                <w:szCs w:val="20"/>
                <w:color w:val="auto"/>
              </w:rPr>
            </w:pPr>
            <w:r>
              <w:rPr>
                <w:rFonts w:ascii="Arial" w:cs="Arial" w:eastAsia="Arial" w:hAnsi="Arial"/>
                <w:sz w:val="22"/>
                <w:szCs w:val="22"/>
                <w:color w:val="auto"/>
              </w:rPr>
              <w:t>98-1283037</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340" w:type="dxa"/>
            <w:vAlign w:val="bottom"/>
            <w:tcBorders>
              <w:bottom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jc w:val="center"/>
              <w:ind w:right="1261"/>
              <w:spacing w:after="0"/>
              <w:rPr>
                <w:sz w:val="20"/>
                <w:szCs w:val="20"/>
                <w:color w:val="auto"/>
              </w:rPr>
            </w:pPr>
            <w:r>
              <w:rPr>
                <w:rFonts w:ascii="Arial" w:cs="Arial" w:eastAsia="Arial" w:hAnsi="Arial"/>
                <w:sz w:val="18"/>
                <w:szCs w:val="18"/>
                <w:color w:val="auto"/>
                <w:w w:val="94"/>
              </w:rPr>
              <w:t>(I.R.S. Employer Identification No.)</w:t>
            </w:r>
          </w:p>
        </w:tc>
      </w:tr>
      <w:tr>
        <w:trPr>
          <w:trHeight w:val="210"/>
        </w:trPr>
        <w:tc>
          <w:tcPr>
            <w:tcW w:w="6980" w:type="dxa"/>
            <w:vAlign w:val="bottom"/>
            <w:tcBorders>
              <w:bottom w:val="single" w:sz="8" w:color="auto"/>
            </w:tcBorders>
            <w:gridSpan w:val="2"/>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r>
      <w:tr>
        <w:trPr>
          <w:trHeight w:val="215"/>
        </w:trPr>
        <w:tc>
          <w:tcPr>
            <w:tcW w:w="564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One St. Paul’s Churchyard</w:t>
            </w:r>
          </w:p>
        </w:tc>
        <w:tc>
          <w:tcPr>
            <w:tcW w:w="1340" w:type="dxa"/>
            <w:vAlign w:val="bottom"/>
          </w:tcPr>
          <w:p>
            <w:pPr>
              <w:spacing w:after="0"/>
              <w:rPr>
                <w:sz w:val="18"/>
                <w:szCs w:val="18"/>
                <w:color w:val="auto"/>
              </w:rPr>
            </w:pPr>
          </w:p>
        </w:tc>
        <w:tc>
          <w:tcPr>
            <w:tcW w:w="4260" w:type="dxa"/>
            <w:vAlign w:val="bottom"/>
            <w:tcBorders>
              <w:right w:val="single" w:sz="8" w:color="auto"/>
            </w:tcBorders>
          </w:tcPr>
          <w:p>
            <w:pPr>
              <w:spacing w:after="0"/>
              <w:rPr>
                <w:sz w:val="18"/>
                <w:szCs w:val="18"/>
                <w:color w:val="auto"/>
              </w:rPr>
            </w:pPr>
          </w:p>
        </w:tc>
      </w:tr>
      <w:tr>
        <w:trPr>
          <w:trHeight w:val="264"/>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London, United Kingdom</w:t>
            </w:r>
          </w:p>
        </w:tc>
        <w:tc>
          <w:tcPr>
            <w:tcW w:w="1340" w:type="dxa"/>
            <w:vAlign w:val="bottom"/>
            <w:tcBorders>
              <w:bottom w:val="single" w:sz="8" w:color="auto"/>
            </w:tcBorders>
          </w:tcPr>
          <w:p>
            <w:pPr>
              <w:spacing w:after="0"/>
              <w:rPr>
                <w:sz w:val="22"/>
                <w:szCs w:val="22"/>
                <w:color w:val="auto"/>
              </w:rPr>
            </w:pPr>
          </w:p>
        </w:tc>
        <w:tc>
          <w:tcPr>
            <w:tcW w:w="4260" w:type="dxa"/>
            <w:vAlign w:val="bottom"/>
            <w:tcBorders>
              <w:bottom w:val="single" w:sz="8" w:color="auto"/>
              <w:right w:val="single" w:sz="8" w:color="auto"/>
            </w:tcBorders>
          </w:tcPr>
          <w:p>
            <w:pPr>
              <w:jc w:val="center"/>
              <w:ind w:right="1261"/>
              <w:spacing w:after="0"/>
              <w:rPr>
                <w:sz w:val="20"/>
                <w:szCs w:val="20"/>
                <w:color w:val="auto"/>
              </w:rPr>
            </w:pPr>
            <w:r>
              <w:rPr>
                <w:rFonts w:ascii="Arial" w:cs="Arial" w:eastAsia="Arial" w:hAnsi="Arial"/>
                <w:sz w:val="22"/>
                <w:szCs w:val="22"/>
                <w:color w:val="auto"/>
                <w:w w:val="93"/>
              </w:rPr>
              <w:t>EC4M 8AP</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340" w:type="dxa"/>
            <w:vAlign w:val="bottom"/>
            <w:tcBorders>
              <w:bottom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jc w:val="center"/>
              <w:ind w:right="1261"/>
              <w:spacing w:after="0"/>
              <w:rPr>
                <w:sz w:val="20"/>
                <w:szCs w:val="20"/>
                <w:color w:val="auto"/>
              </w:rPr>
            </w:pPr>
            <w:r>
              <w:rPr>
                <w:rFonts w:ascii="Arial" w:cs="Arial" w:eastAsia="Arial" w:hAnsi="Arial"/>
                <w:sz w:val="18"/>
                <w:szCs w:val="18"/>
                <w:color w:val="auto"/>
                <w:w w:val="91"/>
              </w:rPr>
              <w:t>(Zip Code)</w:t>
            </w:r>
          </w:p>
        </w:tc>
      </w:tr>
      <w:tr>
        <w:trPr>
          <w:trHeight w:val="439"/>
        </w:trPr>
        <w:tc>
          <w:tcPr>
            <w:tcW w:w="6980" w:type="dxa"/>
            <w:vAlign w:val="bottom"/>
            <w:gridSpan w:val="2"/>
          </w:tcPr>
          <w:p>
            <w:pPr>
              <w:ind w:left="4900"/>
              <w:spacing w:after="0"/>
              <w:rPr>
                <w:sz w:val="20"/>
                <w:szCs w:val="20"/>
                <w:color w:val="auto"/>
              </w:rPr>
            </w:pPr>
            <w:r>
              <w:rPr>
                <w:rFonts w:ascii="Arial" w:cs="Arial" w:eastAsia="Arial" w:hAnsi="Arial"/>
                <w:sz w:val="22"/>
                <w:szCs w:val="22"/>
                <w:b w:val="1"/>
                <w:bCs w:val="1"/>
                <w:color w:val="auto"/>
              </w:rPr>
              <w:t>Debt Securities</w:t>
            </w:r>
          </w:p>
        </w:tc>
        <w:tc>
          <w:tcPr>
            <w:tcW w:w="4260" w:type="dxa"/>
            <w:vAlign w:val="bottom"/>
          </w:tcPr>
          <w:p>
            <w:pPr>
              <w:spacing w:after="0"/>
              <w:rPr>
                <w:sz w:val="24"/>
                <w:szCs w:val="24"/>
                <w:color w:val="auto"/>
              </w:rPr>
            </w:pPr>
          </w:p>
        </w:tc>
      </w:tr>
      <w:tr>
        <w:trPr>
          <w:trHeight w:val="210"/>
        </w:trPr>
        <w:tc>
          <w:tcPr>
            <w:tcW w:w="6980" w:type="dxa"/>
            <w:vAlign w:val="bottom"/>
            <w:gridSpan w:val="2"/>
          </w:tcPr>
          <w:p>
            <w:pPr>
              <w:ind w:left="4520"/>
              <w:spacing w:after="0"/>
              <w:rPr>
                <w:sz w:val="20"/>
                <w:szCs w:val="20"/>
                <w:color w:val="auto"/>
              </w:rPr>
            </w:pPr>
            <w:r>
              <w:rPr>
                <w:rFonts w:ascii="Arial" w:cs="Arial" w:eastAsia="Arial" w:hAnsi="Arial"/>
                <w:sz w:val="16"/>
                <w:szCs w:val="16"/>
                <w:b w:val="1"/>
                <w:bCs w:val="1"/>
                <w:color w:val="auto"/>
                <w:w w:val="97"/>
              </w:rPr>
              <w:t>(Title of the Indenture Securities)</w:t>
            </w:r>
          </w:p>
        </w:tc>
        <w:tc>
          <w:tcPr>
            <w:tcW w:w="4260" w:type="dxa"/>
            <w:vAlign w:val="bottom"/>
          </w:tcPr>
          <w:p>
            <w:pPr>
              <w:spacing w:after="0"/>
              <w:rPr>
                <w:sz w:val="18"/>
                <w:szCs w:val="18"/>
                <w:color w:val="auto"/>
              </w:rPr>
            </w:pPr>
          </w:p>
        </w:tc>
      </w:tr>
      <w:tr>
        <w:trPr>
          <w:trHeight w:val="701"/>
        </w:trPr>
        <w:tc>
          <w:tcPr>
            <w:tcW w:w="56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u w:val="single" w:color="auto"/>
          <w:color w:val="auto"/>
        </w:rPr>
        <w:t>FORM T-1</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229" w:lineRule="exact"/>
        <w:rPr>
          <w:sz w:val="20"/>
          <w:szCs w:val="20"/>
          <w:color w:val="auto"/>
        </w:rPr>
      </w:pPr>
    </w:p>
    <w:p>
      <w:pPr>
        <w:ind w:left="1960" w:right="3760" w:hanging="980"/>
        <w:spacing w:after="0" w:line="258" w:lineRule="auto"/>
        <w:tabs>
          <w:tab w:leader="none" w:pos="1433"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Name and address of each examining or supervising authority to which it is subject. </w:t>
      </w:r>
      <w:r>
        <w:rPr>
          <w:rFonts w:ascii="Arial" w:cs="Arial" w:eastAsia="Arial" w:hAnsi="Arial"/>
          <w:sz w:val="18"/>
          <w:szCs w:val="18"/>
          <w:color w:val="auto"/>
        </w:rPr>
        <w:t>Comptroller of the Currency</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Washington, D.C.</w:t>
      </w:r>
    </w:p>
    <w:p>
      <w:pPr>
        <w:spacing w:after="0" w:line="210" w:lineRule="exact"/>
        <w:rPr>
          <w:rFonts w:ascii="Arial" w:cs="Arial" w:eastAsia="Arial" w:hAnsi="Arial"/>
          <w:sz w:val="18"/>
          <w:szCs w:val="18"/>
          <w:color w:val="auto"/>
        </w:rPr>
      </w:pPr>
    </w:p>
    <w:p>
      <w:pPr>
        <w:ind w:left="1420" w:hanging="440"/>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Whether it is authorized to exercise corporate trust powers.</w:t>
      </w:r>
    </w:p>
    <w:p>
      <w:pPr>
        <w:spacing w:after="0" w:line="200" w:lineRule="exact"/>
        <w:rPr>
          <w:sz w:val="20"/>
          <w:szCs w:val="20"/>
          <w:color w:val="auto"/>
        </w:rPr>
      </w:pPr>
    </w:p>
    <w:p>
      <w:pPr>
        <w:spacing w:after="0" w:line="237" w:lineRule="exact"/>
        <w:rPr>
          <w:sz w:val="20"/>
          <w:szCs w:val="20"/>
          <w:color w:val="auto"/>
        </w:rPr>
      </w:pPr>
    </w:p>
    <w:p>
      <w:pPr>
        <w:ind w:left="980" w:right="2200" w:hanging="1340"/>
        <w:spacing w:after="0" w:line="282"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 xml:space="preserve">AFFILIATIONS WITH OBLIGOR. </w:t>
      </w:r>
      <w:r>
        <w:rPr>
          <w:rFonts w:ascii="Arial" w:cs="Arial" w:eastAsia="Arial" w:hAnsi="Arial"/>
          <w:sz w:val="18"/>
          <w:szCs w:val="18"/>
          <w:i w:val="1"/>
          <w:iCs w:val="1"/>
          <w:color w:val="auto"/>
        </w:rPr>
        <w:t>If the obligor is an affiliate of the Trustee, describe each such affiliation.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62" w:lineRule="exact"/>
        <w:rPr>
          <w:sz w:val="20"/>
          <w:szCs w:val="20"/>
          <w:color w:val="auto"/>
        </w:rPr>
      </w:pPr>
    </w:p>
    <w:p>
      <w:pPr>
        <w:ind w:left="1300" w:hanging="1295"/>
        <w:spacing w:after="0" w:line="277" w:lineRule="auto"/>
        <w:tabs>
          <w:tab w:leader="none" w:pos="128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229" w:lineRule="exact"/>
        <w:rPr>
          <w:sz w:val="20"/>
          <w:szCs w:val="20"/>
          <w:color w:val="auto"/>
        </w:rPr>
      </w:pPr>
    </w:p>
    <w:p>
      <w:pPr>
        <w:ind w:left="1420" w:hanging="440"/>
        <w:spacing w:after="0"/>
        <w:tabs>
          <w:tab w:leader="none" w:pos="14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225" w:lineRule="exact"/>
        <w:rPr>
          <w:rFonts w:ascii="Arial" w:cs="Arial" w:eastAsia="Arial" w:hAnsi="Arial"/>
          <w:sz w:val="18"/>
          <w:szCs w:val="18"/>
          <w:color w:val="auto"/>
        </w:rPr>
      </w:pPr>
    </w:p>
    <w:p>
      <w:pPr>
        <w:ind w:left="1420" w:hanging="440"/>
        <w:spacing w:after="0"/>
        <w:tabs>
          <w:tab w:leader="none" w:pos="14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225" w:lineRule="exact"/>
        <w:rPr>
          <w:rFonts w:ascii="Arial" w:cs="Arial" w:eastAsia="Arial" w:hAnsi="Arial"/>
          <w:sz w:val="18"/>
          <w:szCs w:val="18"/>
          <w:color w:val="auto"/>
        </w:rPr>
      </w:pPr>
    </w:p>
    <w:p>
      <w:pPr>
        <w:ind w:left="1420" w:hanging="440"/>
        <w:spacing w:after="0"/>
        <w:tabs>
          <w:tab w:leader="none" w:pos="14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225" w:lineRule="exact"/>
        <w:rPr>
          <w:rFonts w:ascii="Arial" w:cs="Arial" w:eastAsia="Arial" w:hAnsi="Arial"/>
          <w:sz w:val="18"/>
          <w:szCs w:val="18"/>
          <w:color w:val="auto"/>
        </w:rPr>
      </w:pPr>
    </w:p>
    <w:p>
      <w:pPr>
        <w:ind w:left="1420" w:hanging="440"/>
        <w:spacing w:after="0"/>
        <w:tabs>
          <w:tab w:leader="none" w:pos="14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225" w:lineRule="exact"/>
        <w:rPr>
          <w:rFonts w:ascii="Arial" w:cs="Arial" w:eastAsia="Arial" w:hAnsi="Arial"/>
          <w:sz w:val="18"/>
          <w:szCs w:val="18"/>
          <w:color w:val="auto"/>
        </w:rPr>
      </w:pPr>
    </w:p>
    <w:p>
      <w:pPr>
        <w:ind w:left="1420" w:hanging="440"/>
        <w:spacing w:after="0"/>
        <w:tabs>
          <w:tab w:leader="none" w:pos="14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225" w:lineRule="exact"/>
        <w:rPr>
          <w:rFonts w:ascii="Arial" w:cs="Arial" w:eastAsia="Arial" w:hAnsi="Arial"/>
          <w:sz w:val="18"/>
          <w:szCs w:val="18"/>
          <w:color w:val="auto"/>
        </w:rPr>
      </w:pPr>
    </w:p>
    <w:p>
      <w:pPr>
        <w:ind w:left="1420" w:hanging="440"/>
        <w:spacing w:after="0"/>
        <w:tabs>
          <w:tab w:leader="none" w:pos="14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225" w:lineRule="exact"/>
        <w:rPr>
          <w:rFonts w:ascii="Arial" w:cs="Arial" w:eastAsia="Arial" w:hAnsi="Arial"/>
          <w:sz w:val="18"/>
          <w:szCs w:val="18"/>
          <w:color w:val="auto"/>
        </w:rPr>
      </w:pPr>
    </w:p>
    <w:p>
      <w:pPr>
        <w:ind w:left="1420" w:right="120" w:hanging="440"/>
        <w:spacing w:after="0" w:line="277" w:lineRule="auto"/>
        <w:tabs>
          <w:tab w:leader="none" w:pos="14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Report of Condition of the Trustee as of March 31, 2020 published pursuant to law or the requirements of its supervising or examining authority, attached as Exhibit 7.</w:t>
      </w:r>
    </w:p>
    <w:p>
      <w:pPr>
        <w:spacing w:after="0" w:line="170" w:lineRule="exact"/>
        <w:rPr>
          <w:rFonts w:ascii="Arial" w:cs="Arial" w:eastAsia="Arial" w:hAnsi="Arial"/>
          <w:sz w:val="18"/>
          <w:szCs w:val="18"/>
          <w:color w:val="auto"/>
        </w:rPr>
      </w:pPr>
    </w:p>
    <w:p>
      <w:pPr>
        <w:ind w:left="500" w:right="220"/>
        <w:spacing w:after="0" w:line="277" w:lineRule="auto"/>
        <w:rPr>
          <w:rFonts w:ascii="Arial" w:cs="Arial" w:eastAsia="Arial" w:hAnsi="Arial"/>
          <w:sz w:val="18"/>
          <w:szCs w:val="18"/>
          <w:color w:val="auto"/>
        </w:rPr>
      </w:pPr>
      <w:r>
        <w:rPr>
          <w:rFonts w:ascii="Arial" w:cs="Arial" w:eastAsia="Arial" w:hAnsi="Arial"/>
          <w:sz w:val="18"/>
          <w:szCs w:val="18"/>
          <w:color w:val="auto"/>
        </w:rPr>
        <w:t>* Incorporated by reference to Exhibit 25.1 to Amendment No. 2 to registration statement on Form S-4, Registration Number 333-128217 filed on November 15, 2005.</w:t>
      </w:r>
    </w:p>
    <w:p>
      <w:pPr>
        <w:spacing w:after="0" w:line="170" w:lineRule="exact"/>
        <w:rPr>
          <w:rFonts w:ascii="Arial" w:cs="Arial" w:eastAsia="Arial" w:hAnsi="Arial"/>
          <w:sz w:val="18"/>
          <w:szCs w:val="18"/>
          <w:color w:val="auto"/>
        </w:rPr>
      </w:pPr>
    </w:p>
    <w:p>
      <w:pPr>
        <w:ind w:left="500" w:right="360" w:hanging="6"/>
        <w:spacing w:after="0" w:line="277" w:lineRule="auto"/>
        <w:tabs>
          <w:tab w:leader="none" w:pos="72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Exhibit 25.1 to registration statement on Form S-3ASR, Registration Number 333-199863 filed on November 5, 2014.</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310"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Dallas, State of Texas on the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day of August, 2020.</w:t>
      </w:r>
    </w:p>
    <w:p>
      <w:pPr>
        <w:spacing w:after="0" w:line="3"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Michael K. Herberger</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Michael K. Herberger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25628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2683510</wp:posOffset>
            </wp:positionV>
            <wp:extent cx="7132320" cy="8572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CERTIFICATE OF CORPORATE EXISTENCE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Otting, Comptroller of the Currency, do hereby certify that:</w:t>
      </w:r>
    </w:p>
    <w:p>
      <w:pPr>
        <w:spacing w:after="0" w:line="225" w:lineRule="exact"/>
        <w:rPr>
          <w:sz w:val="20"/>
          <w:szCs w:val="20"/>
          <w:color w:val="auto"/>
        </w:rPr>
      </w:pPr>
    </w:p>
    <w:p>
      <w:pPr>
        <w:ind w:firstLine="8"/>
        <w:spacing w:after="0" w:line="277" w:lineRule="auto"/>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70" w:lineRule="exact"/>
        <w:rPr>
          <w:rFonts w:ascii="Arial" w:cs="Arial" w:eastAsia="Arial" w:hAnsi="Arial"/>
          <w:sz w:val="18"/>
          <w:szCs w:val="18"/>
          <w:color w:val="auto"/>
        </w:rPr>
      </w:pPr>
    </w:p>
    <w:p>
      <w:pPr>
        <w:ind w:right="60" w:firstLine="8"/>
        <w:spacing w:after="0" w:line="277" w:lineRule="auto"/>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is a national banking association formed under the laws of the United States and is authorized thereunder to transact the business of banking on the date of this certificate.</w:t>
      </w:r>
    </w:p>
    <w:p>
      <w:pPr>
        <w:spacing w:after="0" w:line="197"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IN TESTIMONY WHEREOF, today,</w:t>
      </w:r>
    </w:p>
    <w:p>
      <w:pPr>
        <w:spacing w:after="0" w:line="225"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February 24, 2020, I have hereunto</w:t>
      </w:r>
    </w:p>
    <w:p>
      <w:pPr>
        <w:spacing w:after="0" w:line="225"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subscribed my name and caused my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-121920</wp:posOffset>
            </wp:positionV>
            <wp:extent cx="1285875" cy="13201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1285875" cy="1320165"/>
                    </a:xfrm>
                    <a:prstGeom prst="rect">
                      <a:avLst/>
                    </a:prstGeom>
                    <a:noFill/>
                  </pic:spPr>
                </pic:pic>
              </a:graphicData>
            </a:graphic>
          </wp:anchor>
        </w:drawing>
      </w:r>
    </w:p>
    <w:p>
      <w:pPr>
        <w:spacing w:after="0" w:line="205"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of office to be affixed to these presents at</w:t>
      </w:r>
    </w:p>
    <w:p>
      <w:pPr>
        <w:spacing w:after="0" w:line="225"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the U.S. Department of the Treasury, in</w:t>
      </w:r>
    </w:p>
    <w:p>
      <w:pPr>
        <w:spacing w:after="0" w:line="225"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the City of Washington, District of</w:t>
      </w:r>
    </w:p>
    <w:p>
      <w:pPr>
        <w:spacing w:after="0" w:line="225"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Columbia</w:t>
      </w:r>
    </w:p>
    <w:p>
      <w:pPr>
        <w:sectPr>
          <w:pgSz w:w="11900" w:h="16838" w:orient="portrait"/>
          <w:cols w:equalWidth="0" w:num="1">
            <w:col w:w="11200"/>
          </w:cols>
          <w:pgMar w:left="320" w:top="337" w:right="379" w:bottom="983"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5205730</wp:posOffset>
            </wp:positionH>
            <wp:positionV relativeFrom="page">
              <wp:posOffset>835025</wp:posOffset>
            </wp:positionV>
            <wp:extent cx="2134235" cy="1183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2134235"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-130175</wp:posOffset>
            </wp:positionV>
            <wp:extent cx="21342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u w:val="single" w:color="auto"/>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2837815</wp:posOffset>
            </wp:positionV>
            <wp:extent cx="7132320" cy="8229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CERTIFICATE OF FIDUCIARY POWERS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Otting, Comptroller of the Currency, do hereby certify that:</w:t>
      </w:r>
    </w:p>
    <w:p>
      <w:pPr>
        <w:spacing w:after="0" w:line="225" w:lineRule="exact"/>
        <w:rPr>
          <w:sz w:val="20"/>
          <w:szCs w:val="20"/>
          <w:color w:val="auto"/>
        </w:rPr>
      </w:pPr>
    </w:p>
    <w:p>
      <w:pPr>
        <w:ind w:firstLine="8"/>
        <w:spacing w:after="0" w:line="308" w:lineRule="auto"/>
        <w:tabs>
          <w:tab w:leader="none" w:pos="27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Office of 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46" w:lineRule="exact"/>
        <w:rPr>
          <w:rFonts w:ascii="Arial" w:cs="Arial" w:eastAsia="Arial" w:hAnsi="Arial"/>
          <w:sz w:val="17"/>
          <w:szCs w:val="17"/>
          <w:color w:val="auto"/>
        </w:rPr>
      </w:pPr>
    </w:p>
    <w:p>
      <w:pPr>
        <w:ind w:right="60" w:firstLine="8"/>
        <w:spacing w:after="0" w:line="263" w:lineRule="auto"/>
        <w:tabs>
          <w:tab w:leader="none" w:pos="2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was granted, under the hand and seal of the Comptroller, the right to act in all fiduciary capacities authorized under the provisions of the Act of Congress approved September 28, 1962, 76 Stat. 668, 12 USC 92a, and that the authority so granted remains in full force and effect on the date of the certificate.</w:t>
      </w:r>
    </w:p>
    <w:p>
      <w:pPr>
        <w:spacing w:after="0" w:line="211"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IN TESTIMONY WHEREOF, today,</w:t>
      </w:r>
    </w:p>
    <w:p>
      <w:pPr>
        <w:spacing w:after="0" w:line="158"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December 10, 2019, I have hereunto</w:t>
      </w:r>
    </w:p>
    <w:p>
      <w:pPr>
        <w:spacing w:after="0" w:line="185" w:lineRule="exact"/>
        <w:rPr>
          <w:sz w:val="20"/>
          <w:szCs w:val="20"/>
          <w:color w:val="auto"/>
        </w:rPr>
      </w:pPr>
    </w:p>
    <w:p>
      <w:pPr>
        <w:ind w:left="7880"/>
        <w:spacing w:after="0"/>
        <w:rPr>
          <w:sz w:val="20"/>
          <w:szCs w:val="20"/>
          <w:color w:val="auto"/>
        </w:rPr>
      </w:pPr>
      <w:r>
        <w:rPr>
          <w:rFonts w:ascii="Arial" w:cs="Arial" w:eastAsia="Arial" w:hAnsi="Arial"/>
          <w:sz w:val="17"/>
          <w:szCs w:val="17"/>
          <w:color w:val="auto"/>
        </w:rPr>
        <w:t>subscribed my name and caused my seal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-45720</wp:posOffset>
            </wp:positionV>
            <wp:extent cx="1285875" cy="13455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1285875" cy="1345565"/>
                    </a:xfrm>
                    <a:prstGeom prst="rect">
                      <a:avLst/>
                    </a:prstGeom>
                    <a:noFill/>
                  </pic:spPr>
                </pic:pic>
              </a:graphicData>
            </a:graphic>
          </wp:anchor>
        </w:drawing>
      </w:r>
    </w:p>
    <w:p>
      <w:pPr>
        <w:spacing w:after="0" w:line="217"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office to be affixed to these presents at</w:t>
      </w:r>
    </w:p>
    <w:p>
      <w:pPr>
        <w:spacing w:after="0" w:line="225" w:lineRule="exact"/>
        <w:rPr>
          <w:sz w:val="20"/>
          <w:szCs w:val="20"/>
          <w:color w:val="auto"/>
        </w:rPr>
      </w:pPr>
    </w:p>
    <w:p>
      <w:pPr>
        <w:ind w:left="7880"/>
        <w:spacing w:after="0"/>
        <w:rPr>
          <w:sz w:val="20"/>
          <w:szCs w:val="20"/>
          <w:color w:val="auto"/>
        </w:rPr>
      </w:pPr>
      <w:r>
        <w:rPr>
          <w:rFonts w:ascii="Arial" w:cs="Arial" w:eastAsia="Arial" w:hAnsi="Arial"/>
          <w:sz w:val="17"/>
          <w:szCs w:val="17"/>
          <w:color w:val="auto"/>
        </w:rPr>
        <w:t>the U.S. Department of the Treasury, in the</w:t>
      </w:r>
    </w:p>
    <w:p>
      <w:pPr>
        <w:spacing w:after="0" w:line="35"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City</w:t>
      </w:r>
    </w:p>
    <w:p>
      <w:pPr>
        <w:spacing w:after="0" w:line="211"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of Washington, District of Columbia.</w:t>
      </w:r>
    </w:p>
    <w:p>
      <w:pPr>
        <w:sectPr>
          <w:pgSz w:w="11900" w:h="16838" w:orient="portrait"/>
          <w:cols w:equalWidth="0" w:num="1">
            <w:col w:w="11220"/>
          </w:cols>
          <w:pgMar w:left="320" w:top="553" w:right="359" w:bottom="659"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5205730</wp:posOffset>
            </wp:positionH>
            <wp:positionV relativeFrom="page">
              <wp:posOffset>629285</wp:posOffset>
            </wp:positionV>
            <wp:extent cx="2134235" cy="1183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2134235"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-130175</wp:posOffset>
            </wp:positionV>
            <wp:extent cx="21342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u w:val="single" w:color="auto"/>
          <w:color w:val="auto"/>
        </w:rPr>
        <w:t>Exhibit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August 3, 2020</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Michael K. Herberger</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Michael K. Herberger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25628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7</w:t>
            </w:r>
          </w:p>
        </w:tc>
        <w:tc>
          <w:tcPr>
            <w:tcW w:w="394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180" w:type="dxa"/>
            <w:vAlign w:val="bottom"/>
          </w:tcPr>
          <w:p>
            <w:pPr>
              <w:spacing w:after="0"/>
              <w:rPr>
                <w:sz w:val="18"/>
                <w:szCs w:val="18"/>
                <w:color w:val="auto"/>
              </w:rPr>
            </w:pPr>
          </w:p>
        </w:tc>
        <w:tc>
          <w:tcPr>
            <w:tcW w:w="5740" w:type="dxa"/>
            <w:vAlign w:val="bottom"/>
            <w:gridSpan w:val="4"/>
          </w:tcPr>
          <w:p>
            <w:pPr>
              <w:jc w:val="center"/>
              <w:ind w:right="2770"/>
              <w:spacing w:after="0"/>
              <w:rPr>
                <w:sz w:val="20"/>
                <w:szCs w:val="20"/>
                <w:color w:val="auto"/>
              </w:rPr>
            </w:pPr>
            <w:r>
              <w:rPr>
                <w:rFonts w:ascii="Arial" w:cs="Arial" w:eastAsia="Arial" w:hAnsi="Arial"/>
                <w:sz w:val="18"/>
                <w:szCs w:val="18"/>
                <w:b w:val="1"/>
                <w:bCs w:val="1"/>
                <w:color w:val="auto"/>
                <w:w w:val="89"/>
              </w:rPr>
              <w:t>U.S. Bank National Association</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5740" w:type="dxa"/>
            <w:vAlign w:val="bottom"/>
            <w:gridSpan w:val="4"/>
          </w:tcPr>
          <w:p>
            <w:pPr>
              <w:jc w:val="center"/>
              <w:ind w:right="2770"/>
              <w:spacing w:after="0"/>
              <w:rPr>
                <w:sz w:val="20"/>
                <w:szCs w:val="20"/>
                <w:color w:val="auto"/>
              </w:rPr>
            </w:pPr>
            <w:r>
              <w:rPr>
                <w:rFonts w:ascii="Arial" w:cs="Arial" w:eastAsia="Arial" w:hAnsi="Arial"/>
                <w:sz w:val="18"/>
                <w:szCs w:val="18"/>
                <w:b w:val="1"/>
                <w:bCs w:val="1"/>
                <w:color w:val="auto"/>
                <w:w w:val="91"/>
              </w:rPr>
              <w:t>Statement of Financial Condition</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p>
        </w:tc>
        <w:tc>
          <w:tcPr>
            <w:tcW w:w="5740" w:type="dxa"/>
            <w:vAlign w:val="bottom"/>
            <w:gridSpan w:val="4"/>
          </w:tcPr>
          <w:p>
            <w:pPr>
              <w:jc w:val="center"/>
              <w:ind w:right="2770"/>
              <w:spacing w:after="0"/>
              <w:rPr>
                <w:sz w:val="20"/>
                <w:szCs w:val="20"/>
                <w:color w:val="auto"/>
              </w:rPr>
            </w:pPr>
            <w:r>
              <w:rPr>
                <w:rFonts w:ascii="Arial" w:cs="Arial" w:eastAsia="Arial" w:hAnsi="Arial"/>
                <w:sz w:val="18"/>
                <w:szCs w:val="18"/>
                <w:b w:val="1"/>
                <w:bCs w:val="1"/>
                <w:color w:val="auto"/>
                <w:w w:val="89"/>
              </w:rPr>
              <w:t>As of 3/31/2020</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40" w:type="dxa"/>
            <w:vAlign w:val="bottom"/>
            <w:gridSpan w:val="3"/>
          </w:tcPr>
          <w:p>
            <w:pPr>
              <w:jc w:val="center"/>
              <w:ind w:right="3870"/>
              <w:spacing w:after="0"/>
              <w:rPr>
                <w:sz w:val="20"/>
                <w:szCs w:val="20"/>
                <w:color w:val="auto"/>
              </w:rPr>
            </w:pPr>
            <w:r>
              <w:rPr>
                <w:rFonts w:ascii="Arial" w:cs="Arial" w:eastAsia="Arial" w:hAnsi="Arial"/>
                <w:sz w:val="18"/>
                <w:szCs w:val="18"/>
                <w:b w:val="1"/>
                <w:bCs w:val="1"/>
                <w:color w:val="auto"/>
                <w:w w:val="89"/>
              </w:rPr>
              <w:t>($000’s)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3/31/2020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18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Cash and Balances Due From Depository Institutions</w:t>
            </w:r>
          </w:p>
        </w:tc>
        <w:tc>
          <w:tcPr>
            <w:tcW w:w="574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46,699,020</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122,149,987</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Funds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Loans &amp; Lease Financing Receivables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316,711,655</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Assets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9,075,777</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12,477,802</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26,012,043</w:t>
            </w:r>
          </w:p>
        </w:tc>
        <w:tc>
          <w:tcPr>
            <w:tcW w:w="0" w:type="dxa"/>
            <w:vAlign w:val="bottom"/>
          </w:tcPr>
          <w:p>
            <w:pPr>
              <w:spacing w:after="0"/>
              <w:rPr>
                <w:sz w:val="1"/>
                <w:szCs w:val="1"/>
                <w:color w:val="auto"/>
              </w:rPr>
            </w:pPr>
          </w:p>
        </w:tc>
      </w:tr>
      <w:tr>
        <w:trPr>
          <w:trHeight w:val="210"/>
        </w:trPr>
        <w:tc>
          <w:tcPr>
            <w:tcW w:w="4180" w:type="dxa"/>
            <w:vAlign w:val="bottom"/>
          </w:tcPr>
          <w:p>
            <w:pPr>
              <w:ind w:left="180"/>
              <w:spacing w:after="0"/>
              <w:rPr>
                <w:sz w:val="20"/>
                <w:szCs w:val="20"/>
                <w:color w:val="auto"/>
              </w:rPr>
            </w:pPr>
            <w:r>
              <w:rPr>
                <w:rFonts w:ascii="Arial" w:cs="Arial" w:eastAsia="Arial" w:hAnsi="Arial"/>
                <w:sz w:val="18"/>
                <w:szCs w:val="18"/>
                <w:b w:val="1"/>
                <w:bCs w:val="1"/>
                <w:color w:val="auto"/>
              </w:rPr>
              <w:t>Total Assets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533,129,091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574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405,823,094</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Fed Funds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1,428,527</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Demand Notes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Trading Liabilities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1,392,214</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Borrowed Money</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55,078,404</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Acceptances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Notes and Debentures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3,850,000</w:t>
            </w: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14,338,298</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481,910,537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Common and Preferred Stock</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18,200</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Surplus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14,266,915</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Undivided Profits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36,132,907</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Minority Interest in Subsidiaries</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800,532</w:t>
            </w:r>
          </w:p>
        </w:tc>
        <w:tc>
          <w:tcPr>
            <w:tcW w:w="0" w:type="dxa"/>
            <w:vAlign w:val="bottom"/>
          </w:tcPr>
          <w:p>
            <w:pPr>
              <w:spacing w:after="0"/>
              <w:rPr>
                <w:sz w:val="1"/>
                <w:szCs w:val="1"/>
                <w:color w:val="auto"/>
              </w:rPr>
            </w:pPr>
          </w:p>
        </w:tc>
      </w:tr>
      <w:tr>
        <w:trPr>
          <w:trHeight w:val="209"/>
        </w:trPr>
        <w:tc>
          <w:tcPr>
            <w:tcW w:w="4180" w:type="dxa"/>
            <w:vAlign w:val="bottom"/>
          </w:tcPr>
          <w:p>
            <w:pPr>
              <w:ind w:left="360"/>
              <w:spacing w:after="0"/>
              <w:rPr>
                <w:sz w:val="20"/>
                <w:szCs w:val="20"/>
                <w:color w:val="auto"/>
              </w:rPr>
            </w:pPr>
            <w:r>
              <w:rPr>
                <w:rFonts w:ascii="Arial" w:cs="Arial" w:eastAsia="Arial" w:hAnsi="Arial"/>
                <w:sz w:val="18"/>
                <w:szCs w:val="18"/>
                <w:b w:val="1"/>
                <w:bCs w:val="1"/>
                <w:color w:val="auto"/>
              </w:rPr>
              <w:t>Total Equity Capital</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51,218,554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57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533,129,091</w:t>
            </w:r>
          </w:p>
        </w:tc>
        <w:tc>
          <w:tcPr>
            <w:tcW w:w="0" w:type="dxa"/>
            <w:vAlign w:val="bottom"/>
          </w:tcPr>
          <w:p>
            <w:pPr>
              <w:spacing w:after="0"/>
              <w:rPr>
                <w:sz w:val="1"/>
                <w:szCs w:val="1"/>
                <w:color w:val="auto"/>
              </w:rPr>
            </w:pPr>
          </w:p>
        </w:tc>
      </w:tr>
      <w:tr>
        <w:trPr>
          <w:trHeight w:val="414"/>
        </w:trPr>
        <w:tc>
          <w:tcPr>
            <w:tcW w:w="4180" w:type="dxa"/>
            <w:vAlign w:val="bottom"/>
          </w:tcPr>
          <w:p>
            <w:pPr>
              <w:spacing w:after="0"/>
              <w:rPr>
                <w:sz w:val="24"/>
                <w:szCs w:val="24"/>
                <w:color w:val="auto"/>
              </w:rPr>
            </w:pPr>
          </w:p>
        </w:tc>
        <w:tc>
          <w:tcPr>
            <w:tcW w:w="1800" w:type="dxa"/>
            <w:vAlign w:val="bottom"/>
            <w:gridSpan w:val="2"/>
          </w:tcPr>
          <w:p>
            <w:pPr>
              <w:jc w:val="right"/>
              <w:ind w:right="190"/>
              <w:spacing w:after="0"/>
              <w:rPr>
                <w:sz w:val="20"/>
                <w:szCs w:val="20"/>
                <w:color w:val="auto"/>
              </w:rPr>
            </w:pPr>
            <w:r>
              <w:rPr>
                <w:rFonts w:ascii="Arial" w:cs="Arial" w:eastAsia="Arial" w:hAnsi="Arial"/>
                <w:sz w:val="18"/>
                <w:szCs w:val="18"/>
                <w:color w:val="auto"/>
              </w:rPr>
              <w:t>7</w:t>
            </w: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5"/>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lowerLetter"/>
      <w:start w:val="1"/>
    </w:lvl>
  </w:abstractNum>
  <w:abstractNum w:abstractNumId="18">
    <w:nsid w:val="3006C83E"/>
    <w:multiLevelType w:val="hybridMultilevel"/>
    <w:lvl w:ilvl="0">
      <w:lvlJc w:val="left"/>
      <w:lvlText w:val="(%1)"/>
      <w:numFmt w:val="lowerRoman"/>
      <w:start w:val="1"/>
    </w:lvl>
  </w:abstractNum>
  <w:abstractNum w:abstractNumId="19">
    <w:nsid w:val="614FD4A1"/>
    <w:multiLevelType w:val="hybridMultilevel"/>
    <w:lvl w:ilvl="0">
      <w:lvlJc w:val="left"/>
      <w:lvlText w:val="(%1)"/>
      <w:numFmt w:val="lowerLetter"/>
      <w:start w:val="1"/>
    </w:lvl>
    <w:lvl w:ilvl="1">
      <w:lvlJc w:val="left"/>
      <w:lvlText w:val="(%2)"/>
      <w:numFmt w:val="decimal"/>
      <w:start w:val="1"/>
    </w:lvl>
  </w:abstractNum>
  <w:abstractNum w:abstractNumId="20">
    <w:nsid w:val="419AC241"/>
    <w:multiLevelType w:val="hybridMultilevel"/>
    <w:lvl w:ilvl="0">
      <w:lvlJc w:val="left"/>
      <w:lvlText w:val="(%1)"/>
      <w:numFmt w:val="lowerLetter"/>
      <w:start w:val="2"/>
    </w:lvl>
  </w:abstractNum>
  <w:abstractNum w:abstractNumId="21">
    <w:nsid w:val="5577F8E1"/>
    <w:multiLevelType w:val="hybridMultilevel"/>
    <w:lvl w:ilvl="0">
      <w:lvlJc w:val="left"/>
      <w:lvlText w:val="(%1)"/>
      <w:numFmt w:val="lowerLetter"/>
      <w:start w:val="3"/>
    </w:lvl>
    <w:lvl w:ilvl="1">
      <w:lvlJc w:val="left"/>
      <w:lvlText w:val="(%2)"/>
      <w:numFmt w:val="decimal"/>
      <w:start w:val="1"/>
    </w:lvl>
  </w:abstractNum>
  <w:abstractNum w:abstractNumId="22">
    <w:nsid w:val="440BADFC"/>
    <w:multiLevelType w:val="hybridMultilevel"/>
    <w:lvl w:ilvl="0">
      <w:lvlJc w:val="left"/>
      <w:lvlText w:val="(%1)"/>
      <w:numFmt w:val="lowerLetter"/>
      <w:start w:val="8"/>
    </w:lvl>
    <w:lvl w:ilvl="1">
      <w:lvlJc w:val="left"/>
      <w:lvlText w:val="(%2)"/>
      <w:numFmt w:val="decimal"/>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lowerLetter"/>
      <w:start w:val="1"/>
    </w:lvl>
  </w:abstractNum>
  <w:abstractNum w:abstractNumId="26">
    <w:nsid w:val="7724C67E"/>
    <w:multiLevelType w:val="hybridMultilevel"/>
    <w:lvl w:ilvl="0">
      <w:lvlJc w:val="left"/>
      <w:lvlText w:val="(%1)"/>
      <w:numFmt w:val="lowerLetter"/>
      <w:start w:val="1"/>
    </w:lvl>
    <w:lvl w:ilvl="1">
      <w:lvlJc w:val="left"/>
      <w:lvlText w:val="(%2)"/>
      <w:numFmt w:val="lowerRoman"/>
      <w:start w:val="1"/>
    </w:lvl>
  </w:abstractNum>
  <w:abstractNum w:abstractNumId="27">
    <w:nsid w:val="5C482A97"/>
    <w:multiLevelType w:val="hybridMultilevel"/>
    <w:lvl w:ilvl="0">
      <w:lvlJc w:val="left"/>
      <w:lvlText w:val="(%1)"/>
      <w:numFmt w:val="lowerLetter"/>
      <w:start w:val="4"/>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1."/>
      <w:numFmt w:val="decimal"/>
      <w:start w:val="2"/>
    </w:lvl>
    <w:lvl w:ilvl="1">
      <w:lvlJc w:val="left"/>
      <w:lvlText w:val="(%2)"/>
      <w:numFmt w:val="lowerLetter"/>
      <w:start w:val="1"/>
    </w:lvl>
  </w:abstractNum>
  <w:abstractNum w:abstractNumId="30">
    <w:nsid w:val="51EAD36B"/>
    <w:multiLevelType w:val="hybridMultilevel"/>
    <w:lvl w:ilvl="0">
      <w:lvlJc w:val="left"/>
      <w:lvlText w:val="%1."/>
      <w:numFmt w:val="decimal"/>
      <w:start w:val="3"/>
    </w:lvl>
  </w:abstractNum>
  <w:abstractNum w:abstractNumId="31">
    <w:nsid w:val="2D517796"/>
    <w:multiLevelType w:val="hybridMultilevel"/>
    <w:lvl w:ilvl="0">
      <w:lvlJc w:val="left"/>
      <w:lvlText w:val="%1."/>
      <w:numFmt w:val="decimal"/>
      <w:start w:val="4"/>
    </w:lvl>
  </w:abstractNum>
  <w:abstractNum w:abstractNumId="32">
    <w:nsid w:val="580BD78F"/>
    <w:multiLevelType w:val="hybridMultilevel"/>
    <w:lvl w:ilvl="0">
      <w:lvlJc w:val="left"/>
      <w:lvlText w:val="%1."/>
      <w:numFmt w:val="decimal"/>
      <w:start w:val="1"/>
    </w:lvl>
    <w:lvl w:ilvl="1">
      <w:lvlJc w:val="left"/>
      <w:lvlText w:val="(%2)"/>
      <w:numFmt w:val="lowerLetter"/>
      <w:start w:val="1"/>
    </w:lvl>
  </w:abstractNum>
  <w:abstractNum w:abstractNumId="33">
    <w:nsid w:val="153EA438"/>
    <w:multiLevelType w:val="hybridMultilevel"/>
    <w:lvl w:ilvl="0">
      <w:lvlJc w:val="left"/>
      <w:lvlText w:val="(%1)"/>
      <w:numFmt w:val="lowerLetter"/>
      <w:start w:val="7"/>
    </w:lvl>
    <w:lvl w:ilvl="1">
      <w:lvlJc w:val="left"/>
      <w:lvlText w:val="(%2)"/>
      <w:numFmt w:val="lowerRoman"/>
      <w:start w:val="1"/>
    </w:lvl>
  </w:abstractNum>
  <w:abstractNum w:abstractNumId="34">
    <w:nsid w:val="3855585C"/>
    <w:multiLevelType w:val="hybridMultilevel"/>
    <w:lvl w:ilvl="0">
      <w:lvlJc w:val="left"/>
      <w:lvlText w:val="(%1)"/>
      <w:numFmt w:val="lowerLetter"/>
      <w:start w:val="10"/>
    </w:lvl>
  </w:abstractNum>
  <w:abstractNum w:abstractNumId="35">
    <w:nsid w:val="70A64E2A"/>
    <w:multiLevelType w:val="hybridMultilevel"/>
    <w:lvl w:ilvl="0">
      <w:lvlJc w:val="left"/>
      <w:lvlText w:val="(%1)"/>
      <w:numFmt w:val="lowerLetter"/>
      <w:start w:val="15"/>
    </w:lvl>
  </w:abstractNum>
  <w:abstractNum w:abstractNumId="36">
    <w:nsid w:val="6A2342EC"/>
    <w:multiLevelType w:val="hybridMultilevel"/>
    <w:lvl w:ilvl="0">
      <w:lvlJc w:val="left"/>
      <w:lvlText w:val="%1"/>
      <w:numFmt w:val="decimal"/>
      <w:start w:val="1"/>
    </w:lvl>
    <w:lvl w:ilvl="1">
      <w:lvlJc w:val="left"/>
      <w:lvlText w:val="(%2)"/>
      <w:numFmt w:val="lowerLetter"/>
      <w:start w:val="18"/>
    </w:lvl>
  </w:abstractNum>
  <w:abstractNum w:abstractNumId="37">
    <w:nsid w:val="2A487CB0"/>
    <w:multiLevelType w:val="hybridMultilevel"/>
    <w:lvl w:ilvl="0">
      <w:lvlJc w:val="left"/>
      <w:lvlText w:val="%1."/>
      <w:numFmt w:val="decimal"/>
      <w:start w:val="2"/>
    </w:lvl>
    <w:lvl w:ilvl="1">
      <w:lvlJc w:val="left"/>
      <w:lvlText w:val="%2"/>
      <w:numFmt w:val="lowerLetter"/>
      <w:start w:val="1"/>
    </w:lvl>
  </w:abstractNum>
  <w:abstractNum w:abstractNumId="38">
    <w:nsid w:val="1D4ED43B"/>
    <w:multiLevelType w:val="hybridMultilevel"/>
    <w:lvl w:ilvl="0">
      <w:lvlJc w:val="left"/>
      <w:lvlText w:val="(%1)"/>
      <w:numFmt w:val="lowerLetter"/>
      <w:start w:val="1"/>
    </w:lvl>
  </w:abstractNum>
  <w:abstractNum w:abstractNumId="39">
    <w:nsid w:val="725A06FB"/>
    <w:multiLevelType w:val="hybridMultilevel"/>
    <w:lvl w:ilvl="0">
      <w:lvlJc w:val="left"/>
      <w:lvlText w:val="(%1)"/>
      <w:numFmt w:val="lowerRoman"/>
      <w:start w:val="6"/>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5"/>
    </w:lvl>
  </w:abstractNum>
  <w:abstractNum w:abstractNumId="42">
    <w:nsid w:val="7A6D8D3C"/>
    <w:multiLevelType w:val="hybridMultilevel"/>
    <w:lvl w:ilvl="0">
      <w:lvlJc w:val="left"/>
      <w:lvlText w:val="(%1)"/>
      <w:numFmt w:val="lowerLetter"/>
      <w:start w:val="14"/>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
      <w:numFmt w:val="bullet"/>
      <w:start w:val="1"/>
    </w:lvl>
    <w:lvl w:ilvl="1">
      <w:lvlJc w:val="left"/>
      <w:lvlText w:val="%2."/>
      <w:numFmt w:val="decimal"/>
      <w:start w:val="1"/>
    </w:lvl>
  </w:abstractNum>
  <w:abstractNum w:abstractNumId="45">
    <w:nsid w:val="6DE91B18"/>
    <w:multiLevelType w:val="hybridMultilevel"/>
    <w:lvl w:ilvl="0">
      <w:lvlJc w:val="left"/>
      <w:lvlText w:val="**"/>
      <w:numFmt w:val="bullet"/>
      <w:start w:val="1"/>
    </w:lvl>
    <w:lvl w:ilvl="1">
      <w:lvlJc w:val="left"/>
      <w:lvlText w:val="%2"/>
      <w:numFmt w:val="decimal"/>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9" Type="http://schemas.openxmlformats.org/officeDocument/2006/relationships/image" Target="media/image46.png"/><Relationship Id="rId70" Type="http://schemas.openxmlformats.org/officeDocument/2006/relationships/image" Target="media/image47.pn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jpeg"/><Relationship Id="rId79" Type="http://schemas.openxmlformats.org/officeDocument/2006/relationships/image" Target="media/image56.png"/><Relationship Id="rId80" Type="http://schemas.openxmlformats.org/officeDocument/2006/relationships/image" Target="media/image57.jpeg"/><Relationship Id="rId81" Type="http://schemas.openxmlformats.org/officeDocument/2006/relationships/image" Target="media/image58.png"/><Relationship Id="rId82" Type="http://schemas.openxmlformats.org/officeDocument/2006/relationships/image" Target="media/image59.jpeg"/><Relationship Id="rId83" Type="http://schemas.openxmlformats.org/officeDocument/2006/relationships/image" Target="media/image60.png"/><Relationship Id="rId84" Type="http://schemas.openxmlformats.org/officeDocument/2006/relationships/image" Target="media/image61.jpeg"/><Relationship Id="rId85" Type="http://schemas.openxmlformats.org/officeDocument/2006/relationships/image" Target="media/image62.png"/><Relationship Id="rId86" Type="http://schemas.openxmlformats.org/officeDocument/2006/relationships/image" Target="media/image63.jpeg"/><Relationship Id="rId87" Type="http://schemas.openxmlformats.org/officeDocument/2006/relationships/image" Target="media/image64.png"/><Relationship Id="rId88" Type="http://schemas.openxmlformats.org/officeDocument/2006/relationships/image" Target="media/image65.jpeg"/><Relationship Id="rId89" Type="http://schemas.openxmlformats.org/officeDocument/2006/relationships/image" Target="media/image66.png"/><Relationship Id="rId90" Type="http://schemas.openxmlformats.org/officeDocument/2006/relationships/image" Target="media/image67.jpeg"/><Relationship Id="rId91" Type="http://schemas.openxmlformats.org/officeDocument/2006/relationships/image" Target="media/image68.png"/><Relationship Id="rId92" Type="http://schemas.openxmlformats.org/officeDocument/2006/relationships/image" Target="media/image69.jpeg"/><Relationship Id="rId93" Type="http://schemas.openxmlformats.org/officeDocument/2006/relationships/image" Target="media/image70.png"/><Relationship Id="rId94" Type="http://schemas.openxmlformats.org/officeDocument/2006/relationships/image" Target="media/image71.jpeg"/><Relationship Id="rId95" Type="http://schemas.openxmlformats.org/officeDocument/2006/relationships/image" Target="media/image72.png"/><Relationship Id="rId96" Type="http://schemas.openxmlformats.org/officeDocument/2006/relationships/image" Target="media/image73.jpeg"/><Relationship Id="rId97" Type="http://schemas.openxmlformats.org/officeDocument/2006/relationships/image" Target="media/image74.png"/><Relationship Id="rId98" Type="http://schemas.openxmlformats.org/officeDocument/2006/relationships/image" Target="media/image75.jpeg"/><Relationship Id="rId99" Type="http://schemas.openxmlformats.org/officeDocument/2006/relationships/image" Target="media/image76.png"/><Relationship Id="rId100" Type="http://schemas.openxmlformats.org/officeDocument/2006/relationships/image" Target="media/image77.jpe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jpe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jpeg"/><Relationship Id="rId113" Type="http://schemas.openxmlformats.org/officeDocument/2006/relationships/image" Target="media/image90.jpeg"/><Relationship Id="rId114" Type="http://schemas.openxmlformats.org/officeDocument/2006/relationships/image" Target="media/image91.jpe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jpeg"/><Relationship Id="rId118" Type="http://schemas.openxmlformats.org/officeDocument/2006/relationships/image" Target="media/image95.jpeg"/><Relationship Id="rId119" Type="http://schemas.openxmlformats.org/officeDocument/2006/relationships/image" Target="media/image96.jpe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26" Type="http://schemas.openxmlformats.org/officeDocument/2006/relationships/hyperlink" Target="https://www.sec.gov/Archives/edgar/data/1681459/000168145920000004/technipfmc20191231-10k.htm" TargetMode="External"/><Relationship Id="rId27" Type="http://schemas.openxmlformats.org/officeDocument/2006/relationships/hyperlink" Target="https://www.sec.gov/Archives/edgar/data/1681459/000114036120005745/formdef14a.htm" TargetMode="External"/><Relationship Id="rId28" Type="http://schemas.openxmlformats.org/officeDocument/2006/relationships/hyperlink" Target="https://www.sec.gov/Archives/edgar/data/1681459/000168145920000083/technipfmc2020331-10q.htm" TargetMode="External"/><Relationship Id="rId29" Type="http://schemas.openxmlformats.org/officeDocument/2006/relationships/hyperlink" Target="https://www.sec.gov/Archives/edgar/data/1681459/000168145920000103/fti-20200630.htm" TargetMode="External"/><Relationship Id="rId30" Type="http://schemas.openxmlformats.org/officeDocument/2006/relationships/hyperlink" Target="https://www.sec.gov/Archives/edgar/data/1681459/000168145920000076/technipfmc2020331-8k.htm" TargetMode="External"/><Relationship Id="rId31" Type="http://schemas.openxmlformats.org/officeDocument/2006/relationships/hyperlink" Target="https://www.sec.gov/Archives/edgar/data/1681459/000168145920000079/a8-kagmresults.htm" TargetMode="External"/><Relationship Id="rId32" Type="http://schemas.openxmlformats.org/officeDocument/2006/relationships/hyperlink" Target="https://www.sec.gov/Archives/edgar/data/1681459/000168145920000085/fti-20200519.htm" TargetMode="External"/><Relationship Id="rId33" Type="http://schemas.openxmlformats.org/officeDocument/2006/relationships/hyperlink" Target="https://www.sec.gov/Archives/edgar/data/1681459/000114036120013799/form8k.htm" TargetMode="External"/><Relationship Id="rId34" Type="http://schemas.openxmlformats.org/officeDocument/2006/relationships/hyperlink" Target="https://www.sec.gov/Archives/edgar/data/1681459/000168145920000098/fti-20200626.htm" TargetMode="External"/><Relationship Id="rId35" Type="http://schemas.openxmlformats.org/officeDocument/2006/relationships/hyperlink" Target="https://www.sec.gov/Archives/edgar/data/1681459/000168145920000004/technipfmc20191231ex42.htm" TargetMode="External"/><Relationship Id="rId63" Type="http://schemas.openxmlformats.org/officeDocument/2006/relationships/hyperlink" Target="https://www.sec.gov/Archives/edgar/data/1681459/000119312516743942/d213233ds4a.htm#rom213233_155" TargetMode="External"/><Relationship Id="rId64" Type="http://schemas.openxmlformats.org/officeDocument/2006/relationships/hyperlink" Target="https://www.sec.gov/Archives/edgar/data/1681459/000119312516793136/d263181dex21.htm" TargetMode="External"/><Relationship Id="rId65" Type="http://schemas.openxmlformats.org/officeDocument/2006/relationships/hyperlink" Target="https://www.sec.gov/Archives/edgar/data/1681459/000119312516793136/d263181dex22.htm" TargetMode="External"/><Relationship Id="rId66" Type="http://schemas.openxmlformats.org/officeDocument/2006/relationships/hyperlink" Target="https://www.sec.gov/Archives/edgar/data/1681459/000119312517010409/d320389dex31.htm" TargetMode="External"/><Relationship Id="rId67" Type="http://schemas.openxmlformats.org/officeDocument/2006/relationships/hyperlink" Target="https://www.sec.gov/Archives/edgar/data/1681459/000119312517102258/d369644dex41.htm" TargetMode="External"/><Relationship Id="rId68" Type="http://schemas.openxmlformats.org/officeDocument/2006/relationships/hyperlink" Target="https://www.sec.gov/Archives/edgar/data/1681459/000119312517102258/d369644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2020-08-04T16:04:56Z</dcterms:created>
  <dcterms:modified xsi:type="dcterms:W3CDTF">2020-08-04T16:04:56Z</dcterms:modified>
</cp:coreProperties>
</file>