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620395</wp:posOffset>
            </wp:positionV>
            <wp:extent cx="70662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6280" cy="8890"/>
                    </a:xfrm>
                    <a:prstGeom prst="rect">
                      <a:avLst/>
                    </a:prstGeom>
                    <a:noFill/>
                  </pic:spPr>
                </pic:pic>
              </a:graphicData>
            </a:graphic>
          </wp:anchor>
        </w:drawing>
        <w:drawing>
          <wp:anchor simplePos="0" relativeHeight="251657728" behindDoc="1" locked="0" layoutInCell="0" allowOverlap="1">
            <wp:simplePos x="0" y="0"/>
            <wp:positionH relativeFrom="page">
              <wp:posOffset>252095</wp:posOffset>
            </wp:positionH>
            <wp:positionV relativeFrom="page">
              <wp:posOffset>534670</wp:posOffset>
            </wp:positionV>
            <wp:extent cx="7066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628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24,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TechnipFMC plc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2"/>
              <w:spacing w:after="0"/>
              <w:rPr>
                <w:sz w:val="20"/>
                <w:szCs w:val="20"/>
                <w:color w:val="auto"/>
              </w:rPr>
            </w:pPr>
            <w:r>
              <w:rPr>
                <w:rFonts w:ascii="Arial" w:cs="Arial" w:eastAsia="Arial" w:hAnsi="Arial"/>
                <w:sz w:val="18"/>
                <w:szCs w:val="18"/>
                <w:b w:val="1"/>
                <w:bCs w:val="1"/>
                <w:color w:val="auto"/>
                <w:w w:val="90"/>
              </w:rPr>
              <w:t>001-37983</w:t>
            </w:r>
          </w:p>
        </w:tc>
        <w:tc>
          <w:tcPr>
            <w:tcW w:w="2620" w:type="dxa"/>
            <w:vAlign w:val="bottom"/>
          </w:tcPr>
          <w:p>
            <w:pPr>
              <w:jc w:val="right"/>
              <w:ind w:right="519"/>
              <w:spacing w:after="0"/>
              <w:rPr>
                <w:sz w:val="20"/>
                <w:szCs w:val="20"/>
                <w:color w:val="auto"/>
              </w:rPr>
            </w:pPr>
            <w:r>
              <w:rPr>
                <w:rFonts w:ascii="Arial" w:cs="Arial" w:eastAsia="Arial" w:hAnsi="Arial"/>
                <w:sz w:val="18"/>
                <w:szCs w:val="18"/>
                <w:b w:val="1"/>
                <w:bCs w:val="1"/>
                <w:color w:val="auto"/>
              </w:rPr>
              <w:t>98-1283037</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(State or other jurisdiction of incorporation)</w:t>
            </w:r>
          </w:p>
        </w:tc>
        <w:tc>
          <w:tcPr>
            <w:tcW w:w="4500" w:type="dxa"/>
            <w:vAlign w:val="bottom"/>
          </w:tcPr>
          <w:p>
            <w:pPr>
              <w:jc w:val="center"/>
              <w:ind w:right="2"/>
              <w:spacing w:after="0"/>
              <w:rPr>
                <w:sz w:val="20"/>
                <w:szCs w:val="20"/>
                <w:color w:val="auto"/>
              </w:rPr>
            </w:pPr>
            <w:r>
              <w:rPr>
                <w:rFonts w:ascii="Arial" w:cs="Arial" w:eastAsia="Arial" w:hAnsi="Arial"/>
                <w:sz w:val="14"/>
                <w:szCs w:val="14"/>
                <w:color w:val="auto"/>
                <w:w w:val="94"/>
              </w:rPr>
              <w:t>(Commission File Number)</w:t>
            </w: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(I.R.S. Employer Identification No.)</w:t>
            </w:r>
          </w:p>
        </w:tc>
      </w:tr>
      <w:tr>
        <w:trPr>
          <w:trHeight w:val="588"/>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One St. Paul’s Churchyard</w:t>
            </w:r>
          </w:p>
        </w:tc>
        <w:tc>
          <w:tcPr>
            <w:tcW w:w="45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London, United Kingdom</w:t>
            </w:r>
          </w:p>
        </w:tc>
        <w:tc>
          <w:tcPr>
            <w:tcW w:w="4500" w:type="dxa"/>
            <w:vAlign w:val="bottom"/>
          </w:tcPr>
          <w:p>
            <w:pPr>
              <w:spacing w:after="0"/>
              <w:rPr>
                <w:sz w:val="20"/>
                <w:szCs w:val="20"/>
                <w:color w:val="auto"/>
              </w:rPr>
            </w:pPr>
          </w:p>
        </w:tc>
        <w:tc>
          <w:tcPr>
            <w:tcW w:w="2620" w:type="dxa"/>
            <w:vAlign w:val="bottom"/>
          </w:tcPr>
          <w:p>
            <w:pPr>
              <w:jc w:val="center"/>
              <w:ind w:left="459"/>
              <w:spacing w:after="0"/>
              <w:rPr>
                <w:sz w:val="20"/>
                <w:szCs w:val="20"/>
                <w:color w:val="auto"/>
              </w:rPr>
            </w:pPr>
            <w:r>
              <w:rPr>
                <w:rFonts w:ascii="Arial" w:cs="Arial" w:eastAsia="Arial" w:hAnsi="Arial"/>
                <w:sz w:val="18"/>
                <w:szCs w:val="18"/>
                <w:b w:val="1"/>
                <w:bCs w:val="1"/>
                <w:color w:val="auto"/>
                <w:w w:val="97"/>
              </w:rPr>
              <w:t>EC4M 8AP</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(Address of principal executive offices)</w:t>
            </w:r>
          </w:p>
        </w:tc>
        <w:tc>
          <w:tcPr>
            <w:tcW w:w="4500" w:type="dxa"/>
            <w:vAlign w:val="bottom"/>
          </w:tcPr>
          <w:p>
            <w:pPr>
              <w:spacing w:after="0"/>
              <w:rPr>
                <w:sz w:val="24"/>
                <w:szCs w:val="24"/>
                <w:color w:val="auto"/>
              </w:rPr>
            </w:pP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(Zip Code)</w:t>
            </w:r>
          </w:p>
        </w:tc>
      </w:tr>
      <w:tr>
        <w:trPr>
          <w:trHeight w:val="284"/>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+44 203-429-3950</w:t>
            </w:r>
          </w:p>
        </w:tc>
        <w:tc>
          <w:tcPr>
            <w:tcW w:w="2620" w:type="dxa"/>
            <w:vAlign w:val="bottom"/>
          </w:tcPr>
          <w:p>
            <w:pPr>
              <w:spacing w:after="0"/>
              <w:rPr>
                <w:sz w:val="24"/>
                <w:szCs w:val="24"/>
                <w:color w:val="auto"/>
              </w:rPr>
            </w:pPr>
          </w:p>
        </w:tc>
      </w:tr>
      <w:tr>
        <w:trPr>
          <w:trHeight w:val="203"/>
        </w:trPr>
        <w:tc>
          <w:tcPr>
            <w:tcW w:w="2940" w:type="dxa"/>
            <w:vAlign w:val="bottom"/>
          </w:tcPr>
          <w:p>
            <w:pPr>
              <w:spacing w:after="0"/>
              <w:rPr>
                <w:sz w:val="17"/>
                <w:szCs w:val="17"/>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color w:val="auto"/>
                <w:w w:val="92"/>
              </w:rPr>
              <w:t>(Registrant's telephone number, including area code)</w:t>
            </w:r>
          </w:p>
        </w:tc>
        <w:tc>
          <w:tcPr>
            <w:tcW w:w="2620" w:type="dxa"/>
            <w:vAlign w:val="bottom"/>
          </w:tcPr>
          <w:p>
            <w:pPr>
              <w:spacing w:after="0"/>
              <w:rPr>
                <w:sz w:val="17"/>
                <w:szCs w:val="17"/>
                <w:color w:val="auto"/>
              </w:rPr>
            </w:pPr>
          </w:p>
        </w:tc>
      </w:tr>
      <w:tr>
        <w:trPr>
          <w:trHeight w:val="358"/>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8"/>
                <w:szCs w:val="18"/>
                <w:b w:val="1"/>
                <w:bCs w:val="1"/>
                <w:color w:val="auto"/>
                <w:w w:val="92"/>
              </w:rPr>
              <w:t>Not Applicable</w:t>
            </w:r>
          </w:p>
        </w:tc>
        <w:tc>
          <w:tcPr>
            <w:tcW w:w="2620" w:type="dxa"/>
            <w:vAlign w:val="bottom"/>
          </w:tcPr>
          <w:p>
            <w:pPr>
              <w:spacing w:after="0"/>
              <w:rPr>
                <w:sz w:val="24"/>
                <w:szCs w:val="24"/>
                <w:color w:val="auto"/>
              </w:rPr>
            </w:pPr>
          </w:p>
        </w:tc>
      </w:tr>
      <w:tr>
        <w:trPr>
          <w:trHeight w:val="182"/>
        </w:trPr>
        <w:tc>
          <w:tcPr>
            <w:tcW w:w="2940" w:type="dxa"/>
            <w:vAlign w:val="bottom"/>
          </w:tcPr>
          <w:p>
            <w:pPr>
              <w:spacing w:after="0"/>
              <w:rPr>
                <w:sz w:val="15"/>
                <w:szCs w:val="15"/>
                <w:color w:val="auto"/>
              </w:rPr>
            </w:pPr>
          </w:p>
        </w:tc>
        <w:tc>
          <w:tcPr>
            <w:tcW w:w="4500" w:type="dxa"/>
            <w:vAlign w:val="bottom"/>
          </w:tcPr>
          <w:p>
            <w:pPr>
              <w:jc w:val="center"/>
              <w:ind w:right="42"/>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2620" w:type="dxa"/>
            <w:vAlign w:val="bottom"/>
          </w:tcPr>
          <w:p>
            <w:pPr>
              <w:spacing w:after="0"/>
              <w:rPr>
                <w:sz w:val="15"/>
                <w:szCs w:val="15"/>
                <w:color w:val="auto"/>
              </w:rPr>
            </w:pPr>
          </w:p>
        </w:tc>
      </w:tr>
    </w:tbl>
    <w:p>
      <w:pPr>
        <w:spacing w:after="0" w:line="20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210820</wp:posOffset>
            </wp:positionV>
            <wp:extent cx="7066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6280"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125095</wp:posOffset>
            </wp:positionV>
            <wp:extent cx="7066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ectPr>
          <w:pgSz w:w="11900" w:h="16838" w:orient="portrait"/>
          <w:cols w:equalWidth="0" w:num="1">
            <w:col w:w="11400"/>
          </w:cols>
          <w:pgMar w:left="240" w:top="117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4.02 is incorporated by reference into this Item 2.02.</w:t>
      </w:r>
    </w:p>
    <w:p>
      <w:pPr>
        <w:spacing w:after="0" w:line="26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As of July 24, 2017, TechnipFMC plc (the “Company”) has substantially completed the preparation of its financial results for the quarter ended June 30, 2017. As previously disclosed, the Company intends to release its earnings for the quarter ended June 30, 2017 after the close of the New York Stock Exchange on Wednesday, July 26, 2017 and hold a call to discuss those earnings on Thursday, July 27, 2017 at 1 p.m. London time (8 a.m. New York time).</w:t>
      </w:r>
    </w:p>
    <w:p>
      <w:pPr>
        <w:spacing w:after="0" w:line="35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4.02(a).</w:t>
      </w:r>
      <w:r>
        <w:rPr>
          <w:sz w:val="20"/>
          <w:szCs w:val="20"/>
          <w:color w:val="auto"/>
        </w:rPr>
        <w:tab/>
      </w:r>
      <w:r>
        <w:rPr>
          <w:rFonts w:ascii="Arial" w:cs="Arial" w:eastAsia="Arial" w:hAnsi="Arial"/>
          <w:sz w:val="16"/>
          <w:szCs w:val="16"/>
          <w:b w:val="1"/>
          <w:bCs w:val="1"/>
          <w:color w:val="auto"/>
        </w:rPr>
        <w:t>Non-Reliance on Previously Issued Financial Statements or a Related Audit Report or Completed Interim Review.</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24, 2017, the Audit Committee of the Board of Directors of TechnipFMC plc, after consideration of relevant facts and circumstances and after consultation with management and PricewaterhouseCoopers LLP, the Company’s independent registered public accounting firm, concluded that the Company’s unaudited interim condensed consolidated U.S. GAAP financial statements as of March 31, 2017 and for the three months ended March 31, 2017 included in the Company’s Quarterly Report on Form 10-Q and prior year period prepared and included in the Company’s Quarterly Report for comparison purposes for the quarter ended March 31, 2017, as previously filed with the U.S. Securities and Exchange Commission (the “SEC”) on May 4, 2017, should be restated, and that such financial statements previously filed with the SEC should no longer be relied upon because of material errors in such financial statements.</w:t>
      </w:r>
    </w:p>
    <w:p>
      <w:pPr>
        <w:spacing w:after="0" w:line="18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concluded that errors existed within certain rates used in the calculations of the foreign currency effects on certain of its engineering and construction projects in the Company’s unaudited Condensed Consolidated Balance Sheets and Condensed Consolidated Statements of Income for the quarter ended March 31, 2017. The net income attributable to the Company in the quarter ending March 31, 2017 was overstated by $209.5 million ($0.45 per share).</w:t>
      </w:r>
    </w:p>
    <w:p>
      <w:pPr>
        <w:spacing w:after="0" w:line="14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Company will restate the unaudited interim condensed consolidated financial statements identified above as set forth in the schedules attached as Exhibit 99.1 to this Current Report on Form 8-K to recognize the non-cash, corporate charges and file such restated condensed consolidated financial statements with the SEC in an amendment to the Company’s Quarterly Report on Form 10-Q for the quarter ended March 31, 2017 (the “10-Q Amendment”).</w:t>
      </w:r>
    </w:p>
    <w:p>
      <w:pPr>
        <w:spacing w:after="0" w:line="1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10-Q Amendment, the Company re-evaluated its conclusion regarding the effectiveness of the Company’s disclosure controls and procedures and internal control over financial reporting as of March 31, 2017 and determined that a material weakness existed as of March 31, 2017 relating to the rates used in calculations of foreign currency effects on certain of the Company’s engineering and construction projects.</w:t>
      </w:r>
    </w:p>
    <w:p>
      <w:pPr>
        <w:spacing w:after="0" w:line="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Solely as a result of the material weakness described above, the Company expects to conclude that the Company’s disclosure controls and procedures and its internal control over financial reporting were not effective as of March 31, 2017. The Company has reviewed the process to calculate the foreign currency remeasurement effect and has implemented revisions and additional controls designed to ensure that similar computational errors will not recur. The Company believes that these changes provide reasonable assurance that the financial statements and other financial information for the three and six month periods ending June 30, 2017 fairly present in all material respects the Company’s financial condition, results of operations and cash flows as of, and for, such periods.</w:t>
      </w:r>
    </w:p>
    <w:p>
      <w:pPr>
        <w:spacing w:after="0" w:line="1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guidance excludes the impact of foreign currency effects.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0" w:type="dxa"/>
            <w:vAlign w:val="bottom"/>
          </w:tcPr>
          <w:p>
            <w:pPr>
              <w:spacing w:after="0"/>
              <w:rPr>
                <w:sz w:val="20"/>
                <w:szCs w:val="20"/>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3"/>
        </w:trPr>
        <w:tc>
          <w:tcPr>
            <w:tcW w:w="94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249"/>
        </w:trPr>
        <w:tc>
          <w:tcPr>
            <w:tcW w:w="9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280" w:type="dxa"/>
            <w:vAlign w:val="bottom"/>
            <w:gridSpan w:val="3"/>
          </w:tcPr>
          <w:p>
            <w:pPr>
              <w:ind w:left="80"/>
              <w:spacing w:after="0"/>
              <w:rPr>
                <w:sz w:val="20"/>
                <w:szCs w:val="20"/>
                <w:color w:val="auto"/>
              </w:rPr>
            </w:pPr>
            <w:r>
              <w:rPr>
                <w:rFonts w:ascii="Arial" w:cs="Arial" w:eastAsia="Arial" w:hAnsi="Arial"/>
                <w:sz w:val="18"/>
                <w:szCs w:val="18"/>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0"/>
              </w:rPr>
              <w:t>Restated unaudited interim condensed consolidated financial information of TechnipFMC plc as of and for the three months ended March</w:t>
            </w: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gridSpan w:val="2"/>
          </w:tcPr>
          <w:p>
            <w:pPr>
              <w:ind w:left="680"/>
              <w:spacing w:after="0"/>
              <w:rPr>
                <w:sz w:val="20"/>
                <w:szCs w:val="20"/>
                <w:color w:val="auto"/>
              </w:rPr>
            </w:pPr>
            <w:r>
              <w:rPr>
                <w:rFonts w:ascii="Arial" w:cs="Arial" w:eastAsia="Arial" w:hAnsi="Arial"/>
                <w:sz w:val="18"/>
                <w:szCs w:val="18"/>
                <w:color w:val="auto"/>
              </w:rPr>
              <w:t>31, 2017 and March 31, 2016.</w:t>
            </w:r>
          </w:p>
        </w:tc>
      </w:tr>
    </w:tbl>
    <w:p>
      <w:pPr>
        <w:sectPr>
          <w:pgSz w:w="11900" w:h="16838" w:orient="portrait"/>
          <w:cols w:equalWidth="0" w:num="1">
            <w:col w:w="11400"/>
          </w:cols>
          <w:pgMar w:left="240" w:top="796"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Current Report on Form 8-K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the Company’s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the Company anticipates.</w:t>
      </w:r>
    </w:p>
    <w:p>
      <w:pPr>
        <w:spacing w:after="0" w:line="11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All of the Company’s forward-looking statements involve risks and uncertainties (some of which are significant or beyond the Company’s control) and assumptions that could cause actual results to differ materially from the Company’s historical experience and the Company’s present expectations or projections. Known material factors that could cause actual results to differ materially from those contemplated in the forward-looking statements include those set forth in Part II, Item 1A, “Risk Factors” in the Company’s Quarterly Report on Form 10-Q for the quarterly period ended March 31, 2017 and elsewhere in the Company’s other filings with the SEC, as well as the following:</w:t>
      </w:r>
    </w:p>
    <w:p>
      <w:pPr>
        <w:spacing w:after="0" w:line="53" w:lineRule="exact"/>
        <w:rPr>
          <w:sz w:val="20"/>
          <w:szCs w:val="20"/>
          <w:color w:val="auto"/>
        </w:rPr>
      </w:pPr>
    </w:p>
    <w:p>
      <w:pPr>
        <w:ind w:left="980" w:right="440" w:hanging="243"/>
        <w:spacing w:after="0" w:line="258"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additional information may arise during the course of the Company’s review of its accounting for foreign currency effects that would require the Company to make additional adjustments or identify additional material weaknesses;</w:t>
      </w:r>
    </w:p>
    <w:p>
      <w:pPr>
        <w:spacing w:after="0" w:line="1" w:lineRule="exact"/>
        <w:rPr>
          <w:rFonts w:ascii="Arial" w:cs="Arial" w:eastAsia="Arial" w:hAnsi="Arial"/>
          <w:sz w:val="18"/>
          <w:szCs w:val="18"/>
          <w:color w:val="auto"/>
        </w:rPr>
      </w:pP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time, effort and expense required to complete the restatement of the financial statements, including any pro forma corrections;</w:t>
      </w:r>
    </w:p>
    <w:p>
      <w:pPr>
        <w:spacing w:after="0" w:line="9" w:lineRule="exact"/>
        <w:rPr>
          <w:rFonts w:ascii="Arial" w:cs="Arial" w:eastAsia="Arial" w:hAnsi="Arial"/>
          <w:sz w:val="18"/>
          <w:szCs w:val="18"/>
          <w:color w:val="auto"/>
        </w:rPr>
      </w:pPr>
    </w:p>
    <w:p>
      <w:pPr>
        <w:ind w:left="980" w:right="480" w:hanging="243"/>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legal compliance matters or internal controls review, improvement and remediation that may be necessary and resulting impact on the Company’s operations;</w:t>
      </w: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identification and ability to remediate the material weakness or material weaknesses;</w:t>
      </w:r>
    </w:p>
    <w:p>
      <w:pPr>
        <w:spacing w:after="0" w:line="9" w:lineRule="exact"/>
        <w:rPr>
          <w:rFonts w:ascii="Arial" w:cs="Arial" w:eastAsia="Arial" w:hAnsi="Arial"/>
          <w:sz w:val="18"/>
          <w:szCs w:val="18"/>
          <w:color w:val="auto"/>
        </w:rPr>
      </w:pPr>
    </w:p>
    <w:p>
      <w:pPr>
        <w:ind w:left="980" w:right="240" w:hanging="243"/>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encounter unanticipated material issues or additional adjustments that could delay the completion of the restatement of the financial statements or the filing of required periodic reports with the SEC;</w:t>
      </w: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ability to continue to be in compliance with the NYSE continued listing rules;</w:t>
      </w:r>
    </w:p>
    <w:p>
      <w:pPr>
        <w:spacing w:after="0" w:line="9" w:lineRule="exact"/>
        <w:rPr>
          <w:rFonts w:ascii="Arial" w:cs="Arial" w:eastAsia="Arial" w:hAnsi="Arial"/>
          <w:sz w:val="18"/>
          <w:szCs w:val="18"/>
          <w:color w:val="auto"/>
        </w:rPr>
      </w:pPr>
    </w:p>
    <w:p>
      <w:pPr>
        <w:ind w:left="980" w:right="660" w:hanging="243"/>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 of governmental investigations, shareholder lawsuits, or significant fines, penalties and settlements related to the restatement of the Company’s financial statements;</w:t>
      </w: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the Company’s industry;</w:t>
      </w:r>
    </w:p>
    <w:p>
      <w:pPr>
        <w:spacing w:after="0" w:line="9" w:lineRule="exact"/>
        <w:rPr>
          <w:rFonts w:ascii="Arial" w:cs="Arial" w:eastAsia="Arial" w:hAnsi="Arial"/>
          <w:sz w:val="18"/>
          <w:szCs w:val="18"/>
          <w:color w:val="auto"/>
        </w:rPr>
      </w:pPr>
    </w:p>
    <w:p>
      <w:pPr>
        <w:ind w:left="980" w:right="400" w:hanging="243"/>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demand for the Company’s products and services, which is affected by changes in the price of, and demand for, crude oil and natural gas in domestic and international markets;</w:t>
      </w:r>
    </w:p>
    <w:p>
      <w:pPr>
        <w:ind w:left="980" w:hanging="243"/>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ability to develop and implement new technologies and services, as well as the Company’s ability to protect and maintain critical intellectual property assets;</w:t>
      </w: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the Company’s products;</w:t>
      </w:r>
    </w:p>
    <w:p>
      <w:pPr>
        <w:spacing w:after="0" w:line="9" w:lineRule="exact"/>
        <w:rPr>
          <w:rFonts w:ascii="Arial" w:cs="Arial" w:eastAsia="Arial" w:hAnsi="Arial"/>
          <w:sz w:val="18"/>
          <w:szCs w:val="18"/>
          <w:color w:val="auto"/>
        </w:rPr>
      </w:pP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overruns related to the Company’s fixed price contracts or asset construction projects that may affect revenues;</w:t>
      </w:r>
    </w:p>
    <w:p>
      <w:pPr>
        <w:spacing w:after="0" w:line="9" w:lineRule="exact"/>
        <w:rPr>
          <w:rFonts w:ascii="Arial" w:cs="Arial" w:eastAsia="Arial" w:hAnsi="Arial"/>
          <w:sz w:val="18"/>
          <w:szCs w:val="18"/>
          <w:color w:val="auto"/>
        </w:rPr>
      </w:pPr>
    </w:p>
    <w:p>
      <w:pPr>
        <w:ind w:left="980" w:right="60" w:hanging="243"/>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disruptions in the timely delivery of the Company’s backlog and its effect on the Company’s future sales, profitability, and relationships with its customers;</w:t>
      </w: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reliance on subcontractors, suppliers and joint venture partners in the performance of the Company’s contracts;</w:t>
      </w:r>
    </w:p>
    <w:p>
      <w:pPr>
        <w:spacing w:after="0" w:line="9" w:lineRule="exact"/>
        <w:rPr>
          <w:rFonts w:ascii="Arial" w:cs="Arial" w:eastAsia="Arial" w:hAnsi="Arial"/>
          <w:sz w:val="18"/>
          <w:szCs w:val="18"/>
          <w:color w:val="auto"/>
        </w:rPr>
      </w:pP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ability to hire and retain key personnel;</w:t>
      </w:r>
    </w:p>
    <w:p>
      <w:pPr>
        <w:spacing w:after="0" w:line="9" w:lineRule="exact"/>
        <w:rPr>
          <w:rFonts w:ascii="Arial" w:cs="Arial" w:eastAsia="Arial" w:hAnsi="Arial"/>
          <w:sz w:val="18"/>
          <w:szCs w:val="18"/>
          <w:color w:val="auto"/>
        </w:rPr>
      </w:pP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piracy risks for the Company’s maritime employees and assets;</w:t>
      </w:r>
    </w:p>
    <w:p>
      <w:pPr>
        <w:spacing w:after="0" w:line="9" w:lineRule="exact"/>
        <w:rPr>
          <w:rFonts w:ascii="Arial" w:cs="Arial" w:eastAsia="Arial" w:hAnsi="Arial"/>
          <w:sz w:val="18"/>
          <w:szCs w:val="18"/>
          <w:color w:val="auto"/>
        </w:rPr>
      </w:pP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9" w:lineRule="exact"/>
        <w:rPr>
          <w:rFonts w:ascii="Arial" w:cs="Arial" w:eastAsia="Arial" w:hAnsi="Arial"/>
          <w:sz w:val="18"/>
          <w:szCs w:val="18"/>
          <w:color w:val="auto"/>
        </w:rPr>
      </w:pPr>
    </w:p>
    <w:p>
      <w:pPr>
        <w:ind w:left="980" w:right="160" w:hanging="243"/>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environmental regulations, that may increase the Company’s costs, limit the demand for its products and services or restrict its operations;</w:t>
      </w: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the Company conducts business;</w:t>
      </w:r>
    </w:p>
    <w:p>
      <w:pPr>
        <w:spacing w:after="0" w:line="9" w:lineRule="exact"/>
        <w:rPr>
          <w:rFonts w:ascii="Arial" w:cs="Arial" w:eastAsia="Arial" w:hAnsi="Arial"/>
          <w:sz w:val="18"/>
          <w:szCs w:val="18"/>
          <w:color w:val="auto"/>
        </w:rPr>
      </w:pPr>
    </w:p>
    <w:p>
      <w:pPr>
        <w:ind w:left="980" w:right="240" w:hanging="243"/>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results of the United Kingdom’s referendum on withdrawal from the European Union;</w:t>
      </w:r>
    </w:p>
    <w:p>
      <w:pPr>
        <w:spacing w:after="0" w:line="9" w:lineRule="exact"/>
        <w:rPr>
          <w:rFonts w:ascii="Arial" w:cs="Arial" w:eastAsia="Arial" w:hAnsi="Arial"/>
          <w:sz w:val="18"/>
          <w:szCs w:val="18"/>
          <w:color w:val="auto"/>
        </w:rPr>
      </w:pPr>
    </w:p>
    <w:p>
      <w:pPr>
        <w:ind w:left="980" w:right="160" w:hanging="243"/>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court approval of “distributable profits” and stockholder approval of certain capital structure decisions;</w:t>
      </w:r>
    </w:p>
    <w:p>
      <w:pPr>
        <w:ind w:left="980" w:hanging="24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compliance with covenants under the Company’s debt instruments and conditions in the credit markets;</w:t>
      </w:r>
    </w:p>
    <w:p>
      <w:pPr>
        <w:sectPr>
          <w:pgSz w:w="11900" w:h="16838" w:orient="portrait"/>
          <w:cols w:equalWidth="0" w:num="1">
            <w:col w:w="11400"/>
          </w:cols>
          <w:pgMar w:left="240" w:top="1013" w:right="259" w:bottom="1440" w:gutter="0" w:footer="0" w:header="0"/>
        </w:sectPr>
      </w:pPr>
    </w:p>
    <w:bookmarkStart w:id="3" w:name="page4"/>
    <w:bookmarkEnd w:id="3"/>
    <w:p>
      <w:pPr>
        <w:ind w:left="980" w:hanging="24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downgrade in the ratings of the Company’s debt could restrict its ability to access the debt capital markets;</w:t>
      </w:r>
    </w:p>
    <w:p>
      <w:pPr>
        <w:spacing w:after="0" w:line="23" w:lineRule="exact"/>
        <w:rPr>
          <w:rFonts w:ascii="Arial" w:cs="Arial" w:eastAsia="Arial" w:hAnsi="Arial"/>
          <w:sz w:val="18"/>
          <w:szCs w:val="18"/>
          <w:color w:val="auto"/>
        </w:rPr>
      </w:pPr>
    </w:p>
    <w:p>
      <w:pPr>
        <w:ind w:left="980" w:hanging="24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the Company;</w:t>
      </w:r>
    </w:p>
    <w:p>
      <w:pPr>
        <w:spacing w:after="0" w:line="9" w:lineRule="exact"/>
        <w:rPr>
          <w:rFonts w:ascii="Arial" w:cs="Arial" w:eastAsia="Arial" w:hAnsi="Arial"/>
          <w:sz w:val="18"/>
          <w:szCs w:val="18"/>
          <w:color w:val="auto"/>
        </w:rPr>
      </w:pPr>
    </w:p>
    <w:p>
      <w:pPr>
        <w:ind w:left="980" w:hanging="24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the Company’s international operations;</w:t>
      </w:r>
    </w:p>
    <w:p>
      <w:pPr>
        <w:spacing w:after="0" w:line="9" w:lineRule="exact"/>
        <w:rPr>
          <w:rFonts w:ascii="Arial" w:cs="Arial" w:eastAsia="Arial" w:hAnsi="Arial"/>
          <w:sz w:val="18"/>
          <w:szCs w:val="18"/>
          <w:color w:val="auto"/>
        </w:rPr>
      </w:pPr>
    </w:p>
    <w:p>
      <w:pPr>
        <w:ind w:left="980" w:right="80" w:hanging="243"/>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8"/>
          <w:szCs w:val="18"/>
          <w:color w:val="auto"/>
        </w:rPr>
      </w:pPr>
    </w:p>
    <w:p>
      <w:pPr>
        <w:ind w:left="980" w:hanging="24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merger-related costs;</w:t>
      </w:r>
    </w:p>
    <w:p>
      <w:pPr>
        <w:spacing w:after="0" w:line="9" w:lineRule="exact"/>
        <w:rPr>
          <w:rFonts w:ascii="Arial" w:cs="Arial" w:eastAsia="Arial" w:hAnsi="Arial"/>
          <w:sz w:val="18"/>
          <w:szCs w:val="18"/>
          <w:color w:val="auto"/>
        </w:rPr>
      </w:pPr>
    </w:p>
    <w:p>
      <w:pPr>
        <w:ind w:left="980" w:hanging="24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the Company’s information technology infrastructure or any significant breach of security;</w:t>
      </w:r>
    </w:p>
    <w:p>
      <w:pPr>
        <w:spacing w:after="0" w:line="9" w:lineRule="exact"/>
        <w:rPr>
          <w:rFonts w:ascii="Arial" w:cs="Arial" w:eastAsia="Arial" w:hAnsi="Arial"/>
          <w:sz w:val="18"/>
          <w:szCs w:val="18"/>
          <w:color w:val="auto"/>
        </w:rPr>
      </w:pPr>
    </w:p>
    <w:p>
      <w:pPr>
        <w:ind w:left="980" w:hanging="243"/>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associated with tax liabilities, or changes in U.S. federal or international tax laws or interpretations to which they are subject; and</w:t>
      </w:r>
    </w:p>
    <w:p>
      <w:pPr>
        <w:spacing w:after="0" w:line="20" w:lineRule="exact"/>
        <w:rPr>
          <w:rFonts w:ascii="Arial" w:cs="Arial" w:eastAsia="Arial" w:hAnsi="Arial"/>
          <w:sz w:val="17"/>
          <w:szCs w:val="17"/>
          <w:color w:val="auto"/>
        </w:rPr>
      </w:pPr>
    </w:p>
    <w:p>
      <w:pPr>
        <w:ind w:left="980" w:hanging="243"/>
        <w:spacing w:after="0" w:line="26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other risk factors set forth in the Company’s filings with the SEC and in the Company’s filings with the Autorité des marchés financiers or the U.K. Financial Conduct Authority.</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forward-looking statements in this Current Report speak only as of the date hereof. The Company undertakes no obligation to publicly update or revise any forward-looking statements after the date they are made, whether as a result of new information, future events or otherwise, except to the extent required by law.</w:t>
      </w:r>
    </w:p>
    <w:p>
      <w:pPr>
        <w:sectPr>
          <w:pgSz w:w="11900" w:h="16838" w:orient="portrait"/>
          <w:cols w:equalWidth="0" w:num="1">
            <w:col w:w="11320"/>
          </w:cols>
          <w:pgMar w:left="240" w:top="58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31750</wp:posOffset>
            </wp:positionV>
            <wp:extent cx="337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Dated: July 24, 2017</w:t>
      </w:r>
      <w:r>
        <w:rPr>
          <w:sz w:val="20"/>
          <w:szCs w:val="20"/>
          <w:color w:val="auto"/>
        </w:rPr>
        <w:tab/>
      </w:r>
      <w:r>
        <w:rPr>
          <w:rFonts w:ascii="Arial" w:cs="Arial" w:eastAsia="Arial" w:hAnsi="Arial"/>
          <w:sz w:val="16"/>
          <w:szCs w:val="16"/>
          <w:color w:val="auto"/>
        </w:rPr>
        <w:t>Name: Maryann T. Mannen</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36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473"/>
        </w:trPr>
        <w:tc>
          <w:tcPr>
            <w:tcW w:w="9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280" w:type="dxa"/>
            <w:vAlign w:val="bottom"/>
            <w:gridSpan w:val="3"/>
          </w:tcPr>
          <w:p>
            <w:pPr>
              <w:ind w:left="80"/>
              <w:spacing w:after="0"/>
              <w:rPr>
                <w:sz w:val="20"/>
                <w:szCs w:val="20"/>
                <w:color w:val="auto"/>
              </w:rPr>
            </w:pPr>
            <w:r>
              <w:rPr>
                <w:rFonts w:ascii="Arial" w:cs="Arial" w:eastAsia="Arial" w:hAnsi="Arial"/>
                <w:sz w:val="18"/>
                <w:szCs w:val="18"/>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0"/>
              </w:rPr>
              <w:t>Restated unaudited interim condensed consolidated financial information of TechnipFMC plc as of and for the three months ended March</w:t>
            </w: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360" w:type="dxa"/>
            <w:vAlign w:val="bottom"/>
          </w:tcPr>
          <w:p>
            <w:pPr>
              <w:ind w:left="100"/>
              <w:spacing w:after="0"/>
              <w:rPr>
                <w:sz w:val="20"/>
                <w:szCs w:val="20"/>
                <w:color w:val="auto"/>
              </w:rPr>
            </w:pPr>
            <w:r>
              <w:rPr>
                <w:rFonts w:ascii="Arial" w:cs="Arial" w:eastAsia="Arial" w:hAnsi="Arial"/>
                <w:sz w:val="18"/>
                <w:szCs w:val="18"/>
                <w:color w:val="auto"/>
              </w:rPr>
              <w:t>31, 2017 and March 31, 2016.</w:t>
            </w:r>
          </w:p>
        </w:tc>
      </w:tr>
    </w:tbl>
    <w:p>
      <w:pPr>
        <w:sectPr>
          <w:pgSz w:w="11900" w:h="16838" w:orient="portrait"/>
          <w:cols w:equalWidth="0" w:num="1">
            <w:col w:w="11220"/>
          </w:cols>
          <w:pgMar w:left="240" w:top="580" w:right="4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CONDENSED CONSOLIDATED STATEMENTS OF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ectPr>
          <w:pgSz w:w="11900" w:h="16838" w:orient="portrait"/>
          <w:cols w:equalWidth="0" w:num="1">
            <w:col w:w="11380"/>
          </w:cols>
          <w:pgMar w:left="28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Costs and expenses</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Income before net interest expense and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Net interest expense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Net (income) loss attributable to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 attributable to TechnipFMC plc</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Earnings (loss) per share attributable to TechnipFMC plc: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shares outstanding:</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4707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March 31 as reported on Form 10-Q filed on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4707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As Previously</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Restatement</w:t>
            </w:r>
          </w:p>
        </w:tc>
        <w:tc>
          <w:tcPr>
            <w:tcW w:w="140" w:type="dxa"/>
            <w:vAlign w:val="bottom"/>
          </w:tcPr>
          <w:p>
            <w:pPr>
              <w:spacing w:after="0"/>
              <w:rPr>
                <w:sz w:val="13"/>
                <w:szCs w:val="13"/>
                <w:color w:val="auto"/>
              </w:rPr>
            </w:pP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6"/>
              </w:rPr>
              <w:t>As Restated</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As Previously</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Restatement</w:t>
            </w:r>
          </w:p>
        </w:tc>
        <w:tc>
          <w:tcPr>
            <w:tcW w:w="140" w:type="dxa"/>
            <w:vAlign w:val="bottom"/>
          </w:tcPr>
          <w:p>
            <w:pPr>
              <w:spacing w:after="0"/>
              <w:rPr>
                <w:sz w:val="13"/>
                <w:szCs w:val="13"/>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3,388.0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3,388.0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2,405.7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2,405.7</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3,345.1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FF0000"/>
              </w:rPr>
              <w:t>(2.9)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FF0000"/>
              </w:rPr>
              <w:t>3,342.2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2,209.3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2,209.3</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FF0000"/>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FF0000"/>
              </w:rPr>
              <w:t>45.8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336.8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FF0000"/>
              </w:rPr>
              <w:t>(263.9)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FF0000"/>
              </w:rPr>
              <w:t>72.9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(28.3)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(16.6)</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379.7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FF0000"/>
              </w:rPr>
              <w:t>(261.0)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FF0000"/>
              </w:rPr>
              <w:t>118.7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EE2724"/>
              </w:rPr>
              <w:t>(28.3)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EE2724"/>
              </w:rPr>
              <w:t>179.8</w:t>
            </w: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FF0000"/>
              </w:rPr>
              <w:t>(0.4)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FF0000"/>
              </w:rPr>
              <w:t>(82.1)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44"/>
        </w:trPr>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298.0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FF0000"/>
              </w:rPr>
              <w:t>(261.4)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FF0000"/>
              </w:rPr>
              <w:t>36.6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194.8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EE2724"/>
              </w:rPr>
              <w:t>(28.3)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EE2724"/>
              </w:rPr>
              <w:t>166.5</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FF0000"/>
              </w:rPr>
              <w:t>(51.9)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FF0000"/>
              </w:rPr>
              <w:t>51.8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(1.6)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EE2724"/>
              </w:rPr>
              <w:t>45.9</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FF0000"/>
              </w:rPr>
              <w:t>(209.5)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FF0000"/>
              </w:rPr>
              <w:t>(15.2)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EE2724"/>
              </w:rPr>
              <w:t>(26.7)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EE2724"/>
              </w:rPr>
              <w:t>120.6</w:t>
            </w: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190.8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FF0000"/>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FF0000"/>
              </w:rPr>
              <w:t>(209.5)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FF0000"/>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FF0000"/>
              </w:rPr>
              <w:t>(18.7)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147.4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EE2724"/>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EE2724"/>
              </w:rPr>
              <w:t>(26.7)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EE2724"/>
              </w:rPr>
              <w:t>120.7</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EE2724"/>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EE2724"/>
              </w:rPr>
              <w:t>(0.45)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EE2724"/>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EE2724"/>
              </w:rPr>
              <w:t>(0.04)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EE2724"/>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EE2724"/>
              </w:rPr>
              <w:t>(0.23)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EE2724"/>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EE2724"/>
              </w:rPr>
              <w:t>1.02</w:t>
            </w:r>
          </w:p>
        </w:tc>
        <w:tc>
          <w:tcPr>
            <w:tcW w:w="0" w:type="dxa"/>
            <w:vAlign w:val="bottom"/>
          </w:tcPr>
          <w:p>
            <w:pPr>
              <w:spacing w:after="0"/>
              <w:rPr>
                <w:sz w:val="1"/>
                <w:szCs w:val="1"/>
                <w:color w:val="auto"/>
              </w:rPr>
            </w:pPr>
          </w:p>
        </w:tc>
      </w:tr>
      <w:tr>
        <w:trPr>
          <w:trHeight w:val="270"/>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FF0000"/>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FF0000"/>
              </w:rPr>
              <w:t>(0.45)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EE2724"/>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EE2724"/>
              </w:rPr>
              <w:t>(0.04)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EE2724"/>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EE2724"/>
              </w:rPr>
              <w:t>(0.24)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EE2724"/>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EE2724"/>
              </w:rPr>
              <w:t>0.97</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-3104515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-2761615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-2418715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-2075815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-1732915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-1389380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-1021080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-677545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-334645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2">
            <w:col w:w="3320" w:space="640"/>
            <w:col w:w="7420"/>
          </w:cols>
          <w:pgMar w:left="280" w:top="283"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11"/>
          </w:tcPr>
          <w:p>
            <w:pPr>
              <w:jc w:val="center"/>
              <w:ind w:right="280"/>
              <w:spacing w:after="0"/>
              <w:rPr>
                <w:sz w:val="20"/>
                <w:szCs w:val="20"/>
                <w:color w:val="auto"/>
              </w:rPr>
            </w:pPr>
            <w:r>
              <w:rPr>
                <w:rFonts w:ascii="Arial" w:cs="Arial" w:eastAsia="Arial" w:hAnsi="Arial"/>
                <w:sz w:val="14"/>
                <w:szCs w:val="14"/>
                <w:b w:val="1"/>
                <w:bCs w:val="1"/>
                <w:color w:val="auto"/>
                <w:w w:val="94"/>
              </w:rPr>
              <w:t>March 31 as reported on Form 10-Q filed on May 4, 2017</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Restatement</w:t>
            </w:r>
          </w:p>
        </w:tc>
        <w:tc>
          <w:tcPr>
            <w:tcW w:w="14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Restatement</w:t>
            </w:r>
          </w:p>
        </w:tc>
        <w:tc>
          <w:tcPr>
            <w:tcW w:w="140" w:type="dxa"/>
            <w:vAlign w:val="bottom"/>
          </w:tcPr>
          <w:p>
            <w:pPr>
              <w:spacing w:after="0"/>
              <w:rPr>
                <w:sz w:val="13"/>
                <w:szCs w:val="13"/>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Reported</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00" w:type="dxa"/>
            <w:vAlign w:val="bottom"/>
            <w:gridSpan w:val="4"/>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1,376.7</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1,376.7</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1,517.2</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1,517.2</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000" w:type="dxa"/>
            <w:vAlign w:val="bottom"/>
            <w:gridSpan w:val="4"/>
          </w:tcPr>
          <w:p>
            <w:pPr>
              <w:ind w:left="40"/>
              <w:spacing w:after="0"/>
              <w:rPr>
                <w:sz w:val="20"/>
                <w:szCs w:val="20"/>
                <w:color w:val="auto"/>
              </w:rPr>
            </w:pPr>
            <w:r>
              <w:rPr>
                <w:rFonts w:ascii="Arial" w:cs="Arial" w:eastAsia="Arial" w:hAnsi="Arial"/>
                <w:sz w:val="14"/>
                <w:szCs w:val="14"/>
                <w:color w:val="auto"/>
              </w:rPr>
              <w:t>Onshore/Offshore</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1,764.0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1,764.0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888.5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888.5</w:t>
            </w:r>
          </w:p>
        </w:tc>
        <w:tc>
          <w:tcPr>
            <w:tcW w:w="0" w:type="dxa"/>
            <w:vAlign w:val="bottom"/>
          </w:tcPr>
          <w:p>
            <w:pPr>
              <w:spacing w:after="0"/>
              <w:rPr>
                <w:sz w:val="1"/>
                <w:szCs w:val="1"/>
                <w:color w:val="auto"/>
              </w:rPr>
            </w:pPr>
          </w:p>
        </w:tc>
      </w:tr>
      <w:tr>
        <w:trPr>
          <w:trHeight w:val="197"/>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00" w:type="dxa"/>
            <w:vAlign w:val="bottom"/>
            <w:gridSpan w:val="4"/>
          </w:tcPr>
          <w:p>
            <w:pPr>
              <w:ind w:left="40"/>
              <w:spacing w:after="0"/>
              <w:rPr>
                <w:sz w:val="20"/>
                <w:szCs w:val="20"/>
                <w:color w:val="auto"/>
              </w:rPr>
            </w:pPr>
            <w:r>
              <w:rPr>
                <w:rFonts w:ascii="Arial" w:cs="Arial" w:eastAsia="Arial" w:hAnsi="Arial"/>
                <w:sz w:val="14"/>
                <w:szCs w:val="14"/>
                <w:color w:val="auto"/>
              </w:rPr>
              <w:t>Other revenue and intercompany eliminations</w:t>
            </w: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c>
          <w:tcPr>
            <w:tcW w:w="820" w:type="dxa"/>
            <w:vAlign w:val="bottom"/>
            <w:tcBorders>
              <w:bottom w:val="single" w:sz="8" w:color="CCEEFF"/>
            </w:tcBorders>
          </w:tcPr>
          <w:p>
            <w:pPr>
              <w:spacing w:after="0"/>
              <w:rPr>
                <w:sz w:val="6"/>
                <w:szCs w:val="6"/>
                <w:color w:val="auto"/>
              </w:rPr>
            </w:pPr>
          </w:p>
        </w:tc>
        <w:tc>
          <w:tcPr>
            <w:tcW w:w="21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3,388.0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3,388.0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2,405.7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2,405.7</w:t>
            </w: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18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0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Segment operating profit (loss):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00" w:type="dxa"/>
            <w:vAlign w:val="bottom"/>
            <w:gridSpan w:val="4"/>
          </w:tcPr>
          <w:p>
            <w:pPr>
              <w:ind w:left="40"/>
              <w:spacing w:after="0"/>
              <w:rPr>
                <w:sz w:val="20"/>
                <w:szCs w:val="20"/>
                <w:color w:val="auto"/>
              </w:rPr>
            </w:pPr>
            <w:r>
              <w:rPr>
                <w:rFonts w:ascii="Arial" w:cs="Arial" w:eastAsia="Arial" w:hAnsi="Arial"/>
                <w:sz w:val="14"/>
                <w:szCs w:val="14"/>
                <w:color w:val="auto"/>
              </w:rPr>
              <w:t>Subsea</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196.4</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EE2724"/>
              </w:rPr>
              <w:t>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EE2724"/>
              </w:rPr>
              <w:t>142.8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FF0000"/>
              </w:rPr>
              <w:t>(20.1)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FF0000"/>
              </w:rPr>
              <w:t>38.4</w:t>
            </w:r>
          </w:p>
        </w:tc>
        <w:tc>
          <w:tcPr>
            <w:tcW w:w="0" w:type="dxa"/>
            <w:vAlign w:val="bottom"/>
          </w:tcPr>
          <w:p>
            <w:pPr>
              <w:spacing w:after="0"/>
              <w:rPr>
                <w:sz w:val="1"/>
                <w:szCs w:val="1"/>
                <w:color w:val="auto"/>
              </w:rPr>
            </w:pPr>
          </w:p>
        </w:tc>
      </w:tr>
      <w:tr>
        <w:trPr>
          <w:trHeight w:val="191"/>
        </w:trPr>
        <w:tc>
          <w:tcPr>
            <w:tcW w:w="4000" w:type="dxa"/>
            <w:vAlign w:val="bottom"/>
            <w:gridSpan w:val="4"/>
          </w:tcPr>
          <w:p>
            <w:pPr>
              <w:ind w:left="40"/>
              <w:spacing w:after="0"/>
              <w:rPr>
                <w:sz w:val="20"/>
                <w:szCs w:val="20"/>
                <w:color w:val="auto"/>
              </w:rPr>
            </w:pPr>
            <w:r>
              <w:rPr>
                <w:rFonts w:ascii="Arial" w:cs="Arial" w:eastAsia="Arial" w:hAnsi="Arial"/>
                <w:sz w:val="14"/>
                <w:szCs w:val="14"/>
                <w:color w:val="auto"/>
              </w:rPr>
              <w:t>Surface Technologies</w:t>
            </w: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Total segment operating profit</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FF0000"/>
              </w:rPr>
              <w:t>2.9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FF0000"/>
              </w:rPr>
              <w:t>178.4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254.9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FF0000"/>
              </w:rPr>
              <w:t>(20.1)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FF0000"/>
              </w:rPr>
              <w:t>234.8</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Corporate items: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c>
          <w:tcPr>
            <w:tcW w:w="21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000" w:type="dxa"/>
            <w:vAlign w:val="bottom"/>
            <w:gridSpan w:val="4"/>
          </w:tcPr>
          <w:p>
            <w:pPr>
              <w:ind w:left="40"/>
              <w:spacing w:after="0"/>
              <w:rPr>
                <w:sz w:val="20"/>
                <w:szCs w:val="20"/>
                <w:color w:val="auto"/>
              </w:rPr>
            </w:pPr>
            <w:r>
              <w:rPr>
                <w:rFonts w:ascii="Arial" w:cs="Arial" w:eastAsia="Arial" w:hAnsi="Arial"/>
                <w:sz w:val="14"/>
                <w:szCs w:val="14"/>
                <w:color w:val="auto"/>
              </w:rPr>
              <w:t xml:space="preserve">Corporate income (expense) </w:t>
            </w:r>
            <w:r>
              <w:rPr>
                <w:rFonts w:ascii="Arial" w:cs="Arial" w:eastAsia="Arial" w:hAnsi="Arial"/>
                <w:sz w:val="8"/>
                <w:szCs w:val="8"/>
                <w:color w:val="auto"/>
              </w:rPr>
              <w:t>(1)</w:t>
            </w:r>
          </w:p>
        </w:tc>
        <w:tc>
          <w:tcPr>
            <w:tcW w:w="1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204.2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EE2724"/>
              </w:rPr>
              <w:t>(263.9)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EE2724"/>
              </w:rPr>
              <w:t>(59.7)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EE2724"/>
              </w:rPr>
              <w:t>(8.2)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EE2724"/>
              </w:rPr>
              <w:t>(55.0)</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Net interest expense</w:t>
            </w: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EE2724"/>
              </w:rPr>
              <w:t>(0.4)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EE2724"/>
              </w:rPr>
              <w:t>(82.1)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00" w:type="dxa"/>
            <w:vAlign w:val="bottom"/>
            <w:gridSpan w:val="4"/>
          </w:tcPr>
          <w:p>
            <w:pPr>
              <w:ind w:left="40"/>
              <w:spacing w:after="0"/>
              <w:rPr>
                <w:sz w:val="20"/>
                <w:szCs w:val="20"/>
                <w:color w:val="auto"/>
              </w:rPr>
            </w:pPr>
            <w:r>
              <w:rPr>
                <w:rFonts w:ascii="Arial" w:cs="Arial" w:eastAsia="Arial" w:hAnsi="Arial"/>
                <w:sz w:val="14"/>
                <w:szCs w:val="14"/>
                <w:color w:val="auto"/>
              </w:rPr>
              <w:t>Total corporate items</w:t>
            </w: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EE2724"/>
              </w:rPr>
              <w:t>(264.3)</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EE2724"/>
              </w:rPr>
              <w:t>(141.8)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EE2724"/>
              </w:rPr>
              <w:t>(8.2)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EE2724"/>
              </w:rPr>
              <w:t>(68.3)</w:t>
            </w: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c>
          <w:tcPr>
            <w:tcW w:w="820" w:type="dxa"/>
            <w:vAlign w:val="bottom"/>
            <w:tcBorders>
              <w:bottom w:val="single" w:sz="8" w:color="CCEEFF"/>
            </w:tcBorders>
          </w:tcPr>
          <w:p>
            <w:pPr>
              <w:spacing w:after="0"/>
              <w:rPr>
                <w:sz w:val="6"/>
                <w:szCs w:val="6"/>
                <w:color w:val="auto"/>
              </w:rPr>
            </w:pPr>
          </w:p>
        </w:tc>
        <w:tc>
          <w:tcPr>
            <w:tcW w:w="21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 xml:space="preserve">Income before income taxes </w:t>
            </w:r>
            <w:r>
              <w:rPr>
                <w:rFonts w:ascii="Arial" w:cs="Arial" w:eastAsia="Arial" w:hAnsi="Arial"/>
                <w:sz w:val="8"/>
                <w:szCs w:val="8"/>
                <w:color w:val="auto"/>
              </w:rPr>
              <w:t>(2)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298.0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EE2724"/>
              </w:rPr>
              <w:t>(261.4)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EE2724"/>
              </w:rPr>
              <w:t>36.6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194.8</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(28.3)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EE2724"/>
              </w:rPr>
              <w:t>166.5</w:t>
            </w: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218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0" w:right="280" w:hanging="165"/>
        <w:spacing w:after="0" w:line="230" w:lineRule="auto"/>
        <w:tabs>
          <w:tab w:leader="none" w:pos="178" w:val="left"/>
        </w:tabs>
        <w:numPr>
          <w:ilvl w:val="0"/>
          <w:numId w:val="3"/>
        </w:numPr>
        <w:rPr>
          <w:rFonts w:ascii="Arial" w:cs="Arial" w:eastAsia="Arial" w:hAnsi="Arial"/>
          <w:sz w:val="9"/>
          <w:szCs w:val="9"/>
          <w:color w:val="auto"/>
        </w:rPr>
      </w:pPr>
      <w:r>
        <w:rPr>
          <w:rFonts w:ascii="Arial" w:cs="Arial" w:eastAsia="Arial" w:hAnsi="Arial"/>
          <w:sz w:val="14"/>
          <w:szCs w:val="14"/>
          <w:color w:val="auto"/>
        </w:rPr>
        <w:t>Corporate income (expense) primarily includes corporate staff expenses, stock-based compensation expenses, other employee benefits, certain foreign exchange gains and losses, and merger-related transaction expenses.</w:t>
      </w:r>
    </w:p>
    <w:p>
      <w:pPr>
        <w:ind w:left="180" w:hanging="145"/>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Includes amounts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-294640</wp:posOffset>
            </wp:positionV>
            <wp:extent cx="4707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340"/>
          </w:cols>
          <w:pgMar w:left="300" w:top="52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Trade receivables,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Costs in excess of billings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Inventories,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current assets</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Short-term debt and current portion of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 trade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Advance payments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Billings in excess of costs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current liabilities</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Long-term debt, less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TechnipFMC plc stockholders’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Noncontrolling interests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46824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As Previously</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Restatement</w:t>
            </w:r>
          </w:p>
        </w:tc>
        <w:tc>
          <w:tcPr>
            <w:tcW w:w="16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3"/>
              </w:rPr>
              <w:t>As Restated</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As Previously</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Restatement</w:t>
            </w:r>
          </w:p>
        </w:tc>
        <w:tc>
          <w:tcPr>
            <w:tcW w:w="140" w:type="dxa"/>
            <w:vAlign w:val="bottom"/>
          </w:tcPr>
          <w:p>
            <w:pPr>
              <w:spacing w:after="0"/>
              <w:rPr>
                <w:sz w:val="13"/>
                <w:szCs w:val="13"/>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8"/>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7,041.7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7,041.7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6,269.3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6,269.3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2,433.3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2,433.3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2,024.5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2,024.5</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1,036.8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485.8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485.8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983.5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983.5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334.7</w:t>
            </w:r>
          </w:p>
        </w:tc>
        <w:tc>
          <w:tcPr>
            <w:tcW w:w="0" w:type="dxa"/>
            <w:vAlign w:val="bottom"/>
          </w:tcPr>
          <w:p>
            <w:pPr>
              <w:spacing w:after="0"/>
              <w:rPr>
                <w:sz w:val="1"/>
                <w:szCs w:val="1"/>
                <w:color w:val="auto"/>
              </w:rPr>
            </w:pPr>
          </w:p>
        </w:tc>
      </w:tr>
      <w:tr>
        <w:trPr>
          <w:trHeight w:val="276"/>
        </w:trPr>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2,239.5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2,239.5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1,822.9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1,822.9</w:t>
            </w: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13,734.8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13,734.8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10,937.2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10,937.2</w:t>
            </w: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3,975.5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3,975.5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2,620.1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2,620.1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9,023.6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9,023.6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3,718.3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3,718.3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1,580.0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EE2724"/>
              </w:rPr>
              <w:t>(78.8)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EE2724"/>
              </w:rPr>
              <w:t>1,501.2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EE2724"/>
              </w:rPr>
              <w:t>(81.7)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EE2724"/>
              </w:rPr>
              <w:t>173.7</w:t>
            </w:r>
          </w:p>
        </w:tc>
        <w:tc>
          <w:tcPr>
            <w:tcW w:w="0" w:type="dxa"/>
            <w:vAlign w:val="bottom"/>
          </w:tcPr>
          <w:p>
            <w:pPr>
              <w:spacing w:after="0"/>
              <w:rPr>
                <w:sz w:val="1"/>
                <w:szCs w:val="1"/>
                <w:color w:val="auto"/>
              </w:rPr>
            </w:pPr>
          </w:p>
        </w:tc>
      </w:tr>
      <w:tr>
        <w:trPr>
          <w:trHeight w:val="276"/>
        </w:trPr>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EE2724"/>
              </w:rPr>
              <w:t>124.2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EE2724"/>
              </w:rPr>
              <w:t>1,380.8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1,168.1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EE2724"/>
              </w:rPr>
              <w:t>72.3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EE2724"/>
              </w:rPr>
              <w:t>1,240.4</w:t>
            </w:r>
          </w:p>
        </w:tc>
        <w:tc>
          <w:tcPr>
            <w:tcW w:w="0" w:type="dxa"/>
            <w:vAlign w:val="bottom"/>
          </w:tcPr>
          <w:p>
            <w:pPr>
              <w:spacing w:after="0"/>
              <w:rPr>
                <w:sz w:val="1"/>
                <w:szCs w:val="1"/>
                <w:color w:val="auto"/>
              </w:rPr>
            </w:pP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29,570.5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EE2724"/>
              </w:rPr>
              <w:t>45.4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EE2724"/>
              </w:rPr>
              <w:t>29,615.9</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18,699.1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(9.4)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EE2724"/>
              </w:rPr>
              <w:t>18,689.7</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499.0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499.0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683.6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683.6</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4,131.5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4,131.5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3,837.7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3,837.7</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411.1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3,478.7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EE2724"/>
              </w:rPr>
              <w:t>222.4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EE2724"/>
              </w:rPr>
              <w:t>3,701.1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3,364.5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EE2724"/>
              </w:rPr>
              <w:t>(41.5)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EE2724"/>
              </w:rPr>
              <w:t>3,323.0</w:t>
            </w: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3,072.9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3,072.9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2,633.5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2,633.5</w:t>
            </w:r>
          </w:p>
        </w:tc>
        <w:tc>
          <w:tcPr>
            <w:tcW w:w="0" w:type="dxa"/>
            <w:vAlign w:val="bottom"/>
          </w:tcPr>
          <w:p>
            <w:pPr>
              <w:spacing w:after="0"/>
              <w:rPr>
                <w:sz w:val="1"/>
                <w:szCs w:val="1"/>
                <w:color w:val="auto"/>
              </w:rPr>
            </w:pPr>
          </w:p>
        </w:tc>
      </w:tr>
      <w:tr>
        <w:trPr>
          <w:trHeight w:val="244"/>
        </w:trPr>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11,497.0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EE2724"/>
              </w:rPr>
              <w:t>222.4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EE2724"/>
              </w:rPr>
              <w:t>11,719.4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10,930.4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EE2724"/>
              </w:rPr>
              <w:t>(41.5)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EE2724"/>
              </w:rPr>
              <w:t>10,888.9</w:t>
            </w: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3,082.8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3,082.8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1,869.3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1,869.3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1,431.5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820.0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EE2724"/>
              </w:rPr>
              <w:t>(0.4)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EE2724"/>
              </w:rPr>
              <w:t>819.6</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13,552.8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EE2724"/>
              </w:rPr>
              <w:t>(177.0)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EE2724"/>
              </w:rPr>
              <w:t>13,375.8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5,091.1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EE2724"/>
              </w:rPr>
              <w:t>32.5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EE2724"/>
              </w:rPr>
              <w:t>5,123.6</w:t>
            </w: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29,570.5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EE2724"/>
              </w:rPr>
              <w:t>45.4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EE2724"/>
              </w:rPr>
              <w:t>29,615.9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18,699.1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EE2724"/>
              </w:rPr>
              <w:t>(9.4)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EE2724"/>
              </w:rPr>
              <w:t>18,689.7</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-4501515</wp:posOffset>
            </wp:positionV>
            <wp:extent cx="721233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-4150360</wp:posOffset>
            </wp:positionV>
            <wp:extent cx="72123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-3806825</wp:posOffset>
            </wp:positionV>
            <wp:extent cx="72123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-3463925</wp:posOffset>
            </wp:positionV>
            <wp:extent cx="72123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-3121025</wp:posOffset>
            </wp:positionV>
            <wp:extent cx="72123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-2778125</wp:posOffset>
            </wp:positionV>
            <wp:extent cx="72123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-2434590</wp:posOffset>
            </wp:positionV>
            <wp:extent cx="72123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-2074545</wp:posOffset>
            </wp:positionV>
            <wp:extent cx="72123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-1731645</wp:posOffset>
            </wp:positionV>
            <wp:extent cx="72123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-1388745</wp:posOffset>
            </wp:positionV>
            <wp:extent cx="72123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-1045845</wp:posOffset>
            </wp:positionV>
            <wp:extent cx="72123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-702310</wp:posOffset>
            </wp:positionV>
            <wp:extent cx="72123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-359410</wp:posOffset>
            </wp:positionV>
            <wp:extent cx="72123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ectPr>
          <w:pgSz w:w="11900" w:h="16838" w:orient="portrait"/>
          <w:cols w:equalWidth="0" w:num="2">
            <w:col w:w="3240" w:space="720"/>
            <w:col w:w="7380"/>
          </w:cols>
          <w:pgMar w:left="300" w:top="526" w:right="25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CONDENSED CONSOLIDATED STATEMENT OF CASH FLOWS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380"/>
          </w:cols>
          <w:pgMar w:left="280" w:top="5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Cash provided (required) by operating activities: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Asset impairments charges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Trade receivables, net and costs in excess of billings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Inventories,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 trade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Advance payments and billings in excess of costs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cash provided by operating activities</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Cash provided (required) by investing activities: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Capital expenditures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acquired in merger of Technip and FMC Technologies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investing</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cash provided (required) by investing activities</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Cash provided (required) by financing activities: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increase (decrease) in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financing</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cash required by financing activities</w:t>
      </w: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color w:val="auto"/>
        </w:rPr>
        <w:t>Effect of changes in foreign exchange rates on cash and cash equivalents</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Increase (decrease) in cash and cash equivalents</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beginning of period</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as reported on Form 10-Q filed on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4164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4164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Restatement</w:t>
            </w:r>
          </w:p>
        </w:tc>
        <w:tc>
          <w:tcPr>
            <w:tcW w:w="12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Restated</w:t>
            </w: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Restatement</w:t>
            </w:r>
          </w:p>
        </w:tc>
        <w:tc>
          <w:tcPr>
            <w:tcW w:w="120" w:type="dxa"/>
            <w:vAlign w:val="bottom"/>
          </w:tcPr>
          <w:p>
            <w:pPr>
              <w:spacing w:after="0"/>
              <w:rPr>
                <w:sz w:val="13"/>
                <w:szCs w:val="13"/>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8"/>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194.3</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EE2724"/>
              </w:rPr>
              <w:t>(209.5)</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EE2724"/>
              </w:rPr>
              <w:t>(15.2)</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EE2724"/>
              </w:rPr>
              <w:t>(26.7)</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EE2724"/>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EE2724"/>
              </w:rPr>
              <w:t>120.6</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EE2724"/>
              </w:rPr>
              <w:t>(2.9)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EE2724"/>
              </w:rPr>
              <w:t>151.2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EE2724"/>
              </w:rPr>
              <w:t>263.9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EE2724"/>
              </w:rPr>
              <w:t>43.3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EE2724"/>
              </w:rPr>
              <w:t>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EE2724"/>
              </w:rPr>
              <w:t>(83.4)</w:t>
            </w:r>
          </w:p>
        </w:tc>
        <w:tc>
          <w:tcPr>
            <w:tcW w:w="0" w:type="dxa"/>
            <w:vAlign w:val="bottom"/>
          </w:tcPr>
          <w:p>
            <w:pPr>
              <w:spacing w:after="0"/>
              <w:rPr>
                <w:sz w:val="1"/>
                <w:szCs w:val="1"/>
                <w:color w:val="auto"/>
              </w:rPr>
            </w:pPr>
          </w:p>
        </w:tc>
      </w:tr>
      <w:tr>
        <w:trPr>
          <w:trHeight w:val="276"/>
        </w:trPr>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EE2724"/>
              </w:rPr>
              <w:t>(51.5)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(254.2)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EE2724"/>
              </w:rPr>
              <w:t>18.5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EE2724"/>
              </w:rPr>
              <w:t>81.8</w:t>
            </w: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783"/>
        </w:trPr>
        <w:tc>
          <w:tcPr>
            <w:tcW w:w="1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1,479.2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1,479.2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1,442.9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1,442.9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783"/>
        </w:trPr>
        <w:tc>
          <w:tcPr>
            <w:tcW w:w="1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(820.1)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(249.8)</w:t>
            </w:r>
          </w:p>
        </w:tc>
        <w:tc>
          <w:tcPr>
            <w:tcW w:w="0" w:type="dxa"/>
            <w:vAlign w:val="bottom"/>
          </w:tcPr>
          <w:p>
            <w:pPr>
              <w:spacing w:after="0"/>
              <w:rPr>
                <w:sz w:val="1"/>
                <w:szCs w:val="1"/>
                <w:color w:val="auto"/>
              </w:rPr>
            </w:pPr>
          </w:p>
        </w:tc>
      </w:tr>
      <w:tr>
        <w:trPr>
          <w:trHeight w:val="276"/>
        </w:trPr>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(269.2)</w:t>
            </w:r>
          </w:p>
        </w:tc>
        <w:tc>
          <w:tcPr>
            <w:tcW w:w="0" w:type="dxa"/>
            <w:vAlign w:val="bottom"/>
          </w:tcPr>
          <w:p>
            <w:pPr>
              <w:spacing w:after="0"/>
              <w:rPr>
                <w:sz w:val="1"/>
                <w:szCs w:val="1"/>
                <w:color w:val="auto"/>
              </w:rPr>
            </w:pPr>
          </w:p>
        </w:tc>
      </w:tr>
      <w:tr>
        <w:trPr>
          <w:trHeight w:val="519"/>
        </w:trPr>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501"/>
        </w:trPr>
        <w:tc>
          <w:tcPr>
            <w:tcW w:w="10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772.4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772.4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519"/>
        </w:trPr>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6,269.3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6,269.3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3,178.0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3,178.0</w:t>
            </w:r>
          </w:p>
        </w:tc>
        <w:tc>
          <w:tcPr>
            <w:tcW w:w="0" w:type="dxa"/>
            <w:vAlign w:val="bottom"/>
          </w:tcPr>
          <w:p>
            <w:pPr>
              <w:spacing w:after="0"/>
              <w:rPr>
                <w:sz w:val="1"/>
                <w:szCs w:val="1"/>
                <w:color w:val="auto"/>
              </w:rPr>
            </w:pPr>
          </w:p>
        </w:tc>
      </w:tr>
      <w:tr>
        <w:trPr>
          <w:trHeight w:val="501"/>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7,041.7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7,041.7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2,946.5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-4888230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-4537075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-4194175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-3850640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-3507740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-3164840</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-2839085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-2496185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-2152650</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-1826895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-1483995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-1158240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-823595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-497840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-163195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2">
            <w:col w:w="4180" w:space="240"/>
            <w:col w:w="6960"/>
          </w:cols>
          <w:pgMar w:left="280" w:top="526"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39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Reconciliation of U.S. GAAP to non-GAAP financial measures for TechnipFMC plc and consolidated subsidiaries are provided on the following page. The financial results reflect the following information:</w:t>
      </w:r>
    </w:p>
    <w:p>
      <w:pPr>
        <w:spacing w:after="0" w:line="215" w:lineRule="exact"/>
        <w:rPr>
          <w:sz w:val="20"/>
          <w:szCs w:val="20"/>
          <w:color w:val="auto"/>
        </w:rPr>
      </w:pPr>
    </w:p>
    <w:p>
      <w:pPr>
        <w:ind w:left="560" w:hanging="322"/>
        <w:spacing w:after="0" w:line="239" w:lineRule="auto"/>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1" w:lineRule="exact"/>
        <w:rPr>
          <w:rFonts w:ascii="Arial" w:cs="Arial" w:eastAsia="Arial" w:hAnsi="Arial"/>
          <w:sz w:val="20"/>
          <w:szCs w:val="20"/>
          <w:color w:val="auto"/>
        </w:rPr>
      </w:pPr>
    </w:p>
    <w:p>
      <w:pPr>
        <w:jc w:val="both"/>
        <w:ind w:left="560" w:hanging="322"/>
        <w:spacing w:after="0" w:line="243" w:lineRule="auto"/>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December of 2016, Technip increased its ownership in the Yamal LNG Joint Venture and became the controlling shareholder. Under US GAAP, this would have resulted in full consolidation of the Joint Venture on the date of the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Non-GAAP results for the three months ended March 31, 2017:</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jc w:val="both"/>
        <w:ind w:left="660" w:hanging="328"/>
        <w:spacing w:after="0" w:line="239"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March 31, 2017; revenues of $112.9 million during the period from January 1 to January 16, 2017 were excluded, of which approximately 70 percent from Subsea and the remainder from Surface Technologies; and</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Fully consolidate the Yamal LNG Joint Venture for the full period, within the Onshore/Offshore segment.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Non-GAAP pro forma results for the three months ended March 31, 2016:</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Include the results of both Technip and FMC Technologies for the full period;</w:t>
      </w:r>
    </w:p>
    <w:p>
      <w:pPr>
        <w:ind w:left="660" w:hanging="328"/>
        <w:spacing w:after="0" w:line="239"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Combine FMC Technologies’ former Surface Technologies and Energy Infrastructure segments to form the pro forma Surface Technologies segment;</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Purchase price accounting adjustments applied on an equal basis to first quarter 2017 results to provide comparability; and</w:t>
      </w:r>
    </w:p>
    <w:p>
      <w:pPr>
        <w:spacing w:after="0" w:line="11" w:lineRule="exact"/>
        <w:rPr>
          <w:rFonts w:ascii="Arial" w:cs="Arial" w:eastAsia="Arial" w:hAnsi="Arial"/>
          <w:sz w:val="19"/>
          <w:szCs w:val="19"/>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Fully consolidate the Yamal LNG Joint Venture for the full period, within the Onshore/Offshore segment.</w:t>
      </w:r>
    </w:p>
    <w:p>
      <w:pPr>
        <w:sectPr>
          <w:pgSz w:w="11900" w:h="16838" w:orient="portrait"/>
          <w:cols w:equalWidth="0" w:num="1">
            <w:col w:w="11420"/>
          </w:cols>
          <w:pgMar w:left="240" w:top="355" w:right="239" w:bottom="1440" w:gutter="0" w:footer="0" w:header="0"/>
        </w:sectPr>
      </w:pPr>
    </w:p>
    <w:bookmarkStart w:id="11" w:name="page12"/>
    <w:bookmarkEnd w:id="11"/>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Charges and Credits</w:t>
      </w:r>
    </w:p>
    <w:p>
      <w:pPr>
        <w:spacing w:after="0" w:line="12"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First Quarter 2017 Earnings Release also includes non-GAAP financial measures (as defined in Item 10 of Regulation S-K of the Securities Exchange Act of 1934, as amended) and describes performance on a year-over-year basis against 2016 pro forma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76200</wp:posOffset>
            </wp:positionV>
            <wp:extent cx="49314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172" w:lineRule="exact"/>
        <w:rPr>
          <w:sz w:val="20"/>
          <w:szCs w:val="20"/>
          <w:color w:val="auto"/>
        </w:rPr>
      </w:pPr>
    </w:p>
    <w:p>
      <w:pPr>
        <w:jc w:val="center"/>
        <w:ind w:left="146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left="1460"/>
        <w:spacing w:after="0"/>
        <w:rPr>
          <w:sz w:val="20"/>
          <w:szCs w:val="20"/>
          <w:color w:val="auto"/>
        </w:rPr>
      </w:pPr>
      <w:r>
        <w:rPr>
          <w:rFonts w:ascii="Arial" w:cs="Arial" w:eastAsia="Arial" w:hAnsi="Arial"/>
          <w:sz w:val="14"/>
          <w:szCs w:val="14"/>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23495</wp:posOffset>
            </wp:positionV>
            <wp:extent cx="49314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2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63"/>
        </w:trPr>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center"/>
              <w:ind w:right="51"/>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72"/>
        </w:trPr>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4"/>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expense, income</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income</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Net (income) loss</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7"/>
              </w:rPr>
              <w:t>expense and</w:t>
            </w: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Depreciation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51"/>
              <w:spacing w:after="0" w:line="126" w:lineRule="exact"/>
              <w:rPr>
                <w:sz w:val="20"/>
                <w:szCs w:val="20"/>
                <w:color w:val="auto"/>
              </w:rPr>
            </w:pPr>
            <w:r>
              <w:rPr>
                <w:rFonts w:ascii="Arial" w:cs="Arial" w:eastAsia="Arial" w:hAnsi="Arial"/>
                <w:sz w:val="13"/>
                <w:szCs w:val="13"/>
                <w:b w:val="1"/>
                <w:bCs w:val="1"/>
                <w:color w:val="auto"/>
                <w:w w:val="86"/>
              </w:rPr>
              <w:t>taxes,</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6"/>
              </w:rPr>
              <w:t>attributable to</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attributable to</w:t>
            </w:r>
          </w:p>
        </w:tc>
        <w:tc>
          <w:tcPr>
            <w:tcW w:w="100" w:type="dxa"/>
            <w:vAlign w:val="bottom"/>
          </w:tcPr>
          <w:p>
            <w:pPr>
              <w:spacing w:after="0"/>
              <w:rPr>
                <w:sz w:val="11"/>
                <w:szCs w:val="11"/>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7"/>
              </w:rPr>
              <w:t>Provision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Net 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income taxes</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depreciation and</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TechnipFMC</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noncontrolling</w:t>
            </w:r>
          </w:p>
        </w:tc>
        <w:tc>
          <w:tcPr>
            <w:tcW w:w="10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7"/>
              </w:rPr>
              <w:t>amortization</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plc</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income taxes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1"/>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38"/>
        </w:trPr>
        <w:tc>
          <w:tcPr>
            <w:tcW w:w="134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4"/>
                <w:szCs w:val="14"/>
                <w:color w:val="auto"/>
              </w:rPr>
              <w:t>TechnipFMC plc, as</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w:t>
            </w:r>
          </w:p>
        </w:tc>
        <w:tc>
          <w:tcPr>
            <w:tcW w:w="6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533.8</w:t>
            </w:r>
          </w:p>
        </w:tc>
        <w:tc>
          <w:tcPr>
            <w:tcW w:w="0" w:type="dxa"/>
            <w:vAlign w:val="bottom"/>
          </w:tcPr>
          <w:p>
            <w:pPr>
              <w:spacing w:after="0"/>
              <w:rPr>
                <w:sz w:val="1"/>
                <w:szCs w:val="1"/>
                <w:color w:val="auto"/>
              </w:rPr>
            </w:pPr>
          </w:p>
        </w:tc>
      </w:tr>
      <w:tr>
        <w:trPr>
          <w:trHeight w:val="157"/>
        </w:trPr>
        <w:tc>
          <w:tcPr>
            <w:tcW w:w="1340" w:type="dxa"/>
            <w:vAlign w:val="bottom"/>
          </w:tcPr>
          <w:p>
            <w:pPr>
              <w:ind w:left="20"/>
              <w:spacing w:after="0" w:line="157" w:lineRule="exact"/>
              <w:rPr>
                <w:sz w:val="20"/>
                <w:szCs w:val="20"/>
                <w:color w:val="auto"/>
              </w:rPr>
            </w:pPr>
            <w:r>
              <w:rPr>
                <w:rFonts w:ascii="Arial" w:cs="Arial" w:eastAsia="Arial" w:hAnsi="Arial"/>
                <w:sz w:val="14"/>
                <w:szCs w:val="14"/>
                <w:color w:val="EE2724"/>
              </w:rPr>
              <w:t>Restatement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EE2724"/>
              </w:rPr>
              <w:t>Adjustments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EE2724"/>
              </w:rPr>
              <w:t>(209.5)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EE2724"/>
              </w:rPr>
              <w:t>(51.9)</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EE2724"/>
              </w:rPr>
              <w:t>(0.4)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(261.0)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(2.9)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EE2724"/>
              </w:rPr>
              <w:t>(263.9)</w:t>
            </w:r>
          </w:p>
        </w:tc>
        <w:tc>
          <w:tcPr>
            <w:tcW w:w="0" w:type="dxa"/>
            <w:vAlign w:val="bottom"/>
          </w:tcPr>
          <w:p>
            <w:pPr>
              <w:spacing w:after="0"/>
              <w:rPr>
                <w:sz w:val="1"/>
                <w:szCs w:val="1"/>
                <w:color w:val="auto"/>
              </w:rPr>
            </w:pPr>
          </w:p>
        </w:tc>
      </w:tr>
      <w:tr>
        <w:trPr>
          <w:trHeight w:val="177"/>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As Restated</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EE2724"/>
              </w:rPr>
              <w:t>(18.7)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EE2724"/>
              </w:rPr>
              <w:t>51.8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EE2724"/>
              </w:rPr>
              <w:t>(82.1)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EE2724"/>
              </w:rPr>
              <w:t>118.7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151.2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EE2724"/>
              </w:rPr>
              <w:t>269.9</w:t>
            </w:r>
          </w:p>
        </w:tc>
        <w:tc>
          <w:tcPr>
            <w:tcW w:w="0" w:type="dxa"/>
            <w:vAlign w:val="bottom"/>
          </w:tcPr>
          <w:p>
            <w:pPr>
              <w:spacing w:after="0"/>
              <w:rPr>
                <w:sz w:val="1"/>
                <w:szCs w:val="1"/>
                <w:color w:val="auto"/>
              </w:rPr>
            </w:pPr>
          </w:p>
        </w:tc>
      </w:tr>
      <w:tr>
        <w:trPr>
          <w:trHeight w:val="80"/>
        </w:trPr>
        <w:tc>
          <w:tcPr>
            <w:tcW w:w="1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Charges and (credits):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Impairment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160"/>
              <w:spacing w:after="0"/>
              <w:rPr>
                <w:sz w:val="20"/>
                <w:szCs w:val="20"/>
                <w:color w:val="auto"/>
              </w:rPr>
            </w:pPr>
            <w:r>
              <w:rPr>
                <w:rFonts w:ascii="Arial" w:cs="Arial" w:eastAsia="Arial" w:hAnsi="Arial"/>
                <w:sz w:val="14"/>
                <w:szCs w:val="14"/>
                <w:color w:val="auto"/>
              </w:rPr>
              <w:t>other charges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Restructuring and</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severance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57"/>
        </w:trPr>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Business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160"/>
              <w:spacing w:after="0" w:line="149" w:lineRule="exact"/>
              <w:rPr>
                <w:sz w:val="20"/>
                <w:szCs w:val="20"/>
                <w:color w:val="auto"/>
              </w:rPr>
            </w:pPr>
            <w:r>
              <w:rPr>
                <w:rFonts w:ascii="Arial" w:cs="Arial" w:eastAsia="Arial" w:hAnsi="Arial"/>
                <w:sz w:val="14"/>
                <w:szCs w:val="14"/>
                <w:color w:val="auto"/>
              </w:rPr>
              <w:t>combination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15.9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price</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accounting</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43"/>
        </w:trPr>
        <w:tc>
          <w:tcPr>
            <w:tcW w:w="13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measures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330.9</w:t>
            </w:r>
          </w:p>
        </w:tc>
        <w:tc>
          <w:tcPr>
            <w:tcW w:w="6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684.4</w:t>
            </w:r>
          </w:p>
        </w:tc>
        <w:tc>
          <w:tcPr>
            <w:tcW w:w="0" w:type="dxa"/>
            <w:vAlign w:val="bottom"/>
          </w:tcPr>
          <w:p>
            <w:pPr>
              <w:spacing w:after="0"/>
              <w:rPr>
                <w:sz w:val="1"/>
                <w:szCs w:val="1"/>
                <w:color w:val="auto"/>
              </w:rPr>
            </w:pPr>
          </w:p>
        </w:tc>
      </w:tr>
      <w:tr>
        <w:trPr>
          <w:trHeight w:val="191"/>
        </w:trPr>
        <w:tc>
          <w:tcPr>
            <w:tcW w:w="1340" w:type="dxa"/>
            <w:vAlign w:val="bottom"/>
          </w:tcPr>
          <w:p>
            <w:pPr>
              <w:ind w:left="20"/>
              <w:spacing w:after="0"/>
              <w:rPr>
                <w:sz w:val="20"/>
                <w:szCs w:val="20"/>
                <w:color w:val="auto"/>
              </w:rPr>
            </w:pPr>
            <w:r>
              <w:rPr>
                <w:rFonts w:ascii="Arial" w:cs="Arial" w:eastAsia="Arial" w:hAnsi="Arial"/>
                <w:sz w:val="14"/>
                <w:szCs w:val="14"/>
                <w:color w:val="EE2724"/>
              </w:rPr>
              <w:t>As Restated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EE2724"/>
              </w:rPr>
              <w:t>121.4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EE2724"/>
              </w:rPr>
              <w:t>105.5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EE2724"/>
              </w:rPr>
              <w:t>(81.8)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EE2724"/>
              </w:rPr>
              <w:t>312.2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EE2724"/>
              </w:rPr>
              <w:t>108.3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color w:val="EE2724"/>
              </w:rPr>
              <w:t>420.5</w:t>
            </w: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15"/>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15"/>
          </w:tcPr>
          <w:p>
            <w:pPr>
              <w:jc w:val="center"/>
              <w:ind w:right="680"/>
              <w:spacing w:after="0"/>
              <w:rPr>
                <w:sz w:val="20"/>
                <w:szCs w:val="20"/>
                <w:color w:val="auto"/>
              </w:rPr>
            </w:pPr>
            <w:r>
              <w:rPr>
                <w:rFonts w:ascii="Arial" w:cs="Arial" w:eastAsia="Arial" w:hAnsi="Arial"/>
                <w:sz w:val="14"/>
                <w:szCs w:val="14"/>
                <w:b w:val="1"/>
                <w:bCs w:val="1"/>
                <w:color w:val="auto"/>
                <w:w w:val="95"/>
              </w:rPr>
              <w:t>Pro Forma Three Months Ended</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6"/>
              </w:rPr>
              <w:t>March 31, 2016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Earnings before</w:t>
            </w:r>
          </w:p>
        </w:tc>
        <w:tc>
          <w:tcPr>
            <w:tcW w:w="0" w:type="dxa"/>
            <w:vAlign w:val="bottom"/>
          </w:tcPr>
          <w:p>
            <w:pPr>
              <w:spacing w:after="0"/>
              <w:rPr>
                <w:sz w:val="1"/>
                <w:szCs w:val="1"/>
                <w:color w:val="auto"/>
              </w:rPr>
            </w:pPr>
          </w:p>
        </w:tc>
      </w:tr>
      <w:tr>
        <w:trPr>
          <w:trHeight w:val="63"/>
        </w:trPr>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center"/>
              <w:ind w:right="91"/>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72"/>
        </w:trPr>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4"/>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2"/>
              </w:rPr>
              <w:t>expense, income</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Net income</w:t>
            </w:r>
          </w:p>
        </w:tc>
        <w:tc>
          <w:tcPr>
            <w:tcW w:w="40" w:type="dxa"/>
            <w:vAlign w:val="bottom"/>
          </w:tcPr>
          <w:p>
            <w:pPr>
              <w:spacing w:after="0"/>
              <w:rPr>
                <w:sz w:val="5"/>
                <w:szCs w:val="5"/>
                <w:color w:val="auto"/>
              </w:rPr>
            </w:pPr>
          </w:p>
        </w:tc>
        <w:tc>
          <w:tcPr>
            <w:tcW w:w="12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0"/>
              </w:rPr>
              <w:t>Net (income) loss</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87"/>
              </w:rPr>
              <w:t>expense and</w:t>
            </w: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5"/>
            <w:vMerge w:val="continue"/>
          </w:tcPr>
          <w:p>
            <w:pPr>
              <w:spacing w:after="0"/>
              <w:rPr>
                <w:sz w:val="10"/>
                <w:szCs w:val="10"/>
                <w:color w:val="auto"/>
              </w:rPr>
            </w:pPr>
          </w:p>
        </w:tc>
        <w:tc>
          <w:tcPr>
            <w:tcW w:w="9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Depreciation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71"/>
              <w:spacing w:after="0" w:line="126" w:lineRule="exact"/>
              <w:rPr>
                <w:sz w:val="20"/>
                <w:szCs w:val="20"/>
                <w:color w:val="auto"/>
              </w:rPr>
            </w:pPr>
            <w:r>
              <w:rPr>
                <w:rFonts w:ascii="Arial" w:cs="Arial" w:eastAsia="Arial" w:hAnsi="Arial"/>
                <w:sz w:val="13"/>
                <w:szCs w:val="13"/>
                <w:b w:val="1"/>
                <w:bCs w:val="1"/>
                <w:color w:val="auto"/>
                <w:w w:val="81"/>
              </w:rPr>
              <w:t>taxes,</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12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6"/>
              </w:rPr>
              <w:t>attributable to</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attributable to</w:t>
            </w: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Provision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Net 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5"/>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income taxes</w:t>
            </w:r>
          </w:p>
        </w:tc>
        <w:tc>
          <w:tcPr>
            <w:tcW w:w="9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depreciation and</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7"/>
              </w:rPr>
              <w:t>TechnipFMC</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noncontrolling</w:t>
            </w:r>
          </w:p>
        </w:tc>
        <w:tc>
          <w:tcPr>
            <w:tcW w:w="10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0"/>
              </w:rPr>
              <w:t>amortization</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plc</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income taxes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8"/>
              </w:rPr>
              <w:t>profit)</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91"/>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38"/>
        </w:trPr>
        <w:tc>
          <w:tcPr>
            <w:tcW w:w="134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4"/>
                <w:szCs w:val="14"/>
                <w:color w:val="auto"/>
              </w:rPr>
              <w:t>TechnipFMC plc, as</w:t>
            </w: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123.3</w:t>
            </w:r>
          </w:p>
        </w:tc>
        <w:tc>
          <w:tcPr>
            <w:tcW w:w="6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163.5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160.5</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157"/>
        </w:trPr>
        <w:tc>
          <w:tcPr>
            <w:tcW w:w="1340" w:type="dxa"/>
            <w:vAlign w:val="bottom"/>
          </w:tcPr>
          <w:p>
            <w:pPr>
              <w:ind w:left="20"/>
              <w:spacing w:after="0" w:line="157" w:lineRule="exact"/>
              <w:rPr>
                <w:sz w:val="20"/>
                <w:szCs w:val="20"/>
                <w:color w:val="auto"/>
              </w:rPr>
            </w:pPr>
            <w:r>
              <w:rPr>
                <w:rFonts w:ascii="Arial" w:cs="Arial" w:eastAsia="Arial" w:hAnsi="Arial"/>
                <w:sz w:val="14"/>
                <w:szCs w:val="14"/>
                <w:color w:val="EE2724"/>
              </w:rPr>
              <w:t>Restatement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20"/>
              <w:spacing w:after="0"/>
              <w:rPr>
                <w:sz w:val="20"/>
                <w:szCs w:val="20"/>
                <w:color w:val="auto"/>
              </w:rPr>
            </w:pPr>
            <w:r>
              <w:rPr>
                <w:rFonts w:ascii="Arial" w:cs="Arial" w:eastAsia="Arial" w:hAnsi="Arial"/>
                <w:sz w:val="14"/>
                <w:szCs w:val="14"/>
                <w:color w:val="EE2724"/>
              </w:rPr>
              <w:t>Adjustments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EE2724"/>
              </w:rPr>
              <w:t>(26.7)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EE2724"/>
              </w:rPr>
              <w:t>(1.6)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EE2724"/>
              </w:rPr>
              <w:t>(28.3)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EE2724"/>
              </w:rPr>
              <w:t>(28.3)</w:t>
            </w:r>
          </w:p>
        </w:tc>
        <w:tc>
          <w:tcPr>
            <w:tcW w:w="0" w:type="dxa"/>
            <w:vAlign w:val="bottom"/>
          </w:tcPr>
          <w:p>
            <w:pPr>
              <w:spacing w:after="0"/>
              <w:rPr>
                <w:sz w:val="1"/>
                <w:szCs w:val="1"/>
                <w:color w:val="auto"/>
              </w:rPr>
            </w:pPr>
          </w:p>
        </w:tc>
      </w:tr>
      <w:tr>
        <w:trPr>
          <w:trHeight w:val="177"/>
        </w:trPr>
        <w:tc>
          <w:tcPr>
            <w:tcW w:w="1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EE2724"/>
              </w:rPr>
              <w:t>As Restated</w:t>
            </w: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EE2724"/>
              </w:rPr>
              <w:t>96.6</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EE2724"/>
              </w:rPr>
              <w:t>0.1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EE2724"/>
              </w:rPr>
              <w:t>25.1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EE2724"/>
              </w:rPr>
              <w:t>(13.6)</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EE2724"/>
              </w:rPr>
              <w:t>135.2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EE2724"/>
              </w:rPr>
              <w:t>160.5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EE2724"/>
              </w:rPr>
              <w:t>295.7</w:t>
            </w:r>
          </w:p>
        </w:tc>
        <w:tc>
          <w:tcPr>
            <w:tcW w:w="0" w:type="dxa"/>
            <w:vAlign w:val="bottom"/>
          </w:tcPr>
          <w:p>
            <w:pPr>
              <w:spacing w:after="0"/>
              <w:rPr>
                <w:sz w:val="1"/>
                <w:szCs w:val="1"/>
                <w:color w:val="auto"/>
              </w:rPr>
            </w:pPr>
          </w:p>
        </w:tc>
      </w:tr>
      <w:tr>
        <w:trPr>
          <w:trHeight w:val="80"/>
        </w:trPr>
        <w:tc>
          <w:tcPr>
            <w:tcW w:w="1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Charges and (credits):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Impairment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160"/>
              <w:spacing w:after="0"/>
              <w:rPr>
                <w:sz w:val="20"/>
                <w:szCs w:val="20"/>
                <w:color w:val="auto"/>
              </w:rPr>
            </w:pPr>
            <w:r>
              <w:rPr>
                <w:rFonts w:ascii="Arial" w:cs="Arial" w:eastAsia="Arial" w:hAnsi="Arial"/>
                <w:sz w:val="14"/>
                <w:szCs w:val="14"/>
                <w:color w:val="auto"/>
              </w:rPr>
              <w:t>other charges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53.8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53.8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Restructuring and</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severance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57"/>
        </w:trPr>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Purchase price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160"/>
              <w:spacing w:after="0" w:line="149" w:lineRule="exact"/>
              <w:rPr>
                <w:sz w:val="20"/>
                <w:szCs w:val="20"/>
                <w:color w:val="auto"/>
              </w:rPr>
            </w:pPr>
            <w:r>
              <w:rPr>
                <w:rFonts w:ascii="Arial" w:cs="Arial" w:eastAsia="Arial" w:hAnsi="Arial"/>
                <w:sz w:val="14"/>
                <w:szCs w:val="14"/>
                <w:color w:val="auto"/>
              </w:rPr>
              <w:t>accounting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160"/>
              <w:spacing w:after="0"/>
              <w:rPr>
                <w:sz w:val="20"/>
                <w:szCs w:val="20"/>
                <w:color w:val="auto"/>
              </w:rPr>
            </w:pPr>
            <w:r>
              <w:rPr>
                <w:rFonts w:ascii="Arial" w:cs="Arial" w:eastAsia="Arial" w:hAnsi="Arial"/>
                <w:sz w:val="14"/>
                <w:szCs w:val="14"/>
                <w:color w:val="auto"/>
              </w:rPr>
              <w:t>adjustments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94.5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129.1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49"/>
        </w:trPr>
        <w:tc>
          <w:tcPr>
            <w:tcW w:w="13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340" w:type="dxa"/>
            <w:vAlign w:val="bottom"/>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20"/>
              <w:spacing w:after="0"/>
              <w:rPr>
                <w:sz w:val="20"/>
                <w:szCs w:val="20"/>
                <w:color w:val="auto"/>
              </w:rPr>
            </w:pPr>
            <w:r>
              <w:rPr>
                <w:rFonts w:ascii="Arial" w:cs="Arial" w:eastAsia="Arial" w:hAnsi="Arial"/>
                <w:sz w:val="14"/>
                <w:szCs w:val="14"/>
                <w:color w:val="auto"/>
              </w:rPr>
              <w:t>measures</w:t>
            </w: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293.8</w:t>
            </w:r>
          </w:p>
        </w:tc>
        <w:tc>
          <w:tcPr>
            <w:tcW w:w="60" w:type="dxa"/>
            <w:vAlign w:val="bottom"/>
          </w:tcPr>
          <w:p>
            <w:pPr>
              <w:spacing w:after="0"/>
              <w:rPr>
                <w:sz w:val="16"/>
                <w:szCs w:val="16"/>
                <w:color w:val="auto"/>
              </w:rPr>
            </w:pPr>
          </w:p>
        </w:tc>
        <w:tc>
          <w:tcPr>
            <w:tcW w:w="2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61.6</w:t>
            </w:r>
          </w:p>
        </w:tc>
        <w:tc>
          <w:tcPr>
            <w:tcW w:w="80" w:type="dxa"/>
            <w:vAlign w:val="bottom"/>
          </w:tcPr>
          <w:p>
            <w:pPr>
              <w:spacing w:after="0"/>
              <w:rPr>
                <w:sz w:val="16"/>
                <w:szCs w:val="16"/>
                <w:color w:val="auto"/>
              </w:rPr>
            </w:pPr>
          </w:p>
        </w:tc>
        <w:tc>
          <w:tcPr>
            <w:tcW w:w="2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368.6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117.6</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486.2</w:t>
            </w:r>
          </w:p>
        </w:tc>
        <w:tc>
          <w:tcPr>
            <w:tcW w:w="0" w:type="dxa"/>
            <w:vAlign w:val="bottom"/>
          </w:tcPr>
          <w:p>
            <w:pPr>
              <w:spacing w:after="0"/>
              <w:rPr>
                <w:sz w:val="1"/>
                <w:szCs w:val="1"/>
                <w:color w:val="auto"/>
              </w:rPr>
            </w:pPr>
          </w:p>
        </w:tc>
      </w:tr>
      <w:tr>
        <w:trPr>
          <w:trHeight w:val="197"/>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As Restated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EE2724"/>
              </w:rPr>
              <w:t>267.1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EE2724"/>
              </w:rPr>
              <w:t>60.0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(13.3)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EE2724"/>
              </w:rPr>
              <w:t>340.3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EE2724"/>
              </w:rPr>
              <w:t>117.6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EE2724"/>
              </w:rPr>
              <w:t>457.9</w:t>
            </w:r>
          </w:p>
        </w:tc>
        <w:tc>
          <w:tcPr>
            <w:tcW w:w="0" w:type="dxa"/>
            <w:vAlign w:val="bottom"/>
          </w:tcPr>
          <w:p>
            <w:pPr>
              <w:spacing w:after="0"/>
              <w:rPr>
                <w:sz w:val="1"/>
                <w:szCs w:val="1"/>
                <w:color w:val="auto"/>
              </w:rPr>
            </w:pPr>
          </w:p>
        </w:tc>
      </w:tr>
      <w:tr>
        <w:trPr>
          <w:trHeight w:val="80"/>
        </w:trPr>
        <w:tc>
          <w:tcPr>
            <w:tcW w:w="1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526" w:right="439" w:bottom="1440" w:gutter="0" w:footer="0" w:header="0"/>
        </w:sectPr>
      </w:pPr>
    </w:p>
    <w:bookmarkStart w:id="12" w:name="page13"/>
    <w:bookmarkEnd w:id="12"/>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except per share amounts,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March 31, 2016</w:t>
            </w: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As Previously</w:t>
            </w:r>
          </w:p>
        </w:tc>
        <w:tc>
          <w:tcPr>
            <w:tcW w:w="106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Restatement</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Restated</w:t>
            </w:r>
          </w:p>
        </w:tc>
        <w:tc>
          <w:tcPr>
            <w:tcW w:w="9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2"/>
              </w:rPr>
              <w:t>As Previously</w:t>
            </w:r>
          </w:p>
        </w:tc>
        <w:tc>
          <w:tcPr>
            <w:tcW w:w="100" w:type="dxa"/>
            <w:vAlign w:val="bottom"/>
          </w:tcPr>
          <w:p>
            <w:pPr>
              <w:spacing w:after="0"/>
              <w:rPr>
                <w:sz w:val="13"/>
                <w:szCs w:val="13"/>
                <w:color w:val="auto"/>
              </w:rPr>
            </w:pPr>
          </w:p>
        </w:tc>
        <w:tc>
          <w:tcPr>
            <w:tcW w:w="10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Restatement</w:t>
            </w:r>
          </w:p>
        </w:tc>
        <w:tc>
          <w:tcPr>
            <w:tcW w:w="8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Adjustments</w:t>
            </w:r>
          </w:p>
        </w:tc>
        <w:tc>
          <w:tcPr>
            <w:tcW w:w="1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6"/>
                <w:szCs w:val="16"/>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080" w:type="dxa"/>
            <w:vAlign w:val="bottom"/>
            <w:gridSpan w:val="3"/>
          </w:tcPr>
          <w:p>
            <w:pPr>
              <w:ind w:left="20"/>
              <w:spacing w:after="0"/>
              <w:rPr>
                <w:sz w:val="20"/>
                <w:szCs w:val="20"/>
                <w:color w:val="auto"/>
              </w:rPr>
            </w:pPr>
            <w:r>
              <w:rPr>
                <w:rFonts w:ascii="Arial" w:cs="Arial" w:eastAsia="Arial" w:hAnsi="Arial"/>
                <w:sz w:val="14"/>
                <w:szCs w:val="14"/>
                <w:color w:val="auto"/>
              </w:rPr>
              <w:t>(after-tax)</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0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Net income attributable to TechnipFMC plc, as</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(210)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EE2724"/>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EE272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(27)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EE2724"/>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121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auto"/>
            </w:tcBorders>
            <w:shd w:val="clear" w:color="auto" w:fill="CCEEFF"/>
          </w:tcPr>
          <w:p>
            <w:pPr>
              <w:spacing w:after="0"/>
              <w:rPr>
                <w:sz w:val="7"/>
                <w:szCs w:val="7"/>
                <w:color w:val="auto"/>
              </w:rPr>
            </w:pPr>
          </w:p>
        </w:tc>
        <w:tc>
          <w:tcPr>
            <w:tcW w:w="18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080" w:type="dxa"/>
            <w:vAlign w:val="bottom"/>
            <w:gridSpan w:val="3"/>
          </w:tcPr>
          <w:p>
            <w:pPr>
              <w:ind w:left="20"/>
              <w:spacing w:after="0"/>
              <w:rPr>
                <w:sz w:val="20"/>
                <w:szCs w:val="20"/>
                <w:color w:val="auto"/>
              </w:rPr>
            </w:pPr>
            <w:r>
              <w:rPr>
                <w:rFonts w:ascii="Arial" w:cs="Arial" w:eastAsia="Arial" w:hAnsi="Arial"/>
                <w:sz w:val="14"/>
                <w:szCs w:val="14"/>
                <w:color w:val="auto"/>
              </w:rPr>
              <w:t xml:space="preserve">Impairment and other charges </w:t>
            </w:r>
            <w:r>
              <w:rPr>
                <w:rFonts w:ascii="Arial" w:cs="Arial" w:eastAsia="Arial" w:hAnsi="Arial"/>
                <w:sz w:val="8"/>
                <w:szCs w:val="8"/>
                <w:color w:val="auto"/>
              </w:rPr>
              <w:t>(1)</w:t>
            </w:r>
          </w:p>
        </w:tc>
        <w:tc>
          <w:tcPr>
            <w:tcW w:w="140" w:type="dxa"/>
            <w:vAlign w:val="bottom"/>
          </w:tcPr>
          <w:p>
            <w:pPr>
              <w:spacing w:after="0"/>
              <w:rPr>
                <w:sz w:val="16"/>
                <w:szCs w:val="16"/>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xml:space="preserve">Restructuring and other severance charges </w:t>
            </w:r>
            <w:r>
              <w:rPr>
                <w:rFonts w:ascii="Arial" w:cs="Arial" w:eastAsia="Arial" w:hAnsi="Arial"/>
                <w:sz w:val="8"/>
                <w:szCs w:val="8"/>
                <w:color w:val="auto"/>
              </w:rPr>
              <w:t>(2)</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080" w:type="dxa"/>
            <w:vAlign w:val="bottom"/>
            <w:gridSpan w:val="3"/>
          </w:tcPr>
          <w:p>
            <w:pPr>
              <w:ind w:left="20"/>
              <w:spacing w:after="0" w:line="157" w:lineRule="exact"/>
              <w:rPr>
                <w:sz w:val="20"/>
                <w:szCs w:val="20"/>
                <w:color w:val="auto"/>
              </w:rPr>
            </w:pPr>
            <w:r>
              <w:rPr>
                <w:rFonts w:ascii="Arial" w:cs="Arial" w:eastAsia="Arial" w:hAnsi="Arial"/>
                <w:sz w:val="14"/>
                <w:szCs w:val="14"/>
                <w:color w:val="auto"/>
                <w:w w:val="99"/>
              </w:rPr>
              <w:t>Business combination transaction and integration</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gridSpan w:val="3"/>
          </w:tcPr>
          <w:p>
            <w:pPr>
              <w:ind w:left="20"/>
              <w:spacing w:after="0"/>
              <w:rPr>
                <w:sz w:val="20"/>
                <w:szCs w:val="20"/>
                <w:color w:val="auto"/>
              </w:rPr>
            </w:pPr>
            <w:r>
              <w:rPr>
                <w:rFonts w:ascii="Arial" w:cs="Arial" w:eastAsia="Arial" w:hAnsi="Arial"/>
                <w:sz w:val="14"/>
                <w:szCs w:val="14"/>
                <w:color w:val="auto"/>
              </w:rPr>
              <w:t xml:space="preserve">costs </w:t>
            </w:r>
            <w:r>
              <w:rPr>
                <w:rFonts w:ascii="Arial" w:cs="Arial" w:eastAsia="Arial" w:hAnsi="Arial"/>
                <w:sz w:val="8"/>
                <w:szCs w:val="8"/>
                <w:color w:val="auto"/>
              </w:rPr>
              <w:t>(3)</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xml:space="preserve">Purchase price accounting adjustments </w:t>
            </w:r>
            <w:r>
              <w:rPr>
                <w:rFonts w:ascii="Arial" w:cs="Arial" w:eastAsia="Arial" w:hAnsi="Arial"/>
                <w:sz w:val="8"/>
                <w:szCs w:val="8"/>
                <w:color w:val="auto"/>
              </w:rPr>
              <w:t>(4)</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0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Adjusted net income attributable to TechnipFMC</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EE272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(210)</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EE2724"/>
                <w:w w:val="76"/>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EE2724"/>
              </w:rPr>
              <w:t>121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42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4"/>
                <w:szCs w:val="14"/>
                <w:color w:val="EE272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(27)</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EE2724"/>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145</w:t>
            </w:r>
          </w:p>
        </w:tc>
        <w:tc>
          <w:tcPr>
            <w:tcW w:w="0" w:type="dxa"/>
            <w:vAlign w:val="bottom"/>
          </w:tcPr>
          <w:p>
            <w:pPr>
              <w:spacing w:after="0"/>
              <w:rPr>
                <w:sz w:val="1"/>
                <w:szCs w:val="1"/>
                <w:color w:val="auto"/>
              </w:rPr>
            </w:pPr>
          </w:p>
        </w:tc>
      </w:tr>
      <w:tr>
        <w:trPr>
          <w:trHeight w:val="181"/>
        </w:trPr>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plc</w:t>
            </w:r>
          </w:p>
        </w:tc>
        <w:tc>
          <w:tcPr>
            <w:tcW w:w="14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0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Diluted EPS attributable to TechnipFMC plc, as</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(0.45)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EE2724"/>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(0.04)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EE272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(0.24)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EE2724"/>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0.97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0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w w:val="99"/>
              </w:rPr>
              <w:t>Adjusted diluted EPS attributable to TechnipFMC</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plc</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(0.45)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EE2724"/>
                <w:w w:val="76"/>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EE2724"/>
              </w:rPr>
              <w:t>0.26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EE272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(0.24)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EE2724"/>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160" w:hanging="144"/>
        <w:spacing w:after="0"/>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Tax effect of nil and $6 million during the three months ended March 31, 2017 and 2016, respectively.</w:t>
      </w:r>
    </w:p>
    <w:p>
      <w:pPr>
        <w:ind w:left="160" w:hanging="144"/>
        <w:spacing w:after="0" w:line="221" w:lineRule="auto"/>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Tax effect of $3 million and $5 million during the three months ended March 31, 2017 and 2016, respectively.</w:t>
      </w:r>
    </w:p>
    <w:p>
      <w:pPr>
        <w:ind w:left="160" w:hanging="144"/>
        <w:spacing w:after="0" w:line="221" w:lineRule="auto"/>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Tax effect of $16 million and nil during the three months ended March 31, 2017 and 2016, respectively.</w:t>
      </w:r>
    </w:p>
    <w:p>
      <w:pPr>
        <w:ind w:left="160" w:hanging="144"/>
        <w:spacing w:after="0"/>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Tax effect of $35 million and nil during the three months ended March 31, 2017 and 2016, respectively.</w:t>
      </w:r>
    </w:p>
    <w:p>
      <w:pPr>
        <w:sectPr>
          <w:pgSz w:w="11900" w:h="16838" w:orient="portrait"/>
          <w:cols w:equalWidth="0" w:num="1">
            <w:col w:w="9120"/>
          </w:cols>
          <w:pgMar w:left="1400" w:top="526" w:right="1379" w:bottom="1440" w:gutter="0" w:footer="0" w:header="0"/>
        </w:sectPr>
      </w:pPr>
    </w:p>
    <w:bookmarkStart w:id="13" w:name="page14"/>
    <w:bookmarkEnd w:id="13"/>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6"/>
          </w:tcPr>
          <w:p>
            <w:pPr>
              <w:jc w:val="center"/>
              <w:ind w:left="588"/>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6"/>
              </w:rPr>
              <w:t>March 31, 2017</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Subsea</w:t>
            </w:r>
          </w:p>
        </w:tc>
        <w:tc>
          <w:tcPr>
            <w:tcW w:w="140" w:type="dxa"/>
            <w:vAlign w:val="bottom"/>
          </w:tcPr>
          <w:p>
            <w:pPr>
              <w:spacing w:after="0"/>
              <w:rPr>
                <w:sz w:val="13"/>
                <w:szCs w:val="13"/>
                <w:color w:val="auto"/>
              </w:rPr>
            </w:pPr>
          </w:p>
        </w:tc>
        <w:tc>
          <w:tcPr>
            <w:tcW w:w="78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4"/>
              </w:rPr>
              <w:t>Onshore/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ind w:left="160"/>
              <w:spacing w:after="0" w:line="153" w:lineRule="exact"/>
              <w:rPr>
                <w:sz w:val="20"/>
                <w:szCs w:val="20"/>
                <w:color w:val="auto"/>
              </w:rPr>
            </w:pPr>
            <w:r>
              <w:rPr>
                <w:rFonts w:ascii="Arial" w:cs="Arial" w:eastAsia="Arial" w:hAnsi="Arial"/>
                <w:sz w:val="14"/>
                <w:szCs w:val="14"/>
                <w:b w:val="1"/>
                <w:bCs w:val="1"/>
                <w:color w:val="auto"/>
              </w:rPr>
              <w:t>Surface</w:t>
            </w:r>
          </w:p>
        </w:tc>
        <w:tc>
          <w:tcPr>
            <w:tcW w:w="80" w:type="dxa"/>
            <w:vAlign w:val="bottom"/>
          </w:tcPr>
          <w:p>
            <w:pPr>
              <w:spacing w:after="0"/>
              <w:rPr>
                <w:sz w:val="13"/>
                <w:szCs w:val="13"/>
                <w:color w:val="auto"/>
              </w:rPr>
            </w:pPr>
          </w:p>
        </w:tc>
        <w:tc>
          <w:tcPr>
            <w:tcW w:w="8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Offshore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4"/>
              </w:rPr>
              <w:t>Technologies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1,376.7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1,764.0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248.4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3,388.0</w:t>
            </w: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as reported (pre-tax)</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139.9</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204.2</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379.7</w:t>
            </w: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40" w:type="dxa"/>
            <w:vAlign w:val="bottom"/>
          </w:tcPr>
          <w:p>
            <w:pPr>
              <w:ind w:left="20"/>
              <w:spacing w:after="0"/>
              <w:rPr>
                <w:sz w:val="20"/>
                <w:szCs w:val="20"/>
                <w:color w:val="auto"/>
              </w:rPr>
            </w:pPr>
            <w:r>
              <w:rPr>
                <w:rFonts w:ascii="Arial" w:cs="Arial" w:eastAsia="Arial" w:hAnsi="Arial"/>
                <w:sz w:val="14"/>
                <w:szCs w:val="14"/>
                <w:color w:val="EE2724"/>
              </w:rPr>
              <w:t>Restatement Adjustments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EE2724"/>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EE2724"/>
              </w:rPr>
              <w:t>(263.9)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EE2724"/>
              </w:rPr>
              <w:t>(261.0)</w:t>
            </w:r>
          </w:p>
        </w:tc>
        <w:tc>
          <w:tcPr>
            <w:tcW w:w="0" w:type="dxa"/>
            <w:vAlign w:val="bottom"/>
          </w:tcPr>
          <w:p>
            <w:pPr>
              <w:spacing w:after="0"/>
              <w:rPr>
                <w:sz w:val="1"/>
                <w:szCs w:val="1"/>
                <w:color w:val="auto"/>
              </w:rPr>
            </w:pPr>
          </w:p>
        </w:tc>
      </w:tr>
      <w:tr>
        <w:trPr>
          <w:trHeight w:val="74"/>
        </w:trPr>
        <w:tc>
          <w:tcPr>
            <w:tcW w:w="41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EE2724"/>
              </w:rPr>
              <w:t>142.8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(59.7)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EE2724"/>
              </w:rPr>
              <w:t>118.7</w:t>
            </w: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4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74"/>
        </w:trPr>
        <w:tc>
          <w:tcPr>
            <w:tcW w:w="4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4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74"/>
        </w:trPr>
        <w:tc>
          <w:tcPr>
            <w:tcW w:w="4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4"/>
              </w:rPr>
              <w:t>Purchase price accounting adjustments - non-amortization related</w:t>
            </w:r>
          </w:p>
        </w:tc>
        <w:tc>
          <w:tcPr>
            <w:tcW w:w="1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40" w:type="dxa"/>
            <w:vAlign w:val="bottom"/>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18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74"/>
        </w:trPr>
        <w:tc>
          <w:tcPr>
            <w:tcW w:w="41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Subtotal</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151.4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139.6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573.2</w:t>
            </w: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40" w:type="dxa"/>
            <w:vAlign w:val="bottom"/>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EE2724"/>
              </w:rPr>
              <w:t>142.5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EE2724"/>
              </w:rPr>
              <w:t>(8.6)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EE2724"/>
              </w:rPr>
              <w:t>312.2</w:t>
            </w:r>
          </w:p>
        </w:tc>
        <w:tc>
          <w:tcPr>
            <w:tcW w:w="0" w:type="dxa"/>
            <w:vAlign w:val="bottom"/>
          </w:tcPr>
          <w:p>
            <w:pPr>
              <w:spacing w:after="0"/>
              <w:rPr>
                <w:sz w:val="1"/>
                <w:szCs w:val="1"/>
                <w:color w:val="auto"/>
              </w:rPr>
            </w:pPr>
          </w:p>
        </w:tc>
      </w:tr>
      <w:tr>
        <w:trPr>
          <w:trHeight w:val="87"/>
        </w:trPr>
        <w:tc>
          <w:tcPr>
            <w:tcW w:w="4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4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74"/>
        </w:trPr>
        <w:tc>
          <w:tcPr>
            <w:tcW w:w="4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Restatement Adjustments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FF0000"/>
              </w:rPr>
              <w:t>(2.9)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FF0000"/>
              </w:rPr>
              <w:t>(2.9)</w:t>
            </w: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40" w:type="dxa"/>
            <w:vAlign w:val="bottom"/>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FF0000"/>
              </w:rPr>
              <w:t>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FF0000"/>
              </w:rPr>
              <w:t>108.3</w:t>
            </w:r>
          </w:p>
        </w:tc>
        <w:tc>
          <w:tcPr>
            <w:tcW w:w="0" w:type="dxa"/>
            <w:vAlign w:val="bottom"/>
          </w:tcPr>
          <w:p>
            <w:pPr>
              <w:spacing w:after="0"/>
              <w:rPr>
                <w:sz w:val="1"/>
                <w:szCs w:val="1"/>
                <w:color w:val="auto"/>
              </w:rPr>
            </w:pPr>
          </w:p>
        </w:tc>
      </w:tr>
      <w:tr>
        <w:trPr>
          <w:trHeight w:val="74"/>
        </w:trPr>
        <w:tc>
          <w:tcPr>
            <w:tcW w:w="4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140" w:type="dxa"/>
            <w:vAlign w:val="bottom"/>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(1)</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238.6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152.2</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257.5</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684.4</w:t>
            </w:r>
          </w:p>
        </w:tc>
        <w:tc>
          <w:tcPr>
            <w:tcW w:w="0" w:type="dxa"/>
            <w:vAlign w:val="bottom"/>
          </w:tcPr>
          <w:p>
            <w:pPr>
              <w:spacing w:after="0"/>
              <w:rPr>
                <w:sz w:val="1"/>
                <w:szCs w:val="1"/>
                <w:color w:val="auto"/>
              </w:rPr>
            </w:pPr>
          </w:p>
        </w:tc>
      </w:tr>
      <w:tr>
        <w:trPr>
          <w:trHeight w:val="100"/>
        </w:trPr>
        <w:tc>
          <w:tcPr>
            <w:tcW w:w="41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414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EE2724"/>
              </w:rPr>
              <w:t>As Restated</w:t>
            </w: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EE2724"/>
              </w:rPr>
              <w:t>(6.4)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EE2724"/>
              </w:rPr>
              <w:t>420.5</w:t>
            </w:r>
          </w:p>
        </w:tc>
        <w:tc>
          <w:tcPr>
            <w:tcW w:w="0" w:type="dxa"/>
            <w:vAlign w:val="bottom"/>
          </w:tcPr>
          <w:p>
            <w:pPr>
              <w:spacing w:after="0"/>
              <w:rPr>
                <w:sz w:val="1"/>
                <w:szCs w:val="1"/>
                <w:color w:val="auto"/>
              </w:rPr>
            </w:pPr>
          </w:p>
        </w:tc>
      </w:tr>
      <w:tr>
        <w:trPr>
          <w:trHeight w:val="107"/>
        </w:trPr>
        <w:tc>
          <w:tcPr>
            <w:tcW w:w="4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40" w:type="dxa"/>
            <w:vAlign w:val="bottom"/>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EE2724"/>
              </w:rPr>
              <w:t>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EE2724"/>
              </w:rPr>
              <w:t>3.5%</w:t>
            </w:r>
          </w:p>
        </w:tc>
        <w:tc>
          <w:tcPr>
            <w:tcW w:w="0" w:type="dxa"/>
            <w:vAlign w:val="bottom"/>
          </w:tcPr>
          <w:p>
            <w:pPr>
              <w:spacing w:after="0"/>
              <w:rPr>
                <w:sz w:val="1"/>
                <w:szCs w:val="1"/>
                <w:color w:val="auto"/>
              </w:rPr>
            </w:pPr>
          </w:p>
        </w:tc>
      </w:tr>
      <w:tr>
        <w:trPr>
          <w:trHeight w:val="74"/>
        </w:trPr>
        <w:tc>
          <w:tcPr>
            <w:tcW w:w="4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4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10.8 %</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74"/>
        </w:trPr>
        <w:tc>
          <w:tcPr>
            <w:tcW w:w="4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9.2%</w:t>
            </w: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8"/>
                <w:szCs w:val="8"/>
                <w:color w:val="auto"/>
              </w:rPr>
              <w:t>(1)</w:t>
            </w:r>
          </w:p>
        </w:tc>
        <w:tc>
          <w:tcPr>
            <w:tcW w:w="1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14.5 %</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80"/>
        </w:trPr>
        <w:tc>
          <w:tcPr>
            <w:tcW w:w="4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740" w:type="dxa"/>
            <w:vAlign w:val="bottom"/>
          </w:tcPr>
          <w:p>
            <w:pPr>
              <w:spacing w:after="0"/>
              <w:rPr>
                <w:sz w:val="20"/>
                <w:szCs w:val="20"/>
                <w:color w:val="auto"/>
              </w:rPr>
            </w:pPr>
            <w:r>
              <w:rPr>
                <w:rFonts w:ascii="Arial" w:cs="Arial" w:eastAsia="Arial" w:hAnsi="Arial"/>
                <w:sz w:val="14"/>
                <w:szCs w:val="14"/>
                <w:color w:val="EE2724"/>
              </w:rPr>
              <w:t>As Restated</w:t>
            </w:r>
          </w:p>
        </w:tc>
        <w:tc>
          <w:tcPr>
            <w:tcW w:w="4400" w:type="dxa"/>
            <w:vAlign w:val="bottom"/>
            <w:vMerge w:val="restart"/>
          </w:tcPr>
          <w:p>
            <w:pPr>
              <w:jc w:val="right"/>
              <w:spacing w:after="0"/>
              <w:rPr>
                <w:sz w:val="20"/>
                <w:szCs w:val="20"/>
                <w:color w:val="auto"/>
              </w:rPr>
            </w:pPr>
            <w:r>
              <w:rPr>
                <w:rFonts w:ascii="Arial" w:cs="Arial" w:eastAsia="Arial" w:hAnsi="Arial"/>
                <w:sz w:val="14"/>
                <w:szCs w:val="14"/>
                <w:color w:val="EE2724"/>
              </w:rPr>
              <w:t>12.4%</w:t>
            </w:r>
          </w:p>
        </w:tc>
        <w:tc>
          <w:tcPr>
            <w:tcW w:w="0" w:type="dxa"/>
            <w:vAlign w:val="bottom"/>
          </w:tcPr>
          <w:p>
            <w:pPr>
              <w:spacing w:after="0"/>
              <w:rPr>
                <w:sz w:val="1"/>
                <w:szCs w:val="1"/>
                <w:color w:val="auto"/>
              </w:rPr>
            </w:pPr>
          </w:p>
        </w:tc>
      </w:tr>
      <w:tr>
        <w:trPr>
          <w:trHeight w:val="68"/>
        </w:trPr>
        <w:tc>
          <w:tcPr>
            <w:tcW w:w="474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00"/>
          </w:cols>
          <w:pgMar w:left="1360" w:top="526" w:right="1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5"/>
              </w:rPr>
              <w:t>Pro Forma Three Months Ended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Subsea</w:t>
            </w:r>
          </w:p>
        </w:tc>
        <w:tc>
          <w:tcPr>
            <w:tcW w:w="120" w:type="dxa"/>
            <w:vAlign w:val="bottom"/>
          </w:tcPr>
          <w:p>
            <w:pPr>
              <w:spacing w:after="0"/>
              <w:rPr>
                <w:sz w:val="13"/>
                <w:szCs w:val="13"/>
                <w:color w:val="auto"/>
              </w:rPr>
            </w:pPr>
          </w:p>
        </w:tc>
        <w:tc>
          <w:tcPr>
            <w:tcW w:w="78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4"/>
              </w:rPr>
              <w:t>Onshore/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8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Offshore</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as pro forma</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2,378.0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2,181.9</w:t>
            </w:r>
          </w:p>
        </w:tc>
        <w:tc>
          <w:tcPr>
            <w:tcW w:w="2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349.6</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4,904.6</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Arial" w:cs="Arial" w:eastAsia="Arial" w:hAnsi="Arial"/>
                <w:sz w:val="14"/>
                <w:szCs w:val="14"/>
                <w:color w:val="EE2724"/>
              </w:rPr>
              <w:t>Restatement Adjustments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FF0000"/>
              </w:rPr>
              <w:t>(213.0)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FF0000"/>
              </w:rPr>
              <w:t>(213.0)</w:t>
            </w:r>
          </w:p>
        </w:tc>
        <w:tc>
          <w:tcPr>
            <w:tcW w:w="0" w:type="dxa"/>
            <w:vAlign w:val="bottom"/>
          </w:tcPr>
          <w:p>
            <w:pPr>
              <w:spacing w:after="0"/>
              <w:rPr>
                <w:sz w:val="1"/>
                <w:szCs w:val="1"/>
                <w:color w:val="auto"/>
              </w:rPr>
            </w:pPr>
          </w:p>
        </w:tc>
      </w:tr>
      <w:tr>
        <w:trPr>
          <w:trHeight w:val="74"/>
        </w:trPr>
        <w:tc>
          <w:tcPr>
            <w:tcW w:w="416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FF0000"/>
              </w:rPr>
              <w:t>1,968.9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FF0000"/>
              </w:rPr>
              <w:t>4,691.6</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(pre-tax), as pro forma</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216.9</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58.4</w:t>
            </w:r>
          </w:p>
        </w:tc>
        <w:tc>
          <w:tcPr>
            <w:tcW w:w="2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(75.1)</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163.5</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Arial" w:cs="Arial" w:eastAsia="Arial" w:hAnsi="Arial"/>
                <w:sz w:val="14"/>
                <w:szCs w:val="14"/>
                <w:color w:val="EE2724"/>
              </w:rPr>
              <w:t>Restatement Adjustments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EE2724"/>
              </w:rPr>
              <w:t>(28.3)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EE2724"/>
              </w:rPr>
              <w:t>(28.3)</w:t>
            </w:r>
          </w:p>
        </w:tc>
        <w:tc>
          <w:tcPr>
            <w:tcW w:w="0" w:type="dxa"/>
            <w:vAlign w:val="bottom"/>
          </w:tcPr>
          <w:p>
            <w:pPr>
              <w:spacing w:after="0"/>
              <w:rPr>
                <w:sz w:val="1"/>
                <w:szCs w:val="1"/>
                <w:color w:val="auto"/>
              </w:rPr>
            </w:pPr>
          </w:p>
        </w:tc>
      </w:tr>
      <w:tr>
        <w:trPr>
          <w:trHeight w:val="74"/>
        </w:trPr>
        <w:tc>
          <w:tcPr>
            <w:tcW w:w="416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(65.0)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EE2724"/>
              </w:rPr>
              <w:t>135.2</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16"/>
                <w:szCs w:val="16"/>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74"/>
        </w:trPr>
        <w:tc>
          <w:tcPr>
            <w:tcW w:w="4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80"/>
              <w:spacing w:after="0"/>
              <w:rPr>
                <w:sz w:val="20"/>
                <w:szCs w:val="20"/>
                <w:color w:val="auto"/>
              </w:rPr>
            </w:pPr>
            <w:r>
              <w:rPr>
                <w:rFonts w:ascii="Arial" w:cs="Arial" w:eastAsia="Arial" w:hAnsi="Arial"/>
                <w:sz w:val="14"/>
                <w:szCs w:val="14"/>
                <w:color w:val="auto"/>
                <w:w w:val="94"/>
              </w:rPr>
              <w:t>Purchase price accounting adjustments - non-amortization related</w:t>
            </w:r>
          </w:p>
        </w:tc>
        <w:tc>
          <w:tcPr>
            <w:tcW w:w="180" w:type="dxa"/>
            <w:vAlign w:val="bottom"/>
          </w:tcPr>
          <w:p>
            <w:pPr>
              <w:spacing w:after="0"/>
              <w:rPr>
                <w:sz w:val="16"/>
                <w:szCs w:val="16"/>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74"/>
        </w:trPr>
        <w:tc>
          <w:tcPr>
            <w:tcW w:w="4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1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60" w:type="dxa"/>
            <w:vAlign w:val="bottom"/>
          </w:tcPr>
          <w:p>
            <w:pPr>
              <w:ind w:left="420"/>
              <w:spacing w:after="0"/>
              <w:rPr>
                <w:sz w:val="20"/>
                <w:szCs w:val="20"/>
                <w:color w:val="auto"/>
              </w:rPr>
            </w:pPr>
            <w:r>
              <w:rPr>
                <w:rFonts w:ascii="Arial" w:cs="Arial" w:eastAsia="Arial" w:hAnsi="Arial"/>
                <w:sz w:val="14"/>
                <w:szCs w:val="14"/>
                <w:color w:val="auto"/>
              </w:rPr>
              <w:t>Subtotal</w:t>
            </w:r>
          </w:p>
        </w:tc>
        <w:tc>
          <w:tcPr>
            <w:tcW w:w="180" w:type="dxa"/>
            <w:vAlign w:val="bottom"/>
          </w:tcPr>
          <w:p>
            <w:pPr>
              <w:spacing w:after="0"/>
              <w:rPr>
                <w:sz w:val="14"/>
                <w:szCs w:val="14"/>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color w:val="auto"/>
              </w:rPr>
              <w:t>83.3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74"/>
        </w:trPr>
        <w:tc>
          <w:tcPr>
            <w:tcW w:w="4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color w:val="auto"/>
              </w:rPr>
              <w:t>Adjusted Operating profit</w:t>
            </w:r>
          </w:p>
        </w:tc>
        <w:tc>
          <w:tcPr>
            <w:tcW w:w="180" w:type="dxa"/>
            <w:vAlign w:val="bottom"/>
          </w:tcPr>
          <w:p>
            <w:pPr>
              <w:spacing w:after="0"/>
              <w:rPr>
                <w:sz w:val="14"/>
                <w:szCs w:val="14"/>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306.4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368.6</w:t>
            </w:r>
          </w:p>
        </w:tc>
        <w:tc>
          <w:tcPr>
            <w:tcW w:w="0" w:type="dxa"/>
            <w:vAlign w:val="bottom"/>
          </w:tcPr>
          <w:p>
            <w:pPr>
              <w:spacing w:after="0"/>
              <w:rPr>
                <w:sz w:val="1"/>
                <w:szCs w:val="1"/>
                <w:color w:val="auto"/>
              </w:rPr>
            </w:pPr>
          </w:p>
        </w:tc>
      </w:tr>
      <w:tr>
        <w:trPr>
          <w:trHeight w:val="74"/>
        </w:trPr>
        <w:tc>
          <w:tcPr>
            <w:tcW w:w="41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(68.1)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EE2724"/>
              </w:rPr>
              <w:t>340.3</w:t>
            </w:r>
          </w:p>
        </w:tc>
        <w:tc>
          <w:tcPr>
            <w:tcW w:w="0" w:type="dxa"/>
            <w:vAlign w:val="bottom"/>
          </w:tcPr>
          <w:p>
            <w:pPr>
              <w:spacing w:after="0"/>
              <w:rPr>
                <w:sz w:val="1"/>
                <w:szCs w:val="1"/>
                <w:color w:val="auto"/>
              </w:rPr>
            </w:pPr>
          </w:p>
        </w:tc>
      </w:tr>
      <w:tr>
        <w:trPr>
          <w:trHeight w:val="93"/>
        </w:trPr>
        <w:tc>
          <w:tcPr>
            <w:tcW w:w="4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(1)</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396.1</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102.9</w:t>
            </w:r>
          </w:p>
        </w:tc>
        <w:tc>
          <w:tcPr>
            <w:tcW w:w="2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486.2</w:t>
            </w:r>
          </w:p>
        </w:tc>
        <w:tc>
          <w:tcPr>
            <w:tcW w:w="0" w:type="dxa"/>
            <w:vAlign w:val="bottom"/>
          </w:tcPr>
          <w:p>
            <w:pPr>
              <w:spacing w:after="0"/>
              <w:rPr>
                <w:sz w:val="1"/>
                <w:szCs w:val="1"/>
                <w:color w:val="auto"/>
              </w:rPr>
            </w:pPr>
          </w:p>
        </w:tc>
      </w:tr>
      <w:tr>
        <w:trPr>
          <w:trHeight w:val="60"/>
        </w:trPr>
        <w:tc>
          <w:tcPr>
            <w:tcW w:w="416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EE2724"/>
              </w:rPr>
              <w:t>(70.1)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EE2724"/>
              </w:rPr>
              <w:t>457.9</w:t>
            </w:r>
          </w:p>
        </w:tc>
        <w:tc>
          <w:tcPr>
            <w:tcW w:w="0" w:type="dxa"/>
            <w:vAlign w:val="bottom"/>
          </w:tcPr>
          <w:p>
            <w:pPr>
              <w:spacing w:after="0"/>
              <w:rPr>
                <w:sz w:val="1"/>
                <w:szCs w:val="1"/>
                <w:color w:val="auto"/>
              </w:rPr>
            </w:pPr>
          </w:p>
        </w:tc>
      </w:tr>
      <w:tr>
        <w:trPr>
          <w:trHeight w:val="101"/>
        </w:trPr>
        <w:tc>
          <w:tcPr>
            <w:tcW w:w="4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4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Arial" w:cs="Arial" w:eastAsia="Arial" w:hAnsi="Arial"/>
                <w:sz w:val="14"/>
                <w:szCs w:val="14"/>
                <w:color w:val="auto"/>
              </w:rPr>
              <w:t>Operating profit margin, as pro forma</w:t>
            </w: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4"/>
        </w:trPr>
        <w:tc>
          <w:tcPr>
            <w:tcW w:w="4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EE2724"/>
              </w:rPr>
              <w:t>2.9%</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1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EE2724"/>
              </w:rPr>
              <w:t>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EE2724"/>
              </w:rPr>
              <w:t>7.3%</w:t>
            </w:r>
          </w:p>
        </w:tc>
        <w:tc>
          <w:tcPr>
            <w:tcW w:w="0" w:type="dxa"/>
            <w:vAlign w:val="bottom"/>
          </w:tcPr>
          <w:p>
            <w:pPr>
              <w:spacing w:after="0"/>
              <w:rPr>
                <w:sz w:val="1"/>
                <w:szCs w:val="1"/>
                <w:color w:val="auto"/>
              </w:rPr>
            </w:pPr>
          </w:p>
        </w:tc>
      </w:tr>
      <w:tr>
        <w:trPr>
          <w:trHeight w:val="74"/>
        </w:trPr>
        <w:tc>
          <w:tcPr>
            <w:tcW w:w="4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8"/>
                <w:szCs w:val="8"/>
                <w:color w:val="auto"/>
              </w:rPr>
              <w:t>(1)</w:t>
            </w: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8.3 %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74"/>
        </w:trPr>
        <w:tc>
          <w:tcPr>
            <w:tcW w:w="4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4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EE2724"/>
              </w:rPr>
              <w:t>9.8%</w:t>
            </w: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Arial" w:cs="Arial" w:eastAsia="Arial" w:hAnsi="Arial"/>
                <w:sz w:val="14"/>
                <w:szCs w:val="14"/>
                <w:color w:val="EE2724"/>
              </w:rPr>
              <w:t>As Restated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Includes amounts attributable to noncontrolling interests</w:t>
      </w:r>
    </w:p>
    <w:sectPr>
      <w:pgSz w:w="11900" w:h="16838" w:orient="portrait"/>
      <w:cols w:equalWidth="0" w:num="1">
        <w:col w:w="9200"/>
      </w:cols>
      <w:pgMar w:left="1360" w:top="589"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2019-12-08T06:15:12Z</dcterms:created>
  <dcterms:modified xsi:type="dcterms:W3CDTF">2019-12-08T06:15:12Z</dcterms:modified>
</cp:coreProperties>
</file>