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FMC Technologies, Inc.</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Corporate Office</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5875 N. Sam Houston Parkway W.</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Houston, TX 77086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 +1 281.591.4000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 +1 281.260.2123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2,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 Ms. Cecilia Blye, Chief, Office of Global Security Risk</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FMC Technologies,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the Fiscal Year Ended December 31,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February 22, 2013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1-16489</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Dear Ms. Blye:</w:t>
      </w:r>
    </w:p>
    <w:p>
      <w:pPr>
        <w:spacing w:after="0" w:line="117" w:lineRule="exact"/>
        <w:rPr>
          <w:sz w:val="24"/>
          <w:szCs w:val="24"/>
          <w:color w:val="auto"/>
        </w:rPr>
      </w:pPr>
    </w:p>
    <w:p>
      <w:pPr>
        <w:jc w:val="both"/>
        <w:ind w:right="280"/>
        <w:spacing w:after="0" w:line="264" w:lineRule="auto"/>
        <w:rPr>
          <w:sz w:val="20"/>
          <w:szCs w:val="20"/>
          <w:color w:val="auto"/>
        </w:rPr>
      </w:pPr>
      <w:r>
        <w:rPr>
          <w:rFonts w:ascii="Arial" w:cs="Arial" w:eastAsia="Arial" w:hAnsi="Arial"/>
          <w:sz w:val="18"/>
          <w:szCs w:val="18"/>
          <w:color w:val="auto"/>
        </w:rPr>
        <w:t>On behalf of FMC Technologies, Inc. (the “Company”), set forth below is the Company’s response to comments received from the staff of the Division of Corporation Finance (the “Staff”) of the Securities and Exchange Commission (the “Commission”) by letter dated September 25, 2013, with respect to the Company’s Annual Report on Form 10-K for the year ended December 31, 2012.</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For your convenience, the Company’s response is prefaced by the query presented by the Staff’s corresponding comment in bold and italicized text.</w:t>
      </w:r>
    </w:p>
    <w:p>
      <w:pPr>
        <w:spacing w:after="0" w:line="142" w:lineRule="exact"/>
        <w:rPr>
          <w:sz w:val="24"/>
          <w:szCs w:val="24"/>
          <w:color w:val="auto"/>
        </w:rPr>
      </w:pPr>
    </w:p>
    <w:p>
      <w:pPr>
        <w:ind w:left="900" w:right="440" w:hanging="446"/>
        <w:spacing w:after="0" w:line="312" w:lineRule="auto"/>
        <w:tabs>
          <w:tab w:leader="none" w:pos="90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response to comment 1 in our letter dated September 5, 2013. Please tell us whether, in connection with their Iran contacts during fiscal 2012, your non-U.S. subsidiaries engaged in any transaction or dealing with any person or entity identified under Section 560.304 of Title 31, Code of Federal Regulations (relating to the definition of the Government of Iran).</w:t>
      </w:r>
    </w:p>
    <w:p>
      <w:pPr>
        <w:spacing w:after="0" w:line="1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During fiscal 2012, our non-U.S. subsidiaries did not engage in transactions or dealings with any entities identified under Section 560.304 of Title 31, Code of Federal Regulations.</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this response, the Company acknowledges that:</w:t>
      </w:r>
    </w:p>
    <w:p>
      <w:pPr>
        <w:spacing w:after="0" w:line="13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disclosures in the filing;</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Should the staff have any questions with respect to the information provided in this letter, please contact me by telephone at 281-591-4585 or by email to </w:t>
      </w:r>
      <w:r>
        <w:rPr>
          <w:rFonts w:ascii="Arial" w:cs="Arial" w:eastAsia="Arial" w:hAnsi="Arial"/>
          <w:sz w:val="18"/>
          <w:szCs w:val="18"/>
          <w:u w:val="single" w:color="auto"/>
          <w:color w:val="auto"/>
        </w:rPr>
        <w:t>jeffrey.carr@fmcti.com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FMC Technologies, Inc.</w:t>
      </w:r>
    </w:p>
    <w:p>
      <w:pPr>
        <w:spacing w:after="0" w:line="25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Jeffrey W. Carr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Jeffrey W.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-130810</wp:posOffset>
            </wp:positionV>
            <wp:extent cx="26670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General Counsel &amp;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Mr. Pradip Bhaumik, Special Counsel</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2019-12-07T02:11:55Z</dcterms:created>
  <dcterms:modified xsi:type="dcterms:W3CDTF">2019-12-07T02:11:55Z</dcterms:modified>
</cp:coreProperties>
</file>