
<file path=[Content_Types].xml><?xml version="1.0" encoding="utf-8"?>
<Types xmlns="http://schemas.openxmlformats.org/package/2006/content-types">
  <Default ContentType="image/jpeg" Extension="jpeg"/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1171" w:hAnchor="page" w:vAnchor="page" w:x="276" w:y="146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2023 (“Q3 10-Q”). The Company undertakes to provide similar discussions in its future periodic filings with the SEC.</w:t>
      </w:r>
    </w:p>
    <w:p>
      <w:pPr>
        <w:pStyle w:val="Normal"/>
        <w:framePr w:w="14273" w:hAnchor="page" w:vAnchor="page" w:x="276" w:y="144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operating profit and other key financial statement line items in the Company’s quarterly report on Form 10-Q for the three months ended September 30,</w:t>
      </w:r>
    </w:p>
    <w:p>
      <w:pPr>
        <w:pStyle w:val="Normal"/>
        <w:framePr w:w="13729" w:hAnchor="page" w:vAnchor="page" w:x="276" w:y="1420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comment, and has included a quantified discussion of material factors impacting the Company’s revenue,</w:t>
      </w:r>
    </w:p>
    <w:p>
      <w:pPr>
        <w:pStyle w:val="Normal"/>
        <w:framePr w:w="1179" w:hAnchor="page" w:vAnchor="page" w:x="276" w:y="1374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7516" w:hAnchor="page" w:vAnchor="page" w:x="276" w:y="132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projects or products, where possible. Refer to Item 303(b) of Regulation S-K.</w:t>
      </w:r>
    </w:p>
    <w:p>
      <w:pPr>
        <w:pStyle w:val="Normal"/>
        <w:framePr w:w="14095" w:hAnchor="page" w:vAnchor="page" w:x="276" w:y="130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increase in North American activity. Please revise to include a quantified discussion of the factors impacting such activity with a focus on specific</w:t>
      </w:r>
    </w:p>
    <w:p>
      <w:pPr>
        <w:pStyle w:val="Normal"/>
        <w:framePr w:w="14180" w:hAnchor="page" w:vAnchor="page" w:x="276" w:y="128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discussion of the various factors impacting such change. In addition, you state that the increase in Surface Technologies revenue was driven by an</w:t>
      </w:r>
    </w:p>
    <w:p>
      <w:pPr>
        <w:pStyle w:val="Normal"/>
        <w:framePr w:w="13769" w:hAnchor="page" w:vAnchor="page" w:x="276" w:y="125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due to both volume and pricing in North America. Where a material change is due to two or more factors, please revise to provide a quantified</w:t>
      </w:r>
    </w:p>
    <w:p>
      <w:pPr>
        <w:pStyle w:val="Normal"/>
        <w:framePr w:w="14226" w:hAnchor="page" w:vAnchor="page" w:x="276" w:y="123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which was offset by the negative impact of foreign exchange. You also indicate that the increase in Surface Technologies operating profit increased</w:t>
      </w:r>
    </w:p>
    <w:p>
      <w:pPr>
        <w:pStyle w:val="Normal"/>
        <w:framePr w:w="13905" w:hAnchor="page" w:vAnchor="page" w:x="276" w:y="121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these factors. For example, you state that subsea revenue increased due to higher project installation activity in Brazil and the United Kingdom,</w:t>
      </w:r>
    </w:p>
    <w:p>
      <w:pPr>
        <w:pStyle w:val="Normal"/>
        <w:framePr w:w="14014" w:hAnchor="page" w:vAnchor="page" w:x="276" w:y="118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1. </w:t>
      </w: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You refer to various factors that impacted your operations both here and in the segment discussion, however, you do not quantify the impact of</w:t>
      </w:r>
    </w:p>
    <w:p>
      <w:pPr>
        <w:pStyle w:val="Normal"/>
        <w:framePr w:w="13183" w:hAnchor="page" w:vAnchor="page" w:x="276" w:y="114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Management’s Discussion and Analysis of Financial Condition and Results of Operations Operating Results of Business Segments, page 48</w:t>
      </w:r>
    </w:p>
    <w:p>
      <w:pPr>
        <w:pStyle w:val="Normal"/>
        <w:framePr w:w="4940" w:hAnchor="page" w:vAnchor="page" w:x="276" w:y="1107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10-K for the Year Ended December 31, 2022</w:t>
      </w:r>
    </w:p>
    <w:p>
      <w:pPr>
        <w:pStyle w:val="Normal"/>
        <w:framePr w:w="10695" w:hAnchor="page" w:vAnchor="page" w:x="276" w:y="105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All terms used but not defined herein have the meanings assigned to such terms in the Form 10-K and Form 8-K.</w:t>
      </w:r>
    </w:p>
    <w:p>
      <w:pPr>
        <w:pStyle w:val="Normal"/>
        <w:framePr w:w="11429" w:hAnchor="page" w:vAnchor="page" w:x="276" w:y="100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Please note that the “Company” or “TechnipFMC” refers to TechnipFMC plc, together with its consolidated subsidiaries.</w:t>
      </w:r>
    </w:p>
    <w:p>
      <w:pPr>
        <w:pStyle w:val="Normal"/>
        <w:framePr w:w="5831" w:hAnchor="page" w:vAnchor="page" w:x="276" w:y="95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bold, followed by the Company’s response to the comments.</w:t>
      </w:r>
    </w:p>
    <w:p>
      <w:pPr>
        <w:pStyle w:val="Normal"/>
        <w:framePr w:w="14320" w:hAnchor="page" w:vAnchor="page" w:x="276" w:y="93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February 24, 2023 (the “Form 10-K”) and Form 8-K filed with the SEC on July 27, 2023 (the “Form 8-K”). The Staff’s comments are set forth below in</w:t>
      </w:r>
    </w:p>
    <w:p>
      <w:pPr>
        <w:pStyle w:val="Normal"/>
        <w:framePr w:w="13437" w:hAnchor="page" w:vAnchor="page" w:x="276" w:y="91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Exchange Commission (the “SEC”), relating to the above-referenced Form 10-K for the year ended December 31, 2022, filed with the SEC on</w:t>
      </w:r>
    </w:p>
    <w:p>
      <w:pPr>
        <w:pStyle w:val="Normal"/>
        <w:framePr w:w="13468" w:hAnchor="page" w:vAnchor="page" w:x="276" w:y="88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letter responds to the letter dated October 6, 2023, from the staff of the Division of Corporation Finance (the “Staff”) of the Securities and</w:t>
      </w:r>
    </w:p>
    <w:p>
      <w:pPr>
        <w:pStyle w:val="Normal"/>
        <w:framePr w:w="3229" w:hAnchor="page" w:vAnchor="page" w:x="276" w:y="85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Dear Ms. Collins and Ms. Chen:</w:t>
      </w:r>
    </w:p>
    <w:p>
      <w:pPr>
        <w:pStyle w:val="Normal"/>
        <w:framePr w:w="2059" w:hAnchor="page" w:vAnchor="page" w:x="748" w:y="80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File No. 001-37983</w:t>
      </w:r>
    </w:p>
    <w:p>
      <w:pPr>
        <w:pStyle w:val="Normal"/>
        <w:framePr w:w="3358" w:hAnchor="page" w:vAnchor="page" w:x="748" w:y="78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8-K filed on July 27, 2023</w:t>
      </w:r>
    </w:p>
    <w:p>
      <w:pPr>
        <w:pStyle w:val="Normal"/>
        <w:framePr w:w="5190" w:hAnchor="page" w:vAnchor="page" w:x="748" w:y="76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Form 10-K for the Year Ended December 31, 2022</w:t>
      </w:r>
    </w:p>
    <w:p>
      <w:pPr>
        <w:pStyle w:val="Normal"/>
        <w:framePr w:w="2453" w:hAnchor="page" w:vAnchor="page" w:x="276" w:y="73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Re:    TechnipFMC plc</w:t>
      </w:r>
    </w:p>
    <w:p>
      <w:pPr>
        <w:pStyle w:val="Normal"/>
        <w:framePr w:w="4270" w:hAnchor="page" w:vAnchor="page" w:x="276" w:y="68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Attention: Kathleen Collins and Chen Chen</w:t>
      </w:r>
    </w:p>
    <w:p>
      <w:pPr>
        <w:pStyle w:val="Normal"/>
        <w:framePr w:w="2401" w:hAnchor="page" w:vAnchor="page" w:x="276" w:y="630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DC 20549</w:t>
      </w:r>
    </w:p>
    <w:p>
      <w:pPr>
        <w:pStyle w:val="Normal"/>
        <w:framePr w:w="1899" w:hAnchor="page" w:vAnchor="page" w:x="276" w:y="60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100 F Street, N.E.</w:t>
      </w:r>
    </w:p>
    <w:p>
      <w:pPr>
        <w:pStyle w:val="Normal"/>
        <w:framePr w:w="3242" w:hAnchor="page" w:vAnchor="page" w:x="276" w:y="584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Division of Corporation Finance</w:t>
      </w:r>
    </w:p>
    <w:p>
      <w:pPr>
        <w:pStyle w:val="Normal"/>
        <w:framePr w:w="4199" w:hAnchor="page" w:vAnchor="page" w:x="276" w:y="561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U.S. Securities and Exchange Commission</w:t>
      </w:r>
    </w:p>
    <w:p>
      <w:pPr>
        <w:pStyle w:val="Normal"/>
        <w:framePr w:w="1403" w:hAnchor="page" w:vAnchor="page" w:x="276" w:y="52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Via EDGAR</w:t>
      </w:r>
    </w:p>
    <w:p>
      <w:pPr>
        <w:pStyle w:val="Normal"/>
        <w:framePr w:w="1065" w:hAnchor="page" w:vAnchor="page" w:x="8073" w:y="46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Madrid</w:t>
      </w:r>
    </w:p>
    <w:p>
      <w:pPr>
        <w:pStyle w:val="Normal"/>
        <w:framePr w:w="344" w:hAnchor="page" w:vAnchor="page" w:x="10084" w:y="46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547" w:hAnchor="page" w:vAnchor="page" w:x="8073" w:y="44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Los Angeles</w:t>
      </w:r>
    </w:p>
    <w:p>
      <w:pPr>
        <w:pStyle w:val="Normal"/>
        <w:framePr w:w="2019" w:hAnchor="page" w:vAnchor="page" w:x="10084" w:y="44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Washington, D.C.</w:t>
      </w:r>
    </w:p>
    <w:p>
      <w:pPr>
        <w:pStyle w:val="Normal"/>
        <w:framePr w:w="1104" w:hAnchor="page" w:vAnchor="page" w:x="8073" w:y="42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London</w:t>
      </w:r>
    </w:p>
    <w:p>
      <w:pPr>
        <w:pStyle w:val="Normal"/>
        <w:framePr w:w="955" w:hAnchor="page" w:vAnchor="page" w:x="10084" w:y="42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Tokyo</w:t>
      </w:r>
    </w:p>
    <w:p>
      <w:pPr>
        <w:pStyle w:val="Normal"/>
        <w:framePr w:w="1168" w:hAnchor="page" w:vAnchor="page" w:x="8073" w:y="39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Houston</w:t>
      </w:r>
    </w:p>
    <w:p>
      <w:pPr>
        <w:pStyle w:val="Normal"/>
        <w:framePr w:w="1162" w:hAnchor="page" w:vAnchor="page" w:x="10084" w:y="399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Tel Aviv</w:t>
      </w:r>
    </w:p>
    <w:p>
      <w:pPr>
        <w:pStyle w:val="Normal"/>
        <w:framePr w:w="1470" w:hAnchor="page" w:vAnchor="page" w:x="8073" w:y="37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Hong Kong</w:t>
      </w:r>
    </w:p>
    <w:p>
      <w:pPr>
        <w:pStyle w:val="Normal"/>
        <w:framePr w:w="1305" w:hAnchor="page" w:vAnchor="page" w:x="10084" w:y="37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Singapore</w:t>
      </w:r>
    </w:p>
    <w:p>
      <w:pPr>
        <w:pStyle w:val="Normal"/>
        <w:framePr w:w="1254" w:hAnchor="page" w:vAnchor="page" w:x="8073" w:y="35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Hamburg</w:t>
      </w:r>
    </w:p>
    <w:p>
      <w:pPr>
        <w:pStyle w:val="Normal"/>
        <w:framePr w:w="1671" w:hAnchor="page" w:vAnchor="page" w:x="10084" w:y="35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Silicon Valley</w:t>
      </w:r>
    </w:p>
    <w:p>
      <w:pPr>
        <w:pStyle w:val="Normal"/>
        <w:framePr w:w="1258" w:hAnchor="page" w:vAnchor="page" w:x="8073" w:y="32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Frankfurt</w:t>
      </w:r>
    </w:p>
    <w:p>
      <w:pPr>
        <w:pStyle w:val="Normal"/>
        <w:framePr w:w="894" w:hAnchor="page" w:vAnchor="page" w:x="10084" w:y="329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Seoul</w:t>
      </w:r>
    </w:p>
    <w:p>
      <w:pPr>
        <w:pStyle w:val="Normal"/>
        <w:framePr w:w="1956" w:hAnchor="page" w:vAnchor="page" w:x="276" w:y="30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November 6, 2023</w:t>
      </w:r>
    </w:p>
    <w:p>
      <w:pPr>
        <w:pStyle w:val="Normal"/>
        <w:framePr w:w="1400" w:hAnchor="page" w:vAnchor="page" w:x="8073" w:y="30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Düsseldorf</w:t>
      </w:r>
    </w:p>
    <w:p>
      <w:pPr>
        <w:pStyle w:val="Normal"/>
        <w:framePr w:w="1671" w:hAnchor="page" w:vAnchor="page" w:x="10084" w:y="30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Francisco</w:t>
      </w:r>
    </w:p>
    <w:p>
      <w:pPr>
        <w:pStyle w:val="Normal"/>
        <w:framePr w:w="950" w:hAnchor="page" w:vAnchor="page" w:x="8073" w:y="28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Dubai</w:t>
      </w:r>
    </w:p>
    <w:p>
      <w:pPr>
        <w:pStyle w:val="Normal"/>
        <w:framePr w:w="1337" w:hAnchor="page" w:vAnchor="page" w:x="10084" w:y="28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San Diego</w:t>
      </w:r>
    </w:p>
    <w:p>
      <w:pPr>
        <w:pStyle w:val="Normal"/>
        <w:framePr w:w="1155" w:hAnchor="page" w:vAnchor="page" w:x="8073" w:y="26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Chicago</w:t>
      </w:r>
    </w:p>
    <w:p>
      <w:pPr>
        <w:pStyle w:val="Normal"/>
        <w:framePr w:w="1035" w:hAnchor="page" w:vAnchor="page" w:x="10084" w:y="26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Riyadh</w:t>
      </w:r>
    </w:p>
    <w:p>
      <w:pPr>
        <w:pStyle w:val="Normal"/>
        <w:framePr w:w="1586" w:hAnchor="page" w:vAnchor="page" w:x="8073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Century City</w:t>
      </w:r>
    </w:p>
    <w:p>
      <w:pPr>
        <w:pStyle w:val="Normal"/>
        <w:framePr w:w="830" w:hAnchor="page" w:vAnchor="page" w:x="10084" w:y="23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Paris</w:t>
      </w:r>
    </w:p>
    <w:p>
      <w:pPr>
        <w:pStyle w:val="Normal"/>
        <w:framePr w:w="1168" w:hAnchor="page" w:vAnchor="page" w:x="8073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Brussels</w:t>
      </w:r>
    </w:p>
    <w:p>
      <w:pPr>
        <w:pStyle w:val="Normal"/>
        <w:framePr w:w="1787" w:hAnchor="page" w:vAnchor="page" w:x="10084" w:y="21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Orange County</w:t>
      </w:r>
    </w:p>
    <w:p>
      <w:pPr>
        <w:pStyle w:val="Normal"/>
        <w:framePr w:w="1040" w:hAnchor="page" w:vAnchor="page" w:x="8073" w:y="19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Boston</w:t>
      </w:r>
    </w:p>
    <w:p>
      <w:pPr>
        <w:pStyle w:val="Normal"/>
        <w:framePr w:w="1314" w:hAnchor="page" w:vAnchor="page" w:x="10084" w:y="19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New York</w:t>
      </w:r>
    </w:p>
    <w:p>
      <w:pPr>
        <w:pStyle w:val="Normal"/>
        <w:framePr w:w="1065" w:hAnchor="page" w:vAnchor="page" w:x="8073" w:y="16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Beijing</w:t>
      </w:r>
    </w:p>
    <w:p>
      <w:pPr>
        <w:pStyle w:val="Normal"/>
        <w:framePr w:w="1087" w:hAnchor="page" w:vAnchor="page" w:x="10084" w:y="16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Munich</w:t>
      </w:r>
    </w:p>
    <w:p>
      <w:pPr>
        <w:pStyle w:val="Normal"/>
        <w:framePr w:w="1001" w:hAnchor="page" w:vAnchor="page" w:x="8073" w:y="14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Austin</w:t>
      </w:r>
    </w:p>
    <w:p>
      <w:pPr>
        <w:pStyle w:val="Normal"/>
        <w:framePr w:w="920" w:hAnchor="page" w:vAnchor="page" w:x="10084" w:y="14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Milan</w:t>
      </w:r>
    </w:p>
    <w:p>
      <w:pPr>
        <w:pStyle w:val="Normal"/>
        <w:framePr w:w="3258" w:hAnchor="page" w:vAnchor="page" w:x="8073" w:y="12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 FIRM / AFFILIATE OFFICES</w:t>
      </w:r>
    </w:p>
    <w:p>
      <w:pPr>
        <w:pStyle w:val="Normal"/>
        <w:framePr w:w="344" w:hAnchor="page" w:vAnchor="page" w:x="8073" w:y="8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1445" w:hAnchor="page" w:vAnchor="page" w:x="8203" w:y="8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www.lw.com</w:t>
      </w:r>
    </w:p>
    <w:p>
      <w:pPr>
        <w:pStyle w:val="Normal"/>
        <w:framePr w:w="4322" w:hAnchor="page" w:vAnchor="page" w:x="8203" w:y="6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Tel: +1.202.637.2200 Fax: +1.202.637.2201</w:t>
      </w:r>
    </w:p>
    <w:p>
      <w:pPr>
        <w:pStyle w:val="Normal"/>
        <w:framePr w:w="3056" w:hAnchor="page" w:vAnchor="page" w:x="8203" w:y="3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Washington, D.C. 20004-1304</w:t>
      </w:r>
    </w:p>
    <w:p>
      <w:pPr>
        <w:pStyle w:val="Normal"/>
        <w:framePr w:w="3760" w:hAnchor="page" w:vAnchor="page" w:x="8203" w:y="15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555 Eleventh Street, N.W., Suite 1000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.8pt;margin-top:60.6pt;z-index:-16777208;width:205.4pt;height:26.0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2.8pt;margin-top:271.5pt;z-index:-16777204;width:50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12.8pt;margin-top:562.3pt;z-index:-16777200;width:25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36.1pt;margin-top:562.3pt;z-index:-16777196;width:21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55.9pt;margin-top:562.3pt;z-index:-16777192;width:15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12.8pt;margin-top:579.65pt;z-index:-16777188;width:347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361.1pt;margin-top:579.65pt;z-index:-16777184;width:193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12.8pt;margin-top:695.35pt;z-index:-16777180;width:3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</w:p>
    <w:p>
      <w:pPr>
        <w:pStyle w:val="Normal"/>
        <w:framePr w:w="344" w:hAnchor="page" w:vAnchor="page" w:x="6130" w:y="133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2</w:t>
      </w:r>
    </w:p>
    <w:p>
      <w:pPr>
        <w:pStyle w:val="Normal"/>
        <w:framePr w:w="459" w:hAnchor="page" w:vAnchor="page" w:x="276" w:y="129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97</w:t>
      </w:r>
    </w:p>
    <w:p>
      <w:pPr>
        <w:pStyle w:val="Normal"/>
        <w:framePr w:w="14355" w:hAnchor="page" w:vAnchor="page" w:x="276" w:y="127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Consolidated Financial Statements of TechnipFMC PLC and Consolidated Subsidiaries Note 22. Pension and Other Post-Retirement Benefit Plans, page</w:t>
      </w:r>
    </w:p>
    <w:p>
      <w:pPr>
        <w:pStyle w:val="Normal"/>
        <w:framePr w:w="1250" w:hAnchor="page" w:vAnchor="page" w:x="276" w:y="1226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operations.</w:t>
      </w:r>
    </w:p>
    <w:p>
      <w:pPr>
        <w:pStyle w:val="Normal"/>
        <w:framePr w:w="13710" w:hAnchor="page" w:vAnchor="page" w:x="276" w:y="1203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conversations with its customers, while such information does not provide investors with meaningful insights on the Company’s overall results of</w:t>
      </w:r>
    </w:p>
    <w:p>
      <w:pPr>
        <w:pStyle w:val="Normal"/>
        <w:framePr w:w="13397" w:hAnchor="page" w:vAnchor="page" w:x="276" w:y="1180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business and future prospects as information on activity, pricing, inventory and other data could negatively impact the Company’s commercial</w:t>
      </w:r>
    </w:p>
    <w:p>
      <w:pPr>
        <w:pStyle w:val="Normal"/>
        <w:framePr w:w="13702" w:hAnchor="page" w:vAnchor="page" w:x="276" w:y="1157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also believes that periodic disclosure of factors impacting individual product lines could cause competitive harm to the Company’s</w:t>
      </w:r>
    </w:p>
    <w:p>
      <w:pPr>
        <w:pStyle w:val="Normal"/>
        <w:framePr w:w="4415" w:hAnchor="page" w:vAnchor="page" w:x="276" w:y="1110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risk to future project awards to the Company.</w:t>
      </w:r>
    </w:p>
    <w:p>
      <w:pPr>
        <w:pStyle w:val="Normal"/>
        <w:framePr w:w="14222" w:hAnchor="page" w:vAnchor="page" w:x="276" w:y="108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project-level information, while immaterial to investors, could cause competitive harm to the business of the Company’s customers and in turn, pose</w:t>
      </w:r>
    </w:p>
    <w:p>
      <w:pPr>
        <w:pStyle w:val="Normal"/>
        <w:framePr w:w="14172" w:hAnchor="page" w:vAnchor="page" w:x="276" w:y="1064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market-sensitive customer information, particularly where the Company’s work scope represents a material portion of a customer’s project. Disclosure</w:t>
      </w:r>
    </w:p>
    <w:p>
      <w:pPr>
        <w:pStyle w:val="Normal"/>
        <w:framePr w:w="14256" w:hAnchor="page" w:vAnchor="page" w:x="276" w:y="104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Moreover, project-related activities contribute to more than half of the Company’s revenue, and disclosure on specific projects could result in release of</w:t>
      </w:r>
    </w:p>
    <w:p>
      <w:pPr>
        <w:pStyle w:val="Normal"/>
        <w:framePr w:w="7191" w:hAnchor="page" w:vAnchor="page" w:x="276" w:y="99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large backlog of projects and diversity of the Company’s product offerings.</w:t>
      </w:r>
    </w:p>
    <w:p>
      <w:pPr>
        <w:pStyle w:val="Normal"/>
        <w:framePr w:w="14094" w:hAnchor="page" w:vAnchor="page" w:x="276" w:y="97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based on specific projects and individual product lines does not provide meaningful insights on the Company’s overall results of operations due to the</w:t>
      </w:r>
    </w:p>
    <w:p>
      <w:pPr>
        <w:pStyle w:val="Normal"/>
        <w:framePr w:w="14203" w:hAnchor="page" w:vAnchor="page" w:x="276" w:y="94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Additionally, the Company respectfully advises the Staff that, it believes a quantified discussion of factors impacting key financial statement line items</w:t>
      </w:r>
    </w:p>
    <w:p>
      <w:pPr>
        <w:pStyle w:val="Normal"/>
        <w:framePr w:w="7387" w:hAnchor="page" w:vAnchor="page" w:x="276" w:y="90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operational performance and $5.3 million due to higher Middle East activity.</w:t>
      </w:r>
    </w:p>
    <w:p>
      <w:pPr>
        <w:pStyle w:val="Normal"/>
        <w:framePr w:w="13659" w:hAnchor="page" w:vAnchor="page" w:x="276" w:y="879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Surface Technologies operating profit increased versus the prior year by $14.3 million, of which $7.2 million is due to North America’s improved</w:t>
      </w:r>
    </w:p>
    <w:p>
      <w:pPr>
        <w:pStyle w:val="Normal"/>
        <w:framePr w:w="6409" w:hAnchor="page" w:vAnchor="page" w:x="276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which the Middle East represented 25.2% and 20.6%, respectively.</w:t>
      </w:r>
    </w:p>
    <w:p>
      <w:pPr>
        <w:pStyle w:val="Normal"/>
        <w:framePr w:w="14307" w:hAnchor="page" w:vAnchor="page" w:x="276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three months ended September 30, 2023 and 2022, 60.6% and 54.0% of total segment revenue, respectively, was generated outside of North America, of</w:t>
      </w:r>
    </w:p>
    <w:p>
      <w:pPr>
        <w:pStyle w:val="Normal"/>
        <w:framePr w:w="13874" w:hAnchor="page" w:vAnchor="page" w:x="276" w:y="77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Surface Technologies revenue increased by $30.6 million, $22.2 million of which is attributable to increased activity in the Middle East. During the</w:t>
      </w:r>
    </w:p>
    <w:p>
      <w:pPr>
        <w:pStyle w:val="Normal"/>
        <w:framePr w:w="9864" w:hAnchor="page" w:vAnchor="page" w:x="276" w:y="71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$52.7 million in favorable activity mix, partially offset by a $22.0 million increase in operating expense.</w:t>
      </w:r>
    </w:p>
    <w:p>
      <w:pPr>
        <w:pStyle w:val="Normal"/>
        <w:framePr w:w="14080" w:hAnchor="page" w:vAnchor="page" w:x="276" w:y="69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Subsea operating profit for the three months ended September 30, 2023, increased by $72.7 million. $42.0 million comes from volume, combined with</w:t>
      </w:r>
    </w:p>
    <w:p>
      <w:pPr>
        <w:pStyle w:val="Normal"/>
        <w:framePr w:w="1166" w:hAnchor="page" w:vAnchor="page" w:x="27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world.</w:t>
      </w:r>
    </w:p>
    <w:p>
      <w:pPr>
        <w:pStyle w:val="Normal"/>
        <w:framePr w:w="14154" w:hAnchor="page" w:vAnchor="page" w:x="276" w:y="61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increase comes from Brazil, $116.9 million from Norway and $54.1 million from the United States, offset by net $20.9 million decrease from the rest of</w:t>
      </w:r>
    </w:p>
    <w:p>
      <w:pPr>
        <w:pStyle w:val="Normal"/>
        <w:framePr w:w="13624" w:hAnchor="page" w:vAnchor="page" w:x="276" w:y="590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Subsea revenue increased $293.3 million, as a continued positive impact of the backlog increase in 2022, compared to prior year. $143.6 million</w:t>
      </w:r>
    </w:p>
    <w:p>
      <w:pPr>
        <w:pStyle w:val="Normal"/>
        <w:framePr w:w="8310" w:hAnchor="page" w:vAnchor="page" w:x="276" w:y="53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improved operational performance and $6.4 million due to higher Middle East activity.</w:t>
      </w:r>
    </w:p>
    <w:p>
      <w:pPr>
        <w:pStyle w:val="Normal"/>
        <w:framePr w:w="13932" w:hAnchor="page" w:vAnchor="page" w:x="276" w:y="5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 favorable activity mix. Surface Technologies gross profit increased year-over-year by $13.1 million, of which $9.4 million due to North America’s</w:t>
      </w:r>
    </w:p>
    <w:p>
      <w:pPr>
        <w:pStyle w:val="Normal"/>
        <w:framePr w:w="14294" w:hAnchor="page" w:vAnchor="page" w:x="276" w:y="48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prior-year period. Subsea gross profit increased year over year by $94.7 million, of which $42.0 million is due to volume increase and $52.7 million</w:t>
      </w:r>
    </w:p>
    <w:p>
      <w:pPr>
        <w:pStyle w:val="Normal"/>
        <w:framePr w:w="14153" w:hAnchor="page" w:vAnchor="page" w:x="276" w:y="46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Gross profit (revenue less cost of sales) increased to $366.9 million during the three months ended September 30, 2023, compared to $256.0 million in</w:t>
      </w:r>
    </w:p>
    <w:p>
      <w:pPr>
        <w:pStyle w:val="Normal"/>
        <w:framePr w:w="1361" w:hAnchor="page" w:vAnchor="page" w:x="276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Gross Profit</w:t>
      </w:r>
    </w:p>
    <w:p>
      <w:pPr>
        <w:pStyle w:val="Normal"/>
        <w:framePr w:w="1410" w:hAnchor="page" w:vAnchor="page" w:x="276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Middle East.</w:t>
      </w:r>
    </w:p>
    <w:p>
      <w:pPr>
        <w:pStyle w:val="Normal"/>
        <w:framePr w:w="14268" w:hAnchor="page" w:vAnchor="page" w:x="276" w:y="34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project revenues over the period. Surface Technologies revenue increased by $30.6 million, out of which $22.2 million is due to increased activity in the</w:t>
      </w:r>
    </w:p>
    <w:p>
      <w:pPr>
        <w:pStyle w:val="Normal"/>
        <w:framePr w:w="13713" w:hAnchor="page" w:vAnchor="page" w:x="276" w:y="32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by $293.3 million, primarily driven by a 24.5% higher backlog as of December 31, 2021, than December 31, 2022, converting into an increase in</w:t>
      </w:r>
    </w:p>
    <w:p>
      <w:pPr>
        <w:pStyle w:val="Normal"/>
        <w:framePr w:w="14212" w:hAnchor="page" w:vAnchor="page" w:x="276" w:y="30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Revenue increased $323.9 million during the three months ended September 30, 2023, compared to the same period in 2022. Subsea revenue increased</w:t>
      </w:r>
    </w:p>
    <w:p>
      <w:pPr>
        <w:pStyle w:val="Normal"/>
        <w:framePr w:w="1011" w:hAnchor="page" w:vAnchor="page" w:x="276" w:y="266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Revenue</w:t>
      </w:r>
    </w:p>
    <w:p>
      <w:pPr>
        <w:pStyle w:val="Normal"/>
        <w:framePr w:w="4988" w:hAnchor="page" w:vAnchor="page" w:x="4195" w:y="23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Three Months Ended September 30, 2023 and 2022</w:t>
      </w:r>
    </w:p>
    <w:p>
      <w:pPr>
        <w:pStyle w:val="Normal"/>
        <w:framePr w:w="5374" w:hAnchor="page" w:vAnchor="page" w:x="4034" w:y="20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Consolidated Results of Operations of TechnipFMC plc</w:t>
      </w:r>
    </w:p>
    <w:p>
      <w:pPr>
        <w:pStyle w:val="Normal"/>
        <w:framePr w:w="2123" w:hAnchor="page" w:vAnchor="page" w:x="276" w:y="16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illustrative example:</w:t>
      </w:r>
    </w:p>
    <w:p>
      <w:pPr>
        <w:pStyle w:val="Normal"/>
        <w:framePr w:w="13998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The comparison of the three months ended September 30, 2023 and 2022, as included in the Company’s Q3 10-Q, is set forth below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(in italics)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as an</w:t>
      </w:r>
    </w:p>
    <w:p>
      <w:pPr>
        <w:pStyle w:val="Normal"/>
        <w:framePr w:w="87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2</w:t>
      </w:r>
    </w:p>
    <w:p>
      <w:pPr>
        <w:pStyle w:val="Normal"/>
        <w:framePr w:w="200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November 6,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7pt;margin-top:1pt;z-index:-1677717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2.8pt;margin-top:1pt;z-index:-167771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12.8pt;margin-top:2.45pt;z-index:-1677716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597.95pt;margin-top:1pt;z-index:-167771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2.8pt;margin-top:1pt;z-index:-1677716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3.8pt;margin-top:46.1pt;z-index:-16777156;width:146.1pt;height:1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00.7pt;margin-top:112.4pt;z-index:-16777152;width:21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208.75pt;margin-top:123.95pt;z-index:-16777148;width:200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2.8pt;margin-top:644.75pt;z-index:-16777144;width:339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352.45pt;margin-top:644.75pt;z-index:-16777140;width:2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12.8pt;margin-top:656.3pt;z-index:-16777136;width:1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</w:p>
    <w:p>
      <w:pPr>
        <w:pStyle w:val="Normal"/>
        <w:framePr w:w="344" w:hAnchor="page" w:vAnchor="page" w:x="6130" w:y="132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</w:t>
      </w:r>
    </w:p>
    <w:p>
      <w:pPr>
        <w:pStyle w:val="Normal"/>
        <w:framePr w:w="3692" w:hAnchor="page" w:vAnchor="page" w:x="276" w:y="1288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proposed revisions in your response.</w:t>
      </w:r>
    </w:p>
    <w:p>
      <w:pPr>
        <w:pStyle w:val="Normal"/>
        <w:framePr w:w="13507" w:hAnchor="page" w:vAnchor="page" w:x="276" w:y="1265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misleading” as your current disclosures appear to imply that the GAAP financial measures could potentially be misleading. Provide us with</w:t>
      </w:r>
    </w:p>
    <w:p>
      <w:pPr>
        <w:pStyle w:val="Normal"/>
        <w:framePr w:w="14025" w:hAnchor="page" w:vAnchor="page" w:x="276" w:y="1242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otherwise be masked or misleading to both investors and management by the excluded items. Please revise to remove the reference to “masked or</w:t>
      </w:r>
    </w:p>
    <w:p>
      <w:pPr>
        <w:pStyle w:val="Normal"/>
        <w:framePr w:w="14215" w:hAnchor="page" w:vAnchor="page" w:x="276" w:y="121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effectively evaluate TechnipFMC’s operations and consolidated results of operations period-over-period, and to identify operating trends that could</w:t>
      </w:r>
    </w:p>
    <w:p>
      <w:pPr>
        <w:pStyle w:val="Normal"/>
        <w:framePr w:w="14393" w:hAnchor="page" w:vAnchor="page" w:x="276" w:y="1196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3. </w:t>
      </w: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You state that management believes the exclusion of charges and credits from your financial measures enables investors and management to more</w:t>
      </w:r>
    </w:p>
    <w:p>
      <w:pPr>
        <w:pStyle w:val="Normal"/>
        <w:framePr w:w="6570" w:hAnchor="page" w:vAnchor="page" w:x="276" w:y="1149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Reconciliation of GAAP to non-GAAP Financial Measures, page 18</w:t>
      </w:r>
    </w:p>
    <w:p>
      <w:pPr>
        <w:pStyle w:val="Normal"/>
        <w:framePr w:w="1372" w:hAnchor="page" w:vAnchor="page" w:x="276" w:y="112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Exhibit 99.1</w:t>
      </w:r>
    </w:p>
    <w:p>
      <w:pPr>
        <w:pStyle w:val="Normal"/>
        <w:framePr w:w="4386" w:hAnchor="page" w:vAnchor="page" w:x="276" w:y="1103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Item 2.02 Form 8-K Furnished July 27, 2023</w:t>
      </w:r>
    </w:p>
    <w:p>
      <w:pPr>
        <w:pStyle w:val="Normal"/>
        <w:framePr w:w="11535" w:hAnchor="page" w:vAnchor="page" w:x="276" w:y="1057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other post-retirement benefit plans, and as such, the error does not represent a significant deficiency or material weakness.</w:t>
      </w:r>
    </w:p>
    <w:p>
      <w:pPr>
        <w:pStyle w:val="Normal"/>
        <w:framePr w:w="13933" w:hAnchor="page" w:vAnchor="page" w:x="276" w:y="1034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Company’s key control process and is not indicative of a systemic failure of controls on the calculation and reporting of the Company’s pension and</w:t>
      </w:r>
    </w:p>
    <w:p>
      <w:pPr>
        <w:pStyle w:val="Normal"/>
        <w:framePr w:w="13990" w:hAnchor="page" w:vAnchor="page" w:x="276" w:y="1011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Management also assessed the control failure associated with the arithmetic error and concluded that the error was an isolated incident outside of the</w:t>
      </w:r>
    </w:p>
    <w:p>
      <w:pPr>
        <w:pStyle w:val="Normal"/>
        <w:framePr w:w="13335" w:hAnchor="page" w:vAnchor="page" w:x="276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will be corrected in the Company’s annual report on Form 10-K for the year ending December 31, 2023 and future SEC filings, as applicable.</w:t>
      </w:r>
    </w:p>
    <w:p>
      <w:pPr>
        <w:pStyle w:val="Normal"/>
        <w:framePr w:w="14150" w:hAnchor="page" w:vAnchor="page" w:x="276" w:y="941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market reaction, positive or negative. Management therefore determined this error is immaterial to previously issued financial statements and the error</w:t>
      </w:r>
    </w:p>
    <w:p>
      <w:pPr>
        <w:pStyle w:val="Normal"/>
        <w:framePr w:w="14286" w:hAnchor="page" w:vAnchor="page" w:x="276" w:y="91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Company’s Form 10-K would have been changed or influenced by this item. Management concluded that correction of the error would not result in any</w:t>
      </w:r>
    </w:p>
    <w:p>
      <w:pPr>
        <w:pStyle w:val="Normal"/>
        <w:framePr w:w="14248" w:hAnchor="page" w:vAnchor="page" w:x="276" w:y="89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significant to the users of its financial statements as it is not probable that the judgment of a reasonable person relying on the financial statements in the</w:t>
      </w:r>
    </w:p>
    <w:p>
      <w:pPr>
        <w:pStyle w:val="Normal"/>
        <w:framePr w:w="14080" w:hAnchor="page" w:vAnchor="page" w:x="276" w:y="87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 material impact on the Company’s reported results. Based on this assessment, management concluded that the weighted-average discount rate is not</w:t>
      </w:r>
    </w:p>
    <w:p>
      <w:pPr>
        <w:pStyle w:val="Normal"/>
        <w:framePr w:w="14342" w:hAnchor="page" w:vAnchor="page" w:x="276" w:y="84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Company’s assessment considered both quantitative and qualitative factors and the effect of the error, including an analysis of whether the error had</w:t>
      </w:r>
    </w:p>
    <w:p>
      <w:pPr>
        <w:pStyle w:val="Normal"/>
        <w:framePr w:w="14050" w:hAnchor="page" w:vAnchor="page" w:x="276" w:y="82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Management performed and documented an assessment of the error noted above based on Staff Accounting Bulletin No. 99: Materiality (“SAB 99”).</w:t>
      </w:r>
    </w:p>
    <w:p>
      <w:pPr>
        <w:pStyle w:val="Normal"/>
        <w:framePr w:w="11266" w:hAnchor="page" w:vAnchor="page" w:x="276" w:y="77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during fiscal year 2022, the Company observed increases in corporate and government bond yields across all countries.</w:t>
      </w:r>
    </w:p>
    <w:p>
      <w:pPr>
        <w:pStyle w:val="Normal"/>
        <w:framePr w:w="13833" w:hAnchor="page" w:vAnchor="page" w:x="276" w:y="756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with reference to a government bond index. There was no change in methodologies in determining discount rate at fiscal 2021 and 2022. However,</w:t>
      </w:r>
    </w:p>
    <w:p>
      <w:pPr>
        <w:pStyle w:val="Normal"/>
        <w:framePr w:w="14082" w:hAnchor="page" w:vAnchor="page" w:x="276" w:y="73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calculate the present value of each individual plan. For countries that lack a sufficient corporate bond market, such as Brazil, the discount rate was set</w:t>
      </w:r>
    </w:p>
    <w:p>
      <w:pPr>
        <w:pStyle w:val="Normal"/>
        <w:framePr w:w="13771" w:hAnchor="page" w:vAnchor="page" w:x="276" w:y="71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quality corporate bonds available in each market. A single equivalent discount rate within the same market as of a fiscal year end was then used to</w:t>
      </w:r>
    </w:p>
    <w:p>
      <w:pPr>
        <w:pStyle w:val="Normal"/>
        <w:framePr w:w="13938" w:hAnchor="page" w:vAnchor="page" w:x="276" w:y="68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discount rates for all international plans were derived using each plan’s projected benefit cashflows and a yield curve constructed based on high</w:t>
      </w:r>
    </w:p>
    <w:p>
      <w:pPr>
        <w:pStyle w:val="Normal"/>
        <w:framePr w:w="2092" w:hAnchor="page" w:vAnchor="page" w:x="1317" w:y="64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pension obligations.</w:t>
      </w:r>
    </w:p>
    <w:p>
      <w:pPr>
        <w:pStyle w:val="Normal"/>
        <w:framePr w:w="309" w:hAnchor="page" w:vAnchor="page" w:x="854" w:y="61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12603" w:hAnchor="page" w:vAnchor="page" w:x="1317" w:y="617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rates in the range of 3.7%—9.9% for the rest of the Company’s international plans, making up the remaining 7% of total international</w:t>
      </w:r>
    </w:p>
    <w:p>
      <w:pPr>
        <w:pStyle w:val="Normal"/>
        <w:framePr w:w="309" w:hAnchor="page" w:vAnchor="page" w:x="854" w:y="58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8517" w:hAnchor="page" w:vAnchor="page" w:x="1317" w:y="58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3.8% for the French plans, representing 7% of total international pension obligations; and</w:t>
      </w:r>
    </w:p>
    <w:p>
      <w:pPr>
        <w:pStyle w:val="Normal"/>
        <w:framePr w:w="309" w:hAnchor="page" w:vAnchor="page" w:x="854" w:y="54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•</w:t>
      </w:r>
    </w:p>
    <w:p>
      <w:pPr>
        <w:pStyle w:val="Normal"/>
        <w:framePr w:w="8048" w:hAnchor="page" w:vAnchor="page" w:x="1317" w:y="545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4.9% for the U.K. plans, representing 86% of total international pension obligations;</w:t>
      </w:r>
    </w:p>
    <w:p>
      <w:pPr>
        <w:pStyle w:val="Normal"/>
        <w:framePr w:w="4629" w:hAnchor="page" w:vAnchor="page" w:x="276" w:y="5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discount rates used in the calculation were:</w:t>
      </w:r>
    </w:p>
    <w:p>
      <w:pPr>
        <w:pStyle w:val="Normal"/>
        <w:framePr w:w="4802" w:hAnchor="page" w:vAnchor="page" w:x="276" w:y="46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(arithmetic average instead of weighted average).</w:t>
      </w:r>
    </w:p>
    <w:p>
      <w:pPr>
        <w:pStyle w:val="Normal"/>
        <w:framePr w:w="13795" w:hAnchor="page" w:vAnchor="page" w:x="276" w:y="43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specific discount rates were aggregated to generate the weighted-average discount rate where the arithmetic error occurred due to a wrong formula</w:t>
      </w:r>
    </w:p>
    <w:p>
      <w:pPr>
        <w:pStyle w:val="Normal"/>
        <w:framePr w:w="13617" w:hAnchor="page" w:vAnchor="page" w:x="276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recording pension benefit obligation as of December 31, 2022, as the calculation was performed by country and/or plan. The correct country</w:t>
      </w:r>
    </w:p>
    <w:p>
      <w:pPr>
        <w:pStyle w:val="Normal"/>
        <w:framePr w:w="14219" w:hAnchor="page" w:vAnchor="page" w:x="276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the consolidated financial statements in the Form 10-K and the correct country specific discount rates, as shown below, were used when determining</w:t>
      </w:r>
    </w:p>
    <w:p>
      <w:pPr>
        <w:pStyle w:val="Normal"/>
        <w:framePr w:w="14228" w:hAnchor="page" w:vAnchor="page" w:x="276" w:y="370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This error relates only to the weighted-average discount rate for the Company’s international pension plans in fiscal 2022 that was disclosed in Note 22</w:t>
      </w:r>
    </w:p>
    <w:p>
      <w:pPr>
        <w:pStyle w:val="Normal"/>
        <w:framePr w:w="6466" w:hAnchor="page" w:vAnchor="page" w:x="276" w:y="32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report on Form 10-K for the fiscal year ending December 31, 2023.</w:t>
      </w:r>
    </w:p>
    <w:p>
      <w:pPr>
        <w:pStyle w:val="Normal"/>
        <w:framePr w:w="14177" w:hAnchor="page" w:vAnchor="page" w:x="276" w:y="30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discount rate of 9.97% disclosed in the Form 10-K was incorrect due to an arithmetic error. The Company will correct the error in its upcoming annual</w:t>
      </w:r>
    </w:p>
    <w:p>
      <w:pPr>
        <w:pStyle w:val="Normal"/>
        <w:framePr w:w="13600" w:hAnchor="page" w:vAnchor="page" w:x="276" w:y="27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respectfully advises the Staff that the weighted-average discount rate as of December 31, 2022 was 4.89%. The weighted-average</w:t>
      </w:r>
    </w:p>
    <w:p>
      <w:pPr>
        <w:pStyle w:val="Normal"/>
        <w:framePr w:w="1179" w:hAnchor="page" w:vAnchor="page" w:x="276" w:y="242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11949" w:hAnchor="page" w:vAnchor="page" w:x="276" w:y="18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determining your weighted-average assumptions for each of Netherlands, France, Germany, United Kingdom and Canada.</w:t>
      </w:r>
    </w:p>
    <w:p>
      <w:pPr>
        <w:pStyle w:val="Normal"/>
        <w:framePr w:w="14310" w:hAnchor="page" w:vAnchor="page" w:x="276" w:y="16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compared to a discount rate of 1.99% in fiscal 2021. Please explain to us the reason for such increase and provide us with the discount rates used in</w:t>
      </w:r>
    </w:p>
    <w:p>
      <w:pPr>
        <w:pStyle w:val="Normal"/>
        <w:framePr w:w="14357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2. </w:t>
      </w: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We note that you used a weighted-average discount rate of 9.97% to determine the benefit obligation for international pension plans in fiscal 2022</w:t>
      </w:r>
    </w:p>
    <w:p>
      <w:pPr>
        <w:pStyle w:val="Normal"/>
        <w:framePr w:w="87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3</w:t>
      </w:r>
    </w:p>
    <w:p>
      <w:pPr>
        <w:pStyle w:val="Normal"/>
        <w:framePr w:w="200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November 6,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7pt;margin-top:1pt;z-index:-16777132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2.8pt;margin-top:1pt;z-index:-1677712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2.8pt;margin-top:2.45pt;z-index:-1677712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597.95pt;margin-top:1pt;z-index:-1677712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2.8pt;margin-top:1pt;z-index:-1677711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3.8pt;margin-top:46.1pt;z-index:-16777112;width:146.1pt;height:1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2.8pt;margin-top:129.75pt;z-index:-16777108;width:3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12.8pt;margin-top:560.1pt;z-index:-16777104;width:64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75.45pt;margin-top:560.1pt;z-index:-16777100;width:1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90.45pt;margin-top:560.1pt;z-index:-16777096;width:97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8pt;margin-top:571.7pt;z-index:-16777092;width:49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12.8pt;margin-top:583.25pt;z-index:-16777088;width:10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0.4pt;margin-top:583.25pt;z-index:-16777084;width:4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64.3pt;margin-top:583.25pt;z-index:-16777080;width:114.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</w:p>
    <w:p>
      <w:pPr>
        <w:pStyle w:val="Normal"/>
        <w:framePr w:w="344" w:hAnchor="page" w:vAnchor="page" w:x="6130" w:y="143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4</w:t>
      </w:r>
    </w:p>
    <w:p>
      <w:pPr>
        <w:pStyle w:val="Normal"/>
        <w:framePr w:w="2843" w:hAnchor="page" w:vAnchor="page" w:x="276" w:y="140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U.K. net deferred tax assets.</w:t>
      </w:r>
    </w:p>
    <w:p>
      <w:pPr>
        <w:pStyle w:val="Normal"/>
        <w:framePr w:w="14299" w:hAnchor="page" w:vAnchor="page" w:x="276" w:y="137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adjustment was zero, given that the UK entity had significant U.K. net operating loss carryforwards and established full valuation allowances against its</w:t>
      </w:r>
    </w:p>
    <w:p>
      <w:pPr>
        <w:pStyle w:val="Normal"/>
        <w:framePr w:w="13659" w:hAnchor="page" w:vAnchor="page" w:x="276" w:y="135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Gains and losses of the sales were recorded in a UK entity and treated as non-deductible permanent difference. The tax effects of this non-GAAP</w:t>
      </w:r>
    </w:p>
    <w:p>
      <w:pPr>
        <w:pStyle w:val="Normal"/>
        <w:framePr w:w="14273" w:hAnchor="page" w:vAnchor="page" w:x="276" w:y="133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mark-to-market valuation on the Company’s investment in Technip Energies and the gains and losses resulting from sale transactions of the investment.</w:t>
      </w:r>
    </w:p>
    <w:p>
      <w:pPr>
        <w:pStyle w:val="Normal"/>
        <w:framePr w:w="13195" w:hAnchor="page" w:vAnchor="page" w:x="276" w:y="130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Loss from investment in Technip Energies, as included in the Company’s 2022 Q4 Earnings Release, the charges reflect the net value of</w:t>
      </w:r>
    </w:p>
    <w:p>
      <w:pPr>
        <w:pStyle w:val="Normal"/>
        <w:framePr w:w="7640" w:hAnchor="page" w:vAnchor="page" w:x="276" w:y="126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assets, and as a result, there was no further tax effect of the Impairment charges.</w:t>
      </w:r>
    </w:p>
    <w:p>
      <w:pPr>
        <w:pStyle w:val="Normal"/>
        <w:framePr w:w="14234" w:hAnchor="page" w:vAnchor="page" w:x="276" w:y="123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Release”), the underlying non-GAAP adjustments relate to various jurisdictions with a full valuation allowance against their respective net deferred tax</w:t>
      </w:r>
    </w:p>
    <w:p>
      <w:pPr>
        <w:pStyle w:val="Normal"/>
        <w:framePr w:w="14365" w:hAnchor="page" w:vAnchor="page" w:x="276" w:y="121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 Impairment charges, as included in the Company’s earnings release for the three months and year ended December 31, 2022 (the “2022 Q4 Earnings</w:t>
      </w:r>
    </w:p>
    <w:p>
      <w:pPr>
        <w:pStyle w:val="Normal"/>
        <w:framePr w:w="5924" w:hAnchor="page" w:vAnchor="page" w:x="276" w:y="116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difference and as such, did not trigger tax charges or benefits.</w:t>
      </w:r>
    </w:p>
    <w:p>
      <w:pPr>
        <w:pStyle w:val="Normal"/>
        <w:framePr w:w="13722" w:hAnchor="page" w:vAnchor="page" w:x="276" w:y="114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Form 10-Q for the three months ended June 30, 2023). For taxation purposes, the charges were treated as a penalty and non-deductible permanent</w:t>
      </w:r>
    </w:p>
    <w:p>
      <w:pPr>
        <w:pStyle w:val="Normal"/>
        <w:framePr w:w="13868" w:hAnchor="page" w:vAnchor="page" w:x="276" w:y="112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8-K earnings release, reflect the impact of the resolution of all outstanding matters with the PNF (see Note 13 of the Company’s quarterly report on</w:t>
      </w:r>
    </w:p>
    <w:p>
      <w:pPr>
        <w:pStyle w:val="Normal"/>
        <w:framePr w:w="14384" w:hAnchor="page" w:vAnchor="page" w:x="276" w:y="1099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Non-recurring legal settlement charges, as included in the Company’s earnings release for the three months ended September 30, 2023 and the Form</w:t>
      </w:r>
    </w:p>
    <w:p>
      <w:pPr>
        <w:pStyle w:val="Normal"/>
        <w:framePr w:w="4301" w:hAnchor="page" w:vAnchor="page" w:x="276" w:y="105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effect of such item is estimated accordingly.</w:t>
      </w:r>
    </w:p>
    <w:p>
      <w:pPr>
        <w:pStyle w:val="Normal"/>
        <w:framePr w:w="14008" w:hAnchor="page" w:vAnchor="page" w:x="276" w:y="102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which the item has been recorded requires application of a specific tax rate, tax treatment or valuation allowance consideration, in which case the tax</w:t>
      </w:r>
    </w:p>
    <w:p>
      <w:pPr>
        <w:pStyle w:val="Normal"/>
        <w:framePr w:w="13888" w:hAnchor="page" w:vAnchor="page" w:x="276" w:y="1006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performed item by item, applying the relevant jurisdictional tax rate to the pretax amount, unless the nature of the item and/or the tax jurisdiction in</w:t>
      </w:r>
    </w:p>
    <w:p>
      <w:pPr>
        <w:pStyle w:val="Normal"/>
        <w:framePr w:w="13695" w:hAnchor="page" w:vAnchor="page" w:x="276" w:y="98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 and respectfully advises the Staff that estimation of tax effect of each non-GAAP adjustment is</w:t>
      </w:r>
    </w:p>
    <w:p>
      <w:pPr>
        <w:pStyle w:val="Normal"/>
        <w:framePr w:w="1179" w:hAnchor="page" w:vAnchor="page" w:x="276" w:y="937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2092" w:hAnchor="page" w:vAnchor="page" w:x="276" w:y="890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non-GAAP C&amp;DIs.</w:t>
      </w:r>
    </w:p>
    <w:p>
      <w:pPr>
        <w:pStyle w:val="Normal"/>
        <w:framePr w:w="14183" w:hAnchor="page" w:vAnchor="page" w:x="276" w:y="867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Form 8-K. Also revise your disclosures to explain how the tax effects of the non-GAAP adjustments are calculated. Refer to Question 102.11 of the</w:t>
      </w:r>
    </w:p>
    <w:p>
      <w:pPr>
        <w:pStyle w:val="Normal"/>
        <w:framePr w:w="14190" w:hAnchor="page" w:vAnchor="page" w:x="276" w:y="84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Form 8-K earnings release, or similarly, for impairment and other charges and loss from investment in Technip Energies in the February 23, 2023</w:t>
      </w:r>
    </w:p>
    <w:p>
      <w:pPr>
        <w:pStyle w:val="Normal"/>
        <w:framePr w:w="13910" w:hAnchor="page" w:vAnchor="page" w:x="276" w:y="821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to TechnipFMC plc. In your response, address why you have not included a tax adjustment for the non-recurring legal settlement charge in this</w:t>
      </w:r>
    </w:p>
    <w:p>
      <w:pPr>
        <w:pStyle w:val="Normal"/>
        <w:framePr w:w="14189" w:hAnchor="page" w:vAnchor="page" w:x="276" w:y="798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4. </w:t>
      </w: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Please explain how you determined the income tax effects on your measure of non-GAAP Income (loss) from continuing operations attributable</w:t>
      </w:r>
    </w:p>
    <w:p>
      <w:pPr>
        <w:pStyle w:val="Normal"/>
        <w:framePr w:w="3445" w:hAnchor="page" w:vAnchor="page" w:x="276" w:y="752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non-GAAP financial measures.</w:t>
      </w:r>
    </w:p>
    <w:p>
      <w:pPr>
        <w:pStyle w:val="Normal"/>
        <w:framePr w:w="14273" w:hAnchor="page" w:vAnchor="page" w:x="276" w:y="72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financial performance prepared in accordance with GAAP. The following is a reconciliation of the most comparable financial measures under GAAP to</w:t>
      </w:r>
    </w:p>
    <w:p>
      <w:pPr>
        <w:pStyle w:val="Normal"/>
        <w:framePr w:w="14120" w:hAnchor="page" w:vAnchor="page" w:x="276" w:y="70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foregoing non-GAAP financial measures should be considered by investors in addition to, not as a substitute for or superior to, other measures of</w:t>
      </w:r>
    </w:p>
    <w:p>
      <w:pPr>
        <w:pStyle w:val="Normal"/>
        <w:framePr w:w="14270" w:hAnchor="page" w:vAnchor="page" w:x="276" w:y="682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operations period-over-period. These measures are also used by management as performance measures in determining certain incentive compensation.</w:t>
      </w:r>
    </w:p>
    <w:p>
      <w:pPr>
        <w:pStyle w:val="Normal"/>
        <w:framePr w:w="13520" w:hAnchor="page" w:vAnchor="page" w:x="276" w:y="659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the Company’s underlying business results and operating trends, and a means to evaluate TechnipFMC’s operations and consolidated results of</w:t>
      </w:r>
    </w:p>
    <w:p>
      <w:pPr>
        <w:pStyle w:val="Normal"/>
        <w:framePr w:w="14370" w:hAnchor="page" w:vAnchor="page" w:x="276" w:y="636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Management believes that the exclusion of charges, credits and foreign exchange impacts from these financial measures provides a useful perspective on</w:t>
      </w:r>
    </w:p>
    <w:p>
      <w:pPr>
        <w:pStyle w:val="Normal"/>
        <w:framePr w:w="2314" w:hAnchor="page" w:vAnchor="page" w:x="276" w:y="578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estimated accordingly.</w:t>
      </w:r>
    </w:p>
    <w:p>
      <w:pPr>
        <w:pStyle w:val="Normal"/>
        <w:framePr w:w="13788" w:hAnchor="page" w:vAnchor="page" w:x="276" w:y="555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recorded requires application of a specific tax rate, tax treatment or valuation allowance consideration, in which case the tax effect of such item is</w:t>
      </w:r>
    </w:p>
    <w:p>
      <w:pPr>
        <w:pStyle w:val="Normal"/>
        <w:framePr w:w="13774" w:hAnchor="page" w:vAnchor="page" w:x="276" w:y="532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applying the relevant jurisdiction tax rate to the pretax amount, unless the nature of the item and/or the tax jurisdiction in which the item has been</w:t>
      </w:r>
    </w:p>
    <w:p>
      <w:pPr>
        <w:pStyle w:val="Normal"/>
        <w:framePr w:w="14112" w:hAnchor="page" w:vAnchor="page" w:x="276" w:y="5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Non-GAAP adjustments are presented on a gross basis and are not net of tax. Estimates of the tax effect of each adjustment is calculated item by item,</w:t>
      </w:r>
    </w:p>
    <w:p>
      <w:pPr>
        <w:pStyle w:val="Normal"/>
        <w:framePr w:w="13648" w:hAnchor="page" w:vAnchor="page" w:x="276" w:y="45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excluding charges and credits; Foreign exchange, net and other, excluding charges and credits; and net debt) are non-GAAP financial measures.</w:t>
      </w:r>
    </w:p>
    <w:p>
      <w:pPr>
        <w:pStyle w:val="Normal"/>
        <w:framePr w:w="13694" w:hAnchor="page" w:vAnchor="page" w:x="276" w:y="42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foreign exchange gains or losses, net; Adjusted EBITDA margin; Adjusted EBITDA margin, excluding foreign exchange, net; Corporate expense,</w:t>
      </w:r>
    </w:p>
    <w:p>
      <w:pPr>
        <w:pStyle w:val="Normal"/>
        <w:framePr w:w="14176" w:hAnchor="page" w:vAnchor="page" w:x="276" w:y="40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interest expense, income taxes, depreciation and amortization, excluding charges and credits (“Adjusted EBITDA”); and Adjusted EBITDA, excluding</w:t>
      </w:r>
    </w:p>
    <w:p>
      <w:pPr>
        <w:pStyle w:val="Normal"/>
        <w:framePr w:w="14273" w:hAnchor="page" w:vAnchor="page" w:x="276" w:y="381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taxes, excluding charges and credits (“Adjusted Operating profit”); Depreciation and amortization, excluding charges and credits; Earnings before net</w:t>
      </w:r>
    </w:p>
    <w:p>
      <w:pPr>
        <w:pStyle w:val="Normal"/>
        <w:framePr w:w="14244" w:hAnchor="page" w:vAnchor="page" w:x="276" w:y="358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charges and credits, as well as measures derived from it (including Diluted EPS, excluding charges and credits; Income before net interest expense and</w:t>
      </w:r>
    </w:p>
    <w:p>
      <w:pPr>
        <w:pStyle w:val="Normal"/>
        <w:framePr w:w="14011" w:hAnchor="page" w:vAnchor="page" w:x="276" w:y="335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describes performance on a year-over-year or sequential basis. Income (loss) from continuing operations attributable to TechnipFMC plc, excluding</w:t>
      </w:r>
    </w:p>
    <w:p>
      <w:pPr>
        <w:pStyle w:val="Normal"/>
        <w:framePr w:w="14226" w:hAnchor="page" w:vAnchor="page" w:x="276" w:y="312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Release also includes non-GAAP financial measures (as defined in Item 10 of Regulation S-K of the Securities Exchange Act of 1934, as amended) and</w:t>
      </w:r>
    </w:p>
    <w:p>
      <w:pPr>
        <w:pStyle w:val="Normal"/>
        <w:framePr w:w="14172" w:hAnchor="page" w:vAnchor="page" w:x="276" w:y="28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 addition to financial results determined in accordance with U.S. generally accepted accounting principles (GAAP), the third quarter 2023 Earnings</w:t>
      </w:r>
    </w:p>
    <w:p>
      <w:pPr>
        <w:pStyle w:val="Normal"/>
        <w:framePr w:w="5182" w:hAnchor="page" w:vAnchor="page" w:x="276" w:y="23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earnings releases and other investor communications:</w:t>
      </w:r>
    </w:p>
    <w:p>
      <w:pPr>
        <w:pStyle w:val="Normal"/>
        <w:framePr w:w="14338" w:hAnchor="page" w:vAnchor="page" w:x="276" w:y="20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months ended September 30, 2023. The revised language is also set forth below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(in italics and underlined)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will be included in the Company’s future</w:t>
      </w:r>
    </w:p>
    <w:p>
      <w:pPr>
        <w:pStyle w:val="Normal"/>
        <w:framePr w:w="13773" w:hAnchor="page" w:vAnchor="page" w:x="276" w:y="18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acknowledges the Staff’s comment and has removed the reference to “masked or misleading” from its earnings release for the three</w:t>
      </w:r>
    </w:p>
    <w:p>
      <w:pPr>
        <w:pStyle w:val="Normal"/>
        <w:framePr w:w="1179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Response:</w:t>
      </w:r>
    </w:p>
    <w:p>
      <w:pPr>
        <w:pStyle w:val="Normal"/>
        <w:framePr w:w="87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4</w:t>
      </w:r>
    </w:p>
    <w:p>
      <w:pPr>
        <w:pStyle w:val="Normal"/>
        <w:framePr w:w="200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November 6,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7pt;margin-top:1pt;z-index:-16777076;width:598pt;height:1005.9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12.8pt;margin-top:1pt;z-index:-16777072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2.8pt;margin-top:2.45pt;z-index:-1677706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597.95pt;margin-top:1pt;z-index:-16777064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2.8pt;margin-top:1pt;z-index:-1677706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13.8pt;margin-top:46.1pt;z-index:-16777056;width:146.1pt;height:1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2.8pt;margin-top:77.65pt;z-index:-16777052;width:3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2.8pt;margin-top:262.85pt;z-index:-16777048;width:4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56.7pt;margin-top:262.85pt;z-index:-16777044;width:536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12.8pt;margin-top:274.4pt;z-index:-16777040;width:56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2.8pt;margin-top:286pt;z-index:-16777036;width:567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2.8pt;margin-top:297.55pt;z-index:-16777032;width:8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2.8pt;margin-top:326.5pt;z-index:-16777028;width:591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2.8pt;margin-top:338.05pt;z-index:-16777024;width:555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2.8pt;margin-top:349.65pt;z-index:-16777020;width:121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12.8pt;margin-top:476.95pt;z-index:-16777016;width:38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</w:p>
    <w:p>
      <w:pPr>
        <w:pStyle w:val="Normal"/>
        <w:framePr w:w="344" w:hAnchor="page" w:vAnchor="page" w:x="6130" w:y="1458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5</w:t>
      </w:r>
    </w:p>
    <w:p>
      <w:pPr>
        <w:pStyle w:val="Normal"/>
        <w:framePr w:w="7486" w:hAnchor="page" w:vAnchor="page" w:x="748" w:y="141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Cristina Aalders, Executive Vice President, Chief Legal Officer, and Secretary</w:t>
      </w:r>
    </w:p>
    <w:p>
      <w:pPr>
        <w:pStyle w:val="Normal"/>
        <w:framePr w:w="8119" w:hAnchor="page" w:vAnchor="page" w:x="748" w:y="1395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Krisztina Doroghazi, Senior Vice President, Controller and Chief Accounting Officer</w:t>
      </w:r>
    </w:p>
    <w:p>
      <w:pPr>
        <w:pStyle w:val="Normal"/>
        <w:framePr w:w="6747" w:hAnchor="page" w:vAnchor="page" w:x="276" w:y="1372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Cc:    Alf Melin, Executive Vice President and Chief Financial Officer</w:t>
      </w:r>
    </w:p>
    <w:p>
      <w:pPr>
        <w:pStyle w:val="Normal"/>
        <w:framePr w:w="3223" w:hAnchor="page" w:vAnchor="page" w:x="7364" w:y="13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of LATHAM &amp; WATKINS LLP</w:t>
      </w:r>
    </w:p>
    <w:p>
      <w:pPr>
        <w:pStyle w:val="Normal"/>
        <w:framePr w:w="1938" w:hAnchor="page" w:vAnchor="page" w:x="7364" w:y="128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Julia A Thompson</w:t>
      </w:r>
    </w:p>
    <w:p>
      <w:pPr>
        <w:pStyle w:val="Normal"/>
        <w:framePr w:w="2214" w:hAnchor="page" w:vAnchor="page" w:x="7364" w:y="125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/s/ Julia A Thompson</w:t>
      </w:r>
    </w:p>
    <w:p>
      <w:pPr>
        <w:pStyle w:val="Normal"/>
        <w:framePr w:w="1145" w:hAnchor="page" w:vAnchor="page" w:x="7364" w:y="1213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Sincerely,</w:t>
      </w:r>
    </w:p>
    <w:p>
      <w:pPr>
        <w:pStyle w:val="Normal"/>
        <w:framePr w:w="4681" w:hAnchor="page" w:vAnchor="page" w:x="276" w:y="1164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to telephone the undersigned at (202) 637-1073.</w:t>
      </w:r>
    </w:p>
    <w:p>
      <w:pPr>
        <w:pStyle w:val="Normal"/>
        <w:framePr w:w="14199" w:hAnchor="page" w:vAnchor="page" w:x="276" w:y="1141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We appreciate the Staff’s time and attention to this matter. If you have any questions or comments or require further information, please do not hesitate</w:t>
      </w:r>
    </w:p>
    <w:p>
      <w:pPr>
        <w:pStyle w:val="Normal"/>
        <w:framePr w:w="2137" w:hAnchor="page" w:vAnchor="page" w:x="5382" w:y="1094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*        *        *         *</w:t>
      </w:r>
    </w:p>
    <w:p>
      <w:pPr>
        <w:pStyle w:val="Normal"/>
        <w:framePr w:w="21" w:hAnchor="page" w:vAnchor="page" w:x="5368" w:y="1070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21" w:hAnchor="page" w:vAnchor="page" w:x="6684" w:y="1070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21" w:hAnchor="page" w:vAnchor="page" w:x="10706" w:y="1070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3757" w:hAnchor="page" w:vAnchor="page" w:x="276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Adjusted earnings per share - diluted</w:t>
      </w:r>
    </w:p>
    <w:p>
      <w:pPr>
        <w:pStyle w:val="Normal"/>
        <w:framePr w:w="21" w:hAnchor="page" w:vAnchor="page" w:x="5368" w:y="10414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6289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0.21</w:t>
      </w:r>
    </w:p>
    <w:p>
      <w:pPr>
        <w:pStyle w:val="Normal"/>
        <w:framePr w:w="21" w:hAnchor="page" w:vAnchor="page" w:x="6684" w:y="10414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7591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0.10</w:t>
      </w:r>
    </w:p>
    <w:p>
      <w:pPr>
        <w:pStyle w:val="Normal"/>
        <w:framePr w:w="633" w:hAnchor="page" w:vAnchor="page" w:x="8951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0.03</w:t>
      </w:r>
    </w:p>
    <w:p>
      <w:pPr>
        <w:pStyle w:val="Normal"/>
        <w:framePr w:w="633" w:hAnchor="page" w:vAnchor="page" w:x="10311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0.31</w:t>
      </w:r>
    </w:p>
    <w:p>
      <w:pPr>
        <w:pStyle w:val="Normal"/>
        <w:framePr w:w="21" w:hAnchor="page" w:vAnchor="page" w:x="10706" w:y="10414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11627" w:y="1042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0.02</w:t>
      </w:r>
    </w:p>
    <w:p>
      <w:pPr>
        <w:pStyle w:val="Normal"/>
        <w:framePr w:w="4354" w:hAnchor="page" w:vAnchor="page" w:x="276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Reported earnings (loss) per share - diluted</w:t>
      </w:r>
    </w:p>
    <w:p>
      <w:pPr>
        <w:pStyle w:val="Normal"/>
        <w:framePr w:w="344" w:hAnchor="page" w:vAnchor="page" w:x="5368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18" w:hAnchor="page" w:vAnchor="page" w:x="6289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0.20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45" w:hAnchor="page" w:vAnchor="page" w:x="7527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(0.20) </w:t>
      </w:r>
    </w:p>
    <w:p>
      <w:pPr>
        <w:pStyle w:val="Normal"/>
        <w:framePr w:w="691" w:hAnchor="page" w:vAnchor="page" w:x="8951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0.01 </w:t>
      </w:r>
    </w:p>
    <w:p>
      <w:pPr>
        <w:pStyle w:val="Normal"/>
        <w:framePr w:w="818" w:hAnchor="page" w:vAnchor="page" w:x="10311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0.01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45" w:hAnchor="page" w:vAnchor="page" w:x="11563" w:y="1016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(0.08) </w:t>
      </w:r>
    </w:p>
    <w:p>
      <w:pPr>
        <w:pStyle w:val="Normal"/>
        <w:framePr w:w="4388" w:hAnchor="page" w:vAnchor="page" w:x="276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Weighted diluted average shares outstanding</w:t>
      </w:r>
    </w:p>
    <w:p>
      <w:pPr>
        <w:pStyle w:val="Normal"/>
        <w:framePr w:w="21" w:hAnchor="page" w:vAnchor="page" w:x="5368" w:y="9922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749" w:hAnchor="page" w:vAnchor="page" w:x="6193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450.3</w:t>
      </w:r>
    </w:p>
    <w:p>
      <w:pPr>
        <w:pStyle w:val="Normal"/>
        <w:framePr w:w="21" w:hAnchor="page" w:vAnchor="page" w:x="6684" w:y="9922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749" w:hAnchor="page" w:vAnchor="page" w:x="7494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440.1</w:t>
      </w:r>
    </w:p>
    <w:p>
      <w:pPr>
        <w:pStyle w:val="Normal"/>
        <w:framePr w:w="749" w:hAnchor="page" w:vAnchor="page" w:x="8854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458.1</w:t>
      </w:r>
    </w:p>
    <w:p>
      <w:pPr>
        <w:pStyle w:val="Normal"/>
        <w:framePr w:w="749" w:hAnchor="page" w:vAnchor="page" w:x="10214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452.9</w:t>
      </w:r>
    </w:p>
    <w:p>
      <w:pPr>
        <w:pStyle w:val="Normal"/>
        <w:framePr w:w="21" w:hAnchor="page" w:vAnchor="page" w:x="10706" w:y="9922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749" w:hAnchor="page" w:vAnchor="page" w:x="11531" w:y="993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451.1</w:t>
      </w:r>
    </w:p>
    <w:p>
      <w:pPr>
        <w:pStyle w:val="Normal"/>
        <w:framePr w:w="5171" w:hAnchor="page" w:vAnchor="page" w:x="276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Adjusted EBITDA, excluding foreign exchange, net</w:t>
      </w:r>
    </w:p>
    <w:p>
      <w:pPr>
        <w:pStyle w:val="Normal"/>
        <w:framePr w:w="21" w:hAnchor="page" w:vAnchor="page" w:x="5368" w:y="963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344" w:hAnchor="page" w:vAnchor="page" w:x="5715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49" w:hAnchor="page" w:vAnchor="page" w:x="6193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283.9</w:t>
      </w:r>
    </w:p>
    <w:p>
      <w:pPr>
        <w:pStyle w:val="Normal"/>
        <w:framePr w:w="21" w:hAnchor="page" w:vAnchor="page" w:x="6684" w:y="963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344" w:hAnchor="page" w:vAnchor="page" w:x="7031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49" w:hAnchor="page" w:vAnchor="page" w:x="7494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254.2</w:t>
      </w:r>
    </w:p>
    <w:p>
      <w:pPr>
        <w:pStyle w:val="Normal"/>
        <w:framePr w:w="344" w:hAnchor="page" w:vAnchor="page" w:x="8377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49" w:hAnchor="page" w:vAnchor="page" w:x="8854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200.1</w:t>
      </w:r>
    </w:p>
    <w:p>
      <w:pPr>
        <w:pStyle w:val="Normal"/>
        <w:framePr w:w="344" w:hAnchor="page" w:vAnchor="page" w:x="9737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49" w:hAnchor="page" w:vAnchor="page" w:x="10214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693.5</w:t>
      </w:r>
    </w:p>
    <w:p>
      <w:pPr>
        <w:pStyle w:val="Normal"/>
        <w:framePr w:w="21" w:hAnchor="page" w:vAnchor="page" w:x="10706" w:y="963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344" w:hAnchor="page" w:vAnchor="page" w:x="11053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49" w:hAnchor="page" w:vAnchor="page" w:x="11531" w:y="964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512.5</w:t>
      </w:r>
    </w:p>
    <w:p>
      <w:pPr>
        <w:pStyle w:val="Normal"/>
        <w:framePr w:w="2294" w:hAnchor="page" w:vAnchor="page" w:x="662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Foreign exchange, net</w:t>
      </w:r>
    </w:p>
    <w:p>
      <w:pPr>
        <w:pStyle w:val="Normal"/>
        <w:framePr w:w="344" w:hAnchor="page" w:vAnchor="page" w:x="5368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18" w:hAnchor="page" w:vAnchor="page" w:x="6289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46.4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7591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48.3 </w:t>
      </w:r>
    </w:p>
    <w:p>
      <w:pPr>
        <w:pStyle w:val="Normal"/>
        <w:framePr w:w="691" w:hAnchor="page" w:vAnchor="page" w:x="8951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14.5 </w:t>
      </w:r>
    </w:p>
    <w:p>
      <w:pPr>
        <w:pStyle w:val="Normal"/>
        <w:framePr w:w="818" w:hAnchor="page" w:vAnchor="page" w:x="10311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92.6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45" w:hAnchor="page" w:vAnchor="page" w:x="11563" w:y="9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(13.1) </w:t>
      </w:r>
    </w:p>
    <w:p>
      <w:pPr>
        <w:pStyle w:val="Normal"/>
        <w:framePr w:w="1983" w:hAnchor="page" w:vAnchor="page" w:x="276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Adjusted EBITDA</w:t>
      </w:r>
    </w:p>
    <w:p>
      <w:pPr>
        <w:pStyle w:val="Normal"/>
        <w:framePr w:w="344" w:hAnchor="page" w:vAnchor="page" w:x="5368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34" w:hAnchor="page" w:vAnchor="page" w:x="6193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237.5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7494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205.9 </w:t>
      </w:r>
    </w:p>
    <w:p>
      <w:pPr>
        <w:pStyle w:val="Normal"/>
        <w:framePr w:w="806" w:hAnchor="page" w:vAnchor="page" w:x="8854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185.6 </w:t>
      </w:r>
    </w:p>
    <w:p>
      <w:pPr>
        <w:pStyle w:val="Normal"/>
        <w:framePr w:w="934" w:hAnchor="page" w:vAnchor="page" w:x="10214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600.9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11531" w:y="915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525.6 </w:t>
      </w:r>
    </w:p>
    <w:p>
      <w:pPr>
        <w:pStyle w:val="Normal"/>
        <w:framePr w:w="3086" w:hAnchor="page" w:vAnchor="page" w:x="276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Depreciation and amortization</w:t>
      </w:r>
    </w:p>
    <w:p>
      <w:pPr>
        <w:pStyle w:val="Normal"/>
        <w:framePr w:w="344" w:hAnchor="page" w:vAnchor="page" w:x="5368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18" w:hAnchor="page" w:vAnchor="page" w:x="6289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93.3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7591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97.0 </w:t>
      </w:r>
    </w:p>
    <w:p>
      <w:pPr>
        <w:pStyle w:val="Normal"/>
        <w:framePr w:w="691" w:hAnchor="page" w:vAnchor="page" w:x="8951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94.5 </w:t>
      </w:r>
    </w:p>
    <w:p>
      <w:pPr>
        <w:pStyle w:val="Normal"/>
        <w:framePr w:w="934" w:hAnchor="page" w:vAnchor="page" w:x="10214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283.3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11531" w:y="892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284.4 </w:t>
      </w:r>
    </w:p>
    <w:p>
      <w:pPr>
        <w:pStyle w:val="Normal"/>
        <w:framePr w:w="2670" w:hAnchor="page" w:vAnchor="page" w:x="276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Adjusted Operating profit</w:t>
      </w:r>
    </w:p>
    <w:p>
      <w:pPr>
        <w:pStyle w:val="Normal"/>
        <w:framePr w:w="344" w:hAnchor="page" w:vAnchor="page" w:x="5368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934" w:hAnchor="page" w:vAnchor="page" w:x="6193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144.2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7494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108.9 </w:t>
      </w:r>
    </w:p>
    <w:p>
      <w:pPr>
        <w:pStyle w:val="Normal"/>
        <w:framePr w:w="691" w:hAnchor="page" w:vAnchor="page" w:x="8951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91.1 </w:t>
      </w:r>
    </w:p>
    <w:p>
      <w:pPr>
        <w:pStyle w:val="Normal"/>
        <w:framePr w:w="934" w:hAnchor="page" w:vAnchor="page" w:x="10214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317.6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11531" w:y="869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241.2 </w:t>
      </w:r>
    </w:p>
    <w:p>
      <w:pPr>
        <w:pStyle w:val="Normal"/>
        <w:framePr w:w="2083" w:hAnchor="page" w:vAnchor="page" w:x="662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Net interest expense</w:t>
      </w:r>
    </w:p>
    <w:p>
      <w:pPr>
        <w:pStyle w:val="Normal"/>
        <w:framePr w:w="344" w:hAnchor="page" w:vAnchor="page" w:x="5368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18" w:hAnchor="page" w:vAnchor="page" w:x="6289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26.7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7591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30.3 </w:t>
      </w:r>
    </w:p>
    <w:p>
      <w:pPr>
        <w:pStyle w:val="Normal"/>
        <w:framePr w:w="691" w:hAnchor="page" w:vAnchor="page" w:x="8951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30.9 </w:t>
      </w:r>
    </w:p>
    <w:p>
      <w:pPr>
        <w:pStyle w:val="Normal"/>
        <w:framePr w:w="818" w:hAnchor="page" w:vAnchor="page" w:x="10311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75.7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11531" w:y="846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122.3 </w:t>
      </w:r>
    </w:p>
    <w:p>
      <w:pPr>
        <w:pStyle w:val="Normal"/>
        <w:framePr w:w="2513" w:hAnchor="page" w:vAnchor="page" w:x="662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Provision for income tax</w:t>
      </w:r>
    </w:p>
    <w:p>
      <w:pPr>
        <w:pStyle w:val="Normal"/>
        <w:framePr w:w="344" w:hAnchor="page" w:vAnchor="page" w:x="5368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18" w:hAnchor="page" w:vAnchor="page" w:x="6289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19.5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7591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43.3 </w:t>
      </w:r>
    </w:p>
    <w:p>
      <w:pPr>
        <w:pStyle w:val="Normal"/>
        <w:framePr w:w="691" w:hAnchor="page" w:vAnchor="page" w:x="8951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42.7 </w:t>
      </w:r>
    </w:p>
    <w:p>
      <w:pPr>
        <w:pStyle w:val="Normal"/>
        <w:framePr w:w="934" w:hAnchor="page" w:vAnchor="page" w:x="10214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100.2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11627" w:y="823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91.0 </w:t>
      </w:r>
    </w:p>
    <w:p>
      <w:pPr>
        <w:pStyle w:val="Normal"/>
        <w:framePr w:w="5204" w:hAnchor="page" w:vAnchor="page" w:x="276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Income (loss) attributable to non-controlling interests</w:t>
      </w:r>
    </w:p>
    <w:p>
      <w:pPr>
        <w:pStyle w:val="Normal"/>
        <w:framePr w:w="21" w:hAnchor="page" w:vAnchor="page" w:x="5368" w:y="798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517" w:hAnchor="page" w:vAnchor="page" w:x="6385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3.7</w:t>
      </w:r>
    </w:p>
    <w:p>
      <w:pPr>
        <w:pStyle w:val="Normal"/>
        <w:framePr w:w="21" w:hAnchor="page" w:vAnchor="page" w:x="6684" w:y="798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71" w:hAnchor="page" w:vAnchor="page" w:x="7623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(9.1)</w:t>
      </w:r>
    </w:p>
    <w:p>
      <w:pPr>
        <w:pStyle w:val="Normal"/>
        <w:framePr w:w="517" w:hAnchor="page" w:vAnchor="page" w:x="9047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5.7</w:t>
      </w:r>
    </w:p>
    <w:p>
      <w:pPr>
        <w:pStyle w:val="Normal"/>
        <w:framePr w:w="517" w:hAnchor="page" w:vAnchor="page" w:x="10407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2.0</w:t>
      </w:r>
    </w:p>
    <w:p>
      <w:pPr>
        <w:pStyle w:val="Normal"/>
        <w:framePr w:w="21" w:hAnchor="page" w:vAnchor="page" w:x="10706" w:y="798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11627" w:y="799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19.4</w:t>
      </w:r>
    </w:p>
    <w:p>
      <w:pPr>
        <w:pStyle w:val="Normal"/>
        <w:framePr w:w="5818" w:hAnchor="page" w:vAnchor="page" w:x="276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9"/>
          <w:szCs w:val="19"/>
        </w:rPr>
        <w:t>Adjusted net income (loss) attributable to TechnipFMC plc</w:t>
      </w:r>
    </w:p>
    <w:p>
      <w:pPr>
        <w:pStyle w:val="Normal"/>
        <w:framePr w:w="21" w:hAnchor="page" w:vAnchor="page" w:x="5368" w:y="772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6289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94.3</w:t>
      </w:r>
    </w:p>
    <w:p>
      <w:pPr>
        <w:pStyle w:val="Normal"/>
        <w:framePr w:w="21" w:hAnchor="page" w:vAnchor="page" w:x="6684" w:y="772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633" w:hAnchor="page" w:vAnchor="page" w:x="7591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44.4</w:t>
      </w:r>
    </w:p>
    <w:p>
      <w:pPr>
        <w:pStyle w:val="Normal"/>
        <w:framePr w:w="633" w:hAnchor="page" w:vAnchor="page" w:x="8965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11.8</w:t>
      </w:r>
    </w:p>
    <w:p>
      <w:pPr>
        <w:pStyle w:val="Normal"/>
        <w:framePr w:w="749" w:hAnchor="page" w:vAnchor="page" w:x="10214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139.7</w:t>
      </w:r>
    </w:p>
    <w:p>
      <w:pPr>
        <w:pStyle w:val="Normal"/>
        <w:framePr w:w="21" w:hAnchor="page" w:vAnchor="page" w:x="10706" w:y="7723"/>
        <w:widowControl w:val="off"/>
        <w:autoSpaceDE w:val="off"/>
        <w:autoSpaceDN w:val="off"/>
        <w:spacing w:before="0" w:after="0" w:line="16" w:lineRule="at-leas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"/>
          <w:szCs w:val="1"/>
        </w:rPr>
        <w:t xml:space="preserve">  </w:t>
      </w:r>
    </w:p>
    <w:p>
      <w:pPr>
        <w:pStyle w:val="Normal"/>
        <w:framePr w:w="517" w:hAnchor="page" w:vAnchor="page" w:x="11723" w:y="7738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8.5</w:t>
      </w:r>
    </w:p>
    <w:p>
      <w:pPr>
        <w:pStyle w:val="Normal"/>
        <w:framePr w:w="2863" w:hAnchor="page" w:vAnchor="page" w:x="662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Tax on charges and (credits)</w:t>
      </w:r>
    </w:p>
    <w:p>
      <w:pPr>
        <w:pStyle w:val="Normal"/>
        <w:framePr w:w="344" w:hAnchor="page" w:vAnchor="page" w:x="5368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2" w:hAnchor="page" w:vAnchor="page" w:x="6385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0.6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75" w:hAnchor="page" w:vAnchor="page" w:x="7687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0.4 </w:t>
      </w:r>
    </w:p>
    <w:p>
      <w:pPr>
        <w:pStyle w:val="Normal"/>
        <w:framePr w:w="729" w:hAnchor="page" w:vAnchor="page" w:x="8983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(0.9) </w:t>
      </w:r>
    </w:p>
    <w:p>
      <w:pPr>
        <w:pStyle w:val="Normal"/>
        <w:framePr w:w="702" w:hAnchor="page" w:vAnchor="page" w:x="10407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1.0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75" w:hAnchor="page" w:vAnchor="page" w:x="11723" w:y="747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0.4 </w:t>
      </w:r>
    </w:p>
    <w:p>
      <w:pPr>
        <w:pStyle w:val="Normal"/>
        <w:framePr w:w="4078" w:hAnchor="page" w:vAnchor="page" w:x="662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Loss from investment in Technip Energies</w:t>
      </w:r>
    </w:p>
    <w:p>
      <w:pPr>
        <w:pStyle w:val="Normal"/>
        <w:framePr w:w="344" w:hAnchor="page" w:vAnchor="page" w:x="5368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34" w:hAnchor="page" w:vAnchor="page" w:x="6359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07" w:hAnchor="page" w:vAnchor="page" w:x="7661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</w:p>
    <w:p>
      <w:pPr>
        <w:pStyle w:val="Normal"/>
        <w:framePr w:w="607" w:hAnchor="page" w:vAnchor="page" w:x="9020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</w:p>
    <w:p>
      <w:pPr>
        <w:pStyle w:val="Normal"/>
        <w:framePr w:w="734" w:hAnchor="page" w:vAnchor="page" w:x="10380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11627" w:y="724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27.7 </w:t>
      </w:r>
    </w:p>
    <w:p>
      <w:pPr>
        <w:pStyle w:val="Normal"/>
        <w:framePr w:w="3848" w:hAnchor="page" w:vAnchor="page" w:x="662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Non recurring legal settlement charges</w:t>
      </w:r>
    </w:p>
    <w:p>
      <w:pPr>
        <w:pStyle w:val="Normal"/>
        <w:framePr w:w="344" w:hAnchor="page" w:vAnchor="page" w:x="5368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34" w:hAnchor="page" w:vAnchor="page" w:x="6359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806" w:hAnchor="page" w:vAnchor="page" w:x="7494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126.5 </w:t>
      </w:r>
    </w:p>
    <w:p>
      <w:pPr>
        <w:pStyle w:val="Normal"/>
        <w:framePr w:w="607" w:hAnchor="page" w:vAnchor="page" w:x="9020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</w:p>
    <w:p>
      <w:pPr>
        <w:pStyle w:val="Normal"/>
        <w:framePr w:w="934" w:hAnchor="page" w:vAnchor="page" w:x="10214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126.5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07" w:hAnchor="page" w:vAnchor="page" w:x="11697" w:y="701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</w:p>
    <w:p>
      <w:pPr>
        <w:pStyle w:val="Normal"/>
        <w:framePr w:w="3233" w:hAnchor="page" w:vAnchor="page" w:x="662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Restructuring and other charges</w:t>
      </w:r>
    </w:p>
    <w:p>
      <w:pPr>
        <w:pStyle w:val="Normal"/>
        <w:framePr w:w="344" w:hAnchor="page" w:vAnchor="page" w:x="5368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2" w:hAnchor="page" w:vAnchor="page" w:x="6385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1.7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75" w:hAnchor="page" w:vAnchor="page" w:x="7687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4.7 </w:t>
      </w:r>
    </w:p>
    <w:p>
      <w:pPr>
        <w:pStyle w:val="Normal"/>
        <w:framePr w:w="575" w:hAnchor="page" w:vAnchor="page" w:x="9047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4.1 </w:t>
      </w:r>
    </w:p>
    <w:p>
      <w:pPr>
        <w:pStyle w:val="Normal"/>
        <w:framePr w:w="702" w:hAnchor="page" w:vAnchor="page" w:x="10407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7.0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91" w:hAnchor="page" w:vAnchor="page" w:x="11627" w:y="678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10.9 </w:t>
      </w:r>
    </w:p>
    <w:p>
      <w:pPr>
        <w:pStyle w:val="Normal"/>
        <w:framePr w:w="1308" w:hAnchor="page" w:vAnchor="page" w:x="662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Impairment</w:t>
      </w:r>
    </w:p>
    <w:p>
      <w:pPr>
        <w:pStyle w:val="Normal"/>
        <w:framePr w:w="344" w:hAnchor="page" w:vAnchor="page" w:x="5368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702" w:hAnchor="page" w:vAnchor="page" w:x="6385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2.0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607" w:hAnchor="page" w:vAnchor="page" w:x="7661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—   </w:t>
      </w:r>
    </w:p>
    <w:p>
      <w:pPr>
        <w:pStyle w:val="Normal"/>
        <w:framePr w:w="575" w:hAnchor="page" w:vAnchor="page" w:x="9047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3.6 </w:t>
      </w:r>
    </w:p>
    <w:p>
      <w:pPr>
        <w:pStyle w:val="Normal"/>
        <w:framePr w:w="702" w:hAnchor="page" w:vAnchor="page" w:x="10407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2.0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575" w:hAnchor="page" w:vAnchor="page" w:x="11723" w:y="655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4.7 </w:t>
      </w:r>
    </w:p>
    <w:p>
      <w:pPr>
        <w:pStyle w:val="Normal"/>
        <w:framePr w:w="2319" w:hAnchor="page" w:vAnchor="page" w:x="276" w:y="63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Charges and (credits):</w:t>
      </w:r>
    </w:p>
    <w:p>
      <w:pPr>
        <w:pStyle w:val="Normal"/>
        <w:framePr w:w="344" w:hAnchor="page" w:vAnchor="page" w:x="5368" w:y="63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6684" w:y="63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10706" w:y="632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4846" w:hAnchor="page" w:vAnchor="page" w:x="276" w:y="6074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Net income (loss) attributable to TechnipFMC plc</w:t>
      </w:r>
    </w:p>
    <w:p>
      <w:pPr>
        <w:pStyle w:val="Normal"/>
        <w:framePr w:w="344" w:hAnchor="page" w:vAnchor="page" w:x="5368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5715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818" w:hAnchor="page" w:vAnchor="page" w:x="6289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90.0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7031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845" w:hAnchor="page" w:vAnchor="page" w:x="7527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(87.2) </w:t>
      </w:r>
    </w:p>
    <w:p>
      <w:pPr>
        <w:pStyle w:val="Normal"/>
        <w:framePr w:w="344" w:hAnchor="page" w:vAnchor="page" w:x="8377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575" w:hAnchor="page" w:vAnchor="page" w:x="9047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5.0 </w:t>
      </w:r>
    </w:p>
    <w:p>
      <w:pPr>
        <w:pStyle w:val="Normal"/>
        <w:framePr w:w="344" w:hAnchor="page" w:vAnchor="page" w:x="9737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702" w:hAnchor="page" w:vAnchor="page" w:x="10407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3.2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  </w:t>
      </w:r>
    </w:p>
    <w:p>
      <w:pPr>
        <w:pStyle w:val="Normal"/>
        <w:framePr w:w="344" w:hAnchor="page" w:vAnchor="page" w:x="11053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$</w:t>
      </w:r>
    </w:p>
    <w:p>
      <w:pPr>
        <w:pStyle w:val="Normal"/>
        <w:framePr w:w="845" w:hAnchor="page" w:vAnchor="page" w:x="11563" w:y="608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(35.2) </w:t>
      </w:r>
    </w:p>
    <w:p>
      <w:pPr>
        <w:pStyle w:val="Normal"/>
        <w:framePr w:w="273" w:hAnchor="page" w:vAnchor="page" w:x="5368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550" w:hAnchor="page" w:vAnchor="page" w:x="6016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2023</w:t>
      </w:r>
    </w:p>
    <w:p>
      <w:pPr>
        <w:pStyle w:val="Normal"/>
        <w:framePr w:w="273" w:hAnchor="page" w:vAnchor="page" w:x="6684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1254" w:hAnchor="page" w:vAnchor="page" w:x="7032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June 30, 2023</w:t>
      </w:r>
    </w:p>
    <w:p>
      <w:pPr>
        <w:pStyle w:val="Normal"/>
        <w:framePr w:w="550" w:hAnchor="page" w:vAnchor="page" w:x="8678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2022</w:t>
      </w:r>
    </w:p>
    <w:p>
      <w:pPr>
        <w:pStyle w:val="Normal"/>
        <w:framePr w:w="550" w:hAnchor="page" w:vAnchor="page" w:x="10038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2023</w:t>
      </w:r>
    </w:p>
    <w:p>
      <w:pPr>
        <w:pStyle w:val="Normal"/>
        <w:framePr w:w="273" w:hAnchor="page" w:vAnchor="page" w:x="10706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550" w:hAnchor="page" w:vAnchor="page" w:x="11354" w:y="5906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2022</w:t>
      </w:r>
    </w:p>
    <w:p>
      <w:pPr>
        <w:pStyle w:val="Normal"/>
        <w:framePr w:w="1259" w:hAnchor="page" w:vAnchor="page" w:x="5721" w:y="57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September 30,</w:t>
      </w:r>
    </w:p>
    <w:p>
      <w:pPr>
        <w:pStyle w:val="Normal"/>
        <w:framePr w:w="1259" w:hAnchor="page" w:vAnchor="page" w:x="8383" w:y="57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September 30,</w:t>
      </w:r>
    </w:p>
    <w:p>
      <w:pPr>
        <w:pStyle w:val="Normal"/>
        <w:framePr w:w="1259" w:hAnchor="page" w:vAnchor="page" w:x="9743" w:y="57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September 30,</w:t>
      </w:r>
    </w:p>
    <w:p>
      <w:pPr>
        <w:pStyle w:val="Normal"/>
        <w:framePr w:w="1259" w:hAnchor="page" w:vAnchor="page" w:x="11059" w:y="5747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September 30,</w:t>
      </w:r>
    </w:p>
    <w:p>
      <w:pPr>
        <w:pStyle w:val="Normal"/>
        <w:framePr w:w="273" w:hAnchor="page" w:vAnchor="page" w:x="5368" w:y="557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5"/>
          <w:szCs w:val="15"/>
        </w:rPr>
        <w:t xml:space="preserve">  </w:t>
      </w:r>
    </w:p>
    <w:p>
      <w:pPr>
        <w:pStyle w:val="Normal"/>
        <w:framePr w:w="1742" w:hAnchor="page" w:vAnchor="page" w:x="6851" w:y="557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Three months ended</w:t>
      </w:r>
    </w:p>
    <w:p>
      <w:pPr>
        <w:pStyle w:val="Normal"/>
        <w:framePr w:w="1660" w:hAnchor="page" w:vAnchor="page" w:x="10234" w:y="5573"/>
        <w:widowControl w:val="off"/>
        <w:autoSpaceDE w:val="off"/>
        <w:autoSpaceDN w:val="off"/>
        <w:spacing w:before="0" w:after="0" w:line="171" w:lineRule="exact"/>
        <w:ind w:left="0" w:right="0" w:first-line="0"/>
        <w:jc w:val="left"/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</w:pPr>
      <w:r>
        <w:rPr>
          <w:rFonts w:ascii="TimesNewRomanPS-BoldItalicMT" w:hAnsi="TimesNewRomanPS-BoldItalicMT" w:fareast="TimesNewRomanPS-BoldItalicMT" w:cs="TimesNewRomanPS-BoldItalicMT"/>
          <w:color w:val="000000"/>
          <w:w w:val="100"/>
          <w:sz w:val="15"/>
          <w:szCs w:val="15"/>
        </w:rPr>
        <w:t>Nine months ended</w:t>
      </w:r>
    </w:p>
    <w:p>
      <w:pPr>
        <w:pStyle w:val="Normal"/>
        <w:framePr w:w="8086" w:hAnchor="page" w:vAnchor="page" w:x="276" w:y="509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7 in the Company’s earnings release for the three months ended September 30, 2023.</w:t>
      </w:r>
    </w:p>
    <w:p>
      <w:pPr>
        <w:pStyle w:val="Normal"/>
        <w:framePr w:w="14287" w:hAnchor="page" w:vAnchor="page" w:x="276" w:y="485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 xml:space="preserve">The following 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(in italics)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is an example of the Company’s intended disclosure based on the illustrative revision of its actual disclosure of Exhibits 6 and</w:t>
      </w:r>
    </w:p>
    <w:p>
      <w:pPr>
        <w:pStyle w:val="Normal"/>
        <w:framePr w:w="10271" w:hAnchor="page" w:vAnchor="page" w:x="276" w:y="439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Exhibits 6 and 7, to provide additional clarity with respect to the tax impact of non-GAAP adjustment items.</w:t>
      </w:r>
    </w:p>
    <w:p>
      <w:pPr>
        <w:pStyle w:val="Normal"/>
        <w:framePr w:w="13868" w:hAnchor="page" w:vAnchor="page" w:x="276" w:y="4165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consolidated Adjusted EBITDA, which are currently set forth in the Company’s earnings release for the three months ended September 30, 2023 as</w:t>
      </w:r>
    </w:p>
    <w:p>
      <w:pPr>
        <w:pStyle w:val="Normal"/>
        <w:framePr w:w="13408" w:hAnchor="page" w:vAnchor="page" w:x="276" w:y="393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The Company further advises the Staff that in the Company’s future earnings releases, the Company will revise the reconciliation tables for its</w:t>
      </w:r>
    </w:p>
    <w:p>
      <w:pPr>
        <w:pStyle w:val="Normal"/>
        <w:framePr w:w="2314" w:hAnchor="page" w:vAnchor="page" w:x="276" w:y="347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estimated accordingly.</w:t>
      </w:r>
    </w:p>
    <w:p>
      <w:pPr>
        <w:pStyle w:val="Normal"/>
        <w:framePr w:w="13788" w:hAnchor="page" w:vAnchor="page" w:x="276" w:y="323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recorded requires application of a specific tax rate, tax treatment or valuation allowance consideration, in which case the tax effect of such item is</w:t>
      </w:r>
    </w:p>
    <w:p>
      <w:pPr>
        <w:pStyle w:val="Normal"/>
        <w:framePr w:w="13774" w:hAnchor="page" w:vAnchor="page" w:x="276" w:y="300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applying the relevant jurisdiction tax rate to the pretax amount, unless the nature of the item and/or the tax jurisdiction in which the item has been</w:t>
      </w:r>
    </w:p>
    <w:p>
      <w:pPr>
        <w:pStyle w:val="Normal"/>
        <w:framePr w:w="14112" w:hAnchor="page" w:vAnchor="page" w:x="276" w:y="2776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>Non-GAAP adjustments are presented on a gross basis and are not net of tax. Estimates of the tax effect of each adjustment is calculated item by item,</w:t>
      </w:r>
    </w:p>
    <w:p>
      <w:pPr>
        <w:pStyle w:val="Normal"/>
        <w:framePr w:w="2972" w:hAnchor="page" w:vAnchor="page" w:x="276" w:y="2313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non-GAAP adjustment items.</w:t>
      </w:r>
    </w:p>
    <w:p>
      <w:pPr>
        <w:pStyle w:val="Normal"/>
        <w:framePr w:w="14079" w:hAnchor="page" w:vAnchor="page" w:x="276" w:y="208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Technip Energies, which are adjustment items to the Company’s non-GAAP reconciliation tables, to further explain the specific tax impact of the two</w:t>
      </w:r>
    </w:p>
    <w:p>
      <w:pPr>
        <w:pStyle w:val="Normal"/>
        <w:framePr w:w="13648" w:hAnchor="page" w:vAnchor="page" w:x="276" w:y="1850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response to the Staff’s Comment No. 3 above) </w:t>
      </w: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and also included footnotes to Non-recurring legal settlement charges and Loss from investment in</w:t>
      </w:r>
    </w:p>
    <w:p>
      <w:pPr>
        <w:pStyle w:val="Normal"/>
        <w:framePr w:w="14062" w:hAnchor="page" w:vAnchor="page" w:x="276" w:y="1619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Company has included the following language in its earnings release for the three months ended September 30, 2023</w:t>
      </w:r>
      <w:r>
        <w:rPr>
          <w:rFonts w:ascii="TimesNewRomanPS-ItalicMT" w:hAnsi="TimesNewRomanPS-ItalicMT" w:fareast="TimesNewRomanPS-ItalicMT" w:cs="TimesNewRomanPS-ItalicMT"/>
          <w:color w:val="000000"/>
          <w:w w:val="100"/>
          <w:sz w:val="19"/>
          <w:szCs w:val="19"/>
        </w:rPr>
        <w:t xml:space="preserve"> (in italics below and also in our</w:t>
      </w:r>
    </w:p>
    <w:p>
      <w:pPr>
        <w:pStyle w:val="Normal"/>
        <w:framePr w:w="14033" w:hAnchor="page" w:vAnchor="page" w:x="276" w:y="1387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19"/>
          <w:szCs w:val="19"/>
        </w:rPr>
        <w:t>In response to the Staff’s request to revise the Company’s disclosures to explain how the tax effects of the non-GAAP adjustments are calculated, the</w:t>
      </w:r>
    </w:p>
    <w:p>
      <w:pPr>
        <w:pStyle w:val="Normal"/>
        <w:framePr w:w="877" w:hAnchor="page" w:vAnchor="page" w:x="276" w:y="432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Page 5</w:t>
      </w:r>
    </w:p>
    <w:p>
      <w:pPr>
        <w:pStyle w:val="Normal"/>
        <w:framePr w:w="2008" w:hAnchor="page" w:vAnchor="page" w:x="276" w:y="201"/>
        <w:widowControl w:val="off"/>
        <w:autoSpaceDE w:val="off"/>
        <w:autoSpaceDN w:val="off"/>
        <w:spacing w:before="0" w:after="0" w:line="214" w:lineRule="exact"/>
        <w:ind w:left="0" w:right="0" w:first-line="0"/>
        <w:jc w:val="left"/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</w:pPr>
      <w:r>
        <w:rPr>
          <w:rFonts w:ascii="TimesNewRomanPS-BoldMT" w:hAnsi="TimesNewRomanPS-BoldMT" w:fareast="TimesNewRomanPS-BoldMT" w:cs="TimesNewRomanPS-BoldMT"/>
          <w:color w:val="000000"/>
          <w:w w:val="100"/>
          <w:sz w:val="19"/>
          <w:szCs w:val="19"/>
        </w:rPr>
        <w:t>November 6, 2023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7pt;margin-top:1pt;z-index:-16777012;width:598pt;height:746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12.8pt;margin-top:1pt;z-index:-16777008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2.8pt;margin-top:2.45pt;z-index:-16777004;width:58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597.95pt;margin-top:1pt;z-index:-16777000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12.8pt;margin-top:1pt;z-index:-16776996;width:2.7pt;height:4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2.8pt;margin-top:302.6pt;z-index:-16776992;width:256.6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267.4pt;margin-top:302.6pt;z-index:-16776988;width:19.3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84.75pt;margin-top:302.6pt;z-index:-16776984;width:9.9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92.7pt;margin-top:302.6pt;z-index:-16776980;width:39.6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330.3pt;margin-top:302.6pt;z-index:-16776976;width:4.9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333.2pt;margin-top:302.6pt;z-index:-16776972;width:19.3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350.55pt;margin-top:302.6pt;z-index:-16776968;width:9.9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358.5pt;margin-top:302.6pt;z-index:-16776964;width:38.9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395.4pt;margin-top:302.6pt;z-index:-16776960;width:7.8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401.2pt;margin-top:302.6pt;z-index:-16776956;width:18.6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17.85pt;margin-top:302.6pt;z-index:-16776952;width:9.9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5.8pt;margin-top:302.6pt;z-index:-16776948;width:39.6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463.4pt;margin-top:302.6pt;z-index:-16776944;width:7.8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69.2pt;margin-top:302.6pt;z-index:-16776940;width:18.6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485.85pt;margin-top:302.6pt;z-index:-16776936;width:9.9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493.8pt;margin-top:302.6pt;z-index:-16776932;width:39.6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31.4pt;margin-top:302.6pt;z-index:-16776928;width:4.9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534.3pt;margin-top:302.6pt;z-index:-16776924;width:19.3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551.65pt;margin-top:302.6pt;z-index:-16776920;width:9.95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559.6pt;margin-top:302.6pt;z-index:-16776916;width:39.6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7.2pt;margin-top:302.6pt;z-index:-16776912;width:7.8pt;height:14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2.8pt;margin-top:326.5pt;z-index:-16776908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267.4pt;margin-top:326.5pt;z-index:-16776904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284.75pt;margin-top:326.5pt;z-index:-1677690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292.7pt;margin-top:326.5pt;z-index:-1677689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330.3pt;margin-top:326.5pt;z-index:-16776892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333.2pt;margin-top:326.5pt;z-index:-16776888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350.55pt;margin-top:326.5pt;z-index:-1677688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358.5pt;margin-top:326.5pt;z-index:-16776880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95.4pt;margin-top:326.5pt;z-index:-1677687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401.2pt;margin-top:326.5pt;z-index:-16776872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417.85pt;margin-top:326.5pt;z-index:-1677686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425.8pt;margin-top:326.5pt;z-index:-1677686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463.4pt;margin-top:326.5pt;z-index:-16776860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469.2pt;margin-top:326.5pt;z-index:-16776856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485.85pt;margin-top:326.5pt;z-index:-1677685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493.8pt;margin-top:326.5pt;z-index:-1677684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531.4pt;margin-top:326.5pt;z-index:-16776844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534.3pt;margin-top:326.5pt;z-index:-1677684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551.65pt;margin-top:326.5pt;z-index:-1677683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559.6pt;margin-top:326.5pt;z-index:-1677683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597.2pt;margin-top:326.5pt;z-index:-1677682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12.8pt;margin-top:349.65pt;z-index:-16776824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267.4pt;margin-top:349.65pt;z-index:-1677682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284.75pt;margin-top:349.65pt;z-index:-1677681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292.7pt;margin-top:349.65pt;z-index:-1677681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330.3pt;margin-top:349.65pt;z-index:-16776808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33.2pt;margin-top:349.65pt;z-index:-16776804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350.55pt;margin-top:349.65pt;z-index:-1677680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358.5pt;margin-top:349.65pt;z-index:-16776796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395.4pt;margin-top:349.65pt;z-index:-16776792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401.2pt;margin-top:349.65pt;z-index:-16776788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417.85pt;margin-top:349.65pt;z-index:-1677678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425.8pt;margin-top:349.65pt;z-index:-1677678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463.4pt;margin-top:349.65pt;z-index:-1677677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469.2pt;margin-top:349.65pt;z-index:-16776772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485.85pt;margin-top:349.65pt;z-index:-1677676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493.8pt;margin-top:349.65pt;z-index:-1677676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531.4pt;margin-top:349.65pt;z-index:-16776760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534.3pt;margin-top:349.65pt;z-index:-1677675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551.65pt;margin-top:349.65pt;z-index:-1677675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559.6pt;margin-top:349.65pt;z-index:-1677674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597.2pt;margin-top:349.65pt;z-index:-16776744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12.8pt;margin-top:372.8pt;z-index:-16776740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267.4pt;margin-top:372.8pt;z-index:-1677673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284.75pt;margin-top:372.8pt;z-index:-1677673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292.7pt;margin-top:372.8pt;z-index:-1677672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30.3pt;margin-top:372.8pt;z-index:-16776724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333.2pt;margin-top:372.8pt;z-index:-1677672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50.55pt;margin-top:372.8pt;z-index:-1677671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358.5pt;margin-top:372.8pt;z-index:-16776712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395.4pt;margin-top:372.8pt;z-index:-1677670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01.2pt;margin-top:372.8pt;z-index:-16776704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7.85pt;margin-top:372.8pt;z-index:-1677670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425.8pt;margin-top:372.8pt;z-index:-1677669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463.4pt;margin-top:372.8pt;z-index:-16776692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469.2pt;margin-top:372.8pt;z-index:-16776688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485.85pt;margin-top:372.8pt;z-index:-1677668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493.8pt;margin-top:372.8pt;z-index:-1677668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531.4pt;margin-top:372.8pt;z-index:-16776676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534.3pt;margin-top:372.8pt;z-index:-16776672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551.65pt;margin-top:372.8pt;z-index:-1677666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559.6pt;margin-top:372.8pt;z-index:-1677666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597.2pt;margin-top:372.8pt;z-index:-16776660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12.8pt;margin-top:398.8pt;z-index:-16776656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67.4pt;margin-top:398.8pt;z-index:-16776652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84.75pt;margin-top:398.8pt;z-index:-1677664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2.7pt;margin-top:398.8pt;z-index:-1677664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30.3pt;margin-top:398.8pt;z-index:-16776640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333.2pt;margin-top:398.8pt;z-index:-1677663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50.55pt;margin-top:398.8pt;z-index:-1677663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58.5pt;margin-top:398.8pt;z-index:-16776628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95.4pt;margin-top:398.8pt;z-index:-16776624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401.2pt;margin-top:398.8pt;z-index:-16776620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417.85pt;margin-top:398.8pt;z-index:-1677661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425.8pt;margin-top:398.8pt;z-index:-1677661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463.4pt;margin-top:398.8pt;z-index:-1677660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469.2pt;margin-top:398.8pt;z-index:-16776604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485.85pt;margin-top:398.8pt;z-index:-1677660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493.8pt;margin-top:398.8pt;z-index:-1677659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531.4pt;margin-top:398.8pt;z-index:-16776592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534.3pt;margin-top:398.8pt;z-index:-16776588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551.65pt;margin-top:398.8pt;z-index:-1677658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559.6pt;margin-top:398.8pt;z-index:-1677658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597.2pt;margin-top:398.8pt;z-index:-1677657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12.8pt;margin-top:421.95pt;z-index:-16776572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267.4pt;margin-top:421.95pt;z-index:-16776568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284.75pt;margin-top:421.95pt;z-index:-1677656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292.7pt;margin-top:421.95pt;z-index:-1677656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330.3pt;margin-top:421.95pt;z-index:-16776556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333.2pt;margin-top:421.95pt;z-index:-16776552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350.55pt;margin-top:421.95pt;z-index:-1677654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358.5pt;margin-top:421.95pt;z-index:-16776544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395.4pt;margin-top:421.95pt;z-index:-16776540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401.2pt;margin-top:421.95pt;z-index:-16776536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417.85pt;margin-top:421.95pt;z-index:-1677653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425.8pt;margin-top:421.95pt;z-index:-1677652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463.4pt;margin-top:421.95pt;z-index:-16776524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469.2pt;margin-top:421.95pt;z-index:-16776520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485.85pt;margin-top:421.95pt;z-index:-1677651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493.8pt;margin-top:421.95pt;z-index:-1677651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531.4pt;margin-top:421.95pt;z-index:-16776508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534.3pt;margin-top:421.95pt;z-index:-16776504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551.65pt;margin-top:421.95pt;z-index:-1677650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559.6pt;margin-top:421.95pt;z-index:-1677649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597.2pt;margin-top:421.95pt;z-index:-16776492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2.8pt;margin-top:445.1pt;z-index:-16776488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267.4pt;margin-top:445.1pt;z-index:-16776484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284.75pt;margin-top:445.1pt;z-index:-1677648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292.7pt;margin-top:445.1pt;z-index:-1677647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330.3pt;margin-top:445.1pt;z-index:-16776472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333.2pt;margin-top:445.1pt;z-index:-16776468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350.55pt;margin-top:445.1pt;z-index:-1677646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358.5pt;margin-top:445.1pt;z-index:-16776460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395.4pt;margin-top:445.1pt;z-index:-1677645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401.2pt;margin-top:445.1pt;z-index:-16776452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417.85pt;margin-top:445.1pt;z-index:-1677644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425.8pt;margin-top:445.1pt;z-index:-1677644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463.4pt;margin-top:445.1pt;z-index:-16776440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469.2pt;margin-top:445.1pt;z-index:-16776436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485.85pt;margin-top:445.1pt;z-index:-1677643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493.8pt;margin-top:445.1pt;z-index:-1677642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531.4pt;margin-top:445.1pt;z-index:-16776424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534.3pt;margin-top:445.1pt;z-index:-1677642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551.65pt;margin-top:445.1pt;z-index:-1677641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559.6pt;margin-top:445.1pt;z-index:-1677641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597.2pt;margin-top:445.1pt;z-index:-1677640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12.8pt;margin-top:468.25pt;z-index:-16776404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67.4pt;margin-top:468.25pt;z-index:-1677640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84.75pt;margin-top:468.25pt;z-index:-1677639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2.7pt;margin-top:468.25pt;z-index:-1677639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330.3pt;margin-top:468.25pt;z-index:-16776388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33.2pt;margin-top:468.25pt;z-index:-16776384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350.55pt;margin-top:468.25pt;z-index:-1677638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58.5pt;margin-top:468.25pt;z-index:-16776376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95.4pt;margin-top:468.25pt;z-index:-16776372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01.2pt;margin-top:468.25pt;z-index:-16776368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417.85pt;margin-top:468.25pt;z-index:-1677636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25.8pt;margin-top:468.25pt;z-index:-1677636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63.4pt;margin-top:468.25pt;z-index:-1677635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2pt;margin-top:468.25pt;z-index:-16776352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85.85pt;margin-top:468.25pt;z-index:-1677634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93.8pt;margin-top:468.25pt;z-index:-1677634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531.4pt;margin-top:468.25pt;z-index:-16776340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34.3pt;margin-top:468.25pt;z-index:-1677633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551.65pt;margin-top:468.25pt;z-index:-1677633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59.6pt;margin-top:468.25pt;z-index:-1677632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97.2pt;margin-top:468.25pt;z-index:-16776324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12.8pt;margin-top:495.75pt;z-index:-16776320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267.4pt;margin-top:495.75pt;z-index:-1677631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284.75pt;margin-top:495.75pt;z-index:-1677631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292.7pt;margin-top:495.75pt;z-index:-16776308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330.3pt;margin-top:495.75pt;z-index:-16776304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333.2pt;margin-top:495.75pt;z-index:-16776300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350.55pt;margin-top:495.75pt;z-index:-1677629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358.5pt;margin-top:495.75pt;z-index:-16776292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395.4pt;margin-top:495.75pt;z-index:-1677628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401.2pt;margin-top:495.75pt;z-index:-16776284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417.85pt;margin-top:495.75pt;z-index:-1677628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425.8pt;margin-top:495.75pt;z-index:-1677627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463.4pt;margin-top:495.75pt;z-index:-16776272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469.2pt;margin-top:495.75pt;z-index:-16776268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485.85pt;margin-top:495.75pt;z-index:-1677626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493.8pt;margin-top:495.75pt;z-index:-1677626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531.4pt;margin-top:495.75pt;z-index:-16776256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534.3pt;margin-top:495.75pt;z-index:-16776252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551.65pt;margin-top:495.75pt;z-index:-1677624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559.6pt;margin-top:495.75pt;z-index:-1677624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597.2pt;margin-top:495.75pt;z-index:-16776240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12.8pt;margin-top:520.35pt;z-index:-16776236;width:256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67.4pt;margin-top:520.35pt;z-index:-16776232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84.75pt;margin-top:520.35pt;z-index:-16776228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292.7pt;margin-top:520.35pt;z-index:-16776224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330.3pt;margin-top:520.35pt;z-index:-16776220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33.2pt;margin-top:520.35pt;z-index:-16776216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50.55pt;margin-top:520.35pt;z-index:-16776212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58.5pt;margin-top:520.35pt;z-index:-16776208;width:38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95.4pt;margin-top:520.35pt;z-index:-16776204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401.2pt;margin-top:520.35pt;z-index:-16776200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417.85pt;margin-top:520.35pt;z-index:-16776196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425.8pt;margin-top:520.35pt;z-index:-16776192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463.4pt;margin-top:520.35pt;z-index:-16776188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469.2pt;margin-top:520.35pt;z-index:-16776184;width:18.6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485.85pt;margin-top:520.35pt;z-index:-16776180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93.8pt;margin-top:520.35pt;z-index:-16776176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531.4pt;margin-top:520.35pt;z-index:-16776172;width:4.9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534.3pt;margin-top:520.35pt;z-index:-16776168;width:19.3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551.65pt;margin-top:520.35pt;z-index:-16776164;width:9.95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559.6pt;margin-top:520.35pt;z-index:-16776160;width:39.6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597.2pt;margin-top:520.35pt;z-index:-16776156;width:7.8pt;height:13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284.75pt;margin-top:384.35pt;z-index:-1677615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292.7pt;margin-top:384.35pt;z-index:-1677614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350.55pt;margin-top:384.35pt;z-index:-1677614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358.5pt;margin-top:384.35pt;z-index:-16776140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417.85pt;margin-top:384.35pt;z-index:-1677613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425.8pt;margin-top:384.35pt;z-index:-1677613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485.85pt;margin-top:384.35pt;z-index:-1677612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93.8pt;margin-top:384.35pt;z-index:-1677612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551.65pt;margin-top:384.35pt;z-index:-1677612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559.6pt;margin-top:384.35pt;z-index:-1677611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284.75pt;margin-top:397.35pt;z-index:-1677611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292.7pt;margin-top:397.35pt;z-index:-1677610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50.55pt;margin-top:397.35pt;z-index:-1677610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58.5pt;margin-top:397.35pt;z-index:-16776100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417.85pt;margin-top:397.35pt;z-index:-1677609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425.8pt;margin-top:397.35pt;z-index:-1677609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85.85pt;margin-top:397.35pt;z-index:-1677608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93.8pt;margin-top:397.35pt;z-index:-1677608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51.65pt;margin-top:397.35pt;z-index:-1677608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559.6pt;margin-top:397.35pt;z-index:-1677607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284.75pt;margin-top:479.85pt;z-index:-1677607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292.7pt;margin-top:479.85pt;z-index:-1677606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50.55pt;margin-top:479.85pt;z-index:-1677606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358.5pt;margin-top:479.85pt;z-index:-16776060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17.85pt;margin-top:479.85pt;z-index:-1677605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0" style="position:absolute;margin-left:425.8pt;margin-top:479.85pt;z-index:-1677605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1" style="position:absolute;margin-left:485.85pt;margin-top:479.85pt;z-index:-1677604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2" style="position:absolute;margin-left:493.8pt;margin-top:479.85pt;z-index:-1677604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3" style="position:absolute;margin-left:551.65pt;margin-top:479.85pt;z-index:-1677604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4" style="position:absolute;margin-left:559.6pt;margin-top:479.85pt;z-index:-1677603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5" style="position:absolute;margin-left:284.75pt;margin-top:492.85pt;z-index:-1677603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6" style="position:absolute;margin-left:284.75pt;margin-top:494.3pt;z-index:-1677602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7" style="position:absolute;margin-left:292.7pt;margin-top:492.85pt;z-index:-1677602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8" style="position:absolute;margin-left:292.7pt;margin-top:494.3pt;z-index:-16776020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9" style="position:absolute;margin-left:350.55pt;margin-top:492.85pt;z-index:-1677601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0" style="position:absolute;margin-left:350.55pt;margin-top:494.3pt;z-index:-1677601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1" style="position:absolute;margin-left:358.5pt;margin-top:492.85pt;z-index:-16776008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2" style="position:absolute;margin-left:358.5pt;margin-top:494.3pt;z-index:-16776004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3" style="position:absolute;margin-left:417.85pt;margin-top:492.85pt;z-index:-1677600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4" style="position:absolute;margin-left:417.85pt;margin-top:494.3pt;z-index:-1677599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5" style="position:absolute;margin-left:425.8pt;margin-top:492.85pt;z-index:-1677599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6" style="position:absolute;margin-left:425.8pt;margin-top:494.3pt;z-index:-1677598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7" style="position:absolute;margin-left:485.85pt;margin-top:492.85pt;z-index:-1677598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8" style="position:absolute;margin-left:485.85pt;margin-top:494.3pt;z-index:-1677598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9" style="position:absolute;margin-left:493.8pt;margin-top:492.85pt;z-index:-1677597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0" style="position:absolute;margin-left:493.8pt;margin-top:494.3pt;z-index:-1677597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1" style="position:absolute;margin-left:551.65pt;margin-top:492.85pt;z-index:-1677596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2" style="position:absolute;margin-left:551.65pt;margin-top:494.3pt;z-index:-1677596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3" style="position:absolute;margin-left:559.6pt;margin-top:492.85pt;z-index:-16775960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4" style="position:absolute;margin-left:559.6pt;margin-top:494.3pt;z-index:-1677595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5" style="position:absolute;margin-left:284.75pt;margin-top:518.9pt;z-index:-1677595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6" style="position:absolute;margin-left:292.7pt;margin-top:518.9pt;z-index:-1677594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7" style="position:absolute;margin-left:350.55pt;margin-top:518.9pt;z-index:-1677594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8" style="position:absolute;margin-left:358.5pt;margin-top:518.9pt;z-index:-16775940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9" style="position:absolute;margin-left:417.85pt;margin-top:518.9pt;z-index:-1677593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0" style="position:absolute;margin-left:425.8pt;margin-top:518.9pt;z-index:-1677593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1" style="position:absolute;margin-left:485.85pt;margin-top:518.9pt;z-index:-1677592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2" style="position:absolute;margin-left:493.8pt;margin-top:518.9pt;z-index:-1677592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3" style="position:absolute;margin-left:551.65pt;margin-top:518.9pt;z-index:-1677592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4" style="position:absolute;margin-left:559.6pt;margin-top:518.9pt;z-index:-1677591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5" style="position:absolute;margin-left:284.75pt;margin-top:531.9pt;z-index:-1677591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6" style="position:absolute;margin-left:284.75pt;margin-top:533.35pt;z-index:-1677590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7" style="position:absolute;margin-left:292.7pt;margin-top:531.9pt;z-index:-1677590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8" style="position:absolute;margin-left:292.7pt;margin-top:533.35pt;z-index:-16775900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9" style="position:absolute;margin-left:350.55pt;margin-top:531.9pt;z-index:-1677589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0" style="position:absolute;margin-left:350.55pt;margin-top:533.35pt;z-index:-16775892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1" style="position:absolute;margin-left:358.5pt;margin-top:531.9pt;z-index:-16775888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2" style="position:absolute;margin-left:358.5pt;margin-top:533.35pt;z-index:-16775884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3" style="position:absolute;margin-left:417.85pt;margin-top:531.9pt;z-index:-1677588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4" style="position:absolute;margin-left:417.85pt;margin-top:533.35pt;z-index:-16775876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5" style="position:absolute;margin-left:425.8pt;margin-top:531.9pt;z-index:-1677587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6" style="position:absolute;margin-left:425.8pt;margin-top:533.35pt;z-index:-1677586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7" style="position:absolute;margin-left:485.85pt;margin-top:531.9pt;z-index:-1677586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8" style="position:absolute;margin-left:485.85pt;margin-top:533.35pt;z-index:-16775860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9" style="position:absolute;margin-left:493.8pt;margin-top:531.9pt;z-index:-1677585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0" style="position:absolute;margin-left:493.8pt;margin-top:533.35pt;z-index:-1677585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1" style="position:absolute;margin-left:551.65pt;margin-top:531.9pt;z-index:-16775848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2" style="position:absolute;margin-left:551.65pt;margin-top:533.35pt;z-index:-16775844;width:9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3" style="position:absolute;margin-left:559.6pt;margin-top:531.9pt;z-index:-16775840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4" style="position:absolute;margin-left:559.6pt;margin-top:533.35pt;z-index:-1677583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5" style="position:absolute;margin-left:559.6pt;margin-top:302.6pt;z-index:-16775832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6" style="position:absolute;margin-left:493.8pt;margin-top:302.6pt;z-index:-16775828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7" style="position:absolute;margin-left:425.8pt;margin-top:302.6pt;z-index:-16775824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8" style="position:absolute;margin-left:358.5pt;margin-top:302.6pt;z-index:-16775820;width:38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9" style="position:absolute;margin-left:292.7pt;margin-top:302.6pt;z-index:-16775816;width:39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0" style="position:absolute;margin-left:551.65pt;margin-top:286pt;z-index:-16775812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1" style="position:absolute;margin-left:551.65pt;margin-top:302.6pt;z-index:-16775808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2" style="position:absolute;margin-left:534.3pt;margin-top:286pt;z-index:-16775804;width:19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3" style="position:absolute;margin-left:531.4pt;margin-top:286pt;z-index:-16775800;width:4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4" style="position:absolute;margin-left:485.85pt;margin-top:302.6pt;z-index:-16775796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5" style="position:absolute;margin-left:417.85pt;margin-top:286pt;z-index:-16775792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6" style="position:absolute;margin-left:417.85pt;margin-top:302.6pt;z-index:-16775788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7" style="position:absolute;margin-left:401.2pt;margin-top:286pt;z-index:-16775784;width:18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8" style="position:absolute;margin-left:395.4pt;margin-top:286pt;z-index:-16775780;width: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9" style="position:absolute;margin-left:350.55pt;margin-top:286pt;z-index:-16775776;width:46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0" style="position:absolute;margin-left:350.55pt;margin-top:302.6pt;z-index:-16775772;width:46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1" style="position:absolute;margin-left:333.2pt;margin-top:286pt;z-index:-16775768;width:19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2" style="position:absolute;margin-left:330.3pt;margin-top:286pt;z-index:-16775764;width:4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3" style="position:absolute;margin-left:284.75pt;margin-top:302.6pt;z-index:-16775760;width:47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4" style="position:absolute;margin-left:485.85pt;margin-top:286pt;z-index:-16775756;width:113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5" style="position:absolute;margin-left:284.75pt;margin-top:286pt;z-index:-16775752;width:180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6" style="position:absolute;margin-left:367.2pt;margin-top:640.4pt;z-index:-16775748;width:237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7" style="position:absolute;margin-left:13.8pt;margin-top:46.1pt;z-index:-16775744;width:146.1pt;height:16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8" o:title=""/>
          </v:shape>
        </w:pict>
      </w:r>
    </w:p>
    <w:sectPr>
      <w:pgSz w:w="12240" w:h="20160"/>
      <w:pgMar w:top="400" w:right="400" w:bottom="400" w:left="400" w:header="720" w:footer="720"/>
      <w:pgNumType w:start="5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0b244c23-0000-0000-0000-000000000000}"/>
  </w:font>
  <w:font w:name="TimesNewRomanPS-BoldItalicMT">
    <w:panose-1>"02020703060505090304"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0dfc9f5e-0000-0000-0000-000000000000}"/>
  </w:font>
  <w:font w:name="TimesNewRomanPS-BoldMT">
    <w:panose-1>"02020803070505020304"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caef09bc-0000-0000-0000-000000000000}"/>
  </w:font>
  <w:font w:name="TimesNewRomanPS-ItalicMT">
    <w:panose-1>"02020503050405090304"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b520054c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jpe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jpe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jpe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media/image291.png" Type="http://schemas.openxmlformats.org/officeDocument/2006/relationships/image"/><Relationship Id="rId292" Target="media/image292.png" Type="http://schemas.openxmlformats.org/officeDocument/2006/relationships/image"/><Relationship Id="rId293" Target="media/image293.png" Type="http://schemas.openxmlformats.org/officeDocument/2006/relationships/image"/><Relationship Id="rId294" Target="media/image294.png" Type="http://schemas.openxmlformats.org/officeDocument/2006/relationships/image"/><Relationship Id="rId295" Target="media/image295.png" Type="http://schemas.openxmlformats.org/officeDocument/2006/relationships/image"/><Relationship Id="rId296" Target="media/image296.png" Type="http://schemas.openxmlformats.org/officeDocument/2006/relationships/image"/><Relationship Id="rId297" Target="media/image297.png" Type="http://schemas.openxmlformats.org/officeDocument/2006/relationships/image"/><Relationship Id="rId298" Target="media/image298.png" Type="http://schemas.openxmlformats.org/officeDocument/2006/relationships/image"/><Relationship Id="rId299" Target="media/image29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00" Target="media/image300.png" Type="http://schemas.openxmlformats.org/officeDocument/2006/relationships/image"/><Relationship Id="rId301" Target="media/image301.png" Type="http://schemas.openxmlformats.org/officeDocument/2006/relationships/image"/><Relationship Id="rId302" Target="media/image302.png" Type="http://schemas.openxmlformats.org/officeDocument/2006/relationships/image"/><Relationship Id="rId303" Target="media/image303.png" Type="http://schemas.openxmlformats.org/officeDocument/2006/relationships/image"/><Relationship Id="rId304" Target="media/image304.png" Type="http://schemas.openxmlformats.org/officeDocument/2006/relationships/image"/><Relationship Id="rId305" Target="media/image305.png" Type="http://schemas.openxmlformats.org/officeDocument/2006/relationships/image"/><Relationship Id="rId306" Target="media/image306.png" Type="http://schemas.openxmlformats.org/officeDocument/2006/relationships/image"/><Relationship Id="rId307" Target="media/image307.png" Type="http://schemas.openxmlformats.org/officeDocument/2006/relationships/image"/><Relationship Id="rId308" Target="media/image308.png" Type="http://schemas.openxmlformats.org/officeDocument/2006/relationships/image"/><Relationship Id="rId309" Target="media/image309.png" Type="http://schemas.openxmlformats.org/officeDocument/2006/relationships/image"/><Relationship Id="rId31" Target="media/image31.png" Type="http://schemas.openxmlformats.org/officeDocument/2006/relationships/image"/><Relationship Id="rId310" Target="media/image310.png" Type="http://schemas.openxmlformats.org/officeDocument/2006/relationships/image"/><Relationship Id="rId311" Target="media/image311.png" Type="http://schemas.openxmlformats.org/officeDocument/2006/relationships/image"/><Relationship Id="rId312" Target="media/image312.png" Type="http://schemas.openxmlformats.org/officeDocument/2006/relationships/image"/><Relationship Id="rId313" Target="media/image313.png" Type="http://schemas.openxmlformats.org/officeDocument/2006/relationships/image"/><Relationship Id="rId314" Target="media/image314.png" Type="http://schemas.openxmlformats.org/officeDocument/2006/relationships/image"/><Relationship Id="rId315" Target="media/image315.png" Type="http://schemas.openxmlformats.org/officeDocument/2006/relationships/image"/><Relationship Id="rId316" Target="media/image316.png" Type="http://schemas.openxmlformats.org/officeDocument/2006/relationships/image"/><Relationship Id="rId317" Target="media/image317.png" Type="http://schemas.openxmlformats.org/officeDocument/2006/relationships/image"/><Relationship Id="rId318" Target="media/image318.png" Type="http://schemas.openxmlformats.org/officeDocument/2006/relationships/image"/><Relationship Id="rId319" Target="media/image319.png" Type="http://schemas.openxmlformats.org/officeDocument/2006/relationships/image"/><Relationship Id="rId32" Target="media/image32.png" Type="http://schemas.openxmlformats.org/officeDocument/2006/relationships/image"/><Relationship Id="rId320" Target="media/image320.png" Type="http://schemas.openxmlformats.org/officeDocument/2006/relationships/image"/><Relationship Id="rId321" Target="media/image321.png" Type="http://schemas.openxmlformats.org/officeDocument/2006/relationships/image"/><Relationship Id="rId322" Target="media/image322.png" Type="http://schemas.openxmlformats.org/officeDocument/2006/relationships/image"/><Relationship Id="rId323" Target="media/image323.png" Type="http://schemas.openxmlformats.org/officeDocument/2006/relationships/image"/><Relationship Id="rId324" Target="media/image324.png" Type="http://schemas.openxmlformats.org/officeDocument/2006/relationships/image"/><Relationship Id="rId325" Target="media/image325.png" Type="http://schemas.openxmlformats.org/officeDocument/2006/relationships/image"/><Relationship Id="rId326" Target="media/image326.png" Type="http://schemas.openxmlformats.org/officeDocument/2006/relationships/image"/><Relationship Id="rId327" Target="media/image327.png" Type="http://schemas.openxmlformats.org/officeDocument/2006/relationships/image"/><Relationship Id="rId328" Target="media/image328.png" Type="http://schemas.openxmlformats.org/officeDocument/2006/relationships/image"/><Relationship Id="rId329" Target="media/image329.png" Type="http://schemas.openxmlformats.org/officeDocument/2006/relationships/image"/><Relationship Id="rId33" Target="media/image33.png" Type="http://schemas.openxmlformats.org/officeDocument/2006/relationships/image"/><Relationship Id="rId330" Target="media/image330.png" Type="http://schemas.openxmlformats.org/officeDocument/2006/relationships/image"/><Relationship Id="rId331" Target="media/image331.png" Type="http://schemas.openxmlformats.org/officeDocument/2006/relationships/image"/><Relationship Id="rId332" Target="media/image332.png" Type="http://schemas.openxmlformats.org/officeDocument/2006/relationships/image"/><Relationship Id="rId333" Target="media/image333.png" Type="http://schemas.openxmlformats.org/officeDocument/2006/relationships/image"/><Relationship Id="rId334" Target="media/image334.png" Type="http://schemas.openxmlformats.org/officeDocument/2006/relationships/image"/><Relationship Id="rId335" Target="media/image335.png" Type="http://schemas.openxmlformats.org/officeDocument/2006/relationships/image"/><Relationship Id="rId336" Target="media/image336.png" Type="http://schemas.openxmlformats.org/officeDocument/2006/relationships/image"/><Relationship Id="rId337" Target="media/image337.png" Type="http://schemas.openxmlformats.org/officeDocument/2006/relationships/image"/><Relationship Id="rId338" Target="media/image338.png" Type="http://schemas.openxmlformats.org/officeDocument/2006/relationships/image"/><Relationship Id="rId339" Target="media/image339.png" Type="http://schemas.openxmlformats.org/officeDocument/2006/relationships/image"/><Relationship Id="rId34" Target="media/image34.png" Type="http://schemas.openxmlformats.org/officeDocument/2006/relationships/image"/><Relationship Id="rId340" Target="media/image340.png" Type="http://schemas.openxmlformats.org/officeDocument/2006/relationships/image"/><Relationship Id="rId341" Target="media/image341.png" Type="http://schemas.openxmlformats.org/officeDocument/2006/relationships/image"/><Relationship Id="rId342" Target="media/image342.png" Type="http://schemas.openxmlformats.org/officeDocument/2006/relationships/image"/><Relationship Id="rId343" Target="media/image343.png" Type="http://schemas.openxmlformats.org/officeDocument/2006/relationships/image"/><Relationship Id="rId344" Target="media/image344.png" Type="http://schemas.openxmlformats.org/officeDocument/2006/relationships/image"/><Relationship Id="rId345" Target="media/image345.png" Type="http://schemas.openxmlformats.org/officeDocument/2006/relationships/image"/><Relationship Id="rId346" Target="media/image346.png" Type="http://schemas.openxmlformats.org/officeDocument/2006/relationships/image"/><Relationship Id="rId347" Target="media/image347.png" Type="http://schemas.openxmlformats.org/officeDocument/2006/relationships/image"/><Relationship Id="rId348" Target="media/image348.png" Type="http://schemas.openxmlformats.org/officeDocument/2006/relationships/image"/><Relationship Id="rId349" Target="media/image349.png" Type="http://schemas.openxmlformats.org/officeDocument/2006/relationships/image"/><Relationship Id="rId35" Target="media/image35.png" Type="http://schemas.openxmlformats.org/officeDocument/2006/relationships/image"/><Relationship Id="rId350" Target="media/image350.png" Type="http://schemas.openxmlformats.org/officeDocument/2006/relationships/image"/><Relationship Id="rId351" Target="media/image351.png" Type="http://schemas.openxmlformats.org/officeDocument/2006/relationships/image"/><Relationship Id="rId352" Target="media/image352.png" Type="http://schemas.openxmlformats.org/officeDocument/2006/relationships/image"/><Relationship Id="rId353" Target="media/image353.png" Type="http://schemas.openxmlformats.org/officeDocument/2006/relationships/image"/><Relationship Id="rId354" Target="media/image354.png" Type="http://schemas.openxmlformats.org/officeDocument/2006/relationships/image"/><Relationship Id="rId355" Target="media/image355.png" Type="http://schemas.openxmlformats.org/officeDocument/2006/relationships/image"/><Relationship Id="rId356" Target="media/image356.png" Type="http://schemas.openxmlformats.org/officeDocument/2006/relationships/image"/><Relationship Id="rId357" Target="media/image357.png" Type="http://schemas.openxmlformats.org/officeDocument/2006/relationships/image"/><Relationship Id="rId358" Target="media/image358.png" Type="http://schemas.openxmlformats.org/officeDocument/2006/relationships/image"/><Relationship Id="rId359" Target="media/image359.png" Type="http://schemas.openxmlformats.org/officeDocument/2006/relationships/image"/><Relationship Id="rId36" Target="media/image36.png" Type="http://schemas.openxmlformats.org/officeDocument/2006/relationships/image"/><Relationship Id="rId360" Target="media/image360.png" Type="http://schemas.openxmlformats.org/officeDocument/2006/relationships/image"/><Relationship Id="rId361" Target="media/image361.png" Type="http://schemas.openxmlformats.org/officeDocument/2006/relationships/image"/><Relationship Id="rId362" Target="media/image362.png" Type="http://schemas.openxmlformats.org/officeDocument/2006/relationships/image"/><Relationship Id="rId363" Target="media/image363.png" Type="http://schemas.openxmlformats.org/officeDocument/2006/relationships/image"/><Relationship Id="rId364" Target="media/image364.png" Type="http://schemas.openxmlformats.org/officeDocument/2006/relationships/image"/><Relationship Id="rId365" Target="media/image365.png" Type="http://schemas.openxmlformats.org/officeDocument/2006/relationships/image"/><Relationship Id="rId366" Target="media/image366.png" Type="http://schemas.openxmlformats.org/officeDocument/2006/relationships/image"/><Relationship Id="rId367" Target="media/image367.png" Type="http://schemas.openxmlformats.org/officeDocument/2006/relationships/image"/><Relationship Id="rId368" Target="media/image368.jpeg" Type="http://schemas.openxmlformats.org/officeDocument/2006/relationships/image"/><Relationship Id="rId369" Target="styles.xml" Type="http://schemas.openxmlformats.org/officeDocument/2006/relationships/styles"/><Relationship Id="rId37" Target="media/image37.png" Type="http://schemas.openxmlformats.org/officeDocument/2006/relationships/image"/><Relationship Id="rId370" Target="fontTable.xml" Type="http://schemas.openxmlformats.org/officeDocument/2006/relationships/fontTable"/><Relationship Id="rId371" Target="settings.xml" Type="http://schemas.openxmlformats.org/officeDocument/2006/relationships/settings"/><Relationship Id="rId372" Target="webSettings.xml" Type="http://schemas.openxmlformats.org/officeDocument/2006/relationships/webSettings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jpe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5</Pages>
  <Words>3171</Words>
  <Characters>17407</Characters>
  <Application>e-iceblue</Application>
  <DocSecurity>0</DocSecurity>
  <Lines>395</Lines>
  <Paragraphs>395</Paragraphs>
  <ScaleCrop>false</ScaleCrop>
  <Company>e-iceblue</Company>
  <LinksUpToDate>false</LinksUpToDate>
  <CharactersWithSpaces>20540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2024-01-11T23:15:46Z</dcterms:created>
  <dc:creator>root</dc:creator>
  <cp:lastModifiedBy>root</cp:lastModifiedBy>
  <dcterms:modified xsi:type="dcterms:W3CDTF">2024-01-11T23:15:46Z</dcterms:modified>
  <cp:revision>1</cp:revision>
</cp:coreProperties>
</file>