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02" w:lineRule="exact"/>
        <w:rPr>
          <w:sz w:val="24"/>
          <w:szCs w:val="24"/>
          <w:color w:val="auto"/>
        </w:rPr>
      </w:pPr>
    </w:p>
    <w:p>
      <w:pPr>
        <w:ind w:left="2500"/>
        <w:spacing w:after="0"/>
        <w:rPr>
          <w:sz w:val="20"/>
          <w:szCs w:val="20"/>
          <w:color w:val="auto"/>
        </w:rPr>
      </w:pPr>
      <w:r>
        <w:rPr>
          <w:rFonts w:ascii="Arial" w:cs="Arial" w:eastAsia="Arial" w:hAnsi="Arial"/>
          <w:sz w:val="18"/>
          <w:szCs w:val="18"/>
          <w:b w:val="1"/>
          <w:bCs w:val="1"/>
          <w:color w:val="auto"/>
        </w:rPr>
        <w:t>As filed with the Securities and Exchange Commission on June 29, 2020</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333-216284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-235585</wp:posOffset>
            </wp:positionH>
            <wp:positionV relativeFrom="paragraph">
              <wp:posOffset>100330</wp:posOffset>
            </wp:positionV>
            <wp:extent cx="698627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86270" cy="8890"/>
                    </a:xfrm>
                    <a:prstGeom prst="rect">
                      <a:avLst/>
                    </a:prstGeom>
                    <a:noFill/>
                  </pic:spPr>
                </pic:pic>
              </a:graphicData>
            </a:graphic>
          </wp:anchor>
        </w:drawing>
        <w:drawing>
          <wp:anchor simplePos="0" relativeHeight="251657728" behindDoc="1" locked="0" layoutInCell="0" allowOverlap="1">
            <wp:simplePos x="0" y="0"/>
            <wp:positionH relativeFrom="column">
              <wp:posOffset>-235585</wp:posOffset>
            </wp:positionH>
            <wp:positionV relativeFrom="paragraph">
              <wp:posOffset>22860</wp:posOffset>
            </wp:positionV>
            <wp:extent cx="6986270" cy="34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86270" cy="34290"/>
                    </a:xfrm>
                    <a:prstGeom prst="rect">
                      <a:avLst/>
                    </a:prstGeom>
                    <a:noFill/>
                  </pic:spPr>
                </pic:pic>
              </a:graphicData>
            </a:graphic>
          </wp:anchor>
        </w:drawing>
      </w:r>
    </w:p>
    <w:p>
      <w:pPr>
        <w:spacing w:after="0" w:line="200" w:lineRule="exact"/>
        <w:rPr>
          <w:sz w:val="24"/>
          <w:szCs w:val="24"/>
          <w:color w:val="auto"/>
        </w:rPr>
      </w:pPr>
    </w:p>
    <w:p>
      <w:pPr>
        <w:spacing w:after="0" w:line="247" w:lineRule="exact"/>
        <w:rPr>
          <w:sz w:val="24"/>
          <w:szCs w:val="24"/>
          <w:color w:val="auto"/>
        </w:rPr>
      </w:pPr>
    </w:p>
    <w:p>
      <w:pPr>
        <w:jc w:val="center"/>
        <w:ind w:right="360"/>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360"/>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ind w:right="420"/>
        <w:spacing w:after="0"/>
        <w:rPr>
          <w:sz w:val="20"/>
          <w:szCs w:val="20"/>
          <w:color w:val="auto"/>
        </w:rPr>
      </w:pPr>
      <w:r>
        <w:rPr>
          <w:rFonts w:ascii="Arial" w:cs="Arial" w:eastAsia="Arial" w:hAnsi="Arial"/>
          <w:sz w:val="18"/>
          <w:szCs w:val="18"/>
          <w:b w:val="1"/>
          <w:bCs w:val="1"/>
          <w:color w:val="auto"/>
        </w:rPr>
        <w:t>Washington, D.C. 20549</w:t>
      </w:r>
    </w:p>
    <w:p>
      <w:pPr>
        <w:spacing w:after="0" w:line="200" w:lineRule="exact"/>
        <w:rPr>
          <w:sz w:val="24"/>
          <w:szCs w:val="24"/>
          <w:color w:val="auto"/>
        </w:rPr>
      </w:pPr>
    </w:p>
    <w:p>
      <w:pPr>
        <w:spacing w:after="0" w:line="225" w:lineRule="exact"/>
        <w:rPr>
          <w:sz w:val="24"/>
          <w:szCs w:val="24"/>
          <w:color w:val="auto"/>
        </w:rPr>
      </w:pPr>
    </w:p>
    <w:p>
      <w:pPr>
        <w:jc w:val="center"/>
        <w:ind w:right="360"/>
        <w:spacing w:after="0"/>
        <w:rPr>
          <w:sz w:val="20"/>
          <w:szCs w:val="20"/>
          <w:color w:val="auto"/>
        </w:rPr>
      </w:pPr>
      <w:r>
        <w:rPr>
          <w:rFonts w:ascii="Arial" w:cs="Arial" w:eastAsia="Arial" w:hAnsi="Arial"/>
          <w:sz w:val="32"/>
          <w:szCs w:val="32"/>
          <w:b w:val="1"/>
          <w:bCs w:val="1"/>
          <w:color w:val="auto"/>
        </w:rPr>
        <w:t>POST-EFFECTIVE AMENDMENT NO. 1</w:t>
      </w:r>
    </w:p>
    <w:p>
      <w:pPr>
        <w:spacing w:after="0" w:line="46" w:lineRule="exact"/>
        <w:rPr>
          <w:sz w:val="24"/>
          <w:szCs w:val="24"/>
          <w:color w:val="auto"/>
        </w:rPr>
      </w:pPr>
    </w:p>
    <w:p>
      <w:pPr>
        <w:jc w:val="center"/>
        <w:ind w:right="360"/>
        <w:spacing w:after="0"/>
        <w:rPr>
          <w:sz w:val="20"/>
          <w:szCs w:val="20"/>
          <w:color w:val="auto"/>
        </w:rPr>
      </w:pPr>
      <w:r>
        <w:rPr>
          <w:rFonts w:ascii="Arial" w:cs="Arial" w:eastAsia="Arial" w:hAnsi="Arial"/>
          <w:sz w:val="32"/>
          <w:szCs w:val="32"/>
          <w:b w:val="1"/>
          <w:bCs w:val="1"/>
          <w:color w:val="auto"/>
        </w:rPr>
        <w:t>TO</w:t>
      </w:r>
    </w:p>
    <w:p>
      <w:pPr>
        <w:spacing w:after="0" w:line="10" w:lineRule="exact"/>
        <w:rPr>
          <w:sz w:val="24"/>
          <w:szCs w:val="24"/>
          <w:color w:val="auto"/>
        </w:rPr>
      </w:pPr>
    </w:p>
    <w:p>
      <w:pPr>
        <w:jc w:val="center"/>
        <w:ind w:right="360"/>
        <w:spacing w:after="0"/>
        <w:rPr>
          <w:sz w:val="20"/>
          <w:szCs w:val="20"/>
          <w:color w:val="auto"/>
        </w:rPr>
      </w:pPr>
      <w:r>
        <w:rPr>
          <w:rFonts w:ascii="Arial" w:cs="Arial" w:eastAsia="Arial" w:hAnsi="Arial"/>
          <w:sz w:val="32"/>
          <w:szCs w:val="32"/>
          <w:b w:val="1"/>
          <w:bCs w:val="1"/>
          <w:color w:val="auto"/>
        </w:rPr>
        <w:t>FORM S-8</w:t>
      </w:r>
    </w:p>
    <w:p>
      <w:pPr>
        <w:spacing w:after="0" w:line="10" w:lineRule="exact"/>
        <w:rPr>
          <w:sz w:val="24"/>
          <w:szCs w:val="24"/>
          <w:color w:val="auto"/>
        </w:rPr>
      </w:pPr>
    </w:p>
    <w:p>
      <w:pPr>
        <w:jc w:val="center"/>
        <w:ind w:right="360"/>
        <w:spacing w:after="0"/>
        <w:rPr>
          <w:sz w:val="20"/>
          <w:szCs w:val="20"/>
          <w:color w:val="auto"/>
        </w:rPr>
      </w:pPr>
      <w:r>
        <w:rPr>
          <w:rFonts w:ascii="Arial" w:cs="Arial" w:eastAsia="Arial" w:hAnsi="Arial"/>
          <w:sz w:val="32"/>
          <w:szCs w:val="32"/>
          <w:b w:val="1"/>
          <w:bCs w:val="1"/>
          <w:color w:val="auto"/>
        </w:rPr>
        <w:t>REGISTRATION STATEMENT</w:t>
      </w:r>
    </w:p>
    <w:p>
      <w:pPr>
        <w:spacing w:after="0" w:line="231" w:lineRule="exact"/>
        <w:rPr>
          <w:sz w:val="24"/>
          <w:szCs w:val="24"/>
          <w:color w:val="auto"/>
        </w:rPr>
      </w:pPr>
    </w:p>
    <w:p>
      <w:pPr>
        <w:jc w:val="center"/>
        <w:ind w:right="360"/>
        <w:spacing w:after="0"/>
        <w:rPr>
          <w:sz w:val="20"/>
          <w:szCs w:val="20"/>
          <w:color w:val="auto"/>
        </w:rPr>
      </w:pPr>
      <w:r>
        <w:rPr>
          <w:rFonts w:ascii="Arial" w:cs="Arial" w:eastAsia="Arial" w:hAnsi="Arial"/>
          <w:sz w:val="22"/>
          <w:szCs w:val="22"/>
          <w:b w:val="1"/>
          <w:bCs w:val="1"/>
          <w:color w:val="auto"/>
        </w:rPr>
        <w:t>UNDER</w:t>
      </w:r>
    </w:p>
    <w:p>
      <w:pPr>
        <w:spacing w:after="0" w:line="27" w:lineRule="exact"/>
        <w:rPr>
          <w:sz w:val="24"/>
          <w:szCs w:val="24"/>
          <w:color w:val="auto"/>
        </w:rPr>
      </w:pPr>
    </w:p>
    <w:p>
      <w:pPr>
        <w:jc w:val="center"/>
        <w:ind w:right="360"/>
        <w:spacing w:after="0"/>
        <w:rPr>
          <w:sz w:val="20"/>
          <w:szCs w:val="20"/>
          <w:color w:val="auto"/>
        </w:rPr>
      </w:pPr>
      <w:r>
        <w:rPr>
          <w:rFonts w:ascii="Arial" w:cs="Arial" w:eastAsia="Arial" w:hAnsi="Arial"/>
          <w:sz w:val="22"/>
          <w:szCs w:val="22"/>
          <w:b w:val="1"/>
          <w:bCs w:val="1"/>
          <w:color w:val="auto"/>
        </w:rPr>
        <w:t>THE SECURITIES ACT OF 1933</w:t>
      </w:r>
    </w:p>
    <w:p>
      <w:pPr>
        <w:spacing w:after="0" w:line="200" w:lineRule="exact"/>
        <w:rPr>
          <w:sz w:val="24"/>
          <w:szCs w:val="24"/>
          <w:color w:val="auto"/>
        </w:rPr>
      </w:pPr>
    </w:p>
    <w:p>
      <w:pPr>
        <w:spacing w:after="0" w:line="211" w:lineRule="exact"/>
        <w:rPr>
          <w:sz w:val="24"/>
          <w:szCs w:val="24"/>
          <w:color w:val="auto"/>
        </w:rPr>
      </w:pPr>
    </w:p>
    <w:p>
      <w:pPr>
        <w:jc w:val="center"/>
        <w:ind w:right="360"/>
        <w:spacing w:after="0"/>
        <w:rPr>
          <w:sz w:val="20"/>
          <w:szCs w:val="20"/>
          <w:color w:val="auto"/>
        </w:rPr>
      </w:pPr>
      <w:r>
        <w:rPr>
          <w:rFonts w:ascii="Arial" w:cs="Arial" w:eastAsia="Arial" w:hAnsi="Arial"/>
          <w:sz w:val="32"/>
          <w:szCs w:val="32"/>
          <w:b w:val="1"/>
          <w:bCs w:val="1"/>
          <w:color w:val="auto"/>
        </w:rPr>
        <w:t>TechnipFMC plc</w:t>
      </w:r>
    </w:p>
    <w:p>
      <w:pPr>
        <w:spacing w:after="0" w:line="39" w:lineRule="exact"/>
        <w:rPr>
          <w:sz w:val="24"/>
          <w:szCs w:val="24"/>
          <w:color w:val="auto"/>
        </w:rPr>
      </w:pPr>
    </w:p>
    <w:p>
      <w:pPr>
        <w:ind w:left="3380"/>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0860"/>
          </w:cols>
          <w:pgMar w:left="700" w:top="1440" w:right="339" w:bottom="1440" w:gutter="0" w:footer="0" w:header="0"/>
        </w:sectPr>
      </w:pPr>
    </w:p>
    <w:p>
      <w:pPr>
        <w:spacing w:after="0" w:line="259" w:lineRule="exact"/>
        <w:rPr>
          <w:sz w:val="24"/>
          <w:szCs w:val="24"/>
          <w:color w:val="auto"/>
        </w:rPr>
      </w:pPr>
    </w:p>
    <w:p>
      <w:pPr>
        <w:ind w:left="1560"/>
        <w:spacing w:after="0"/>
        <w:rPr>
          <w:sz w:val="20"/>
          <w:szCs w:val="20"/>
          <w:color w:val="auto"/>
        </w:rPr>
      </w:pPr>
      <w:r>
        <w:rPr>
          <w:rFonts w:ascii="Arial" w:cs="Arial" w:eastAsia="Arial" w:hAnsi="Arial"/>
          <w:sz w:val="16"/>
          <w:szCs w:val="16"/>
          <w:b w:val="1"/>
          <w:bCs w:val="1"/>
          <w:color w:val="auto"/>
        </w:rPr>
        <w:t>England and Wales</w:t>
      </w:r>
    </w:p>
    <w:p>
      <w:pPr>
        <w:spacing w:after="0" w:line="20" w:lineRule="exact"/>
        <w:rPr>
          <w:sz w:val="24"/>
          <w:szCs w:val="24"/>
          <w:color w:val="auto"/>
        </w:rPr>
      </w:pPr>
      <w:r>
        <w:rPr>
          <w:sz w:val="24"/>
          <w:szCs w:val="24"/>
          <w:color w:val="auto"/>
        </w:rPr>
        <w:br w:type="column"/>
      </w:r>
    </w:p>
    <w:p>
      <w:pPr>
        <w:spacing w:after="0" w:line="239"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98-1283037</w:t>
      </w:r>
    </w:p>
    <w:p>
      <w:pPr>
        <w:spacing w:after="0" w:line="90" w:lineRule="exact"/>
        <w:rPr>
          <w:sz w:val="24"/>
          <w:szCs w:val="24"/>
          <w:color w:val="auto"/>
        </w:rPr>
      </w:pPr>
    </w:p>
    <w:p>
      <w:pPr>
        <w:sectPr>
          <w:pgSz w:w="11900" w:h="16838" w:orient="portrait"/>
          <w:cols w:equalWidth="0" w:num="2">
            <w:col w:w="6780" w:space="720"/>
            <w:col w:w="3360"/>
          </w:cols>
          <w:pgMar w:left="700" w:top="1440" w:right="339" w:bottom="1440" w:gutter="0" w:footer="0" w:header="0"/>
          <w:type w:val="continuous"/>
        </w:sectPr>
      </w:pPr>
    </w:p>
    <w:p>
      <w:pPr>
        <w:ind w:left="160"/>
        <w:spacing w:after="0"/>
        <w:rPr>
          <w:sz w:val="20"/>
          <w:szCs w:val="20"/>
          <w:color w:val="auto"/>
        </w:rPr>
      </w:pPr>
      <w:r>
        <w:rPr>
          <w:rFonts w:ascii="Arial" w:cs="Arial" w:eastAsia="Arial" w:hAnsi="Arial"/>
          <w:sz w:val="16"/>
          <w:szCs w:val="16"/>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(I.R.S. Employer Identification No.)</w:t>
      </w:r>
    </w:p>
    <w:p>
      <w:pPr>
        <w:spacing w:after="0" w:line="200" w:lineRule="exact"/>
        <w:rPr>
          <w:sz w:val="24"/>
          <w:szCs w:val="24"/>
          <w:color w:val="auto"/>
        </w:rPr>
      </w:pPr>
    </w:p>
    <w:p>
      <w:pPr>
        <w:sectPr>
          <w:pgSz w:w="11900" w:h="16838" w:orient="portrait"/>
          <w:cols w:equalWidth="0" w:num="2">
            <w:col w:w="5920" w:space="720"/>
            <w:col w:w="4220"/>
          </w:cols>
          <w:pgMar w:left="700" w:top="1440" w:right="339" w:bottom="1440" w:gutter="0" w:footer="0" w:header="0"/>
          <w:type w:val="continuous"/>
        </w:sectPr>
      </w:pPr>
    </w:p>
    <w:p>
      <w:pPr>
        <w:spacing w:after="0" w:line="395" w:lineRule="exact"/>
        <w:rPr>
          <w:sz w:val="24"/>
          <w:szCs w:val="24"/>
          <w:color w:val="auto"/>
        </w:rPr>
      </w:pPr>
    </w:p>
    <w:p>
      <w:pPr>
        <w:jc w:val="center"/>
        <w:ind w:right="380"/>
        <w:spacing w:after="0"/>
        <w:rPr>
          <w:sz w:val="20"/>
          <w:szCs w:val="20"/>
          <w:color w:val="auto"/>
        </w:rPr>
      </w:pPr>
      <w:r>
        <w:rPr>
          <w:rFonts w:ascii="Arial" w:cs="Arial" w:eastAsia="Arial" w:hAnsi="Arial"/>
          <w:sz w:val="18"/>
          <w:szCs w:val="18"/>
          <w:b w:val="1"/>
          <w:bCs w:val="1"/>
          <w:color w:val="auto"/>
        </w:rPr>
        <w:t>One St. Paul’s Churchyard</w:t>
      </w:r>
    </w:p>
    <w:p>
      <w:pPr>
        <w:spacing w:after="0" w:line="27" w:lineRule="exact"/>
        <w:rPr>
          <w:sz w:val="24"/>
          <w:szCs w:val="24"/>
          <w:color w:val="auto"/>
        </w:rPr>
      </w:pPr>
    </w:p>
    <w:p>
      <w:pPr>
        <w:jc w:val="center"/>
        <w:ind w:right="380"/>
        <w:spacing w:after="0"/>
        <w:rPr>
          <w:sz w:val="20"/>
          <w:szCs w:val="20"/>
          <w:color w:val="auto"/>
        </w:rPr>
      </w:pPr>
      <w:r>
        <w:rPr>
          <w:rFonts w:ascii="Arial" w:cs="Arial" w:eastAsia="Arial" w:hAnsi="Arial"/>
          <w:sz w:val="18"/>
          <w:szCs w:val="18"/>
          <w:b w:val="1"/>
          <w:bCs w:val="1"/>
          <w:color w:val="auto"/>
        </w:rPr>
        <w:t>London, EC4M 8AP</w:t>
      </w:r>
    </w:p>
    <w:p>
      <w:pPr>
        <w:spacing w:after="0" w:line="9" w:lineRule="exact"/>
        <w:rPr>
          <w:sz w:val="24"/>
          <w:szCs w:val="24"/>
          <w:color w:val="auto"/>
        </w:rPr>
      </w:pPr>
    </w:p>
    <w:p>
      <w:pPr>
        <w:jc w:val="center"/>
        <w:ind w:right="380"/>
        <w:spacing w:after="0"/>
        <w:rPr>
          <w:sz w:val="20"/>
          <w:szCs w:val="20"/>
          <w:color w:val="auto"/>
        </w:rPr>
      </w:pPr>
      <w:r>
        <w:rPr>
          <w:rFonts w:ascii="Arial" w:cs="Arial" w:eastAsia="Arial" w:hAnsi="Arial"/>
          <w:sz w:val="18"/>
          <w:szCs w:val="18"/>
          <w:b w:val="1"/>
          <w:bCs w:val="1"/>
          <w:color w:val="auto"/>
        </w:rPr>
        <w:t>United Kingdom</w:t>
      </w:r>
    </w:p>
    <w:p>
      <w:pPr>
        <w:spacing w:after="0" w:line="238" w:lineRule="exact"/>
        <w:rPr>
          <w:sz w:val="24"/>
          <w:szCs w:val="24"/>
          <w:color w:val="auto"/>
        </w:rPr>
      </w:pPr>
    </w:p>
    <w:p>
      <w:pPr>
        <w:jc w:val="center"/>
        <w:ind w:right="380"/>
        <w:spacing w:after="0"/>
        <w:rPr>
          <w:sz w:val="20"/>
          <w:szCs w:val="20"/>
          <w:color w:val="auto"/>
        </w:rPr>
      </w:pPr>
      <w:r>
        <w:rPr>
          <w:rFonts w:ascii="Arial" w:cs="Arial" w:eastAsia="Arial" w:hAnsi="Arial"/>
          <w:sz w:val="18"/>
          <w:szCs w:val="18"/>
          <w:color w:val="auto"/>
        </w:rPr>
        <w:t>(Address of Principal Executive Offices) (Zip Code)</w:t>
      </w:r>
    </w:p>
    <w:p>
      <w:pPr>
        <w:spacing w:after="0" w:line="221" w:lineRule="exact"/>
        <w:rPr>
          <w:sz w:val="24"/>
          <w:szCs w:val="24"/>
          <w:color w:val="auto"/>
        </w:rPr>
      </w:pPr>
    </w:p>
    <w:p>
      <w:pPr>
        <w:jc w:val="center"/>
        <w:ind w:right="380"/>
        <w:spacing w:after="0"/>
        <w:rPr>
          <w:sz w:val="20"/>
          <w:szCs w:val="20"/>
          <w:color w:val="auto"/>
        </w:rPr>
      </w:pPr>
      <w:r>
        <w:rPr>
          <w:rFonts w:ascii="Arial" w:cs="Arial" w:eastAsia="Arial" w:hAnsi="Arial"/>
          <w:sz w:val="18"/>
          <w:szCs w:val="18"/>
          <w:b w:val="1"/>
          <w:bCs w:val="1"/>
          <w:color w:val="auto"/>
        </w:rPr>
        <w:t>TECHNIPFMC RETIREMENT SAVINGS PLAN (formerly the FMC TECHNOLOGIES, INC. SAVINGS AND INVESTMENT PLAN)</w:t>
      </w:r>
    </w:p>
    <w:p>
      <w:pPr>
        <w:spacing w:after="0" w:line="27" w:lineRule="exact"/>
        <w:rPr>
          <w:sz w:val="24"/>
          <w:szCs w:val="24"/>
          <w:color w:val="auto"/>
        </w:rPr>
      </w:pPr>
    </w:p>
    <w:p>
      <w:pPr>
        <w:jc w:val="center"/>
        <w:ind w:right="380"/>
        <w:spacing w:after="0"/>
        <w:rPr>
          <w:sz w:val="20"/>
          <w:szCs w:val="20"/>
          <w:color w:val="auto"/>
        </w:rPr>
      </w:pPr>
      <w:r>
        <w:rPr>
          <w:rFonts w:ascii="Arial" w:cs="Arial" w:eastAsia="Arial" w:hAnsi="Arial"/>
          <w:sz w:val="18"/>
          <w:szCs w:val="18"/>
          <w:b w:val="1"/>
          <w:bCs w:val="1"/>
          <w:color w:val="auto"/>
        </w:rPr>
        <w:t>FMC PUERTO RICO SAVINGS AND INVESTMENT PLAN</w:t>
      </w:r>
    </w:p>
    <w:p>
      <w:pPr>
        <w:spacing w:after="0" w:line="9" w:lineRule="exact"/>
        <w:rPr>
          <w:sz w:val="24"/>
          <w:szCs w:val="24"/>
          <w:color w:val="auto"/>
        </w:rPr>
      </w:pPr>
    </w:p>
    <w:p>
      <w:pPr>
        <w:jc w:val="center"/>
        <w:ind w:right="380"/>
        <w:spacing w:after="0"/>
        <w:rPr>
          <w:sz w:val="20"/>
          <w:szCs w:val="20"/>
          <w:color w:val="auto"/>
        </w:rPr>
      </w:pPr>
      <w:r>
        <w:rPr>
          <w:rFonts w:ascii="Arial" w:cs="Arial" w:eastAsia="Arial" w:hAnsi="Arial"/>
          <w:sz w:val="18"/>
          <w:szCs w:val="18"/>
          <w:b w:val="1"/>
          <w:bCs w:val="1"/>
          <w:color w:val="auto"/>
        </w:rPr>
        <w:t>FMC TECHNOLOGIES, INC. INTERNATIONAL SAVINGS AND INVESTMENT PLAN</w:t>
      </w:r>
    </w:p>
    <w:p>
      <w:pPr>
        <w:spacing w:after="0" w:line="9" w:lineRule="exact"/>
        <w:rPr>
          <w:sz w:val="24"/>
          <w:szCs w:val="24"/>
          <w:color w:val="auto"/>
        </w:rPr>
      </w:pPr>
    </w:p>
    <w:p>
      <w:pPr>
        <w:jc w:val="center"/>
        <w:ind w:right="380"/>
        <w:spacing w:after="0"/>
        <w:rPr>
          <w:sz w:val="20"/>
          <w:szCs w:val="20"/>
          <w:color w:val="auto"/>
        </w:rPr>
      </w:pPr>
      <w:r>
        <w:rPr>
          <w:rFonts w:ascii="Arial" w:cs="Arial" w:eastAsia="Arial" w:hAnsi="Arial"/>
          <w:sz w:val="18"/>
          <w:szCs w:val="18"/>
          <w:b w:val="1"/>
          <w:bCs w:val="1"/>
          <w:color w:val="auto"/>
        </w:rPr>
        <w:t>FMC TECHNOLOGIES, INC. NON-QUALIFIED SAVINGS AND INVESTMENT PLAN</w:t>
      </w:r>
    </w:p>
    <w:p>
      <w:pPr>
        <w:spacing w:after="0" w:line="9" w:lineRule="exact"/>
        <w:rPr>
          <w:sz w:val="24"/>
          <w:szCs w:val="24"/>
          <w:color w:val="auto"/>
        </w:rPr>
      </w:pPr>
    </w:p>
    <w:p>
      <w:pPr>
        <w:jc w:val="center"/>
        <w:ind w:right="380"/>
        <w:spacing w:after="0"/>
        <w:rPr>
          <w:sz w:val="20"/>
          <w:szCs w:val="20"/>
          <w:color w:val="auto"/>
        </w:rPr>
      </w:pPr>
      <w:r>
        <w:rPr>
          <w:rFonts w:ascii="Arial" w:cs="Arial" w:eastAsia="Arial" w:hAnsi="Arial"/>
          <w:sz w:val="18"/>
          <w:szCs w:val="18"/>
          <w:color w:val="auto"/>
        </w:rPr>
        <w:t>(Full title of the plan)</w:t>
      </w:r>
    </w:p>
    <w:p>
      <w:pPr>
        <w:sectPr>
          <w:pgSz w:w="11900" w:h="16838" w:orient="portrait"/>
          <w:cols w:equalWidth="0" w:num="1">
            <w:col w:w="10860"/>
          </w:cols>
          <w:pgMar w:left="700" w:top="1440" w:right="339" w:bottom="1440" w:gutter="0" w:footer="0" w:header="0"/>
          <w:type w:val="continuous"/>
        </w:sectPr>
      </w:pPr>
    </w:p>
    <w:bookmarkStart w:id="1" w:name="page2"/>
    <w:bookmarkEnd w:id="1"/>
    <w:p>
      <w:pPr>
        <w:spacing w:after="0" w:line="32" w:lineRule="exact"/>
        <w:rPr>
          <w:sz w:val="20"/>
          <w:szCs w:val="20"/>
          <w:color w:val="auto"/>
        </w:rPr>
      </w:pPr>
    </w:p>
    <w:tbl>
      <w:tblPr>
        <w:tblLayout w:type="fixed"/>
        <w:tblInd w:w="1400" w:type="dxa"/>
        <w:tblCellMar>
          <w:top w:w="0" w:type="dxa"/>
          <w:left w:w="0" w:type="dxa"/>
          <w:bottom w:w="0" w:type="dxa"/>
          <w:right w:w="0" w:type="dxa"/>
        </w:tblCellMar>
      </w:tblPr>
      <w:tr>
        <w:trPr>
          <w:trHeight w:val="234"/>
        </w:trPr>
        <w:tc>
          <w:tcPr>
            <w:tcW w:w="2700" w:type="dxa"/>
            <w:vAlign w:val="bottom"/>
          </w:tcPr>
          <w:p>
            <w:pPr>
              <w:jc w:val="center"/>
              <w:spacing w:after="0"/>
              <w:rPr>
                <w:sz w:val="20"/>
                <w:szCs w:val="20"/>
                <w:color w:val="auto"/>
              </w:rPr>
            </w:pPr>
            <w:r>
              <w:rPr>
                <w:rFonts w:ascii="Arial" w:cs="Arial" w:eastAsia="Arial" w:hAnsi="Arial"/>
                <w:sz w:val="18"/>
                <w:szCs w:val="18"/>
                <w:b w:val="1"/>
                <w:bCs w:val="1"/>
                <w:color w:val="auto"/>
                <w:w w:val="90"/>
              </w:rPr>
              <w:t>Dianne B. Ralston, Esq.</w:t>
            </w:r>
          </w:p>
        </w:tc>
        <w:tc>
          <w:tcPr>
            <w:tcW w:w="5160" w:type="dxa"/>
            <w:vAlign w:val="bottom"/>
          </w:tcPr>
          <w:p>
            <w:pPr>
              <w:jc w:val="center"/>
              <w:ind w:left="3170"/>
              <w:spacing w:after="0"/>
              <w:rPr>
                <w:sz w:val="20"/>
                <w:szCs w:val="20"/>
                <w:color w:val="auto"/>
              </w:rPr>
            </w:pPr>
            <w:r>
              <w:rPr>
                <w:rFonts w:ascii="Arial" w:cs="Arial" w:eastAsia="Arial" w:hAnsi="Arial"/>
                <w:sz w:val="18"/>
                <w:szCs w:val="18"/>
                <w:b w:val="1"/>
                <w:bCs w:val="1"/>
                <w:color w:val="auto"/>
                <w:w w:val="90"/>
              </w:rPr>
              <w:t>Copy to:</w:t>
            </w:r>
          </w:p>
        </w:tc>
      </w:tr>
      <w:tr>
        <w:trPr>
          <w:trHeight w:val="270"/>
        </w:trPr>
        <w:tc>
          <w:tcPr>
            <w:tcW w:w="2700" w:type="dxa"/>
            <w:vAlign w:val="bottom"/>
          </w:tcPr>
          <w:p>
            <w:pPr>
              <w:jc w:val="center"/>
              <w:spacing w:after="0"/>
              <w:rPr>
                <w:sz w:val="20"/>
                <w:szCs w:val="20"/>
                <w:color w:val="auto"/>
              </w:rPr>
            </w:pPr>
            <w:r>
              <w:rPr>
                <w:rFonts w:ascii="Arial" w:cs="Arial" w:eastAsia="Arial" w:hAnsi="Arial"/>
                <w:sz w:val="18"/>
                <w:szCs w:val="18"/>
                <w:b w:val="1"/>
                <w:bCs w:val="1"/>
                <w:color w:val="auto"/>
                <w:w w:val="88"/>
              </w:rPr>
              <w:t>Executive Vice President,</w:t>
            </w:r>
          </w:p>
        </w:tc>
        <w:tc>
          <w:tcPr>
            <w:tcW w:w="5160" w:type="dxa"/>
            <w:vAlign w:val="bottom"/>
          </w:tcPr>
          <w:p>
            <w:pPr>
              <w:jc w:val="center"/>
              <w:ind w:left="3170"/>
              <w:spacing w:after="0"/>
              <w:rPr>
                <w:sz w:val="20"/>
                <w:szCs w:val="20"/>
                <w:color w:val="auto"/>
              </w:rPr>
            </w:pPr>
            <w:r>
              <w:rPr>
                <w:rFonts w:ascii="Arial" w:cs="Arial" w:eastAsia="Arial" w:hAnsi="Arial"/>
                <w:sz w:val="18"/>
                <w:szCs w:val="18"/>
                <w:b w:val="1"/>
                <w:bCs w:val="1"/>
                <w:color w:val="auto"/>
                <w:w w:val="91"/>
              </w:rPr>
              <w:t>Ryan Maierson, Esq.</w:t>
            </w:r>
          </w:p>
        </w:tc>
      </w:tr>
      <w:tr>
        <w:trPr>
          <w:trHeight w:val="270"/>
        </w:trPr>
        <w:tc>
          <w:tcPr>
            <w:tcW w:w="2700" w:type="dxa"/>
            <w:vAlign w:val="bottom"/>
          </w:tcPr>
          <w:p>
            <w:pPr>
              <w:jc w:val="center"/>
              <w:spacing w:after="0"/>
              <w:rPr>
                <w:sz w:val="20"/>
                <w:szCs w:val="20"/>
                <w:color w:val="auto"/>
              </w:rPr>
            </w:pPr>
            <w:r>
              <w:rPr>
                <w:rFonts w:ascii="Arial" w:cs="Arial" w:eastAsia="Arial" w:hAnsi="Arial"/>
                <w:sz w:val="18"/>
                <w:szCs w:val="18"/>
                <w:b w:val="1"/>
                <w:bCs w:val="1"/>
                <w:color w:val="auto"/>
                <w:w w:val="92"/>
              </w:rPr>
              <w:t>Chief Legal Officer and Secretary</w:t>
            </w:r>
          </w:p>
        </w:tc>
        <w:tc>
          <w:tcPr>
            <w:tcW w:w="5160" w:type="dxa"/>
            <w:vAlign w:val="bottom"/>
          </w:tcPr>
          <w:p>
            <w:pPr>
              <w:jc w:val="center"/>
              <w:ind w:left="3170"/>
              <w:spacing w:after="0"/>
              <w:rPr>
                <w:sz w:val="20"/>
                <w:szCs w:val="20"/>
                <w:color w:val="auto"/>
              </w:rPr>
            </w:pPr>
            <w:r>
              <w:rPr>
                <w:rFonts w:ascii="Arial" w:cs="Arial" w:eastAsia="Arial" w:hAnsi="Arial"/>
                <w:sz w:val="18"/>
                <w:szCs w:val="18"/>
                <w:b w:val="1"/>
                <w:bCs w:val="1"/>
                <w:color w:val="auto"/>
                <w:w w:val="97"/>
              </w:rPr>
              <w:t>Latham &amp; Watkins LLP</w:t>
            </w:r>
          </w:p>
        </w:tc>
      </w:tr>
      <w:tr>
        <w:trPr>
          <w:trHeight w:val="270"/>
        </w:trPr>
        <w:tc>
          <w:tcPr>
            <w:tcW w:w="2700" w:type="dxa"/>
            <w:vAlign w:val="bottom"/>
          </w:tcPr>
          <w:p>
            <w:pPr>
              <w:jc w:val="center"/>
              <w:spacing w:after="0"/>
              <w:rPr>
                <w:sz w:val="20"/>
                <w:szCs w:val="20"/>
                <w:color w:val="auto"/>
              </w:rPr>
            </w:pPr>
            <w:r>
              <w:rPr>
                <w:rFonts w:ascii="Arial" w:cs="Arial" w:eastAsia="Arial" w:hAnsi="Arial"/>
                <w:sz w:val="18"/>
                <w:szCs w:val="18"/>
                <w:b w:val="1"/>
                <w:bCs w:val="1"/>
                <w:color w:val="auto"/>
                <w:w w:val="93"/>
              </w:rPr>
              <w:t>TechnipFMC plc</w:t>
            </w:r>
          </w:p>
        </w:tc>
        <w:tc>
          <w:tcPr>
            <w:tcW w:w="5160" w:type="dxa"/>
            <w:vAlign w:val="bottom"/>
          </w:tcPr>
          <w:p>
            <w:pPr>
              <w:jc w:val="center"/>
              <w:ind w:left="3170"/>
              <w:spacing w:after="0"/>
              <w:rPr>
                <w:sz w:val="20"/>
                <w:szCs w:val="20"/>
                <w:color w:val="auto"/>
              </w:rPr>
            </w:pPr>
            <w:r>
              <w:rPr>
                <w:rFonts w:ascii="Arial" w:cs="Arial" w:eastAsia="Arial" w:hAnsi="Arial"/>
                <w:sz w:val="18"/>
                <w:szCs w:val="18"/>
                <w:b w:val="1"/>
                <w:bCs w:val="1"/>
                <w:color w:val="auto"/>
                <w:w w:val="92"/>
              </w:rPr>
              <w:t>811 Main Street</w:t>
            </w:r>
          </w:p>
        </w:tc>
      </w:tr>
      <w:tr>
        <w:trPr>
          <w:trHeight w:val="252"/>
        </w:trPr>
        <w:tc>
          <w:tcPr>
            <w:tcW w:w="2700" w:type="dxa"/>
            <w:vAlign w:val="bottom"/>
          </w:tcPr>
          <w:p>
            <w:pPr>
              <w:jc w:val="center"/>
              <w:spacing w:after="0"/>
              <w:rPr>
                <w:sz w:val="20"/>
                <w:szCs w:val="20"/>
                <w:color w:val="auto"/>
              </w:rPr>
            </w:pPr>
            <w:r>
              <w:rPr>
                <w:rFonts w:ascii="Arial" w:cs="Arial" w:eastAsia="Arial" w:hAnsi="Arial"/>
                <w:sz w:val="18"/>
                <w:szCs w:val="18"/>
                <w:b w:val="1"/>
                <w:bCs w:val="1"/>
                <w:color w:val="auto"/>
                <w:w w:val="92"/>
              </w:rPr>
              <w:t>11740 Katy Freeway</w:t>
            </w:r>
          </w:p>
        </w:tc>
        <w:tc>
          <w:tcPr>
            <w:tcW w:w="5160" w:type="dxa"/>
            <w:vAlign w:val="bottom"/>
          </w:tcPr>
          <w:p>
            <w:pPr>
              <w:jc w:val="center"/>
              <w:ind w:left="3170"/>
              <w:spacing w:after="0"/>
              <w:rPr>
                <w:sz w:val="20"/>
                <w:szCs w:val="20"/>
                <w:color w:val="auto"/>
              </w:rPr>
            </w:pPr>
            <w:r>
              <w:rPr>
                <w:rFonts w:ascii="Arial" w:cs="Arial" w:eastAsia="Arial" w:hAnsi="Arial"/>
                <w:sz w:val="18"/>
                <w:szCs w:val="18"/>
                <w:b w:val="1"/>
                <w:bCs w:val="1"/>
                <w:color w:val="auto"/>
                <w:w w:val="87"/>
              </w:rPr>
              <w:t>Suite 3700</w:t>
            </w:r>
          </w:p>
        </w:tc>
      </w:tr>
      <w:tr>
        <w:trPr>
          <w:trHeight w:val="234"/>
        </w:trPr>
        <w:tc>
          <w:tcPr>
            <w:tcW w:w="2700" w:type="dxa"/>
            <w:vAlign w:val="bottom"/>
          </w:tcPr>
          <w:p>
            <w:pPr>
              <w:jc w:val="center"/>
              <w:spacing w:after="0"/>
              <w:rPr>
                <w:sz w:val="20"/>
                <w:szCs w:val="20"/>
                <w:color w:val="auto"/>
              </w:rPr>
            </w:pPr>
            <w:r>
              <w:rPr>
                <w:rFonts w:ascii="Arial" w:cs="Arial" w:eastAsia="Arial" w:hAnsi="Arial"/>
                <w:sz w:val="18"/>
                <w:szCs w:val="18"/>
                <w:b w:val="1"/>
                <w:bCs w:val="1"/>
                <w:color w:val="auto"/>
                <w:w w:val="90"/>
              </w:rPr>
              <w:t>Energy Tower 3</w:t>
            </w:r>
          </w:p>
        </w:tc>
        <w:tc>
          <w:tcPr>
            <w:tcW w:w="5160" w:type="dxa"/>
            <w:vAlign w:val="bottom"/>
          </w:tcPr>
          <w:p>
            <w:pPr>
              <w:spacing w:after="0"/>
              <w:rPr>
                <w:sz w:val="20"/>
                <w:szCs w:val="20"/>
                <w:color w:val="auto"/>
              </w:rPr>
            </w:pPr>
          </w:p>
        </w:tc>
      </w:tr>
      <w:tr>
        <w:trPr>
          <w:trHeight w:val="270"/>
        </w:trPr>
        <w:tc>
          <w:tcPr>
            <w:tcW w:w="2700" w:type="dxa"/>
            <w:vAlign w:val="bottom"/>
          </w:tcPr>
          <w:p>
            <w:pPr>
              <w:jc w:val="center"/>
              <w:spacing w:after="0"/>
              <w:rPr>
                <w:sz w:val="20"/>
                <w:szCs w:val="20"/>
                <w:color w:val="auto"/>
              </w:rPr>
            </w:pPr>
            <w:r>
              <w:rPr>
                <w:rFonts w:ascii="Arial" w:cs="Arial" w:eastAsia="Arial" w:hAnsi="Arial"/>
                <w:sz w:val="18"/>
                <w:szCs w:val="18"/>
                <w:b w:val="1"/>
                <w:bCs w:val="1"/>
                <w:color w:val="auto"/>
                <w:w w:val="87"/>
              </w:rPr>
              <w:t>Houston, Texas 77079</w:t>
            </w:r>
          </w:p>
        </w:tc>
        <w:tc>
          <w:tcPr>
            <w:tcW w:w="5160" w:type="dxa"/>
            <w:vAlign w:val="bottom"/>
          </w:tcPr>
          <w:p>
            <w:pPr>
              <w:jc w:val="center"/>
              <w:ind w:left="3170"/>
              <w:spacing w:after="0"/>
              <w:rPr>
                <w:sz w:val="20"/>
                <w:szCs w:val="20"/>
                <w:color w:val="auto"/>
              </w:rPr>
            </w:pPr>
            <w:r>
              <w:rPr>
                <w:rFonts w:ascii="Arial" w:cs="Arial" w:eastAsia="Arial" w:hAnsi="Arial"/>
                <w:sz w:val="18"/>
                <w:szCs w:val="18"/>
                <w:b w:val="1"/>
                <w:bCs w:val="1"/>
                <w:color w:val="auto"/>
                <w:w w:val="87"/>
              </w:rPr>
              <w:t>Houston, Texas 77002</w:t>
            </w:r>
          </w:p>
        </w:tc>
      </w:tr>
      <w:tr>
        <w:trPr>
          <w:trHeight w:val="270"/>
        </w:trPr>
        <w:tc>
          <w:tcPr>
            <w:tcW w:w="2700" w:type="dxa"/>
            <w:vAlign w:val="bottom"/>
          </w:tcPr>
          <w:p>
            <w:pPr>
              <w:jc w:val="center"/>
              <w:spacing w:after="0"/>
              <w:rPr>
                <w:sz w:val="20"/>
                <w:szCs w:val="20"/>
                <w:color w:val="auto"/>
              </w:rPr>
            </w:pPr>
            <w:r>
              <w:rPr>
                <w:rFonts w:ascii="Arial" w:cs="Arial" w:eastAsia="Arial" w:hAnsi="Arial"/>
                <w:sz w:val="18"/>
                <w:szCs w:val="18"/>
                <w:b w:val="1"/>
                <w:bCs w:val="1"/>
                <w:color w:val="auto"/>
                <w:w w:val="92"/>
              </w:rPr>
              <w:t>(281) 591-4000</w:t>
            </w:r>
          </w:p>
        </w:tc>
        <w:tc>
          <w:tcPr>
            <w:tcW w:w="5160" w:type="dxa"/>
            <w:vAlign w:val="bottom"/>
          </w:tcPr>
          <w:p>
            <w:pPr>
              <w:jc w:val="center"/>
              <w:ind w:left="3170"/>
              <w:spacing w:after="0"/>
              <w:rPr>
                <w:sz w:val="20"/>
                <w:szCs w:val="20"/>
                <w:color w:val="auto"/>
              </w:rPr>
            </w:pPr>
            <w:r>
              <w:rPr>
                <w:rFonts w:ascii="Arial" w:cs="Arial" w:eastAsia="Arial" w:hAnsi="Arial"/>
                <w:sz w:val="18"/>
                <w:szCs w:val="18"/>
                <w:b w:val="1"/>
                <w:bCs w:val="1"/>
                <w:color w:val="auto"/>
                <w:w w:val="92"/>
              </w:rPr>
              <w:t>(713) 546-7420</w:t>
            </w:r>
          </w:p>
        </w:tc>
      </w:tr>
      <w:tr>
        <w:trPr>
          <w:trHeight w:val="351"/>
        </w:trPr>
        <w:tc>
          <w:tcPr>
            <w:tcW w:w="2700" w:type="dxa"/>
            <w:vAlign w:val="bottom"/>
          </w:tcPr>
          <w:p>
            <w:pPr>
              <w:spacing w:after="0"/>
              <w:rPr>
                <w:sz w:val="24"/>
                <w:szCs w:val="24"/>
                <w:color w:val="auto"/>
              </w:rPr>
            </w:pPr>
          </w:p>
        </w:tc>
        <w:tc>
          <w:tcPr>
            <w:tcW w:w="5160" w:type="dxa"/>
            <w:vAlign w:val="bottom"/>
          </w:tcPr>
          <w:p>
            <w:pPr>
              <w:ind w:left="80"/>
              <w:spacing w:after="0"/>
              <w:rPr>
                <w:sz w:val="20"/>
                <w:szCs w:val="20"/>
                <w:color w:val="auto"/>
              </w:rPr>
            </w:pPr>
            <w:r>
              <w:rPr>
                <w:rFonts w:ascii="Arial" w:cs="Arial" w:eastAsia="Arial" w:hAnsi="Arial"/>
                <w:sz w:val="18"/>
                <w:szCs w:val="18"/>
                <w:color w:val="auto"/>
              </w:rPr>
              <w:t>(Name and address of agent for service)</w:t>
            </w:r>
          </w:p>
        </w:tc>
      </w:tr>
    </w:tbl>
    <w:p>
      <w:pPr>
        <w:jc w:val="center"/>
        <w:ind w:right="-19"/>
        <w:spacing w:after="0"/>
        <w:rPr>
          <w:sz w:val="20"/>
          <w:szCs w:val="20"/>
          <w:color w:val="auto"/>
        </w:rPr>
      </w:pPr>
      <w:r>
        <w:rPr>
          <w:rFonts w:ascii="Arial" w:cs="Arial" w:eastAsia="Arial" w:hAnsi="Arial"/>
          <w:sz w:val="18"/>
          <w:szCs w:val="18"/>
          <w:color w:val="auto"/>
        </w:rPr>
        <w:t>(Telephone number, including area code, of agent for service)</w:t>
      </w:r>
    </w:p>
    <w:p>
      <w:pPr>
        <w:spacing w:after="0" w:line="211" w:lineRule="exact"/>
        <w:rPr>
          <w:sz w:val="20"/>
          <w:szCs w:val="20"/>
          <w:color w:val="auto"/>
        </w:rPr>
      </w:pPr>
    </w:p>
    <w:p>
      <w:pPr>
        <w:ind w:left="340" w:right="8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20"/>
          </w:cols>
          <w:pgMar w:left="320" w:top="1440" w:right="359" w:bottom="1440" w:gutter="0" w:footer="0" w:header="0"/>
        </w:sectPr>
      </w:pPr>
    </w:p>
    <w:p>
      <w:pPr>
        <w:spacing w:after="0" w:line="238" w:lineRule="exact"/>
        <w:rPr>
          <w:sz w:val="20"/>
          <w:szCs w:val="20"/>
          <w:color w:val="auto"/>
        </w:rPr>
      </w:pPr>
    </w:p>
    <w:p>
      <w:pPr>
        <w:ind w:left="20"/>
        <w:spacing w:after="0"/>
        <w:rPr>
          <w:sz w:val="20"/>
          <w:szCs w:val="20"/>
          <w:color w:val="auto"/>
        </w:rPr>
      </w:pPr>
      <w:r>
        <w:rPr>
          <w:rFonts w:ascii="Arial" w:cs="Arial" w:eastAsia="Arial" w:hAnsi="Arial"/>
          <w:sz w:val="16"/>
          <w:szCs w:val="16"/>
          <w:color w:val="auto"/>
        </w:rPr>
        <w:t>Large accelerated filer</w:t>
      </w:r>
    </w:p>
    <w:p>
      <w:pPr>
        <w:spacing w:after="0" w:line="20" w:lineRule="exact"/>
        <w:rPr>
          <w:sz w:val="20"/>
          <w:szCs w:val="20"/>
          <w:color w:val="auto"/>
        </w:rPr>
      </w:pPr>
      <w:r>
        <w:rPr>
          <w:sz w:val="20"/>
          <w:szCs w:val="20"/>
          <w:color w:val="auto"/>
        </w:rPr>
        <w:br w:type="column"/>
      </w: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color w:val="auto"/>
        </w:rPr>
        <w:t>Accelerated filer</w:t>
      </w:r>
    </w:p>
    <w:p>
      <w:pPr>
        <w:spacing w:after="0" w:line="86" w:lineRule="exact"/>
        <w:rPr>
          <w:sz w:val="20"/>
          <w:szCs w:val="20"/>
          <w:color w:val="auto"/>
        </w:rPr>
      </w:pPr>
    </w:p>
    <w:p>
      <w:pPr>
        <w:sectPr>
          <w:pgSz w:w="11900" w:h="16838" w:orient="portrait"/>
          <w:cols w:equalWidth="0" w:num="2">
            <w:col w:w="6140" w:space="720"/>
            <w:col w:w="4360"/>
          </w:cols>
          <w:pgMar w:left="320" w:top="1440" w:right="359" w:bottom="1440" w:gutter="0" w:footer="0" w:header="0"/>
          <w:type w:val="continuous"/>
        </w:sectPr>
      </w:pPr>
    </w:p>
    <w:p>
      <w:pPr>
        <w:ind w:left="20"/>
        <w:spacing w:after="0"/>
        <w:rPr>
          <w:sz w:val="20"/>
          <w:szCs w:val="20"/>
          <w:color w:val="auto"/>
        </w:rPr>
      </w:pPr>
      <w:r>
        <w:rPr>
          <w:rFonts w:ascii="Arial" w:cs="Arial" w:eastAsia="Arial" w:hAnsi="Arial"/>
          <w:sz w:val="16"/>
          <w:szCs w:val="16"/>
          <w:color w:val="auto"/>
        </w:rPr>
        <w:t>Non-accelerated filer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Smaller reporting company</w:t>
      </w:r>
    </w:p>
    <w:p>
      <w:pPr>
        <w:spacing w:after="0" w:line="86" w:lineRule="exact"/>
        <w:rPr>
          <w:sz w:val="20"/>
          <w:szCs w:val="20"/>
          <w:color w:val="auto"/>
        </w:rPr>
      </w:pPr>
    </w:p>
    <w:p>
      <w:pPr>
        <w:sectPr>
          <w:pgSz w:w="11900" w:h="16838" w:orient="portrait"/>
          <w:cols w:equalWidth="0" w:num="2">
            <w:col w:w="6140" w:space="720"/>
            <w:col w:w="4360"/>
          </w:cols>
          <w:pgMar w:left="320" w:top="1440" w:right="359" w:bottom="1440" w:gutter="0" w:footer="0" w:header="0"/>
          <w:type w:val="continuous"/>
        </w:sectPr>
      </w:pPr>
    </w:p>
    <w:p>
      <w:pPr>
        <w:ind w:left="20"/>
        <w:spacing w:after="0"/>
        <w:rPr>
          <w:sz w:val="20"/>
          <w:szCs w:val="20"/>
          <w:color w:val="auto"/>
        </w:rPr>
      </w:pPr>
      <w:r>
        <w:rPr>
          <w:rFonts w:ascii="Arial" w:cs="Arial" w:eastAsia="Arial" w:hAnsi="Arial"/>
          <w:sz w:val="16"/>
          <w:szCs w:val="16"/>
          <w:color w:val="auto"/>
        </w:rPr>
        <w:t>Emerging growth company</w:t>
      </w:r>
    </w:p>
    <w:p>
      <w:pPr>
        <w:sectPr>
          <w:pgSz w:w="11900" w:h="16838" w:orient="portrait"/>
          <w:cols w:equalWidth="0" w:num="1">
            <w:col w:w="11220"/>
          </w:cols>
          <w:pgMar w:left="320" w:top="1440" w:right="359" w:bottom="1440" w:gutter="0" w:footer="0" w:header="0"/>
          <w:type w:val="continuous"/>
        </w:sectPr>
      </w:pPr>
    </w:p>
    <w:p>
      <w:pPr>
        <w:spacing w:after="0" w:line="383" w:lineRule="exact"/>
        <w:rPr>
          <w:sz w:val="20"/>
          <w:szCs w:val="20"/>
          <w:color w:val="auto"/>
        </w:rPr>
      </w:pPr>
    </w:p>
    <w:p>
      <w:pPr>
        <w:ind w:left="340" w:right="16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7(a)(2)(B) of the Securities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4937760" cy="254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937760" cy="25400"/>
                    </a:xfrm>
                    <a:prstGeom prst="rect">
                      <a:avLst/>
                    </a:prstGeom>
                    <a:noFill/>
                  </pic:spPr>
                </pic:pic>
              </a:graphicData>
            </a:graphic>
          </wp:anchor>
        </w:drawing>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EXPLANATORY NOTE</w:t>
      </w:r>
    </w:p>
    <w:p>
      <w:pPr>
        <w:spacing w:after="0" w:line="229" w:lineRule="exact"/>
        <w:rPr>
          <w:sz w:val="20"/>
          <w:szCs w:val="20"/>
          <w:color w:val="auto"/>
        </w:rPr>
      </w:pPr>
    </w:p>
    <w:p>
      <w:pPr>
        <w:ind w:firstLine="648"/>
        <w:spacing w:after="0" w:line="275" w:lineRule="auto"/>
        <w:rPr>
          <w:sz w:val="20"/>
          <w:szCs w:val="20"/>
          <w:color w:val="auto"/>
        </w:rPr>
      </w:pPr>
      <w:r>
        <w:rPr>
          <w:rFonts w:ascii="Arial" w:cs="Arial" w:eastAsia="Arial" w:hAnsi="Arial"/>
          <w:sz w:val="17"/>
          <w:szCs w:val="17"/>
          <w:color w:val="auto"/>
        </w:rPr>
        <w:t>TechnipFMC plc (the “Registrant”) is filing this Post-Effective Amendment No. 1 to Registration Statement on Form S-8 filed on February 27, 2017 (File No. 333-216284) (the “Registration Statement”) to remove from that Registration Statement all of the Registrant’s Ordinary Shares, par value $1 per share (the “Ordinary Shares”), that remain unsold under the TechnipFMC Retirement Savings Plan (formerly the FMC Technologies, Inc. Savings and Investment Plan); FMC Puerto Rico Savings and Investment Plan; FMC Technologies, Inc. International Savings and Investment Plan; and FMC Technologies, Inc. Non-Qualified Savings and Investment Plan (collectively, the “Plans”).</w:t>
      </w:r>
    </w:p>
    <w:p>
      <w:pPr>
        <w:spacing w:after="0" w:line="203" w:lineRule="exact"/>
        <w:rPr>
          <w:sz w:val="20"/>
          <w:szCs w:val="20"/>
          <w:color w:val="auto"/>
        </w:rPr>
      </w:pPr>
    </w:p>
    <w:p>
      <w:pPr>
        <w:ind w:right="220" w:firstLine="648"/>
        <w:spacing w:after="0" w:line="259" w:lineRule="auto"/>
        <w:rPr>
          <w:sz w:val="20"/>
          <w:szCs w:val="20"/>
          <w:color w:val="auto"/>
        </w:rPr>
      </w:pPr>
      <w:r>
        <w:rPr>
          <w:rFonts w:ascii="Arial" w:cs="Arial" w:eastAsia="Arial" w:hAnsi="Arial"/>
          <w:sz w:val="18"/>
          <w:szCs w:val="18"/>
          <w:color w:val="auto"/>
        </w:rPr>
        <w:t>Effective March 29, 2019, the Ordinary Shares were discontinued as an active investment option in the TechnipFMC Retirement Savings Plan (formerly the FMC Technologies, Inc. Savings and Investment Plan); FMC Puerto Rico Savings and Investment Plan; and FMC Technologies, Inc. Non-Qualified Savings and Investment Plan. Effective October 24, 2019, the Ordinary Shares were discontinued as an active investment option in the FMC Technologies, Inc. International Savings and Investment Plan.</w:t>
      </w:r>
    </w:p>
    <w:p>
      <w:pPr>
        <w:spacing w:after="0" w:line="214"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As a result, the offering pursuant to the Registration Statement has been terminated. Pursuant to the undertaking contained in the Registration Statement to remove from registration by means of a post-effective amendment any of the securities being registered that remain unsold at the termination of the offering, the Registrant is filing this Post-Effective Amendment No. 1 to the Registration Statement to (i) deregister all of the unsold Ordinary Shares offered to employees of the Registrant under the Plans and (ii) terminate the effectiveness of the Registration Statement.</w:t>
      </w:r>
    </w:p>
    <w:p>
      <w:pPr>
        <w:spacing w:after="0" w:line="198" w:lineRule="exact"/>
        <w:rPr>
          <w:sz w:val="20"/>
          <w:szCs w:val="20"/>
          <w:color w:val="auto"/>
        </w:rPr>
      </w:pPr>
    </w:p>
    <w:p>
      <w:pPr>
        <w:ind w:right="720" w:firstLine="648"/>
        <w:spacing w:after="0" w:line="277" w:lineRule="auto"/>
        <w:rPr>
          <w:sz w:val="20"/>
          <w:szCs w:val="20"/>
          <w:color w:val="auto"/>
        </w:rPr>
      </w:pPr>
      <w:r>
        <w:rPr>
          <w:rFonts w:ascii="Arial" w:cs="Arial" w:eastAsia="Arial" w:hAnsi="Arial"/>
          <w:sz w:val="18"/>
          <w:szCs w:val="18"/>
          <w:color w:val="auto"/>
        </w:rPr>
        <w:t>This Post-Effective Amendment No. 1 to the Registration Statement shall become effective upon filing with the Securities and Exchange Commission pursuant to Rule 464 under the Securities Act of 1933, as amended.</w:t>
      </w:r>
    </w:p>
    <w:p>
      <w:pPr>
        <w:sectPr>
          <w:pgSz w:w="11900" w:h="16838" w:orient="portrait"/>
          <w:cols w:equalWidth="0" w:num="1">
            <w:col w:w="11220"/>
          </w:cols>
          <w:pgMar w:left="320" w:top="1440" w:right="359" w:bottom="1440" w:gutter="0" w:footer="0" w:header="0"/>
          <w:type w:val="continuous"/>
        </w:sectPr>
      </w:pPr>
    </w:p>
    <w:bookmarkStart w:id="2" w:name="page3"/>
    <w:bookmarkEnd w:id="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spacing w:after="0" w:line="286" w:lineRule="auto"/>
        <w:rPr>
          <w:sz w:val="20"/>
          <w:szCs w:val="20"/>
          <w:color w:val="auto"/>
        </w:rPr>
      </w:pPr>
      <w:r>
        <w:rPr>
          <w:rFonts w:ascii="Arial" w:cs="Arial" w:eastAsia="Arial" w:hAnsi="Arial"/>
          <w:sz w:val="17"/>
          <w:szCs w:val="17"/>
          <w:i w:val="1"/>
          <w:iCs w:val="1"/>
          <w:color w:val="auto"/>
        </w:rPr>
        <w:t xml:space="preserve">The Registrant. </w:t>
      </w:r>
      <w:r>
        <w:rPr>
          <w:rFonts w:ascii="Arial" w:cs="Arial" w:eastAsia="Arial" w:hAnsi="Arial"/>
          <w:sz w:val="17"/>
          <w:szCs w:val="17"/>
          <w:color w:val="auto"/>
        </w:rPr>
        <w:t>Pursuant to the requirements of the Securities Act of 1933, the registrant certifies that it has reasonable grounds to believe that it meets all</w:t>
      </w:r>
      <w:r>
        <w:rPr>
          <w:rFonts w:ascii="Arial" w:cs="Arial" w:eastAsia="Arial" w:hAnsi="Arial"/>
          <w:sz w:val="17"/>
          <w:szCs w:val="17"/>
          <w:i w:val="1"/>
          <w:iCs w:val="1"/>
          <w:color w:val="auto"/>
        </w:rPr>
        <w:t xml:space="preserve"> </w:t>
      </w:r>
      <w:r>
        <w:rPr>
          <w:rFonts w:ascii="Arial" w:cs="Arial" w:eastAsia="Arial" w:hAnsi="Arial"/>
          <w:sz w:val="17"/>
          <w:szCs w:val="17"/>
          <w:color w:val="auto"/>
        </w:rPr>
        <w:t>of the requirements for filing on Form S-8 and has duly caused this Post-Effective Amendment No. 1 to the Registration Statement to be signed on its behalf by the undersigned, thereunto duly authorized, in the city of Houston, State of Texas, on the 29th day of June 2020.</w:t>
      </w:r>
    </w:p>
    <w:p>
      <w:pPr>
        <w:spacing w:after="0" w:line="219"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TechnipFMC plc</w:t>
      </w:r>
    </w:p>
    <w:p>
      <w:pPr>
        <w:spacing w:after="0" w:line="333" w:lineRule="exact"/>
        <w:rPr>
          <w:sz w:val="20"/>
          <w:szCs w:val="20"/>
          <w:color w:val="auto"/>
        </w:rPr>
      </w:pPr>
    </w:p>
    <w:p>
      <w:pPr>
        <w:ind w:left="5460"/>
        <w:spacing w:after="0"/>
        <w:tabs>
          <w:tab w:leader="none" w:pos="5900" w:val="left"/>
        </w:tabs>
        <w:rPr>
          <w:sz w:val="20"/>
          <w:szCs w:val="20"/>
          <w:color w:val="auto"/>
        </w:rPr>
      </w:pPr>
      <w:r>
        <w:rPr>
          <w:rFonts w:ascii="Arial" w:cs="Arial" w:eastAsia="Arial" w:hAnsi="Arial"/>
          <w:sz w:val="18"/>
          <w:szCs w:val="18"/>
          <w:color w:val="auto"/>
        </w:rPr>
        <w:t>By:</w:t>
        <w:tab/>
        <w:t>/s/ Maryann T. Mannen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3750945</wp:posOffset>
            </wp:positionH>
            <wp:positionV relativeFrom="paragraph">
              <wp:posOffset>31750</wp:posOffset>
            </wp:positionV>
            <wp:extent cx="33858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85820" cy="8255"/>
                    </a:xfrm>
                    <a:prstGeom prst="rect">
                      <a:avLst/>
                    </a:prstGeom>
                    <a:noFill/>
                  </pic:spPr>
                </pic:pic>
              </a:graphicData>
            </a:graphic>
          </wp:anchor>
        </w:drawing>
      </w:r>
    </w:p>
    <w:p>
      <w:pPr>
        <w:spacing w:after="0" w:line="57"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Maryann T. Mannen</w:t>
      </w:r>
    </w:p>
    <w:p>
      <w:pPr>
        <w:spacing w:after="0" w:line="23" w:lineRule="exact"/>
        <w:rPr>
          <w:sz w:val="20"/>
          <w:szCs w:val="20"/>
          <w:color w:val="auto"/>
        </w:rPr>
      </w:pPr>
    </w:p>
    <w:p>
      <w:pPr>
        <w:ind w:left="5920"/>
        <w:spacing w:after="0"/>
        <w:rPr>
          <w:sz w:val="20"/>
          <w:szCs w:val="20"/>
          <w:color w:val="auto"/>
        </w:rPr>
      </w:pPr>
      <w:r>
        <w:rPr>
          <w:rFonts w:ascii="Arial" w:cs="Arial" w:eastAsia="Arial" w:hAnsi="Arial"/>
          <w:sz w:val="18"/>
          <w:szCs w:val="18"/>
          <w:i w:val="1"/>
          <w:iCs w:val="1"/>
          <w:color w:val="auto"/>
        </w:rPr>
        <w:t>Executive Vice President and Chief Financial Officer</w:t>
      </w:r>
    </w:p>
    <w:p>
      <w:pPr>
        <w:spacing w:after="0" w:line="346" w:lineRule="exact"/>
        <w:rPr>
          <w:sz w:val="20"/>
          <w:szCs w:val="20"/>
          <w:color w:val="auto"/>
        </w:rPr>
      </w:pPr>
    </w:p>
    <w:p>
      <w:pPr>
        <w:spacing w:after="0"/>
        <w:rPr>
          <w:sz w:val="20"/>
          <w:szCs w:val="20"/>
          <w:color w:val="auto"/>
        </w:rPr>
      </w:pPr>
      <w:r>
        <w:rPr>
          <w:rFonts w:ascii="Arial" w:cs="Arial" w:eastAsia="Arial" w:hAnsi="Arial"/>
          <w:sz w:val="17"/>
          <w:szCs w:val="17"/>
          <w:color w:val="auto"/>
        </w:rPr>
        <w:t>No other person is required to sign this Post-Effective Amendment No. 1 to the Registration Statement in reliance on Rule 478 of the Securities Act.</w:t>
      </w:r>
    </w:p>
    <w:p>
      <w:pPr>
        <w:spacing w:after="0" w:line="264" w:lineRule="exact"/>
        <w:rPr>
          <w:sz w:val="20"/>
          <w:szCs w:val="20"/>
          <w:color w:val="auto"/>
        </w:rPr>
      </w:pPr>
    </w:p>
    <w:p>
      <w:pPr>
        <w:spacing w:after="0" w:line="263" w:lineRule="auto"/>
        <w:rPr>
          <w:sz w:val="20"/>
          <w:szCs w:val="20"/>
          <w:color w:val="auto"/>
        </w:rPr>
      </w:pPr>
      <w:r>
        <w:rPr>
          <w:rFonts w:ascii="Arial" w:cs="Arial" w:eastAsia="Arial" w:hAnsi="Arial"/>
          <w:sz w:val="18"/>
          <w:szCs w:val="18"/>
          <w:i w:val="1"/>
          <w:iCs w:val="1"/>
          <w:color w:val="auto"/>
        </w:rPr>
        <w:t xml:space="preserve">The Plan. </w:t>
      </w:r>
      <w:r>
        <w:rPr>
          <w:rFonts w:ascii="Arial" w:cs="Arial" w:eastAsia="Arial" w:hAnsi="Arial"/>
          <w:sz w:val="18"/>
          <w:szCs w:val="18"/>
          <w:color w:val="auto"/>
        </w:rPr>
        <w:t>Pursuant to the requirements of the Securities Act of 1933, the trustees (or other persons who administer the employee benefit plan) have duly</w:t>
      </w:r>
      <w:r>
        <w:rPr>
          <w:rFonts w:ascii="Arial" w:cs="Arial" w:eastAsia="Arial" w:hAnsi="Arial"/>
          <w:sz w:val="18"/>
          <w:szCs w:val="18"/>
          <w:i w:val="1"/>
          <w:iCs w:val="1"/>
          <w:color w:val="auto"/>
        </w:rPr>
        <w:t xml:space="preserve"> </w:t>
      </w:r>
      <w:r>
        <w:rPr>
          <w:rFonts w:ascii="Arial" w:cs="Arial" w:eastAsia="Arial" w:hAnsi="Arial"/>
          <w:sz w:val="18"/>
          <w:szCs w:val="18"/>
          <w:color w:val="auto"/>
        </w:rPr>
        <w:t>caused this Post-Effective Amendment No. 1 to the Registration Statement to be signed on its behalf by the undersigned, thereunto duly authorized, in the City of Houston, State of Texas, on this 29th day of June 2020.</w:t>
      </w:r>
    </w:p>
    <w:p>
      <w:pPr>
        <w:spacing w:after="0" w:line="238"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FMC Technologies, Inc., as Plan Administrator</w:t>
      </w:r>
    </w:p>
    <w:p>
      <w:pPr>
        <w:spacing w:after="0" w:line="320" w:lineRule="exact"/>
        <w:rPr>
          <w:sz w:val="20"/>
          <w:szCs w:val="20"/>
          <w:color w:val="auto"/>
        </w:rPr>
      </w:pPr>
    </w:p>
    <w:p>
      <w:pPr>
        <w:ind w:left="5460"/>
        <w:spacing w:after="0"/>
        <w:tabs>
          <w:tab w:leader="none" w:pos="5900" w:val="left"/>
        </w:tabs>
        <w:rPr>
          <w:sz w:val="20"/>
          <w:szCs w:val="20"/>
          <w:color w:val="auto"/>
        </w:rPr>
      </w:pPr>
      <w:r>
        <w:rPr>
          <w:rFonts w:ascii="Arial" w:cs="Arial" w:eastAsia="Arial" w:hAnsi="Arial"/>
          <w:sz w:val="18"/>
          <w:szCs w:val="18"/>
          <w:color w:val="auto"/>
        </w:rPr>
        <w:t>By:</w:t>
        <w:tab/>
        <w:t>/s/ Maryann T. Mannen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3750945</wp:posOffset>
            </wp:positionH>
            <wp:positionV relativeFrom="paragraph">
              <wp:posOffset>31750</wp:posOffset>
            </wp:positionV>
            <wp:extent cx="33858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85820" cy="8255"/>
                    </a:xfrm>
                    <a:prstGeom prst="rect">
                      <a:avLst/>
                    </a:prstGeom>
                    <a:noFill/>
                  </pic:spPr>
                </pic:pic>
              </a:graphicData>
            </a:graphic>
          </wp:anchor>
        </w:drawing>
      </w:r>
    </w:p>
    <w:p>
      <w:pPr>
        <w:spacing w:after="0" w:line="57"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Maryann T. Mannen</w:t>
      </w:r>
    </w:p>
    <w:p>
      <w:pPr>
        <w:spacing w:after="0" w:line="23" w:lineRule="exact"/>
        <w:rPr>
          <w:sz w:val="20"/>
          <w:szCs w:val="20"/>
          <w:color w:val="auto"/>
        </w:rPr>
      </w:pPr>
    </w:p>
    <w:p>
      <w:pPr>
        <w:ind w:left="5920"/>
        <w:spacing w:after="0"/>
        <w:rPr>
          <w:sz w:val="20"/>
          <w:szCs w:val="20"/>
          <w:color w:val="auto"/>
        </w:rPr>
      </w:pPr>
      <w:r>
        <w:rPr>
          <w:rFonts w:ascii="Arial" w:cs="Arial" w:eastAsia="Arial" w:hAnsi="Arial"/>
          <w:sz w:val="18"/>
          <w:szCs w:val="18"/>
          <w:i w:val="1"/>
          <w:iCs w:val="1"/>
          <w:color w:val="auto"/>
        </w:rPr>
        <w:t>Executive Vice President and Chief Financial Officer</w:t>
      </w:r>
    </w:p>
    <w:sectPr>
      <w:pgSz w:w="11900" w:h="16838" w:orient="portrait"/>
      <w:cols w:equalWidth="0" w:num="1">
        <w:col w:w="11080"/>
      </w:cols>
      <w:pgMar w:left="320" w:top="1440"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2020-06-30T07:38:32Z</dcterms:created>
  <dcterms:modified xsi:type="dcterms:W3CDTF">2020-06-30T07:38:32Z</dcterms:modified>
</cp:coreProperties>
</file>