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294005</wp:posOffset>
            </wp:positionH>
            <wp:positionV relativeFrom="page">
              <wp:posOffset>603250</wp:posOffset>
            </wp:positionV>
            <wp:extent cx="6960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517525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jc w:val="center"/>
        <w:spacing w:after="0" w:line="204"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April 22, 2020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Date of Report (Date of earliest event reported)</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TechnipFMC plc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365" w:lineRule="exact"/>
        <w:rPr>
          <w:sz w:val="24"/>
          <w:szCs w:val="24"/>
          <w:color w:val="auto"/>
        </w:rPr>
      </w:pPr>
    </w:p>
    <w:tbl>
      <w:tblPr>
        <w:tblLayout w:type="fixed"/>
        <w:tblInd w:w="460" w:type="dxa"/>
        <w:tblCellMar>
          <w:top w:w="0" w:type="dxa"/>
          <w:left w:w="0" w:type="dxa"/>
          <w:bottom w:w="0" w:type="dxa"/>
          <w:right w:w="0" w:type="dxa"/>
        </w:tblCellMar>
      </w:tblPr>
      <w:tr>
        <w:trPr>
          <w:trHeight w:val="239"/>
        </w:trPr>
        <w:tc>
          <w:tcPr>
            <w:tcW w:w="2860" w:type="dxa"/>
            <w:vAlign w:val="bottom"/>
          </w:tcPr>
          <w:p>
            <w:pPr>
              <w:jc w:val="center"/>
              <w:ind w:right="76"/>
              <w:spacing w:after="0"/>
              <w:rPr>
                <w:sz w:val="20"/>
                <w:szCs w:val="20"/>
                <w:color w:val="auto"/>
              </w:rPr>
            </w:pPr>
            <w:r>
              <w:rPr>
                <w:rFonts w:ascii="Arial" w:cs="Arial" w:eastAsia="Arial" w:hAnsi="Arial"/>
                <w:sz w:val="18"/>
                <w:szCs w:val="18"/>
                <w:b w:val="1"/>
                <w:bCs w:val="1"/>
                <w:color w:val="auto"/>
                <w:w w:val="99"/>
              </w:rPr>
              <w:t>United Kingdom</w:t>
            </w:r>
          </w:p>
        </w:tc>
        <w:tc>
          <w:tcPr>
            <w:tcW w:w="4740" w:type="dxa"/>
            <w:vAlign w:val="bottom"/>
          </w:tcPr>
          <w:p>
            <w:pPr>
              <w:jc w:val="center"/>
              <w:ind w:right="40"/>
              <w:spacing w:after="0"/>
              <w:rPr>
                <w:sz w:val="20"/>
                <w:szCs w:val="20"/>
                <w:color w:val="auto"/>
              </w:rPr>
            </w:pPr>
            <w:r>
              <w:rPr>
                <w:rFonts w:ascii="Arial" w:cs="Arial" w:eastAsia="Arial" w:hAnsi="Arial"/>
                <w:sz w:val="18"/>
                <w:szCs w:val="18"/>
                <w:b w:val="1"/>
                <w:bCs w:val="1"/>
                <w:color w:val="auto"/>
                <w:w w:val="99"/>
              </w:rPr>
              <w:t>001-37983</w:t>
            </w:r>
          </w:p>
        </w:tc>
        <w:tc>
          <w:tcPr>
            <w:tcW w:w="2500" w:type="dxa"/>
            <w:vAlign w:val="bottom"/>
          </w:tcPr>
          <w:p>
            <w:pPr>
              <w:jc w:val="right"/>
              <w:ind w:right="559"/>
              <w:spacing w:after="0"/>
              <w:rPr>
                <w:sz w:val="20"/>
                <w:szCs w:val="20"/>
                <w:color w:val="auto"/>
              </w:rPr>
            </w:pPr>
            <w:r>
              <w:rPr>
                <w:rFonts w:ascii="Arial" w:cs="Arial" w:eastAsia="Arial" w:hAnsi="Arial"/>
                <w:sz w:val="18"/>
                <w:szCs w:val="18"/>
                <w:b w:val="1"/>
                <w:bCs w:val="1"/>
                <w:color w:val="auto"/>
              </w:rPr>
              <w:t>98-1283037</w:t>
            </w:r>
          </w:p>
        </w:tc>
      </w:tr>
      <w:tr>
        <w:trPr>
          <w:trHeight w:val="272"/>
        </w:trPr>
        <w:tc>
          <w:tcPr>
            <w:tcW w:w="2860" w:type="dxa"/>
            <w:vAlign w:val="bottom"/>
          </w:tcPr>
          <w:p>
            <w:pPr>
              <w:jc w:val="center"/>
              <w:ind w:right="76"/>
              <w:spacing w:after="0"/>
              <w:rPr>
                <w:sz w:val="20"/>
                <w:szCs w:val="20"/>
                <w:color w:val="auto"/>
              </w:rPr>
            </w:pPr>
            <w:r>
              <w:rPr>
                <w:rFonts w:ascii="Arial" w:cs="Arial" w:eastAsia="Arial" w:hAnsi="Arial"/>
                <w:sz w:val="14"/>
                <w:szCs w:val="14"/>
                <w:color w:val="auto"/>
              </w:rPr>
              <w:t>(State or other jurisdiction of incorporation)</w:t>
            </w:r>
          </w:p>
        </w:tc>
        <w:tc>
          <w:tcPr>
            <w:tcW w:w="4740" w:type="dxa"/>
            <w:vAlign w:val="bottom"/>
          </w:tcPr>
          <w:p>
            <w:pPr>
              <w:jc w:val="center"/>
              <w:ind w:right="20"/>
              <w:spacing w:after="0"/>
              <w:rPr>
                <w:sz w:val="20"/>
                <w:szCs w:val="20"/>
                <w:color w:val="auto"/>
              </w:rPr>
            </w:pPr>
            <w:r>
              <w:rPr>
                <w:rFonts w:ascii="Arial" w:cs="Arial" w:eastAsia="Arial" w:hAnsi="Arial"/>
                <w:sz w:val="14"/>
                <w:szCs w:val="14"/>
                <w:color w:val="auto"/>
              </w:rPr>
              <w:t>(Commission File Number)</w:t>
            </w:r>
          </w:p>
        </w:tc>
        <w:tc>
          <w:tcPr>
            <w:tcW w:w="2500" w:type="dxa"/>
            <w:vAlign w:val="bottom"/>
          </w:tcPr>
          <w:p>
            <w:pPr>
              <w:jc w:val="center"/>
              <w:ind w:left="199"/>
              <w:spacing w:after="0"/>
              <w:rPr>
                <w:sz w:val="20"/>
                <w:szCs w:val="20"/>
                <w:color w:val="auto"/>
              </w:rPr>
            </w:pPr>
            <w:r>
              <w:rPr>
                <w:rFonts w:ascii="Arial" w:cs="Arial" w:eastAsia="Arial" w:hAnsi="Arial"/>
                <w:sz w:val="14"/>
                <w:szCs w:val="14"/>
                <w:color w:val="auto"/>
              </w:rPr>
              <w:t>(I.R.S. Employer Identification No.)</w:t>
            </w:r>
          </w:p>
        </w:tc>
      </w:tr>
      <w:tr>
        <w:trPr>
          <w:trHeight w:val="619"/>
        </w:trPr>
        <w:tc>
          <w:tcPr>
            <w:tcW w:w="2860" w:type="dxa"/>
            <w:vAlign w:val="bottom"/>
          </w:tcPr>
          <w:p>
            <w:pPr>
              <w:jc w:val="center"/>
              <w:ind w:right="76"/>
              <w:spacing w:after="0"/>
              <w:rPr>
                <w:sz w:val="20"/>
                <w:szCs w:val="20"/>
                <w:color w:val="auto"/>
              </w:rPr>
            </w:pPr>
            <w:r>
              <w:rPr>
                <w:rFonts w:ascii="Arial" w:cs="Arial" w:eastAsia="Arial" w:hAnsi="Arial"/>
                <w:sz w:val="18"/>
                <w:szCs w:val="18"/>
                <w:b w:val="1"/>
                <w:bCs w:val="1"/>
                <w:color w:val="auto"/>
                <w:w w:val="99"/>
              </w:rPr>
              <w:t>One St. Paul’s Churchyard</w:t>
            </w:r>
          </w:p>
        </w:tc>
        <w:tc>
          <w:tcPr>
            <w:tcW w:w="47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70"/>
        </w:trPr>
        <w:tc>
          <w:tcPr>
            <w:tcW w:w="2860" w:type="dxa"/>
            <w:vAlign w:val="bottom"/>
          </w:tcPr>
          <w:p>
            <w:pPr>
              <w:jc w:val="center"/>
              <w:ind w:right="76"/>
              <w:spacing w:after="0"/>
              <w:rPr>
                <w:sz w:val="20"/>
                <w:szCs w:val="20"/>
                <w:color w:val="auto"/>
              </w:rPr>
            </w:pPr>
            <w:r>
              <w:rPr>
                <w:rFonts w:ascii="Arial" w:cs="Arial" w:eastAsia="Arial" w:hAnsi="Arial"/>
                <w:sz w:val="18"/>
                <w:szCs w:val="18"/>
                <w:b w:val="1"/>
                <w:bCs w:val="1"/>
                <w:color w:val="auto"/>
                <w:w w:val="99"/>
              </w:rPr>
              <w:t>London</w:t>
            </w:r>
          </w:p>
        </w:tc>
        <w:tc>
          <w:tcPr>
            <w:tcW w:w="474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70"/>
        </w:trPr>
        <w:tc>
          <w:tcPr>
            <w:tcW w:w="2860" w:type="dxa"/>
            <w:vAlign w:val="bottom"/>
          </w:tcPr>
          <w:p>
            <w:pPr>
              <w:jc w:val="center"/>
              <w:ind w:right="76"/>
              <w:spacing w:after="0"/>
              <w:rPr>
                <w:sz w:val="20"/>
                <w:szCs w:val="20"/>
                <w:color w:val="auto"/>
              </w:rPr>
            </w:pPr>
            <w:r>
              <w:rPr>
                <w:rFonts w:ascii="Arial" w:cs="Arial" w:eastAsia="Arial" w:hAnsi="Arial"/>
                <w:sz w:val="18"/>
                <w:szCs w:val="18"/>
                <w:b w:val="1"/>
                <w:bCs w:val="1"/>
                <w:color w:val="auto"/>
                <w:w w:val="99"/>
              </w:rPr>
              <w:t>United Kingdom</w:t>
            </w:r>
          </w:p>
        </w:tc>
        <w:tc>
          <w:tcPr>
            <w:tcW w:w="4740" w:type="dxa"/>
            <w:vAlign w:val="bottom"/>
          </w:tcPr>
          <w:p>
            <w:pPr>
              <w:spacing w:after="0"/>
              <w:rPr>
                <w:sz w:val="23"/>
                <w:szCs w:val="23"/>
                <w:color w:val="auto"/>
              </w:rPr>
            </w:pPr>
          </w:p>
        </w:tc>
        <w:tc>
          <w:tcPr>
            <w:tcW w:w="2500" w:type="dxa"/>
            <w:vAlign w:val="bottom"/>
          </w:tcPr>
          <w:p>
            <w:pPr>
              <w:jc w:val="center"/>
              <w:ind w:left="199"/>
              <w:spacing w:after="0"/>
              <w:rPr>
                <w:sz w:val="20"/>
                <w:szCs w:val="20"/>
                <w:color w:val="auto"/>
              </w:rPr>
            </w:pPr>
            <w:r>
              <w:rPr>
                <w:rFonts w:ascii="Arial" w:cs="Arial" w:eastAsia="Arial" w:hAnsi="Arial"/>
                <w:sz w:val="18"/>
                <w:szCs w:val="18"/>
                <w:b w:val="1"/>
                <w:bCs w:val="1"/>
                <w:color w:val="auto"/>
                <w:w w:val="99"/>
              </w:rPr>
              <w:t>EC4M 8AP</w:t>
            </w:r>
          </w:p>
        </w:tc>
      </w:tr>
      <w:tr>
        <w:trPr>
          <w:trHeight w:val="272"/>
        </w:trPr>
        <w:tc>
          <w:tcPr>
            <w:tcW w:w="2860" w:type="dxa"/>
            <w:vAlign w:val="bottom"/>
          </w:tcPr>
          <w:p>
            <w:pPr>
              <w:jc w:val="center"/>
              <w:ind w:right="76"/>
              <w:spacing w:after="0"/>
              <w:rPr>
                <w:sz w:val="20"/>
                <w:szCs w:val="20"/>
                <w:color w:val="auto"/>
              </w:rPr>
            </w:pPr>
            <w:r>
              <w:rPr>
                <w:rFonts w:ascii="Arial" w:cs="Arial" w:eastAsia="Arial" w:hAnsi="Arial"/>
                <w:sz w:val="14"/>
                <w:szCs w:val="14"/>
                <w:color w:val="auto"/>
              </w:rPr>
              <w:t>(Address of principal executive offices)</w:t>
            </w:r>
          </w:p>
        </w:tc>
        <w:tc>
          <w:tcPr>
            <w:tcW w:w="4740" w:type="dxa"/>
            <w:vAlign w:val="bottom"/>
          </w:tcPr>
          <w:p>
            <w:pPr>
              <w:spacing w:after="0"/>
              <w:rPr>
                <w:sz w:val="23"/>
                <w:szCs w:val="23"/>
                <w:color w:val="auto"/>
              </w:rPr>
            </w:pPr>
          </w:p>
        </w:tc>
        <w:tc>
          <w:tcPr>
            <w:tcW w:w="2500" w:type="dxa"/>
            <w:vAlign w:val="bottom"/>
          </w:tcPr>
          <w:p>
            <w:pPr>
              <w:jc w:val="center"/>
              <w:ind w:left="179"/>
              <w:spacing w:after="0"/>
              <w:rPr>
                <w:sz w:val="20"/>
                <w:szCs w:val="20"/>
                <w:color w:val="auto"/>
              </w:rPr>
            </w:pPr>
            <w:r>
              <w:rPr>
                <w:rFonts w:ascii="Arial" w:cs="Arial" w:eastAsia="Arial" w:hAnsi="Arial"/>
                <w:sz w:val="14"/>
                <w:szCs w:val="14"/>
                <w:color w:val="auto"/>
              </w:rPr>
              <w:t>(Zip Code)</w:t>
            </w:r>
          </w:p>
        </w:tc>
      </w:tr>
      <w:tr>
        <w:trPr>
          <w:trHeight w:val="350"/>
        </w:trPr>
        <w:tc>
          <w:tcPr>
            <w:tcW w:w="2860" w:type="dxa"/>
            <w:vAlign w:val="bottom"/>
          </w:tcPr>
          <w:p>
            <w:pPr>
              <w:spacing w:after="0"/>
              <w:rPr>
                <w:sz w:val="24"/>
                <w:szCs w:val="24"/>
                <w:color w:val="auto"/>
              </w:rPr>
            </w:pPr>
          </w:p>
        </w:tc>
        <w:tc>
          <w:tcPr>
            <w:tcW w:w="4740" w:type="dxa"/>
            <w:vAlign w:val="bottom"/>
          </w:tcPr>
          <w:p>
            <w:pPr>
              <w:jc w:val="right"/>
              <w:ind w:right="1620"/>
              <w:spacing w:after="0"/>
              <w:rPr>
                <w:sz w:val="20"/>
                <w:szCs w:val="20"/>
                <w:color w:val="auto"/>
              </w:rPr>
            </w:pPr>
            <w:r>
              <w:rPr>
                <w:rFonts w:ascii="Arial" w:cs="Arial" w:eastAsia="Arial" w:hAnsi="Arial"/>
                <w:sz w:val="18"/>
                <w:szCs w:val="18"/>
                <w:b w:val="1"/>
                <w:bCs w:val="1"/>
                <w:color w:val="auto"/>
              </w:rPr>
              <w:t>+44 203-429-3950</w:t>
            </w:r>
          </w:p>
        </w:tc>
        <w:tc>
          <w:tcPr>
            <w:tcW w:w="2500" w:type="dxa"/>
            <w:vAlign w:val="bottom"/>
          </w:tcPr>
          <w:p>
            <w:pPr>
              <w:spacing w:after="0"/>
              <w:rPr>
                <w:sz w:val="24"/>
                <w:szCs w:val="24"/>
                <w:color w:val="auto"/>
              </w:rPr>
            </w:pPr>
          </w:p>
        </w:tc>
      </w:tr>
      <w:tr>
        <w:trPr>
          <w:trHeight w:val="218"/>
        </w:trPr>
        <w:tc>
          <w:tcPr>
            <w:tcW w:w="2860" w:type="dxa"/>
            <w:vAlign w:val="bottom"/>
          </w:tcPr>
          <w:p>
            <w:pPr>
              <w:spacing w:after="0"/>
              <w:rPr>
                <w:sz w:val="18"/>
                <w:szCs w:val="18"/>
                <w:color w:val="auto"/>
              </w:rPr>
            </w:pPr>
          </w:p>
        </w:tc>
        <w:tc>
          <w:tcPr>
            <w:tcW w:w="4740" w:type="dxa"/>
            <w:vAlign w:val="bottom"/>
          </w:tcPr>
          <w:p>
            <w:pPr>
              <w:jc w:val="center"/>
              <w:ind w:right="60"/>
              <w:spacing w:after="0"/>
              <w:rPr>
                <w:sz w:val="20"/>
                <w:szCs w:val="20"/>
                <w:color w:val="auto"/>
              </w:rPr>
            </w:pPr>
            <w:r>
              <w:rPr>
                <w:rFonts w:ascii="Arial" w:cs="Arial" w:eastAsia="Arial" w:hAnsi="Arial"/>
                <w:sz w:val="14"/>
                <w:szCs w:val="14"/>
                <w:color w:val="auto"/>
              </w:rPr>
              <w:t>(Registrant's telephone number, including area code)</w:t>
            </w:r>
          </w:p>
        </w:tc>
        <w:tc>
          <w:tcPr>
            <w:tcW w:w="2500" w:type="dxa"/>
            <w:vAlign w:val="bottom"/>
          </w:tcPr>
          <w:p>
            <w:pPr>
              <w:spacing w:after="0"/>
              <w:rPr>
                <w:sz w:val="18"/>
                <w:szCs w:val="18"/>
                <w:color w:val="auto"/>
              </w:rPr>
            </w:pPr>
          </w:p>
        </w:tc>
      </w:tr>
      <w:tr>
        <w:trPr>
          <w:trHeight w:val="363"/>
        </w:trPr>
        <w:tc>
          <w:tcPr>
            <w:tcW w:w="2860" w:type="dxa"/>
            <w:vAlign w:val="bottom"/>
          </w:tcPr>
          <w:p>
            <w:pPr>
              <w:spacing w:after="0"/>
              <w:rPr>
                <w:sz w:val="24"/>
                <w:szCs w:val="24"/>
                <w:color w:val="auto"/>
              </w:rPr>
            </w:pPr>
          </w:p>
        </w:tc>
        <w:tc>
          <w:tcPr>
            <w:tcW w:w="4740" w:type="dxa"/>
            <w:vAlign w:val="bottom"/>
          </w:tcPr>
          <w:p>
            <w:pPr>
              <w:jc w:val="center"/>
              <w:ind w:right="40"/>
              <w:spacing w:after="0"/>
              <w:rPr>
                <w:sz w:val="20"/>
                <w:szCs w:val="20"/>
                <w:color w:val="auto"/>
              </w:rPr>
            </w:pPr>
            <w:r>
              <w:rPr>
                <w:rFonts w:ascii="Arial" w:cs="Arial" w:eastAsia="Arial" w:hAnsi="Arial"/>
                <w:sz w:val="18"/>
                <w:szCs w:val="18"/>
                <w:b w:val="1"/>
                <w:bCs w:val="1"/>
                <w:color w:val="auto"/>
                <w:w w:val="99"/>
              </w:rPr>
              <w:t>Not Applicable</w:t>
            </w:r>
          </w:p>
        </w:tc>
        <w:tc>
          <w:tcPr>
            <w:tcW w:w="2500" w:type="dxa"/>
            <w:vAlign w:val="bottom"/>
          </w:tcPr>
          <w:p>
            <w:pPr>
              <w:spacing w:after="0"/>
              <w:rPr>
                <w:sz w:val="24"/>
                <w:szCs w:val="24"/>
                <w:color w:val="auto"/>
              </w:rPr>
            </w:pPr>
          </w:p>
        </w:tc>
      </w:tr>
      <w:tr>
        <w:trPr>
          <w:trHeight w:val="153"/>
        </w:trPr>
        <w:tc>
          <w:tcPr>
            <w:tcW w:w="2860" w:type="dxa"/>
            <w:vAlign w:val="bottom"/>
          </w:tcPr>
          <w:p>
            <w:pPr>
              <w:spacing w:after="0"/>
              <w:rPr>
                <w:sz w:val="13"/>
                <w:szCs w:val="13"/>
                <w:color w:val="auto"/>
              </w:rPr>
            </w:pPr>
          </w:p>
        </w:tc>
        <w:tc>
          <w:tcPr>
            <w:tcW w:w="4740" w:type="dxa"/>
            <w:vAlign w:val="bottom"/>
          </w:tcPr>
          <w:p>
            <w:pPr>
              <w:jc w:val="center"/>
              <w:ind w:right="40"/>
              <w:spacing w:after="0" w:line="153" w:lineRule="exact"/>
              <w:rPr>
                <w:sz w:val="20"/>
                <w:szCs w:val="20"/>
                <w:color w:val="auto"/>
              </w:rPr>
            </w:pPr>
            <w:r>
              <w:rPr>
                <w:rFonts w:ascii="Arial" w:cs="Arial" w:eastAsia="Arial" w:hAnsi="Arial"/>
                <w:sz w:val="14"/>
                <w:szCs w:val="14"/>
                <w:color w:val="auto"/>
              </w:rPr>
              <w:t>(Former name or former address, if changed since last report)</w:t>
            </w:r>
          </w:p>
        </w:tc>
        <w:tc>
          <w:tcPr>
            <w:tcW w:w="2500" w:type="dxa"/>
            <w:vAlign w:val="bottom"/>
          </w:tcPr>
          <w:p>
            <w:pPr>
              <w:spacing w:after="0"/>
              <w:rPr>
                <w:sz w:val="13"/>
                <w:szCs w:val="13"/>
                <w:color w:val="auto"/>
              </w:rPr>
            </w:pPr>
          </w:p>
        </w:tc>
      </w:tr>
      <w:tr>
        <w:trPr>
          <w:trHeight w:val="172"/>
        </w:trPr>
        <w:tc>
          <w:tcPr>
            <w:tcW w:w="2860" w:type="dxa"/>
            <w:vAlign w:val="bottom"/>
          </w:tcPr>
          <w:p>
            <w:pPr>
              <w:spacing w:after="0"/>
              <w:rPr>
                <w:sz w:val="14"/>
                <w:szCs w:val="14"/>
                <w:color w:val="auto"/>
              </w:rPr>
            </w:pPr>
          </w:p>
        </w:tc>
        <w:tc>
          <w:tcPr>
            <w:tcW w:w="4740" w:type="dxa"/>
            <w:vAlign w:val="bottom"/>
          </w:tcPr>
          <w:p>
            <w:pPr>
              <w:jc w:val="right"/>
              <w:ind w:right="200"/>
              <w:spacing w:after="0"/>
              <w:rPr>
                <w:sz w:val="20"/>
                <w:szCs w:val="20"/>
                <w:color w:val="auto"/>
              </w:rPr>
            </w:pPr>
            <w:r>
              <w:rPr>
                <w:rFonts w:ascii="Arial" w:cs="Arial" w:eastAsia="Arial" w:hAnsi="Arial"/>
                <w:sz w:val="14"/>
                <w:szCs w:val="14"/>
                <w:color w:val="auto"/>
              </w:rPr>
              <w:t>______________________________________________________</w:t>
            </w:r>
          </w:p>
        </w:tc>
        <w:tc>
          <w:tcPr>
            <w:tcW w:w="2500" w:type="dxa"/>
            <w:vAlign w:val="bottom"/>
          </w:tcPr>
          <w:p>
            <w:pPr>
              <w:spacing w:after="0"/>
              <w:rPr>
                <w:sz w:val="14"/>
                <w:szCs w:val="14"/>
                <w:color w:val="auto"/>
              </w:rPr>
            </w:pPr>
          </w:p>
        </w:tc>
      </w:tr>
    </w:tbl>
    <w:p>
      <w:pPr>
        <w:spacing w:after="0" w:line="1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960" w:right="339" w:bottom="1440" w:gutter="0" w:footer="0" w:header="0"/>
        </w:sectPr>
      </w:pPr>
    </w:p>
    <w:p>
      <w:pPr>
        <w:spacing w:after="0" w:line="55" w:lineRule="exact"/>
        <w:rPr>
          <w:sz w:val="24"/>
          <w:szCs w:val="24"/>
          <w:color w:val="auto"/>
        </w:rPr>
      </w:pPr>
    </w:p>
    <w:p>
      <w:pPr>
        <w:ind w:left="16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73" w:lineRule="exact"/>
        <w:rPr>
          <w:sz w:val="24"/>
          <w:szCs w:val="24"/>
          <w:color w:val="auto"/>
        </w:rPr>
      </w:pPr>
    </w:p>
    <w:p>
      <w:pPr>
        <w:sectPr>
          <w:pgSz w:w="11900" w:h="16838" w:orient="portrait"/>
          <w:cols w:equalWidth="0" w:num="3">
            <w:col w:w="4440" w:space="720"/>
            <w:col w:w="1540" w:space="720"/>
            <w:col w:w="3820"/>
          </w:cols>
          <w:pgMar w:left="320" w:top="960" w:right="339" w:bottom="1440" w:gutter="0" w:footer="0" w:header="0"/>
          <w:type w:val="continuous"/>
        </w:sectPr>
      </w:pPr>
    </w:p>
    <w:p>
      <w:pPr>
        <w:ind w:left="940"/>
        <w:spacing w:after="0"/>
        <w:rPr>
          <w:sz w:val="20"/>
          <w:szCs w:val="20"/>
          <w:color w:val="auto"/>
        </w:rPr>
      </w:pPr>
      <w:r>
        <w:rPr>
          <w:rFonts w:ascii="Arial" w:cs="Arial" w:eastAsia="Arial" w:hAnsi="Arial"/>
          <w:sz w:val="14"/>
          <w:szCs w:val="14"/>
          <w:color w:val="auto"/>
        </w:rPr>
        <w:t>Ordinary shares,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FTI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37" w:lineRule="exact"/>
        <w:rPr>
          <w:sz w:val="24"/>
          <w:szCs w:val="24"/>
          <w:color w:val="auto"/>
        </w:rPr>
      </w:pPr>
    </w:p>
    <w:p>
      <w:pPr>
        <w:sectPr>
          <w:pgSz w:w="11900" w:h="16838" w:orient="portrait"/>
          <w:cols w:equalWidth="0" w:num="3">
            <w:col w:w="4860" w:space="720"/>
            <w:col w:w="1860" w:space="720"/>
            <w:col w:w="3080"/>
          </w:cols>
          <w:pgMar w:left="320" w:top="960" w:right="3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259"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5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6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6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6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9"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April 22, 2020, TechnipFMC plc (the "Company") issued a news release announcing its financial results for the fiscal quarter ended March 31, 2020. A copy of the news release is furnished as Exhibit 99.1 to this report and is incorporated herein by reference.</w:t>
      </w:r>
    </w:p>
    <w:p>
      <w:pPr>
        <w:spacing w:after="0" w:line="176" w:lineRule="exact"/>
        <w:rPr>
          <w:sz w:val="20"/>
          <w:szCs w:val="20"/>
          <w:color w:val="auto"/>
        </w:rPr>
      </w:pPr>
    </w:p>
    <w:p>
      <w:pPr>
        <w:ind w:left="1300" w:right="320" w:hanging="1295"/>
        <w:spacing w:after="0" w:line="287"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34" w:lineRule="exact"/>
        <w:rPr>
          <w:sz w:val="20"/>
          <w:szCs w:val="20"/>
          <w:color w:val="auto"/>
        </w:rPr>
      </w:pPr>
    </w:p>
    <w:p>
      <w:pPr>
        <w:jc w:val="both"/>
        <w:ind w:firstLine="8"/>
        <w:spacing w:after="0" w:line="253" w:lineRule="auto"/>
        <w:tabs>
          <w:tab w:leader="none" w:pos="289"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light of the impact on the Company of the ongoing COVID-19 (coronavirus) pandemic and current market conditions, the Company announced revisions to compensation effective May 1, 2020 through the end of the year, which include a 30 percent reduction in the Chairman and Chief Executive Officer’s salary; a 30 percent reduction in the Company’s Board of Directors’ retainers; and a 20 percent reduction to the Executive Leadership team’s salaries, which include the Company’s other Named Executive Officers (as named in the Company’s 2020 Proxy Statement filed on March 13, 2020).</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90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391"/>
        </w:trPr>
        <w:tc>
          <w:tcPr>
            <w:tcW w:w="880" w:type="dxa"/>
            <w:vAlign w:val="bottom"/>
          </w:tcPr>
          <w:p>
            <w:pPr>
              <w:spacing w:after="0"/>
              <w:rPr>
                <w:sz w:val="20"/>
                <w:szCs w:val="20"/>
                <w:color w:val="auto"/>
              </w:rPr>
            </w:pPr>
            <w:r>
              <w:rPr>
                <w:rFonts w:ascii="Arial" w:cs="Arial" w:eastAsia="Arial" w:hAnsi="Arial"/>
                <w:sz w:val="18"/>
                <w:szCs w:val="18"/>
                <w:color w:val="auto"/>
                <w:w w:val="98"/>
              </w:rPr>
              <w:t>Exhibit No.</w:t>
            </w:r>
          </w:p>
        </w:tc>
        <w:tc>
          <w:tcPr>
            <w:tcW w:w="42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453"/>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News Release issued by the Company dated April 22, 2020</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w w:val="99"/>
              </w:rPr>
              <w:t>Inline XBRL for the cover page of this Current Report on Form 8-K</w:t>
            </w:r>
          </w:p>
        </w:tc>
      </w:tr>
    </w:tbl>
    <w:p>
      <w:pPr>
        <w:sectPr>
          <w:pgSz w:w="11900" w:h="16838" w:orient="portrait"/>
          <w:cols w:equalWidth="0" w:num="1">
            <w:col w:w="11240"/>
          </w:cols>
          <w:pgMar w:left="320" w:top="549"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20" w:type="dxa"/>
            <w:vAlign w:val="bottom"/>
          </w:tcPr>
          <w:p>
            <w:pPr>
              <w:ind w:left="3140"/>
              <w:spacing w:after="0"/>
              <w:rPr>
                <w:sz w:val="20"/>
                <w:szCs w:val="20"/>
                <w:color w:val="auto"/>
              </w:rPr>
            </w:pPr>
            <w:r>
              <w:rPr>
                <w:rFonts w:ascii="Arial" w:cs="Arial" w:eastAsia="Arial" w:hAnsi="Arial"/>
                <w:sz w:val="18"/>
                <w:szCs w:val="18"/>
                <w:b w:val="1"/>
                <w:bCs w:val="1"/>
                <w:color w:val="auto"/>
              </w:rPr>
              <w:t>EXHIBIT INDEX</w:t>
            </w:r>
          </w:p>
        </w:tc>
      </w:tr>
      <w:tr>
        <w:trPr>
          <w:trHeight w:val="614"/>
        </w:trPr>
        <w:tc>
          <w:tcPr>
            <w:tcW w:w="182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Number</w:t>
            </w:r>
          </w:p>
        </w:tc>
        <w:tc>
          <w:tcPr>
            <w:tcW w:w="942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43"/>
        </w:trPr>
        <w:tc>
          <w:tcPr>
            <w:tcW w:w="1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1"/>
                <w:szCs w:val="21"/>
                <w:color w:val="auto"/>
              </w:rPr>
            </w:pPr>
          </w:p>
        </w:tc>
        <w:tc>
          <w:tcPr>
            <w:tcW w:w="9420" w:type="dxa"/>
            <w:vAlign w:val="bottom"/>
            <w:tcBorders>
              <w:top w:val="single" w:sz="8" w:color="auto"/>
            </w:tcBorders>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News Release issued by the Company dated April 22, 2020</w:t>
              </w:r>
            </w:hyperlink>
          </w:p>
        </w:tc>
      </w:tr>
      <w:tr>
        <w:trPr>
          <w:trHeight w:val="257"/>
        </w:trPr>
        <w:tc>
          <w:tcPr>
            <w:tcW w:w="170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9420" w:type="dxa"/>
            <w:vAlign w:val="bottom"/>
          </w:tcPr>
          <w:p>
            <w:pPr>
              <w:ind w:left="20"/>
              <w:spacing w:after="0"/>
              <w:rPr>
                <w:sz w:val="20"/>
                <w:szCs w:val="20"/>
                <w:color w:val="auto"/>
              </w:rPr>
            </w:pPr>
            <w:r>
              <w:rPr>
                <w:rFonts w:ascii="Arial" w:cs="Arial" w:eastAsia="Arial" w:hAnsi="Arial"/>
                <w:sz w:val="18"/>
                <w:szCs w:val="18"/>
                <w:color w:val="auto"/>
              </w:rPr>
              <w:t>Inline XBRL for the cover page of this Current Report on Form 8-K</w:t>
            </w:r>
          </w:p>
        </w:tc>
      </w:tr>
    </w:tbl>
    <w:p>
      <w:pPr>
        <w:sectPr>
          <w:pgSz w:w="11900" w:h="16838" w:orient="portrait"/>
          <w:cols w:equalWidth="0" w:num="1">
            <w:col w:w="11240"/>
          </w:cols>
          <w:pgMar w:left="320" w:top="549"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By: /s/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14605</wp:posOffset>
            </wp:positionV>
            <wp:extent cx="3351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3280" w:val="left"/>
        </w:tabs>
        <w:rPr>
          <w:sz w:val="20"/>
          <w:szCs w:val="20"/>
          <w:color w:val="auto"/>
        </w:rPr>
      </w:pPr>
      <w:r>
        <w:rPr>
          <w:rFonts w:ascii="Arial" w:cs="Arial" w:eastAsia="Arial" w:hAnsi="Arial"/>
          <w:sz w:val="18"/>
          <w:szCs w:val="18"/>
          <w:color w:val="auto"/>
        </w:rPr>
        <w:t>Dated:  April 22, 2020</w:t>
      </w:r>
      <w:r>
        <w:rPr>
          <w:sz w:val="20"/>
          <w:szCs w:val="20"/>
          <w:color w:val="auto"/>
        </w:rPr>
        <w:tab/>
      </w:r>
      <w:r>
        <w:rPr>
          <w:rFonts w:ascii="Arial" w:cs="Arial" w:eastAsia="Arial" w:hAnsi="Arial"/>
          <w:sz w:val="17"/>
          <w:szCs w:val="17"/>
          <w:color w:val="auto"/>
        </w:rPr>
        <w:t>Name: Maryann T. Mannen</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220"/>
          </w:cols>
          <w:pgMar w:left="320" w:top="549" w:right="359" w:bottom="1440" w:gutter="0" w:footer="0" w:header="0"/>
        </w:sectPr>
      </w:pPr>
    </w:p>
    <w:bookmarkStart w:id="4" w:name="page5"/>
    <w:bookmarkEnd w:id="4"/>
    <w:p>
      <w:pPr>
        <w:spacing w:after="0"/>
        <w:rPr>
          <w:sz w:val="20"/>
          <w:szCs w:val="20"/>
          <w:color w:val="auto"/>
        </w:rPr>
      </w:pPr>
      <w:r>
        <w:rPr>
          <w:rFonts w:ascii="Arial" w:cs="Arial" w:eastAsia="Arial" w:hAnsi="Arial"/>
          <w:sz w:val="29"/>
          <w:szCs w:val="29"/>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Press Release</w:t>
      </w: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color w:val="auto"/>
        </w:rPr>
        <w:t>TechnipFMC Announces First Quarter 2020 Results</w:t>
      </w:r>
    </w:p>
    <w:p>
      <w:pPr>
        <w:spacing w:after="0" w:line="318" w:lineRule="exact"/>
        <w:rPr>
          <w:sz w:val="20"/>
          <w:szCs w:val="20"/>
          <w:color w:val="auto"/>
        </w:rPr>
      </w:pPr>
    </w:p>
    <w:p>
      <w:pPr>
        <w:ind w:left="400" w:hanging="257"/>
        <w:spacing w:after="0"/>
        <w:tabs>
          <w:tab w:leader="none" w:pos="40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Backlog of $22 billion, $5.6 billion in cash and liquidity</w:t>
      </w:r>
    </w:p>
    <w:p>
      <w:pPr>
        <w:spacing w:after="0" w:line="23" w:lineRule="exact"/>
        <w:rPr>
          <w:rFonts w:ascii="Arial" w:cs="Arial" w:eastAsia="Arial" w:hAnsi="Arial"/>
          <w:sz w:val="20"/>
          <w:szCs w:val="20"/>
          <w:b w:val="1"/>
          <w:bCs w:val="1"/>
          <w:color w:val="auto"/>
        </w:rPr>
      </w:pPr>
    </w:p>
    <w:p>
      <w:pPr>
        <w:ind w:left="400" w:hanging="257"/>
        <w:spacing w:after="0"/>
        <w:tabs>
          <w:tab w:leader="none" w:pos="40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Cost savings target increased and will now exceed $350 million</w:t>
      </w:r>
    </w:p>
    <w:p>
      <w:pPr>
        <w:ind w:left="400" w:hanging="257"/>
        <w:spacing w:after="0"/>
        <w:tabs>
          <w:tab w:leader="none" w:pos="40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Executive salaries and Directors’ retainer reduced up to 30% through year-end</w:t>
      </w:r>
    </w:p>
    <w:p>
      <w:pPr>
        <w:ind w:left="400" w:hanging="257"/>
        <w:spacing w:after="0"/>
        <w:tabs>
          <w:tab w:leader="none" w:pos="40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Dividend distribution for 2020 reduced by 75% versus the prior year</w:t>
      </w:r>
    </w:p>
    <w:p>
      <w:pPr>
        <w:ind w:left="400" w:hanging="257"/>
        <w:spacing w:after="0"/>
        <w:tabs>
          <w:tab w:leader="none" w:pos="40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Updated outlook reflects uncertainty related to COVID-19 and customer spend</w:t>
      </w:r>
    </w:p>
    <w:p>
      <w:pPr>
        <w:spacing w:after="0" w:line="228" w:lineRule="exact"/>
        <w:rPr>
          <w:rFonts w:ascii="Arial" w:cs="Arial" w:eastAsia="Arial" w:hAnsi="Arial"/>
          <w:sz w:val="20"/>
          <w:szCs w:val="20"/>
          <w:b w:val="1"/>
          <w:bCs w:val="1"/>
          <w:color w:val="auto"/>
        </w:rPr>
      </w:pPr>
    </w:p>
    <w:p>
      <w:pPr>
        <w:ind w:left="400" w:hanging="257"/>
        <w:spacing w:after="0"/>
        <w:tabs>
          <w:tab w:leader="none" w:pos="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U.S. GAAP diluted loss per share was $7.28</w:t>
      </w:r>
    </w:p>
    <w:p>
      <w:pPr>
        <w:ind w:left="660" w:right="680" w:hanging="247"/>
        <w:spacing w:after="0" w:line="239" w:lineRule="auto"/>
        <w:tabs>
          <w:tab w:leader="none" w:pos="660" w:val="left"/>
        </w:tabs>
        <w:numPr>
          <w:ilvl w:val="1"/>
          <w:numId w:val="3"/>
        </w:numPr>
        <w:rPr>
          <w:rFonts w:ascii="Arial" w:cs="Arial" w:eastAsia="Arial" w:hAnsi="Arial"/>
          <w:sz w:val="20"/>
          <w:szCs w:val="20"/>
          <w:color w:val="auto"/>
        </w:rPr>
      </w:pPr>
      <w:r>
        <w:rPr>
          <w:rFonts w:ascii="Arial" w:cs="Arial" w:eastAsia="Arial" w:hAnsi="Arial"/>
          <w:sz w:val="20"/>
          <w:szCs w:val="20"/>
          <w:color w:val="auto"/>
        </w:rPr>
        <w:t>Includes total after-tax charges, net of credits, of $7.17 per diluted share, primarily driven by non-cash impairment charges</w:t>
      </w:r>
    </w:p>
    <w:p>
      <w:pPr>
        <w:ind w:left="400" w:hanging="257"/>
        <w:spacing w:after="0"/>
        <w:tabs>
          <w:tab w:leader="none" w:pos="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diluted loss per share, excluding charges and credits, was $0.11</w:t>
      </w:r>
    </w:p>
    <w:p>
      <w:pPr>
        <w:ind w:left="660" w:hanging="247"/>
        <w:spacing w:after="0"/>
        <w:tabs>
          <w:tab w:leader="none" w:pos="660" w:val="left"/>
        </w:tabs>
        <w:numPr>
          <w:ilvl w:val="1"/>
          <w:numId w:val="3"/>
        </w:numPr>
        <w:rPr>
          <w:rFonts w:ascii="Arial" w:cs="Arial" w:eastAsia="Arial" w:hAnsi="Arial"/>
          <w:sz w:val="20"/>
          <w:szCs w:val="20"/>
          <w:color w:val="auto"/>
        </w:rPr>
      </w:pPr>
      <w:r>
        <w:rPr>
          <w:rFonts w:ascii="Arial" w:cs="Arial" w:eastAsia="Arial" w:hAnsi="Arial"/>
          <w:sz w:val="20"/>
          <w:szCs w:val="20"/>
          <w:color w:val="auto"/>
        </w:rPr>
        <w:t>Includes foreign exchange losses of $0.10 per diluted share</w:t>
      </w:r>
    </w:p>
    <w:p>
      <w:pPr>
        <w:ind w:left="660" w:hanging="247"/>
        <w:spacing w:after="0"/>
        <w:tabs>
          <w:tab w:leader="none" w:pos="660" w:val="left"/>
        </w:tabs>
        <w:numPr>
          <w:ilvl w:val="1"/>
          <w:numId w:val="3"/>
        </w:numPr>
        <w:rPr>
          <w:rFonts w:ascii="Arial" w:cs="Arial" w:eastAsia="Arial" w:hAnsi="Arial"/>
          <w:sz w:val="20"/>
          <w:szCs w:val="20"/>
          <w:color w:val="auto"/>
        </w:rPr>
      </w:pPr>
      <w:r>
        <w:rPr>
          <w:rFonts w:ascii="Arial" w:cs="Arial" w:eastAsia="Arial" w:hAnsi="Arial"/>
          <w:sz w:val="20"/>
          <w:szCs w:val="20"/>
          <w:color w:val="auto"/>
        </w:rPr>
        <w:t>Includes expense resulting from increased liability to joint venture partners of $0.08 per diluted share</w:t>
      </w:r>
    </w:p>
    <w:p>
      <w:pPr>
        <w:spacing w:after="0" w:line="200" w:lineRule="exact"/>
        <w:rPr>
          <w:sz w:val="20"/>
          <w:szCs w:val="20"/>
          <w:color w:val="auto"/>
        </w:rPr>
      </w:pPr>
    </w:p>
    <w:p>
      <w:pPr>
        <w:spacing w:after="0" w:line="221"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b w:val="1"/>
          <w:bCs w:val="1"/>
          <w:color w:val="auto"/>
        </w:rPr>
        <w:t xml:space="preserve">LONDON, PARIS, HOUSTON, April 22, 2020 - </w:t>
      </w:r>
      <w:r>
        <w:rPr>
          <w:rFonts w:ascii="Arial" w:cs="Arial" w:eastAsia="Arial" w:hAnsi="Arial"/>
          <w:sz w:val="20"/>
          <w:szCs w:val="20"/>
          <w:color w:val="auto"/>
        </w:rPr>
        <w:t>TechnipFMC plc (NYSE: FTI) (Paris: FTI) today reported first quarter 2020</w:t>
      </w:r>
      <w:r>
        <w:rPr>
          <w:rFonts w:ascii="Arial" w:cs="Arial" w:eastAsia="Arial" w:hAnsi="Arial"/>
          <w:sz w:val="20"/>
          <w:szCs w:val="20"/>
          <w:b w:val="1"/>
          <w:bCs w:val="1"/>
          <w:color w:val="auto"/>
        </w:rPr>
        <w:t xml:space="preserve"> </w:t>
      </w:r>
      <w:r>
        <w:rPr>
          <w:rFonts w:ascii="Arial" w:cs="Arial" w:eastAsia="Arial" w:hAnsi="Arial"/>
          <w:sz w:val="20"/>
          <w:szCs w:val="20"/>
          <w:color w:val="auto"/>
        </w:rPr>
        <w:t>results.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Financial Statements - First Quarter 2020</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72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880" w:type="dxa"/>
            <w:vAlign w:val="bottom"/>
            <w:tcBorders>
              <w:top w:val="single" w:sz="8" w:color="B8CCE4"/>
              <w:right w:val="single" w:sz="8" w:color="B8CCE4"/>
            </w:tcBorders>
          </w:tcPr>
          <w:p>
            <w:pPr>
              <w:jc w:val="right"/>
              <w:ind w:right="526"/>
              <w:spacing w:after="0"/>
              <w:rPr>
                <w:sz w:val="20"/>
                <w:szCs w:val="20"/>
                <w:color w:val="auto"/>
              </w:rPr>
            </w:pPr>
            <w:r>
              <w:rPr>
                <w:rFonts w:ascii="Arial" w:cs="Arial" w:eastAsia="Arial" w:hAnsi="Arial"/>
                <w:sz w:val="14"/>
                <w:szCs w:val="14"/>
                <w:b w:val="1"/>
                <w:bCs w:val="1"/>
                <w:color w:val="auto"/>
              </w:rPr>
              <w:t>March 31,</w:t>
            </w:r>
          </w:p>
        </w:tc>
        <w:tc>
          <w:tcPr>
            <w:tcW w:w="1880" w:type="dxa"/>
            <w:vAlign w:val="bottom"/>
            <w:tcBorders>
              <w:top w:val="single" w:sz="8" w:color="B8CCE4"/>
              <w:right w:val="single" w:sz="8" w:color="B8CCE4"/>
            </w:tcBorders>
          </w:tcPr>
          <w:p>
            <w:pPr>
              <w:jc w:val="right"/>
              <w:ind w:right="526"/>
              <w:spacing w:after="0"/>
              <w:rPr>
                <w:sz w:val="20"/>
                <w:szCs w:val="20"/>
                <w:color w:val="auto"/>
              </w:rPr>
            </w:pPr>
            <w:r>
              <w:rPr>
                <w:rFonts w:ascii="Arial" w:cs="Arial" w:eastAsia="Arial" w:hAnsi="Arial"/>
                <w:sz w:val="14"/>
                <w:szCs w:val="14"/>
                <w:b w:val="1"/>
                <w:bCs w:val="1"/>
                <w:color w:val="auto"/>
              </w:rPr>
              <w:t>March 31,</w:t>
            </w:r>
          </w:p>
        </w:tc>
        <w:tc>
          <w:tcPr>
            <w:tcW w:w="1780" w:type="dxa"/>
            <w:vAlign w:val="bottom"/>
            <w:tcBorders>
              <w:top w:val="single" w:sz="8" w:color="B8CCE4"/>
              <w:right w:val="single" w:sz="8" w:color="B8CCE4"/>
            </w:tcBorders>
          </w:tcPr>
          <w:p>
            <w:pPr>
              <w:spacing w:after="0"/>
              <w:rPr>
                <w:sz w:val="16"/>
                <w:szCs w:val="16"/>
                <w:color w:val="auto"/>
              </w:rPr>
            </w:pPr>
          </w:p>
        </w:tc>
      </w:tr>
      <w:tr>
        <w:trPr>
          <w:trHeight w:val="196"/>
        </w:trPr>
        <w:tc>
          <w:tcPr>
            <w:tcW w:w="57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1880" w:type="dxa"/>
            <w:vAlign w:val="bottom"/>
            <w:tcBorders>
              <w:bottom w:val="single" w:sz="8" w:color="B8CCE4"/>
              <w:right w:val="single" w:sz="8" w:color="B8CCE4"/>
            </w:tcBorders>
          </w:tcPr>
          <w:p>
            <w:pPr>
              <w:jc w:val="right"/>
              <w:ind w:right="686"/>
              <w:spacing w:after="0"/>
              <w:rPr>
                <w:sz w:val="20"/>
                <w:szCs w:val="20"/>
                <w:color w:val="auto"/>
              </w:rPr>
            </w:pPr>
            <w:r>
              <w:rPr>
                <w:rFonts w:ascii="Arial" w:cs="Arial" w:eastAsia="Arial" w:hAnsi="Arial"/>
                <w:sz w:val="14"/>
                <w:szCs w:val="14"/>
                <w:b w:val="1"/>
                <w:bCs w:val="1"/>
                <w:color w:val="auto"/>
              </w:rPr>
              <w:t>2020</w:t>
            </w:r>
          </w:p>
        </w:tc>
        <w:tc>
          <w:tcPr>
            <w:tcW w:w="1880" w:type="dxa"/>
            <w:vAlign w:val="bottom"/>
            <w:tcBorders>
              <w:bottom w:val="single" w:sz="8" w:color="B8CCE4"/>
              <w:right w:val="single" w:sz="8" w:color="B8CCE4"/>
            </w:tcBorders>
          </w:tcPr>
          <w:p>
            <w:pPr>
              <w:jc w:val="right"/>
              <w:ind w:right="706"/>
              <w:spacing w:after="0"/>
              <w:rPr>
                <w:sz w:val="20"/>
                <w:szCs w:val="20"/>
                <w:color w:val="auto"/>
              </w:rPr>
            </w:pPr>
            <w:r>
              <w:rPr>
                <w:rFonts w:ascii="Arial" w:cs="Arial" w:eastAsia="Arial" w:hAnsi="Arial"/>
                <w:sz w:val="14"/>
                <w:szCs w:val="14"/>
                <w:b w:val="1"/>
                <w:bCs w:val="1"/>
                <w:color w:val="auto"/>
              </w:rPr>
              <w:t>2019</w:t>
            </w:r>
          </w:p>
        </w:tc>
        <w:tc>
          <w:tcPr>
            <w:tcW w:w="17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65"/>
        </w:trPr>
        <w:tc>
          <w:tcPr>
            <w:tcW w:w="57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$3,130.3</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$2,913.0</w:t>
            </w:r>
          </w:p>
        </w:tc>
        <w:tc>
          <w:tcPr>
            <w:tcW w:w="17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6"/>
              </w:rPr>
              <w:t>7.5%</w:t>
            </w:r>
          </w:p>
        </w:tc>
      </w:tr>
      <w:tr>
        <w:trPr>
          <w:trHeight w:val="263"/>
        </w:trPr>
        <w:tc>
          <w:tcPr>
            <w:tcW w:w="57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Net income (loss)</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$(3,256.1)</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$20.9</w:t>
            </w:r>
          </w:p>
        </w:tc>
        <w:tc>
          <w:tcPr>
            <w:tcW w:w="17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r>
      <w:tr>
        <w:trPr>
          <w:trHeight w:val="264"/>
        </w:trPr>
        <w:tc>
          <w:tcPr>
            <w:tcW w:w="57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Diluted earnings (loss) per share</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$(7.28)</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$0.05</w:t>
            </w:r>
          </w:p>
        </w:tc>
        <w:tc>
          <w:tcPr>
            <w:tcW w:w="17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r>
      <w:tr>
        <w:trPr>
          <w:trHeight w:val="335"/>
        </w:trPr>
        <w:tc>
          <w:tcPr>
            <w:tcW w:w="5720" w:type="dxa"/>
            <w:vAlign w:val="bottom"/>
            <w:tcBorders>
              <w:left w:val="single" w:sz="8" w:color="B8CCE4"/>
              <w:bottom w:val="single" w:sz="8" w:color="B8CCE4"/>
            </w:tcBorders>
          </w:tcPr>
          <w:p>
            <w:pPr>
              <w:spacing w:after="0"/>
              <w:rPr>
                <w:sz w:val="24"/>
                <w:szCs w:val="24"/>
                <w:color w:val="auto"/>
              </w:rPr>
            </w:pPr>
          </w:p>
        </w:tc>
        <w:tc>
          <w:tcPr>
            <w:tcW w:w="1880" w:type="dxa"/>
            <w:vAlign w:val="bottom"/>
            <w:tcBorders>
              <w:bottom w:val="single" w:sz="8" w:color="B8CCE4"/>
            </w:tcBorders>
          </w:tcPr>
          <w:p>
            <w:pPr>
              <w:spacing w:after="0"/>
              <w:rPr>
                <w:sz w:val="24"/>
                <w:szCs w:val="24"/>
                <w:color w:val="auto"/>
              </w:rPr>
            </w:pPr>
          </w:p>
        </w:tc>
        <w:tc>
          <w:tcPr>
            <w:tcW w:w="1880" w:type="dxa"/>
            <w:vAlign w:val="bottom"/>
            <w:tcBorders>
              <w:bottom w:val="single" w:sz="8" w:color="B8CCE4"/>
            </w:tcBorders>
          </w:tcPr>
          <w:p>
            <w:pPr>
              <w:spacing w:after="0"/>
              <w:rPr>
                <w:sz w:val="24"/>
                <w:szCs w:val="24"/>
                <w:color w:val="auto"/>
              </w:rPr>
            </w:pPr>
          </w:p>
        </w:tc>
        <w:tc>
          <w:tcPr>
            <w:tcW w:w="1780" w:type="dxa"/>
            <w:vAlign w:val="bottom"/>
            <w:tcBorders>
              <w:bottom w:val="single" w:sz="8" w:color="B8CCE4"/>
              <w:right w:val="single" w:sz="8" w:color="B8CCE4"/>
            </w:tcBorders>
          </w:tcPr>
          <w:p>
            <w:pPr>
              <w:spacing w:after="0"/>
              <w:rPr>
                <w:sz w:val="24"/>
                <w:szCs w:val="24"/>
                <w:color w:val="auto"/>
              </w:rPr>
            </w:pPr>
          </w:p>
        </w:tc>
      </w:tr>
      <w:tr>
        <w:trPr>
          <w:trHeight w:val="259"/>
        </w:trPr>
        <w:tc>
          <w:tcPr>
            <w:tcW w:w="57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$220.2</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$295.8</w:t>
            </w:r>
          </w:p>
        </w:tc>
        <w:tc>
          <w:tcPr>
            <w:tcW w:w="17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(25.6%)</w:t>
            </w:r>
          </w:p>
        </w:tc>
      </w:tr>
      <w:tr>
        <w:trPr>
          <w:trHeight w:val="264"/>
        </w:trPr>
        <w:tc>
          <w:tcPr>
            <w:tcW w:w="57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7.0%</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10.2%</w:t>
            </w:r>
          </w:p>
        </w:tc>
        <w:tc>
          <w:tcPr>
            <w:tcW w:w="17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(320 bps)</w:t>
            </w:r>
          </w:p>
        </w:tc>
      </w:tr>
      <w:tr>
        <w:trPr>
          <w:trHeight w:val="263"/>
        </w:trPr>
        <w:tc>
          <w:tcPr>
            <w:tcW w:w="57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net income (loss)</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$(49.1)</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$27.3</w:t>
            </w:r>
          </w:p>
        </w:tc>
        <w:tc>
          <w:tcPr>
            <w:tcW w:w="17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r>
      <w:tr>
        <w:trPr>
          <w:trHeight w:val="264"/>
        </w:trPr>
        <w:tc>
          <w:tcPr>
            <w:tcW w:w="57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diluted earnings (loss) per share</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$(0.11)</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$0.06</w:t>
            </w:r>
          </w:p>
        </w:tc>
        <w:tc>
          <w:tcPr>
            <w:tcW w:w="17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r>
      <w:tr>
        <w:trPr>
          <w:trHeight w:val="335"/>
        </w:trPr>
        <w:tc>
          <w:tcPr>
            <w:tcW w:w="5720" w:type="dxa"/>
            <w:vAlign w:val="bottom"/>
            <w:tcBorders>
              <w:left w:val="single" w:sz="8" w:color="B8CCE4"/>
              <w:bottom w:val="single" w:sz="8" w:color="B8CCE4"/>
            </w:tcBorders>
          </w:tcPr>
          <w:p>
            <w:pPr>
              <w:spacing w:after="0"/>
              <w:rPr>
                <w:sz w:val="24"/>
                <w:szCs w:val="24"/>
                <w:color w:val="auto"/>
              </w:rPr>
            </w:pPr>
          </w:p>
        </w:tc>
        <w:tc>
          <w:tcPr>
            <w:tcW w:w="1880" w:type="dxa"/>
            <w:vAlign w:val="bottom"/>
            <w:tcBorders>
              <w:bottom w:val="single" w:sz="8" w:color="B8CCE4"/>
            </w:tcBorders>
          </w:tcPr>
          <w:p>
            <w:pPr>
              <w:spacing w:after="0"/>
              <w:rPr>
                <w:sz w:val="24"/>
                <w:szCs w:val="24"/>
                <w:color w:val="auto"/>
              </w:rPr>
            </w:pPr>
          </w:p>
        </w:tc>
        <w:tc>
          <w:tcPr>
            <w:tcW w:w="1880" w:type="dxa"/>
            <w:vAlign w:val="bottom"/>
            <w:tcBorders>
              <w:bottom w:val="single" w:sz="8" w:color="B8CCE4"/>
            </w:tcBorders>
          </w:tcPr>
          <w:p>
            <w:pPr>
              <w:spacing w:after="0"/>
              <w:rPr>
                <w:sz w:val="24"/>
                <w:szCs w:val="24"/>
                <w:color w:val="auto"/>
              </w:rPr>
            </w:pPr>
          </w:p>
        </w:tc>
        <w:tc>
          <w:tcPr>
            <w:tcW w:w="1780" w:type="dxa"/>
            <w:vAlign w:val="bottom"/>
            <w:tcBorders>
              <w:bottom w:val="single" w:sz="8" w:color="B8CCE4"/>
              <w:right w:val="single" w:sz="8" w:color="B8CCE4"/>
            </w:tcBorders>
          </w:tcPr>
          <w:p>
            <w:pPr>
              <w:spacing w:after="0"/>
              <w:rPr>
                <w:sz w:val="24"/>
                <w:szCs w:val="24"/>
                <w:color w:val="auto"/>
              </w:rPr>
            </w:pPr>
          </w:p>
        </w:tc>
      </w:tr>
      <w:tr>
        <w:trPr>
          <w:trHeight w:val="259"/>
        </w:trPr>
        <w:tc>
          <w:tcPr>
            <w:tcW w:w="57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$2,099.0</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$6,184.5</w:t>
            </w:r>
          </w:p>
        </w:tc>
        <w:tc>
          <w:tcPr>
            <w:tcW w:w="17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(66.1%)</w:t>
            </w:r>
          </w:p>
        </w:tc>
      </w:tr>
      <w:tr>
        <w:trPr>
          <w:trHeight w:val="264"/>
        </w:trPr>
        <w:tc>
          <w:tcPr>
            <w:tcW w:w="57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$21,962.1</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$17,777.6</w:t>
            </w:r>
          </w:p>
        </w:tc>
        <w:tc>
          <w:tcPr>
            <w:tcW w:w="17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23.5%</w:t>
            </w:r>
          </w:p>
        </w:tc>
      </w:tr>
    </w:tbl>
    <w:p>
      <w:pPr>
        <w:spacing w:after="0" w:line="172"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Total Company revenue was $3,130.3 million. Net loss was $3,256.1 million, or $7.28 per diluted share. These results included after-tax charges and credits totaling $3,207 million of expense, or $7.17 per diluted share. Adjusted net loss was $49.1 million, or $0.11 per diluted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100"/>
        <w:spacing w:after="0"/>
        <w:tabs>
          <w:tab w:leader="none" w:pos="103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 of </w:t>
      </w:r>
      <w:hyperlink w:anchor="page32">
        <w:r>
          <w:rPr>
            <w:rFonts w:ascii="Arial" w:cs="Arial" w:eastAsia="Arial" w:hAnsi="Arial"/>
            <w:sz w:val="14"/>
            <w:szCs w:val="14"/>
            <w:b w:val="1"/>
            <w:bCs w:val="1"/>
            <w:color w:val="auto"/>
          </w:rPr>
          <w:t>28</w:t>
        </w:r>
      </w:hyperlink>
    </w:p>
    <w:p>
      <w:pPr>
        <w:sectPr>
          <w:pgSz w:w="11900" w:h="16838" w:orient="portrait"/>
          <w:cols w:equalWidth="0" w:num="1">
            <w:col w:w="11260"/>
          </w:cols>
          <w:pgMar w:left="320" w:top="1188" w:right="31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Total after-tax charges and credits in the quarter of $3,207 million (Exhibit 8) were as follows:</w:t>
      </w:r>
    </w:p>
    <w:p>
      <w:pPr>
        <w:spacing w:after="0" w:line="54" w:lineRule="exact"/>
        <w:rPr>
          <w:sz w:val="20"/>
          <w:szCs w:val="20"/>
          <w:color w:val="auto"/>
        </w:rPr>
      </w:pPr>
    </w:p>
    <w:p>
      <w:pPr>
        <w:ind w:left="660" w:hanging="328"/>
        <w:spacing w:after="0" w:line="246"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Non-cash impairment and other charges totaling $3,159.9 million for goodwill and other assets in the Subsea and Surface Technologies segments;</w:t>
      </w:r>
    </w:p>
    <w:p>
      <w:pPr>
        <w:spacing w:after="0" w:line="41" w:lineRule="exact"/>
        <w:rPr>
          <w:rFonts w:ascii="Arial" w:cs="Arial" w:eastAsia="Arial" w:hAnsi="Arial"/>
          <w:sz w:val="20"/>
          <w:szCs w:val="20"/>
          <w:color w:val="auto"/>
        </w:rPr>
      </w:pPr>
    </w:p>
    <w:p>
      <w:pPr>
        <w:ind w:left="660" w:hanging="328"/>
        <w:spacing w:after="0" w:line="246"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Separation costs, restructuring and other charges, purchase price accounting adjustments and a tax benefit from a valuation allowance totaling $40.3 million; and</w:t>
      </w:r>
    </w:p>
    <w:p>
      <w:pPr>
        <w:spacing w:after="0" w:line="41" w:lineRule="exact"/>
        <w:rPr>
          <w:rFonts w:ascii="Arial" w:cs="Arial" w:eastAsia="Arial" w:hAnsi="Arial"/>
          <w:sz w:val="20"/>
          <w:szCs w:val="20"/>
          <w:color w:val="auto"/>
        </w:rPr>
      </w:pPr>
    </w:p>
    <w:p>
      <w:pPr>
        <w:ind w:left="660" w:right="20" w:hanging="328"/>
        <w:spacing w:after="0" w:line="246"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Direct COVID-19 expenses totaling $6.8 million. These expenses do not capture the disruption related to overhead absorption, utilization and other operational impacts.</w:t>
      </w:r>
    </w:p>
    <w:p>
      <w:pPr>
        <w:spacing w:after="0" w:line="200" w:lineRule="exact"/>
        <w:rPr>
          <w:sz w:val="20"/>
          <w:szCs w:val="20"/>
          <w:color w:val="auto"/>
        </w:rPr>
      </w:pPr>
    </w:p>
    <w:p>
      <w:pPr>
        <w:spacing w:after="0" w:line="301"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Adjusted EBITDA, which excludes pre-tax charges and credits, was $220.2 million; adjusted EBITDA margin was 7 percent (Exhibit 9).</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Other significant pre-tax items impacting the quarter, for which we do not provide guidance, included the following:</w:t>
      </w:r>
    </w:p>
    <w:p>
      <w:pPr>
        <w:spacing w:after="0" w:line="54" w:lineRule="exact"/>
        <w:rPr>
          <w:sz w:val="20"/>
          <w:szCs w:val="20"/>
          <w:color w:val="auto"/>
        </w:rPr>
      </w:pPr>
    </w:p>
    <w:p>
      <w:pPr>
        <w:ind w:left="660" w:hanging="328"/>
        <w:spacing w:after="0" w:line="239"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$43.3 million of foreign exchange losses included in corporate expense, or $0.10 per diluted share on an after-tax basis; and</w:t>
      </w:r>
    </w:p>
    <w:p>
      <w:pPr>
        <w:ind w:left="660" w:hanging="328"/>
        <w:spacing w:after="0" w:line="246"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$35.5 million of expense resulting from increased liability payable to joint venture partners included in interest expense, or $0.08 per diluted share on an after-tax basis.</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In response to the current market environment, the Company recently announced a series of cost reduction initiatives that will result in annualized savings of at least $130 million from the Surface Technologies segment and Corporate.</w:t>
      </w:r>
    </w:p>
    <w:p>
      <w:pPr>
        <w:spacing w:after="0" w:line="16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 has now identified actions that will result in additional savings of more than $220 million that will extend to all business segments and support functions. Total annualized savings are now estimated to exceed $350 million. The Company anticipates achieving the targeted savings run-rate by the end of the year.</w:t>
      </w:r>
    </w:p>
    <w:p>
      <w:pPr>
        <w:spacing w:after="0" w:line="16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Additionally, we have announced revisions to compensation through the end of the year which include a 30 percent reduction to the Chairman and Chief Executive Officer’s salary; a 30 percent reduction in the Board of Directors’ retainer; and a 20 percent reduction to the Executive Leadership team’s salaries.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100"/>
        <w:spacing w:after="0"/>
        <w:tabs>
          <w:tab w:leader="none" w:pos="103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 of </w:t>
      </w:r>
      <w:hyperlink w:anchor="page32">
        <w:r>
          <w:rPr>
            <w:rFonts w:ascii="Arial" w:cs="Arial" w:eastAsia="Arial" w:hAnsi="Arial"/>
            <w:sz w:val="14"/>
            <w:szCs w:val="14"/>
            <w:b w:val="1"/>
            <w:bCs w:val="1"/>
            <w:color w:val="auto"/>
          </w:rPr>
          <w:t>28</w:t>
        </w:r>
      </w:hyperlink>
    </w:p>
    <w:p>
      <w:pPr>
        <w:sectPr>
          <w:pgSz w:w="11900" w:h="16838" w:orient="portrait"/>
          <w:cols w:equalWidth="0" w:num="1">
            <w:col w:w="11240"/>
          </w:cols>
          <w:pgMar w:left="320" w:top="1189" w:right="339" w:bottom="1440" w:gutter="0" w:footer="0" w:header="0"/>
        </w:sectPr>
      </w:pPr>
    </w:p>
    <w:bookmarkStart w:id="6" w:name="page7"/>
    <w:bookmarkEnd w:id="6"/>
    <w:p>
      <w:pPr>
        <w:jc w:val="both"/>
        <w:spacing w:after="0" w:line="241"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Doug Pferdehirt, Chairman and CEO of TechnipFMC stated, “Over the last two months, much about the world has changed, and we are taking swift and decisive actions in response to the market environment. These actions will generate more than $ 350 million in annualized cost savings. Additionally, our Board of Directors announced a revision to the dividend policy that will further strengthen the balance sheet and preserve liquidity.”</w:t>
      </w:r>
    </w:p>
    <w:p>
      <w:pPr>
        <w:spacing w:after="0" w:line="15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Pferdehirt added, “TechnipFMC has been an agent of change in the energy industry for some time, and we will look to accelerate our change agenda in the current environment. We will continue to invest in new technologies and digital platforms. We will continue to position ourselves to play a key role in the energy transition. We will further strengthen and expand our partner relationships and more closely align with customers who embrace a new way of working together. This approach has already demonstrated significant value, and we believe this will prove to be even more meaningful throughout the current cycle.”</w:t>
      </w:r>
    </w:p>
    <w:p>
      <w:pPr>
        <w:spacing w:after="0" w:line="14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are well-positioned to manage the unprecedented uncertainty the industry is facing today. The size and duration of our $22 billion of backlog - driven in part by the record inbound booked in 2019 - and our $5.6 billion in cash and liquidity provide us with the flexibility to take aggressive and bold actions during this challenging period.”</w:t>
      </w:r>
    </w:p>
    <w:p>
      <w:pPr>
        <w:spacing w:after="0" w:line="152" w:lineRule="exact"/>
        <w:rPr>
          <w:sz w:val="20"/>
          <w:szCs w:val="20"/>
          <w:color w:val="auto"/>
        </w:rPr>
      </w:pPr>
    </w:p>
    <w:p>
      <w:pPr>
        <w:jc w:val="both"/>
        <w:spacing w:after="0"/>
        <w:rPr>
          <w:sz w:val="20"/>
          <w:szCs w:val="20"/>
          <w:color w:val="auto"/>
        </w:rPr>
      </w:pPr>
      <w:r>
        <w:rPr>
          <w:rFonts w:ascii="Arial" w:cs="Arial" w:eastAsia="Arial" w:hAnsi="Arial"/>
          <w:sz w:val="20"/>
          <w:szCs w:val="20"/>
          <w:color w:val="auto"/>
        </w:rPr>
        <w:t>Pferdehirt continued, “Onshore/Offshore has been renamed Technip Energies, in-line with the new scope of the business. COVID-19 and a more challenging macro backdrop have softened near-term LNG markets, but the long-term fundamentals for natural gas - and LNG in particular - remain strong. We continue to be engaged in several LNG prospects that could move forward in the near-to-intermediate term. In the more resilient downstream market, we see the potential for additional prospects to be awarded to Technip Energies during 2020, one of which could exceed $1 billion in order value. Our exposure to energy transition markets continues to increase with recent success in renewable fuels and recycling.”</w:t>
      </w:r>
    </w:p>
    <w:p>
      <w:pPr>
        <w:spacing w:after="0" w:line="15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Subsea, sanctioning on a number of greenfield projects is likely to shift from the current year, impacting our previous projection for 2020 orders. We continue to assess nearly $15 billion of large project opportunities, of which approximately 50 percent are still likely to move forward over the next 24 months. All other projects remain active but potentially extend beyond this timeframe. Over the next 12 months, we believe as much as 20 percent of these project opportunities are likely to reach FID, and we are well-positioned for many of these opportunities.”</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“For Surface Technologies, the longer-term trends remain favorable for several international markets, such as the Middle East and Asia, and we anticipate that international revenue in 2020 will be far less impacted than North America. Our vertical integration outside of North America provides us with more control over manufacturing and less dependency on external supply chains, helping to mitigate delivery disruptions while affording us new opportunities where industry supply has been challenged.”</w:t>
      </w:r>
    </w:p>
    <w:p>
      <w:pPr>
        <w:spacing w:after="0" w:line="14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Pferdehirt concluded, “Our priority remains on the safety and well-being of the exceptional women and men of TechnipFMC whose commitment throughout this crisis has been exemplary. We are closer than ever to our clients, and together, our collective actions are enabling us to continue advancing our projects, albeit at reduced productivity.”</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“We do not underestimate the challenges ahead, and we are confident we will emerge an even stronger player.”</w:t>
      </w:r>
    </w:p>
    <w:p>
      <w:pPr>
        <w:spacing w:after="0" w:line="200" w:lineRule="exact"/>
        <w:rPr>
          <w:sz w:val="20"/>
          <w:szCs w:val="20"/>
          <w:color w:val="auto"/>
        </w:rPr>
      </w:pPr>
    </w:p>
    <w:p>
      <w:pPr>
        <w:spacing w:after="0" w:line="384" w:lineRule="exact"/>
        <w:rPr>
          <w:sz w:val="20"/>
          <w:szCs w:val="20"/>
          <w:color w:val="auto"/>
        </w:rPr>
      </w:pPr>
    </w:p>
    <w:p>
      <w:pPr>
        <w:ind w:left="5100"/>
        <w:spacing w:after="0"/>
        <w:tabs>
          <w:tab w:leader="none" w:pos="103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3 of </w:t>
      </w:r>
      <w:hyperlink w:anchor="page32">
        <w:r>
          <w:rPr>
            <w:rFonts w:ascii="Arial" w:cs="Arial" w:eastAsia="Arial" w:hAnsi="Arial"/>
            <w:sz w:val="14"/>
            <w:szCs w:val="14"/>
            <w:b w:val="1"/>
            <w:bCs w:val="1"/>
            <w:color w:val="auto"/>
          </w:rPr>
          <w:t>28</w:t>
        </w:r>
      </w:hyperlink>
    </w:p>
    <w:p>
      <w:pPr>
        <w:sectPr>
          <w:pgSz w:w="11900" w:h="16838" w:orient="portrait"/>
          <w:cols w:equalWidth="0" w:num="1">
            <w:col w:w="11240"/>
          </w:cols>
          <w:pgMar w:left="320" w:top="1189"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Operational and Financial Highlights - First Quarter 2020</w:t>
      </w:r>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Subsea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628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60" w:type="dxa"/>
            <w:vAlign w:val="bottom"/>
            <w:tcBorders>
              <w:top w:val="single" w:sz="8" w:color="B8CCE4"/>
              <w:right w:val="single" w:sz="8" w:color="B8CCE4"/>
            </w:tcBorders>
          </w:tcPr>
          <w:p>
            <w:pPr>
              <w:jc w:val="right"/>
              <w:ind w:right="428"/>
              <w:spacing w:after="0"/>
              <w:rPr>
                <w:sz w:val="20"/>
                <w:szCs w:val="20"/>
                <w:color w:val="auto"/>
              </w:rPr>
            </w:pPr>
            <w:r>
              <w:rPr>
                <w:rFonts w:ascii="Arial" w:cs="Arial" w:eastAsia="Arial" w:hAnsi="Arial"/>
                <w:sz w:val="14"/>
                <w:szCs w:val="14"/>
                <w:b w:val="1"/>
                <w:bCs w:val="1"/>
                <w:color w:val="auto"/>
              </w:rPr>
              <w:t>March 31,</w:t>
            </w:r>
          </w:p>
        </w:tc>
        <w:tc>
          <w:tcPr>
            <w:tcW w:w="1880" w:type="dxa"/>
            <w:vAlign w:val="bottom"/>
            <w:tcBorders>
              <w:top w:val="single" w:sz="8" w:color="B8CCE4"/>
              <w:right w:val="single" w:sz="8" w:color="B8CCE4"/>
            </w:tcBorders>
          </w:tcPr>
          <w:p>
            <w:pPr>
              <w:jc w:val="right"/>
              <w:ind w:right="528"/>
              <w:spacing w:after="0"/>
              <w:rPr>
                <w:sz w:val="20"/>
                <w:szCs w:val="20"/>
                <w:color w:val="auto"/>
              </w:rPr>
            </w:pPr>
            <w:r>
              <w:rPr>
                <w:rFonts w:ascii="Arial" w:cs="Arial" w:eastAsia="Arial" w:hAnsi="Arial"/>
                <w:sz w:val="14"/>
                <w:szCs w:val="14"/>
                <w:b w:val="1"/>
                <w:bCs w:val="1"/>
                <w:color w:val="auto"/>
              </w:rPr>
              <w:t>March 31,</w:t>
            </w:r>
          </w:p>
        </w:tc>
        <w:tc>
          <w:tcPr>
            <w:tcW w:w="1440" w:type="dxa"/>
            <w:vAlign w:val="bottom"/>
            <w:tcBorders>
              <w:top w:val="single" w:sz="8" w:color="B8CCE4"/>
              <w:right w:val="single" w:sz="8" w:color="B8CCE4"/>
            </w:tcBorders>
          </w:tcPr>
          <w:p>
            <w:pPr>
              <w:spacing w:after="0"/>
              <w:rPr>
                <w:sz w:val="16"/>
                <w:szCs w:val="16"/>
                <w:color w:val="auto"/>
              </w:rPr>
            </w:pPr>
          </w:p>
        </w:tc>
      </w:tr>
      <w:tr>
        <w:trPr>
          <w:trHeight w:val="196"/>
        </w:trPr>
        <w:tc>
          <w:tcPr>
            <w:tcW w:w="62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660" w:type="dxa"/>
            <w:vAlign w:val="bottom"/>
            <w:tcBorders>
              <w:bottom w:val="single" w:sz="8" w:color="B8CCE4"/>
              <w:right w:val="single" w:sz="8" w:color="B8CCE4"/>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880" w:type="dxa"/>
            <w:vAlign w:val="bottom"/>
            <w:tcBorders>
              <w:bottom w:val="single" w:sz="8" w:color="B8CCE4"/>
              <w:right w:val="single" w:sz="8" w:color="B8CCE4"/>
            </w:tcBorders>
          </w:tcPr>
          <w:p>
            <w:pPr>
              <w:jc w:val="right"/>
              <w:ind w:right="708"/>
              <w:spacing w:after="0"/>
              <w:rPr>
                <w:sz w:val="20"/>
                <w:szCs w:val="20"/>
                <w:color w:val="auto"/>
              </w:rPr>
            </w:pPr>
            <w:r>
              <w:rPr>
                <w:rFonts w:ascii="Arial" w:cs="Arial" w:eastAsia="Arial" w:hAnsi="Arial"/>
                <w:sz w:val="14"/>
                <w:szCs w:val="14"/>
                <w:b w:val="1"/>
                <w:bCs w:val="1"/>
                <w:color w:val="auto"/>
              </w:rPr>
              <w:t>2019</w:t>
            </w:r>
          </w:p>
        </w:tc>
        <w:tc>
          <w:tcPr>
            <w:tcW w:w="14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65"/>
        </w:trPr>
        <w:tc>
          <w:tcPr>
            <w:tcW w:w="62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6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$1,253.1</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$1,185.3</w:t>
            </w:r>
          </w:p>
        </w:tc>
        <w:tc>
          <w:tcPr>
            <w:tcW w:w="14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5.7%</w:t>
            </w:r>
          </w:p>
        </w:tc>
      </w:tr>
      <w:tr>
        <w:trPr>
          <w:trHeight w:val="264"/>
        </w:trPr>
        <w:tc>
          <w:tcPr>
            <w:tcW w:w="62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 (loss)</w:t>
            </w:r>
          </w:p>
        </w:tc>
        <w:tc>
          <w:tcPr>
            <w:tcW w:w="16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$(2,750.7)</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$49.9</w:t>
            </w:r>
          </w:p>
        </w:tc>
        <w:tc>
          <w:tcPr>
            <w:tcW w:w="14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r>
      <w:tr>
        <w:trPr>
          <w:trHeight w:val="263"/>
        </w:trPr>
        <w:tc>
          <w:tcPr>
            <w:tcW w:w="62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6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$104.8</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$139.7</w:t>
            </w:r>
          </w:p>
        </w:tc>
        <w:tc>
          <w:tcPr>
            <w:tcW w:w="14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(25.0%)</w:t>
            </w:r>
          </w:p>
        </w:tc>
      </w:tr>
      <w:tr>
        <w:trPr>
          <w:trHeight w:val="263"/>
        </w:trPr>
        <w:tc>
          <w:tcPr>
            <w:tcW w:w="62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6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8.4%</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11.8%</w:t>
            </w:r>
          </w:p>
        </w:tc>
        <w:tc>
          <w:tcPr>
            <w:tcW w:w="14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(340 bps)</w:t>
            </w:r>
          </w:p>
        </w:tc>
      </w:tr>
      <w:tr>
        <w:trPr>
          <w:trHeight w:val="322"/>
        </w:trPr>
        <w:tc>
          <w:tcPr>
            <w:tcW w:w="6280" w:type="dxa"/>
            <w:vAlign w:val="bottom"/>
            <w:tcBorders>
              <w:left w:val="single" w:sz="8" w:color="B8CCE4"/>
              <w:bottom w:val="single" w:sz="8" w:color="B8CCE4"/>
            </w:tcBorders>
          </w:tcPr>
          <w:p>
            <w:pPr>
              <w:spacing w:after="0"/>
              <w:rPr>
                <w:sz w:val="24"/>
                <w:szCs w:val="24"/>
                <w:color w:val="auto"/>
              </w:rPr>
            </w:pPr>
          </w:p>
        </w:tc>
        <w:tc>
          <w:tcPr>
            <w:tcW w:w="1660" w:type="dxa"/>
            <w:vAlign w:val="bottom"/>
            <w:tcBorders>
              <w:bottom w:val="single" w:sz="8" w:color="B8CCE4"/>
            </w:tcBorders>
          </w:tcPr>
          <w:p>
            <w:pPr>
              <w:spacing w:after="0"/>
              <w:rPr>
                <w:sz w:val="24"/>
                <w:szCs w:val="24"/>
                <w:color w:val="auto"/>
              </w:rPr>
            </w:pPr>
          </w:p>
        </w:tc>
        <w:tc>
          <w:tcPr>
            <w:tcW w:w="1880" w:type="dxa"/>
            <w:vAlign w:val="bottom"/>
            <w:tcBorders>
              <w:bottom w:val="single" w:sz="8" w:color="B8CCE4"/>
            </w:tcBorders>
          </w:tcPr>
          <w:p>
            <w:pPr>
              <w:spacing w:after="0"/>
              <w:rPr>
                <w:sz w:val="24"/>
                <w:szCs w:val="24"/>
                <w:color w:val="auto"/>
              </w:rPr>
            </w:pPr>
          </w:p>
        </w:tc>
        <w:tc>
          <w:tcPr>
            <w:tcW w:w="1440" w:type="dxa"/>
            <w:vAlign w:val="bottom"/>
            <w:tcBorders>
              <w:bottom w:val="single" w:sz="8" w:color="B8CCE4"/>
              <w:right w:val="single" w:sz="8" w:color="B8CCE4"/>
            </w:tcBorders>
          </w:tcPr>
          <w:p>
            <w:pPr>
              <w:spacing w:after="0"/>
              <w:rPr>
                <w:sz w:val="24"/>
                <w:szCs w:val="24"/>
                <w:color w:val="auto"/>
              </w:rPr>
            </w:pPr>
          </w:p>
        </w:tc>
      </w:tr>
      <w:tr>
        <w:trPr>
          <w:trHeight w:val="259"/>
        </w:trPr>
        <w:tc>
          <w:tcPr>
            <w:tcW w:w="62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6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$1,172.1</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$2,677.6</w:t>
            </w:r>
          </w:p>
        </w:tc>
        <w:tc>
          <w:tcPr>
            <w:tcW w:w="14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(56.2%)</w:t>
            </w:r>
          </w:p>
        </w:tc>
      </w:tr>
      <w:tr>
        <w:trPr>
          <w:trHeight w:val="263"/>
        </w:trPr>
        <w:tc>
          <w:tcPr>
            <w:tcW w:w="62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6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$7,773.5</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$7,477.3</w:t>
            </w:r>
          </w:p>
        </w:tc>
        <w:tc>
          <w:tcPr>
            <w:tcW w:w="14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4.0%</w:t>
            </w:r>
          </w:p>
        </w:tc>
      </w:tr>
    </w:tbl>
    <w:p>
      <w:pPr>
        <w:spacing w:after="0" w:line="388"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Subsea reported first quarter revenue of $1,253.1 million, up 5.7 percent from the prior year, driven by the strong inbound orders in prior periods. Revenue growth was driven by strength in the United States and Norway. The growth was partially offset by foreign exchange translation of $66 million due to the strengthening U.S. dollar and COVID-19 related disruptions to supply chain and operations.</w:t>
      </w:r>
    </w:p>
    <w:p>
      <w:pPr>
        <w:spacing w:after="0" w:line="170"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The global COVID-19 pandemic created headwinds to both revenue and profit in the quarter. Project and service disruptions varied, and in some instances, the impacts delayed revenue recognition to future periods. Reduced productivity and lower asset utilization had a modestly negative impact to profitability in the period.</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In the quarter, Subsea recorded non-cash impairment and other charges totaling $2,776.5 million, which included:</w:t>
      </w:r>
    </w:p>
    <w:p>
      <w:pPr>
        <w:spacing w:after="0" w:line="175" w:lineRule="exact"/>
        <w:rPr>
          <w:sz w:val="20"/>
          <w:szCs w:val="20"/>
          <w:color w:val="auto"/>
        </w:rPr>
      </w:pPr>
    </w:p>
    <w:p>
      <w:pPr>
        <w:ind w:left="660" w:right="40" w:hanging="328"/>
        <w:spacing w:after="0" w:line="246"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Goodwill impairment charge of $2,747.5 million due to the decline in the Company’s market capitalization with no further goodwill attributable to the segment; and</w:t>
      </w:r>
    </w:p>
    <w:p>
      <w:pPr>
        <w:spacing w:after="0" w:line="41" w:lineRule="exact"/>
        <w:rPr>
          <w:rFonts w:ascii="Arial" w:cs="Arial" w:eastAsia="Arial" w:hAnsi="Arial"/>
          <w:sz w:val="20"/>
          <w:szCs w:val="20"/>
          <w:color w:val="auto"/>
        </w:rPr>
      </w:pPr>
    </w:p>
    <w:p>
      <w:pPr>
        <w:ind w:left="660" w:right="40" w:hanging="328"/>
        <w:spacing w:after="0" w:line="246"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Fixed asset impairment charges totaling $29 million primarily driven by lower projected demand for certain installation and service equipment.</w:t>
      </w:r>
    </w:p>
    <w:p>
      <w:pPr>
        <w:spacing w:after="0" w:line="163"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Subsea reported an operating loss of $2,750.7 million; adjusted EBITDA was $104.8 million with a margin of 8.4 percent, a decrease of 340 basis points from the prior-year quarter. Adjusted EBITDA declined versus the prior year due to the negative operational impacts of COVID-19 and the absence of more favorably priced backlog which benefited the prior-year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100"/>
        <w:spacing w:after="0"/>
        <w:tabs>
          <w:tab w:leader="none" w:pos="103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4 of </w:t>
      </w:r>
      <w:hyperlink w:anchor="page32">
        <w:r>
          <w:rPr>
            <w:rFonts w:ascii="Arial" w:cs="Arial" w:eastAsia="Arial" w:hAnsi="Arial"/>
            <w:sz w:val="14"/>
            <w:szCs w:val="14"/>
            <w:b w:val="1"/>
            <w:bCs w:val="1"/>
            <w:color w:val="auto"/>
          </w:rPr>
          <w:t>28</w:t>
        </w:r>
      </w:hyperlink>
    </w:p>
    <w:p>
      <w:pPr>
        <w:sectPr>
          <w:pgSz w:w="11900" w:h="16838" w:orient="portrait"/>
          <w:cols w:equalWidth="0" w:num="1">
            <w:col w:w="11260"/>
          </w:cols>
          <w:pgMar w:left="320" w:top="1165" w:right="319" w:bottom="1440" w:gutter="0" w:footer="0" w:header="0"/>
        </w:sectPr>
      </w:pPr>
    </w:p>
    <w:bookmarkStart w:id="8" w:name="page9"/>
    <w:bookmarkEnd w:id="8"/>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First Quarter Subsea Highlights</w:t>
      </w:r>
    </w:p>
    <w:p>
      <w:pPr>
        <w:spacing w:after="0" w:line="8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BP Atlantis Phase 3 iEPCI™ </w:t>
      </w:r>
      <w:r>
        <w:rPr>
          <w:rFonts w:ascii="Arial" w:cs="Arial" w:eastAsia="Arial" w:hAnsi="Arial"/>
          <w:sz w:val="17"/>
          <w:szCs w:val="17"/>
          <w:b w:val="1"/>
          <w:bCs w:val="1"/>
          <w:color w:val="auto"/>
        </w:rPr>
        <w:t>(Gulf of Mexico)</w:t>
      </w:r>
    </w:p>
    <w:p>
      <w:pPr>
        <w:spacing w:after="0" w:line="2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Completion of fabrication and installation of the flowline system.</w:t>
      </w:r>
    </w:p>
    <w:p>
      <w:pPr>
        <w:spacing w:after="0" w:line="83" w:lineRule="exact"/>
        <w:rPr>
          <w:rFonts w:ascii="Arial" w:cs="Arial" w:eastAsia="Arial" w:hAnsi="Arial"/>
          <w:sz w:val="20"/>
          <w:szCs w:val="20"/>
          <w:b w:val="1"/>
          <w:bCs w:val="1"/>
          <w:color w:val="auto"/>
        </w:rPr>
      </w:pPr>
    </w:p>
    <w:p>
      <w:pPr>
        <w:ind w:left="660" w:right="7400" w:hanging="328"/>
        <w:spacing w:after="0" w:line="271" w:lineRule="auto"/>
        <w:tabs>
          <w:tab w:leader="none" w:pos="66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ExxonMobil Liza Phase 1 </w:t>
      </w:r>
      <w:r>
        <w:rPr>
          <w:rFonts w:ascii="Arial" w:cs="Arial" w:eastAsia="Arial" w:hAnsi="Arial"/>
          <w:sz w:val="17"/>
          <w:szCs w:val="17"/>
          <w:b w:val="1"/>
          <w:bCs w:val="1"/>
          <w:color w:val="auto"/>
        </w:rPr>
        <w:t>(Guyana)</w:t>
      </w:r>
      <w:r>
        <w:rPr>
          <w:rFonts w:ascii="Arial" w:cs="Arial" w:eastAsia="Arial" w:hAnsi="Arial"/>
          <w:sz w:val="20"/>
          <w:szCs w:val="20"/>
          <w:b w:val="1"/>
          <w:bCs w:val="1"/>
          <w:color w:val="auto"/>
        </w:rPr>
        <w:t xml:space="preserve"> </w:t>
      </w:r>
      <w:r>
        <w:rPr>
          <w:rFonts w:ascii="Arial" w:cs="Arial" w:eastAsia="Arial" w:hAnsi="Arial"/>
          <w:sz w:val="20"/>
          <w:szCs w:val="20"/>
          <w:color w:val="auto"/>
        </w:rPr>
        <w:t>Final subsea trees delivered.</w:t>
      </w:r>
    </w:p>
    <w:p>
      <w:pPr>
        <w:spacing w:after="0" w:line="47" w:lineRule="exact"/>
        <w:rPr>
          <w:rFonts w:ascii="Arial" w:cs="Arial" w:eastAsia="Arial" w:hAnsi="Arial"/>
          <w:sz w:val="20"/>
          <w:szCs w:val="20"/>
          <w:b w:val="1"/>
          <w:bCs w:val="1"/>
          <w:color w:val="auto"/>
        </w:rPr>
      </w:pPr>
    </w:p>
    <w:p>
      <w:pPr>
        <w:ind w:left="660" w:hanging="328"/>
        <w:spacing w:after="0"/>
        <w:tabs>
          <w:tab w:leader="none" w:pos="66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Energean Deepwater Well Services </w:t>
      </w:r>
      <w:r>
        <w:rPr>
          <w:rFonts w:ascii="Arial" w:cs="Arial" w:eastAsia="Arial" w:hAnsi="Arial"/>
          <w:sz w:val="17"/>
          <w:szCs w:val="17"/>
          <w:b w:val="1"/>
          <w:bCs w:val="1"/>
          <w:color w:val="auto"/>
        </w:rPr>
        <w:t>(Israel)</w:t>
      </w:r>
    </w:p>
    <w:p>
      <w:pPr>
        <w:spacing w:after="0" w:line="23" w:lineRule="exact"/>
        <w:rPr>
          <w:rFonts w:ascii="Arial" w:cs="Arial" w:eastAsia="Arial" w:hAnsi="Arial"/>
          <w:sz w:val="20"/>
          <w:szCs w:val="20"/>
          <w:b w:val="1"/>
          <w:bCs w:val="1"/>
          <w:color w:val="auto"/>
        </w:rPr>
      </w:pPr>
    </w:p>
    <w:p>
      <w:pPr>
        <w:ind w:left="66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First gas flowback and well clean-up to the Stena DrillMAX drillship using the newly developed deepwater landing string on a three well completion campaign for the Karish project.</w:t>
      </w:r>
    </w:p>
    <w:p>
      <w:pPr>
        <w:spacing w:after="0" w:line="200" w:lineRule="exact"/>
        <w:rPr>
          <w:sz w:val="20"/>
          <w:szCs w:val="20"/>
          <w:color w:val="auto"/>
        </w:rPr>
      </w:pPr>
    </w:p>
    <w:p>
      <w:pPr>
        <w:spacing w:after="0" w:line="301"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Subsea inbound orders for the quarter were $1,172.1 million, resulting in a book-to-bill of 0.9. The following announced awards were included in the period:</w:t>
      </w:r>
    </w:p>
    <w:p>
      <w:pPr>
        <w:spacing w:after="0" w:line="19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BP Platina iEPCI™ Project </w:t>
      </w:r>
      <w:r>
        <w:rPr>
          <w:rFonts w:ascii="Arial" w:cs="Arial" w:eastAsia="Arial" w:hAnsi="Arial"/>
          <w:sz w:val="17"/>
          <w:szCs w:val="17"/>
          <w:b w:val="1"/>
          <w:bCs w:val="1"/>
          <w:color w:val="auto"/>
        </w:rPr>
        <w:t>(Angola)</w:t>
      </w:r>
    </w:p>
    <w:p>
      <w:pPr>
        <w:spacing w:after="0" w:line="23" w:lineRule="exact"/>
        <w:rPr>
          <w:rFonts w:ascii="Arial" w:cs="Arial" w:eastAsia="Arial" w:hAnsi="Arial"/>
          <w:sz w:val="20"/>
          <w:szCs w:val="20"/>
          <w:b w:val="1"/>
          <w:bCs w:val="1"/>
          <w:color w:val="auto"/>
        </w:rPr>
      </w:pPr>
    </w:p>
    <w:p>
      <w:pPr>
        <w:jc w:val="both"/>
        <w:ind w:left="660"/>
        <w:spacing w:after="0"/>
        <w:rPr>
          <w:rFonts w:ascii="Arial" w:cs="Arial" w:eastAsia="Arial" w:hAnsi="Arial"/>
          <w:sz w:val="20"/>
          <w:szCs w:val="20"/>
          <w:b w:val="1"/>
          <w:bCs w:val="1"/>
          <w:color w:val="auto"/>
        </w:rPr>
      </w:pPr>
      <w:r>
        <w:rPr>
          <w:rFonts w:ascii="Arial" w:cs="Arial" w:eastAsia="Arial" w:hAnsi="Arial"/>
          <w:sz w:val="20"/>
          <w:szCs w:val="20"/>
          <w:color w:val="auto"/>
        </w:rPr>
        <w:t>Significant* integrated engineering, procurement, construction and installation (iEPCI™) contract from BP Angola for the Platina field development. The contract covers the manufacture, delivery and installation of the subsea equipment including subsea trees, a production manifold with associated subsea control and connection systems, as well as rigid pipelines, umbilicals and flexible jumpers.</w:t>
      </w:r>
    </w:p>
    <w:p>
      <w:pPr>
        <w:ind w:left="660"/>
        <w:spacing w:after="0"/>
        <w:rPr>
          <w:rFonts w:ascii="Arial" w:cs="Arial" w:eastAsia="Arial" w:hAnsi="Arial"/>
          <w:sz w:val="20"/>
          <w:szCs w:val="20"/>
          <w:b w:val="1"/>
          <w:bCs w:val="1"/>
          <w:color w:val="auto"/>
        </w:rPr>
      </w:pPr>
      <w:r>
        <w:rPr>
          <w:rFonts w:ascii="Arial" w:cs="Arial" w:eastAsia="Arial" w:hAnsi="Arial"/>
          <w:sz w:val="18"/>
          <w:szCs w:val="18"/>
          <w:i w:val="1"/>
          <w:iCs w:val="1"/>
          <w:color w:val="auto"/>
        </w:rPr>
        <w:t>* A “significant” award ranges between $75 million and $250 million.</w:t>
      </w:r>
    </w:p>
    <w:p>
      <w:pPr>
        <w:spacing w:after="0" w:line="198" w:lineRule="exact"/>
        <w:rPr>
          <w:rFonts w:ascii="Arial" w:cs="Arial" w:eastAsia="Arial" w:hAnsi="Arial"/>
          <w:sz w:val="20"/>
          <w:szCs w:val="20"/>
          <w:b w:val="1"/>
          <w:bCs w:val="1"/>
          <w:color w:val="auto"/>
        </w:rPr>
      </w:pPr>
    </w:p>
    <w:p>
      <w:pPr>
        <w:ind w:left="660" w:hanging="328"/>
        <w:spacing w:after="0"/>
        <w:tabs>
          <w:tab w:leader="none" w:pos="66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Woodside Lambert Deep and Greater Western Flank iEPCI™ Project </w:t>
      </w:r>
      <w:r>
        <w:rPr>
          <w:rFonts w:ascii="Arial" w:cs="Arial" w:eastAsia="Arial" w:hAnsi="Arial"/>
          <w:sz w:val="17"/>
          <w:szCs w:val="17"/>
          <w:b w:val="1"/>
          <w:bCs w:val="1"/>
          <w:color w:val="auto"/>
        </w:rPr>
        <w:t>(Australia)</w:t>
      </w:r>
    </w:p>
    <w:p>
      <w:pPr>
        <w:spacing w:after="0" w:line="23" w:lineRule="exact"/>
        <w:rPr>
          <w:rFonts w:ascii="Arial" w:cs="Arial" w:eastAsia="Arial" w:hAnsi="Arial"/>
          <w:sz w:val="20"/>
          <w:szCs w:val="20"/>
          <w:b w:val="1"/>
          <w:bCs w:val="1"/>
          <w:color w:val="auto"/>
        </w:rPr>
      </w:pPr>
    </w:p>
    <w:p>
      <w:pPr>
        <w:jc w:val="both"/>
        <w:ind w:left="660"/>
        <w:spacing w:after="0"/>
        <w:rPr>
          <w:rFonts w:ascii="Arial" w:cs="Arial" w:eastAsia="Arial" w:hAnsi="Arial"/>
          <w:sz w:val="20"/>
          <w:szCs w:val="20"/>
          <w:b w:val="1"/>
          <w:bCs w:val="1"/>
          <w:color w:val="auto"/>
        </w:rPr>
      </w:pPr>
      <w:r>
        <w:rPr>
          <w:rFonts w:ascii="Arial" w:cs="Arial" w:eastAsia="Arial" w:hAnsi="Arial"/>
          <w:sz w:val="20"/>
          <w:szCs w:val="20"/>
          <w:color w:val="auto"/>
        </w:rPr>
        <w:t>Significant* integrated engineering, procurement, construction and installation (iEPCI™) contract from Woodside Energy Limited for the development of the Lambert Deep and Phase 3 of the Greater Western Flank fields. TechnipFMC will design, manufacture, deliver and install subsea equipment including subsea production system, flexible flowlines and umbilicals for connection to the Angel Platform. This is the second contract under the recently announced five-year iEPCI™ Frame Agreement between TechnipFMC and Woodside.</w:t>
      </w:r>
    </w:p>
    <w:p>
      <w:pPr>
        <w:ind w:left="660"/>
        <w:spacing w:after="0"/>
        <w:rPr>
          <w:rFonts w:ascii="Arial" w:cs="Arial" w:eastAsia="Arial" w:hAnsi="Arial"/>
          <w:sz w:val="20"/>
          <w:szCs w:val="20"/>
          <w:b w:val="1"/>
          <w:bCs w:val="1"/>
          <w:color w:val="auto"/>
        </w:rPr>
      </w:pPr>
      <w:r>
        <w:rPr>
          <w:rFonts w:ascii="Arial" w:cs="Arial" w:eastAsia="Arial" w:hAnsi="Arial"/>
          <w:sz w:val="18"/>
          <w:szCs w:val="18"/>
          <w:i w:val="1"/>
          <w:iCs w:val="1"/>
          <w:color w:val="auto"/>
        </w:rPr>
        <w:t>* A “significant” award ranges between $75 million and $250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100"/>
        <w:spacing w:after="0"/>
        <w:tabs>
          <w:tab w:leader="none" w:pos="103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5 of </w:t>
      </w:r>
      <w:hyperlink w:anchor="page32">
        <w:r>
          <w:rPr>
            <w:rFonts w:ascii="Arial" w:cs="Arial" w:eastAsia="Arial" w:hAnsi="Arial"/>
            <w:sz w:val="14"/>
            <w:szCs w:val="14"/>
            <w:b w:val="1"/>
            <w:bCs w:val="1"/>
            <w:color w:val="auto"/>
          </w:rPr>
          <w:t>28</w:t>
        </w:r>
      </w:hyperlink>
    </w:p>
    <w:p>
      <w:pPr>
        <w:sectPr>
          <w:pgSz w:w="11900" w:h="16838" w:orient="portrait"/>
          <w:cols w:equalWidth="0" w:num="1">
            <w:col w:w="11240"/>
          </w:cols>
          <w:pgMar w:left="320" w:top="1189"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83"/>
        </w:trPr>
        <w:tc>
          <w:tcPr>
            <w:tcW w:w="7180" w:type="dxa"/>
            <w:vAlign w:val="bottom"/>
            <w:tcBorders>
              <w:top w:val="single" w:sz="8" w:color="B6DDE8"/>
              <w:left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Subsea</w:t>
            </w:r>
          </w:p>
        </w:tc>
        <w:tc>
          <w:tcPr>
            <w:tcW w:w="2020" w:type="dxa"/>
            <w:vAlign w:val="bottom"/>
            <w:tcBorders>
              <w:top w:val="single" w:sz="8" w:color="B6DDE8"/>
              <w:right w:val="single" w:sz="8" w:color="B6DDE8"/>
            </w:tcBorders>
          </w:tcPr>
          <w:p>
            <w:pPr>
              <w:jc w:val="right"/>
              <w:ind w:right="341"/>
              <w:spacing w:after="0"/>
              <w:rPr>
                <w:sz w:val="20"/>
                <w:szCs w:val="20"/>
                <w:color w:val="auto"/>
              </w:rPr>
            </w:pPr>
            <w:r>
              <w:rPr>
                <w:rFonts w:ascii="Arial" w:cs="Arial" w:eastAsia="Arial" w:hAnsi="Arial"/>
                <w:sz w:val="20"/>
                <w:szCs w:val="20"/>
                <w:color w:val="auto"/>
              </w:rPr>
              <w:t>Consolidated</w:t>
            </w:r>
          </w:p>
        </w:tc>
        <w:tc>
          <w:tcPr>
            <w:tcW w:w="2000" w:type="dxa"/>
            <w:vAlign w:val="bottom"/>
            <w:tcBorders>
              <w:top w:val="single" w:sz="8" w:color="B6DDE8"/>
              <w:right w:val="single" w:sz="8" w:color="B6DDE8"/>
            </w:tcBorders>
          </w:tcPr>
          <w:p>
            <w:pPr>
              <w:jc w:val="right"/>
              <w:ind w:right="141"/>
              <w:spacing w:after="0"/>
              <w:rPr>
                <w:sz w:val="20"/>
                <w:szCs w:val="20"/>
                <w:color w:val="auto"/>
              </w:rPr>
            </w:pPr>
            <w:r>
              <w:rPr>
                <w:rFonts w:ascii="Arial" w:cs="Arial" w:eastAsia="Arial" w:hAnsi="Arial"/>
                <w:sz w:val="20"/>
                <w:szCs w:val="20"/>
                <w:color w:val="auto"/>
              </w:rPr>
              <w:t>Non-consolidated</w:t>
            </w:r>
          </w:p>
        </w:tc>
      </w:tr>
      <w:tr>
        <w:trPr>
          <w:trHeight w:val="216"/>
        </w:trPr>
        <w:tc>
          <w:tcPr>
            <w:tcW w:w="7180" w:type="dxa"/>
            <w:vAlign w:val="bottom"/>
            <w:tcBorders>
              <w:left w:val="single" w:sz="8" w:color="B6DDE8"/>
              <w:right w:val="single" w:sz="8" w:color="B6DDE8"/>
            </w:tcBorders>
          </w:tcPr>
          <w:p>
            <w:pPr>
              <w:ind w:left="40"/>
              <w:spacing w:after="0"/>
              <w:rPr>
                <w:sz w:val="20"/>
                <w:szCs w:val="20"/>
                <w:color w:val="auto"/>
              </w:rPr>
            </w:pPr>
            <w:r>
              <w:rPr>
                <w:rFonts w:ascii="Arial" w:cs="Arial" w:eastAsia="Arial" w:hAnsi="Arial"/>
                <w:sz w:val="18"/>
                <w:szCs w:val="18"/>
                <w:color w:val="auto"/>
              </w:rPr>
              <w:t>Estimated Backlog Scheduling as of March 31, 2020</w:t>
            </w:r>
          </w:p>
        </w:tc>
        <w:tc>
          <w:tcPr>
            <w:tcW w:w="2020" w:type="dxa"/>
            <w:vAlign w:val="bottom"/>
            <w:tcBorders>
              <w:right w:val="single" w:sz="8" w:color="B6DDE8"/>
            </w:tcBorders>
          </w:tcPr>
          <w:p>
            <w:pPr>
              <w:jc w:val="right"/>
              <w:ind w:right="501"/>
              <w:spacing w:after="0" w:line="216" w:lineRule="exact"/>
              <w:rPr>
                <w:sz w:val="20"/>
                <w:szCs w:val="20"/>
                <w:color w:val="auto"/>
              </w:rPr>
            </w:pPr>
            <w:r>
              <w:rPr>
                <w:rFonts w:ascii="Arial" w:cs="Arial" w:eastAsia="Arial" w:hAnsi="Arial"/>
                <w:sz w:val="20"/>
                <w:szCs w:val="20"/>
                <w:color w:val="auto"/>
              </w:rPr>
              <w:t>backlog</w:t>
            </w:r>
            <w:r>
              <w:rPr>
                <w:rFonts w:ascii="Arial" w:cs="Arial" w:eastAsia="Arial" w:hAnsi="Arial"/>
                <w:sz w:val="25"/>
                <w:szCs w:val="25"/>
                <w:color w:val="auto"/>
                <w:vertAlign w:val="superscript"/>
              </w:rPr>
              <w:t>1,2</w:t>
            </w:r>
          </w:p>
        </w:tc>
        <w:tc>
          <w:tcPr>
            <w:tcW w:w="2000" w:type="dxa"/>
            <w:vAlign w:val="bottom"/>
            <w:tcBorders>
              <w:right w:val="single" w:sz="8" w:color="B6DDE8"/>
            </w:tcBorders>
          </w:tcPr>
          <w:p>
            <w:pPr>
              <w:jc w:val="right"/>
              <w:ind w:right="541"/>
              <w:spacing w:after="0" w:line="216" w:lineRule="exact"/>
              <w:rPr>
                <w:sz w:val="20"/>
                <w:szCs w:val="20"/>
                <w:color w:val="auto"/>
              </w:rPr>
            </w:pPr>
            <w:r>
              <w:rPr>
                <w:rFonts w:ascii="Arial" w:cs="Arial" w:eastAsia="Arial" w:hAnsi="Arial"/>
                <w:sz w:val="20"/>
                <w:szCs w:val="20"/>
                <w:color w:val="auto"/>
              </w:rPr>
              <w:t>backlog</w:t>
            </w:r>
            <w:r>
              <w:rPr>
                <w:rFonts w:ascii="Arial" w:cs="Arial" w:eastAsia="Arial" w:hAnsi="Arial"/>
                <w:sz w:val="25"/>
                <w:szCs w:val="25"/>
                <w:color w:val="auto"/>
                <w:vertAlign w:val="superscript"/>
              </w:rPr>
              <w:t>3</w:t>
            </w:r>
          </w:p>
        </w:tc>
      </w:tr>
      <w:tr>
        <w:trPr>
          <w:trHeight w:val="156"/>
        </w:trPr>
        <w:tc>
          <w:tcPr>
            <w:tcW w:w="7180" w:type="dxa"/>
            <w:vAlign w:val="bottom"/>
            <w:tcBorders>
              <w:left w:val="single" w:sz="8" w:color="B6DDE8"/>
              <w:bottom w:val="single" w:sz="8" w:color="B8CCE4"/>
              <w:right w:val="single" w:sz="8" w:color="B6DDE8"/>
            </w:tcBorders>
          </w:tcPr>
          <w:p>
            <w:pPr>
              <w:ind w:left="40"/>
              <w:spacing w:after="0" w:line="149" w:lineRule="exact"/>
              <w:rPr>
                <w:sz w:val="20"/>
                <w:szCs w:val="20"/>
                <w:color w:val="auto"/>
              </w:rPr>
            </w:pPr>
            <w:r>
              <w:rPr>
                <w:rFonts w:ascii="Arial" w:cs="Arial" w:eastAsia="Arial" w:hAnsi="Arial"/>
                <w:sz w:val="14"/>
                <w:szCs w:val="14"/>
                <w:color w:val="auto"/>
              </w:rPr>
              <w:t>(In millions)</w:t>
            </w:r>
          </w:p>
        </w:tc>
        <w:tc>
          <w:tcPr>
            <w:tcW w:w="2020" w:type="dxa"/>
            <w:vAlign w:val="bottom"/>
            <w:tcBorders>
              <w:bottom w:val="single" w:sz="8" w:color="B8CCE4"/>
              <w:right w:val="single" w:sz="8" w:color="B6DDE8"/>
            </w:tcBorders>
          </w:tcPr>
          <w:p>
            <w:pPr>
              <w:spacing w:after="0"/>
              <w:rPr>
                <w:sz w:val="13"/>
                <w:szCs w:val="13"/>
                <w:color w:val="auto"/>
              </w:rPr>
            </w:pPr>
          </w:p>
        </w:tc>
        <w:tc>
          <w:tcPr>
            <w:tcW w:w="2000" w:type="dxa"/>
            <w:vAlign w:val="bottom"/>
            <w:tcBorders>
              <w:bottom w:val="single" w:sz="8" w:color="B8CCE4"/>
              <w:right w:val="single" w:sz="8" w:color="B6DDE8"/>
            </w:tcBorders>
          </w:tcPr>
          <w:p>
            <w:pPr>
              <w:spacing w:after="0"/>
              <w:rPr>
                <w:sz w:val="13"/>
                <w:szCs w:val="13"/>
                <w:color w:val="auto"/>
              </w:rPr>
            </w:pPr>
          </w:p>
        </w:tc>
      </w:tr>
      <w:tr>
        <w:trPr>
          <w:trHeight w:val="266"/>
        </w:trPr>
        <w:tc>
          <w:tcPr>
            <w:tcW w:w="7180" w:type="dxa"/>
            <w:vAlign w:val="bottom"/>
            <w:tcBorders>
              <w:left w:val="single" w:sz="8" w:color="B6DDE8"/>
              <w:bottom w:val="single" w:sz="8" w:color="BFE4FF"/>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2020 (9 months)</w:t>
            </w:r>
          </w:p>
        </w:tc>
        <w:tc>
          <w:tcPr>
            <w:tcW w:w="202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$3,100</w:t>
            </w:r>
          </w:p>
        </w:tc>
        <w:tc>
          <w:tcPr>
            <w:tcW w:w="200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$106</w:t>
            </w:r>
          </w:p>
        </w:tc>
      </w:tr>
      <w:tr>
        <w:trPr>
          <w:trHeight w:val="263"/>
        </w:trPr>
        <w:tc>
          <w:tcPr>
            <w:tcW w:w="718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2021</w:t>
            </w:r>
          </w:p>
        </w:tc>
        <w:tc>
          <w:tcPr>
            <w:tcW w:w="202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$2,800</w:t>
            </w:r>
          </w:p>
        </w:tc>
        <w:tc>
          <w:tcPr>
            <w:tcW w:w="200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$132</w:t>
            </w:r>
          </w:p>
        </w:tc>
      </w:tr>
      <w:tr>
        <w:trPr>
          <w:trHeight w:val="263"/>
        </w:trPr>
        <w:tc>
          <w:tcPr>
            <w:tcW w:w="718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2022 and beyond</w:t>
            </w:r>
          </w:p>
        </w:tc>
        <w:tc>
          <w:tcPr>
            <w:tcW w:w="202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$1,874</w:t>
            </w:r>
          </w:p>
        </w:tc>
        <w:tc>
          <w:tcPr>
            <w:tcW w:w="200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$524</w:t>
            </w:r>
          </w:p>
        </w:tc>
      </w:tr>
      <w:tr>
        <w:trPr>
          <w:trHeight w:val="264"/>
        </w:trPr>
        <w:tc>
          <w:tcPr>
            <w:tcW w:w="718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Total</w:t>
            </w:r>
          </w:p>
        </w:tc>
        <w:tc>
          <w:tcPr>
            <w:tcW w:w="202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$7,774</w:t>
            </w:r>
          </w:p>
        </w:tc>
        <w:tc>
          <w:tcPr>
            <w:tcW w:w="200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$762</w:t>
            </w:r>
          </w:p>
        </w:tc>
      </w:tr>
    </w:tbl>
    <w:p>
      <w:pPr>
        <w:ind w:left="140" w:hanging="105"/>
        <w:spacing w:after="0" w:line="230" w:lineRule="auto"/>
        <w:tabs>
          <w:tab w:leader="none" w:pos="140" w:val="left"/>
        </w:tabs>
        <w:numPr>
          <w:ilvl w:val="0"/>
          <w:numId w:val="9"/>
        </w:numPr>
        <w:rPr>
          <w:rFonts w:ascii="Arial" w:cs="Arial" w:eastAsia="Arial" w:hAnsi="Arial"/>
          <w:sz w:val="22"/>
          <w:szCs w:val="22"/>
          <w:i w:val="1"/>
          <w:iCs w:val="1"/>
          <w:color w:val="auto"/>
          <w:vertAlign w:val="superscript"/>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Backlog in the period was reduced by a foreign exchange impact of $644 million.</w:t>
      </w:r>
    </w:p>
    <w:p>
      <w:pPr>
        <w:spacing w:after="0" w:line="207" w:lineRule="exact"/>
        <w:rPr>
          <w:sz w:val="20"/>
          <w:szCs w:val="20"/>
          <w:color w:val="auto"/>
        </w:rPr>
      </w:pPr>
    </w:p>
    <w:p>
      <w:pPr>
        <w:ind w:left="140" w:hanging="105"/>
        <w:spacing w:after="0"/>
        <w:tabs>
          <w:tab w:leader="none" w:pos="140" w:val="left"/>
        </w:tabs>
        <w:numPr>
          <w:ilvl w:val="0"/>
          <w:numId w:val="10"/>
        </w:numPr>
        <w:rPr>
          <w:rFonts w:ascii="Arial" w:cs="Arial" w:eastAsia="Arial" w:hAnsi="Arial"/>
          <w:sz w:val="22"/>
          <w:szCs w:val="22"/>
          <w:i w:val="1"/>
          <w:iCs w:val="1"/>
          <w:color w:val="auto"/>
          <w:vertAlign w:val="superscript"/>
        </w:rPr>
      </w:pPr>
      <w:r>
        <w:rPr>
          <w:rFonts w:ascii="Arial" w:cs="Arial" w:eastAsia="Arial" w:hAnsi="Arial"/>
          <w:sz w:val="18"/>
          <w:szCs w:val="18"/>
          <w:i w:val="1"/>
          <w:iCs w:val="1"/>
          <w:color w:val="auto"/>
        </w:rPr>
        <w:t>Backlog does not capture all revenue potential for subsea services.</w:t>
      </w:r>
    </w:p>
    <w:p>
      <w:pPr>
        <w:spacing w:after="0" w:line="37" w:lineRule="exact"/>
        <w:rPr>
          <w:sz w:val="20"/>
          <w:szCs w:val="20"/>
          <w:color w:val="auto"/>
        </w:rPr>
      </w:pPr>
    </w:p>
    <w:p>
      <w:pPr>
        <w:ind w:left="40" w:right="380" w:hanging="5"/>
        <w:spacing w:after="0" w:line="220" w:lineRule="auto"/>
        <w:tabs>
          <w:tab w:leader="none" w:pos="15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i w:val="1"/>
          <w:iCs w:val="1"/>
          <w:color w:val="auto"/>
        </w:rPr>
        <w:t>Non-consolidated backlog reflects the proportional share of backlog related to joint ventures that is not consolidated due to our minority ownership position.</w:t>
      </w:r>
    </w:p>
    <w:p>
      <w:pPr>
        <w:spacing w:after="0" w:line="22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Consolidated backlog at quarter end was $7,773.5 million, of which approximately $3,100 million is scheduled for execution over the remainder of 2020. The Company continues to engage with its customers and alliance partners as they work to update their business plans. The backlog reflects the current expectations for the timing of project execution. The Company did not receive any cancellations for projects in backlog during the period.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100"/>
        <w:spacing w:after="0"/>
        <w:tabs>
          <w:tab w:leader="none" w:pos="103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6 of </w:t>
      </w:r>
      <w:hyperlink w:anchor="page32">
        <w:r>
          <w:rPr>
            <w:rFonts w:ascii="Arial" w:cs="Arial" w:eastAsia="Arial" w:hAnsi="Arial"/>
            <w:sz w:val="14"/>
            <w:szCs w:val="14"/>
            <w:b w:val="1"/>
            <w:bCs w:val="1"/>
            <w:color w:val="auto"/>
          </w:rPr>
          <w:t>28</w:t>
        </w:r>
      </w:hyperlink>
    </w:p>
    <w:p>
      <w:pPr>
        <w:sectPr>
          <w:pgSz w:w="11900" w:h="16838" w:orient="portrait"/>
          <w:cols w:equalWidth="0" w:num="1">
            <w:col w:w="11240"/>
          </w:cols>
          <w:pgMar w:left="320" w:top="1307" w:right="339" w:bottom="1440" w:gutter="0" w:footer="0" w:header="0"/>
        </w:sectPr>
      </w:pPr>
    </w:p>
    <w:bookmarkStart w:id="10" w:name="page11"/>
    <w:bookmarkEnd w:id="10"/>
    <w:p>
      <w:pPr>
        <w:ind w:left="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Technip 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0" w:lineRule="exact"/>
        <w:rPr>
          <w:sz w:val="20"/>
          <w:szCs w:val="20"/>
          <w:color w:val="auto"/>
        </w:rPr>
      </w:pPr>
    </w:p>
    <w:p>
      <w:pPr>
        <w:ind w:right="180"/>
        <w:spacing w:after="0" w:line="353" w:lineRule="auto"/>
        <w:rPr>
          <w:sz w:val="20"/>
          <w:szCs w:val="20"/>
          <w:color w:val="auto"/>
        </w:rPr>
      </w:pPr>
      <w:r>
        <w:rPr>
          <w:rFonts w:ascii="Arial" w:cs="Arial" w:eastAsia="Arial" w:hAnsi="Arial"/>
          <w:sz w:val="20"/>
          <w:szCs w:val="20"/>
          <w:color w:val="auto"/>
        </w:rPr>
        <w:t xml:space="preserve">The Onshore/Offshore segment has been renamed Technip Energies and includes Genesis, Loading Systems and Cybernetix. </w:t>
      </w:r>
      <w:r>
        <w:rPr>
          <w:rFonts w:ascii="Arial" w:cs="Arial" w:eastAsia="Arial" w:hAnsi="Arial"/>
          <w:sz w:val="20"/>
          <w:szCs w:val="20"/>
          <w:b w:val="1"/>
          <w:bCs w:val="1"/>
          <w:color w:val="auto"/>
        </w:rPr>
        <w:t>Financial Highlights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606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880" w:type="dxa"/>
            <w:vAlign w:val="bottom"/>
            <w:tcBorders>
              <w:top w:val="single" w:sz="8" w:color="B8CCE4"/>
              <w:right w:val="single" w:sz="8" w:color="B8CCE4"/>
            </w:tcBorders>
          </w:tcPr>
          <w:p>
            <w:pPr>
              <w:jc w:val="right"/>
              <w:ind w:right="528"/>
              <w:spacing w:after="0"/>
              <w:rPr>
                <w:sz w:val="20"/>
                <w:szCs w:val="20"/>
                <w:color w:val="auto"/>
              </w:rPr>
            </w:pPr>
            <w:r>
              <w:rPr>
                <w:rFonts w:ascii="Arial" w:cs="Arial" w:eastAsia="Arial" w:hAnsi="Arial"/>
                <w:sz w:val="14"/>
                <w:szCs w:val="14"/>
                <w:b w:val="1"/>
                <w:bCs w:val="1"/>
                <w:color w:val="auto"/>
              </w:rPr>
              <w:t>March 31,</w:t>
            </w:r>
          </w:p>
        </w:tc>
        <w:tc>
          <w:tcPr>
            <w:tcW w:w="1760" w:type="dxa"/>
            <w:vAlign w:val="bottom"/>
            <w:tcBorders>
              <w:top w:val="single" w:sz="8" w:color="B8CCE4"/>
              <w:right w:val="single" w:sz="8" w:color="B8CCE4"/>
            </w:tcBorders>
          </w:tcPr>
          <w:p>
            <w:pPr>
              <w:jc w:val="right"/>
              <w:ind w:right="468"/>
              <w:spacing w:after="0"/>
              <w:rPr>
                <w:sz w:val="20"/>
                <w:szCs w:val="20"/>
                <w:color w:val="auto"/>
              </w:rPr>
            </w:pPr>
            <w:r>
              <w:rPr>
                <w:rFonts w:ascii="Arial" w:cs="Arial" w:eastAsia="Arial" w:hAnsi="Arial"/>
                <w:sz w:val="14"/>
                <w:szCs w:val="14"/>
                <w:b w:val="1"/>
                <w:bCs w:val="1"/>
                <w:color w:val="auto"/>
              </w:rPr>
              <w:t>March 31,</w:t>
            </w:r>
          </w:p>
        </w:tc>
        <w:tc>
          <w:tcPr>
            <w:tcW w:w="1560" w:type="dxa"/>
            <w:vAlign w:val="bottom"/>
            <w:tcBorders>
              <w:top w:val="single" w:sz="8" w:color="B8CCE4"/>
              <w:right w:val="single" w:sz="8" w:color="B8CCE4"/>
            </w:tcBorders>
          </w:tcPr>
          <w:p>
            <w:pPr>
              <w:spacing w:after="0"/>
              <w:rPr>
                <w:sz w:val="16"/>
                <w:szCs w:val="16"/>
                <w:color w:val="auto"/>
              </w:rPr>
            </w:pPr>
          </w:p>
        </w:tc>
      </w:tr>
      <w:tr>
        <w:trPr>
          <w:trHeight w:val="196"/>
        </w:trPr>
        <w:tc>
          <w:tcPr>
            <w:tcW w:w="60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880" w:type="dxa"/>
            <w:vAlign w:val="bottom"/>
            <w:tcBorders>
              <w:bottom w:val="single" w:sz="8" w:color="B8CCE4"/>
              <w:right w:val="single" w:sz="8" w:color="B8CCE4"/>
            </w:tcBorders>
          </w:tcPr>
          <w:p>
            <w:pPr>
              <w:jc w:val="right"/>
              <w:ind w:right="708"/>
              <w:spacing w:after="0"/>
              <w:rPr>
                <w:sz w:val="20"/>
                <w:szCs w:val="20"/>
                <w:color w:val="auto"/>
              </w:rPr>
            </w:pPr>
            <w:r>
              <w:rPr>
                <w:rFonts w:ascii="Arial" w:cs="Arial" w:eastAsia="Arial" w:hAnsi="Arial"/>
                <w:sz w:val="14"/>
                <w:szCs w:val="14"/>
                <w:b w:val="1"/>
                <w:bCs w:val="1"/>
                <w:color w:val="auto"/>
              </w:rPr>
              <w:t>2020</w:t>
            </w:r>
          </w:p>
        </w:tc>
        <w:tc>
          <w:tcPr>
            <w:tcW w:w="1760" w:type="dxa"/>
            <w:vAlign w:val="bottom"/>
            <w:tcBorders>
              <w:bottom w:val="single" w:sz="8" w:color="B8CCE4"/>
              <w:right w:val="single" w:sz="8" w:color="B8CCE4"/>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65"/>
        </w:trPr>
        <w:tc>
          <w:tcPr>
            <w:tcW w:w="60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$1,547.7</w:t>
            </w:r>
          </w:p>
        </w:tc>
        <w:tc>
          <w:tcPr>
            <w:tcW w:w="17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$1,335.1</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15.9%</w:t>
            </w:r>
          </w:p>
        </w:tc>
      </w:tr>
      <w:tr>
        <w:trPr>
          <w:trHeight w:val="264"/>
        </w:trPr>
        <w:tc>
          <w:tcPr>
            <w:tcW w:w="60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$151.2</w:t>
            </w:r>
          </w:p>
        </w:tc>
        <w:tc>
          <w:tcPr>
            <w:tcW w:w="17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$155.7</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(2.9%)</w:t>
            </w:r>
          </w:p>
        </w:tc>
      </w:tr>
      <w:tr>
        <w:trPr>
          <w:trHeight w:val="263"/>
        </w:trPr>
        <w:tc>
          <w:tcPr>
            <w:tcW w:w="60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$167.1</w:t>
            </w:r>
          </w:p>
        </w:tc>
        <w:tc>
          <w:tcPr>
            <w:tcW w:w="17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$194.8</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(14.2%)</w:t>
            </w:r>
          </w:p>
        </w:tc>
      </w:tr>
      <w:tr>
        <w:trPr>
          <w:trHeight w:val="263"/>
        </w:trPr>
        <w:tc>
          <w:tcPr>
            <w:tcW w:w="60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10.8%</w:t>
            </w:r>
          </w:p>
        </w:tc>
        <w:tc>
          <w:tcPr>
            <w:tcW w:w="17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14.6%</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(380 bps)</w:t>
            </w:r>
          </w:p>
        </w:tc>
      </w:tr>
      <w:tr>
        <w:trPr>
          <w:trHeight w:val="322"/>
        </w:trPr>
        <w:tc>
          <w:tcPr>
            <w:tcW w:w="6060" w:type="dxa"/>
            <w:vAlign w:val="bottom"/>
            <w:tcBorders>
              <w:left w:val="single" w:sz="8" w:color="B8CCE4"/>
              <w:bottom w:val="single" w:sz="8" w:color="B8CCE4"/>
            </w:tcBorders>
          </w:tcPr>
          <w:p>
            <w:pPr>
              <w:spacing w:after="0"/>
              <w:rPr>
                <w:sz w:val="24"/>
                <w:szCs w:val="24"/>
                <w:color w:val="auto"/>
              </w:rPr>
            </w:pPr>
          </w:p>
        </w:tc>
        <w:tc>
          <w:tcPr>
            <w:tcW w:w="1880" w:type="dxa"/>
            <w:vAlign w:val="bottom"/>
            <w:tcBorders>
              <w:bottom w:val="single" w:sz="8" w:color="B8CCE4"/>
            </w:tcBorders>
          </w:tcPr>
          <w:p>
            <w:pPr>
              <w:spacing w:after="0"/>
              <w:rPr>
                <w:sz w:val="24"/>
                <w:szCs w:val="24"/>
                <w:color w:val="auto"/>
              </w:rPr>
            </w:pPr>
          </w:p>
        </w:tc>
        <w:tc>
          <w:tcPr>
            <w:tcW w:w="1760" w:type="dxa"/>
            <w:vAlign w:val="bottom"/>
            <w:tcBorders>
              <w:bottom w:val="single" w:sz="8" w:color="B8CCE4"/>
            </w:tcBorders>
          </w:tcPr>
          <w:p>
            <w:pPr>
              <w:spacing w:after="0"/>
              <w:rPr>
                <w:sz w:val="24"/>
                <w:szCs w:val="24"/>
                <w:color w:val="auto"/>
              </w:rPr>
            </w:pPr>
          </w:p>
        </w:tc>
        <w:tc>
          <w:tcPr>
            <w:tcW w:w="1560" w:type="dxa"/>
            <w:vAlign w:val="bottom"/>
            <w:tcBorders>
              <w:bottom w:val="single" w:sz="8" w:color="B8CCE4"/>
              <w:right w:val="single" w:sz="8" w:color="B8CCE4"/>
            </w:tcBorders>
          </w:tcPr>
          <w:p>
            <w:pPr>
              <w:spacing w:after="0"/>
              <w:rPr>
                <w:sz w:val="24"/>
                <w:szCs w:val="24"/>
                <w:color w:val="auto"/>
              </w:rPr>
            </w:pPr>
          </w:p>
        </w:tc>
      </w:tr>
      <w:tr>
        <w:trPr>
          <w:trHeight w:val="259"/>
        </w:trPr>
        <w:tc>
          <w:tcPr>
            <w:tcW w:w="60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$560.6</w:t>
            </w:r>
          </w:p>
        </w:tc>
        <w:tc>
          <w:tcPr>
            <w:tcW w:w="17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$3,138.9</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(82.1%)</w:t>
            </w:r>
          </w:p>
        </w:tc>
      </w:tr>
      <w:tr>
        <w:trPr>
          <w:trHeight w:val="263"/>
        </w:trPr>
        <w:tc>
          <w:tcPr>
            <w:tcW w:w="60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8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$13,766.6</w:t>
            </w:r>
          </w:p>
        </w:tc>
        <w:tc>
          <w:tcPr>
            <w:tcW w:w="17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$9,862.7</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39.6%</w:t>
            </w:r>
          </w:p>
        </w:tc>
      </w:tr>
    </w:tbl>
    <w:p>
      <w:pPr>
        <w:spacing w:after="0" w:line="388"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Technip Energies reported first quarter revenue of $ 1,547.7 million. Revenue increased 15.9 percent from the prior-year quarter, primarily driven by higher activity in Europe, North America and our Process Technology business. The continued ramp-up of Arctic LNG 2 and increased activity on downstream projects more than offset the decline in revenue from Yamal LNG which continues to progress through the warranty phase. COVID-19 related operational inefficiencies and business disruption impeded revenue growth in the quarter.</w:t>
      </w:r>
    </w:p>
    <w:p>
      <w:pPr>
        <w:spacing w:after="0" w:line="168"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Technip Energies reported operating profit of $151.2 million; adjusted EBITDA was $ 167.1 million. Operating profit decreased 2.9 percent versus the prior-year quarter primarily due to a reduced contribution from Yamal LNG and lower margin realization on early stage projects, including Arctic LNG 2. Project execution remained strong across the portfolio. These same factors drove the year-over-year decrease in adjusted EBITDA. Adjusted EBITDA margin decreased 380 basis points from the prior-year results to 10.8 percent.</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color w:val="auto"/>
        </w:rPr>
        <w:t>First Quarter Technip Energies Highlights</w:t>
      </w:r>
    </w:p>
    <w:p>
      <w:pPr>
        <w:spacing w:after="0" w:line="8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ENI Coral South FLNG </w:t>
      </w:r>
      <w:r>
        <w:rPr>
          <w:rFonts w:ascii="Arial" w:cs="Arial" w:eastAsia="Arial" w:hAnsi="Arial"/>
          <w:sz w:val="17"/>
          <w:szCs w:val="17"/>
          <w:b w:val="1"/>
          <w:bCs w:val="1"/>
          <w:color w:val="auto"/>
        </w:rPr>
        <w:t>(Mozambique)</w:t>
      </w:r>
    </w:p>
    <w:p>
      <w:pPr>
        <w:spacing w:after="0" w:line="23" w:lineRule="exact"/>
        <w:rPr>
          <w:rFonts w:ascii="Arial" w:cs="Arial" w:eastAsia="Arial" w:hAnsi="Arial"/>
          <w:sz w:val="20"/>
          <w:szCs w:val="20"/>
          <w:b w:val="1"/>
          <w:bCs w:val="1"/>
          <w:color w:val="auto"/>
        </w:rPr>
      </w:pPr>
    </w:p>
    <w:p>
      <w:pPr>
        <w:ind w:left="660" w:right="4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Successful launch of the hull. Fabrication activities well underway for the 12 gas treatment and LNG Topside modules; living quarters and pipe rack already installed.</w:t>
      </w:r>
    </w:p>
    <w:p>
      <w:pPr>
        <w:spacing w:after="0" w:line="71" w:lineRule="exact"/>
        <w:rPr>
          <w:rFonts w:ascii="Arial" w:cs="Arial" w:eastAsia="Arial" w:hAnsi="Arial"/>
          <w:sz w:val="20"/>
          <w:szCs w:val="20"/>
          <w:b w:val="1"/>
          <w:bCs w:val="1"/>
          <w:color w:val="auto"/>
        </w:rPr>
      </w:pPr>
    </w:p>
    <w:p>
      <w:pPr>
        <w:ind w:left="660" w:hanging="328"/>
        <w:spacing w:after="0"/>
        <w:tabs>
          <w:tab w:leader="none" w:pos="66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Arctic LNG 2 </w:t>
      </w:r>
      <w:r>
        <w:rPr>
          <w:rFonts w:ascii="Arial" w:cs="Arial" w:eastAsia="Arial" w:hAnsi="Arial"/>
          <w:sz w:val="17"/>
          <w:szCs w:val="17"/>
          <w:b w:val="1"/>
          <w:bCs w:val="1"/>
          <w:color w:val="auto"/>
        </w:rPr>
        <w:t>(Russia)</w:t>
      </w:r>
    </w:p>
    <w:p>
      <w:pPr>
        <w:spacing w:after="0" w:line="2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First pile drilled ahead of schedule at Gydan Arctic site.</w:t>
      </w:r>
    </w:p>
    <w:p>
      <w:pPr>
        <w:spacing w:after="0" w:line="83" w:lineRule="exact"/>
        <w:rPr>
          <w:rFonts w:ascii="Arial" w:cs="Arial" w:eastAsia="Arial" w:hAnsi="Arial"/>
          <w:sz w:val="20"/>
          <w:szCs w:val="20"/>
          <w:b w:val="1"/>
          <w:bCs w:val="1"/>
          <w:color w:val="auto"/>
        </w:rPr>
      </w:pPr>
    </w:p>
    <w:p>
      <w:pPr>
        <w:ind w:left="660" w:hanging="328"/>
        <w:spacing w:after="0"/>
        <w:tabs>
          <w:tab w:leader="none" w:pos="66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Energean Karish FPSO </w:t>
      </w:r>
      <w:r>
        <w:rPr>
          <w:rFonts w:ascii="Arial" w:cs="Arial" w:eastAsia="Arial" w:hAnsi="Arial"/>
          <w:sz w:val="17"/>
          <w:szCs w:val="17"/>
          <w:b w:val="1"/>
          <w:bCs w:val="1"/>
          <w:color w:val="auto"/>
        </w:rPr>
        <w:t>(Israel)</w:t>
      </w:r>
    </w:p>
    <w:p>
      <w:pPr>
        <w:spacing w:after="0" w:line="2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FPSO hull sailed away from the Chinese yard; arrived in Singapore in mid-April.</w:t>
      </w:r>
    </w:p>
    <w:p>
      <w:pPr>
        <w:spacing w:after="0" w:line="83" w:lineRule="exact"/>
        <w:rPr>
          <w:rFonts w:ascii="Arial" w:cs="Arial" w:eastAsia="Arial" w:hAnsi="Arial"/>
          <w:sz w:val="20"/>
          <w:szCs w:val="20"/>
          <w:b w:val="1"/>
          <w:bCs w:val="1"/>
          <w:color w:val="auto"/>
        </w:rPr>
      </w:pPr>
    </w:p>
    <w:p>
      <w:pPr>
        <w:ind w:left="660" w:hanging="328"/>
        <w:spacing w:after="0"/>
        <w:tabs>
          <w:tab w:leader="none" w:pos="66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ENOC Refinery </w:t>
      </w:r>
      <w:r>
        <w:rPr>
          <w:rFonts w:ascii="Arial" w:cs="Arial" w:eastAsia="Arial" w:hAnsi="Arial"/>
          <w:sz w:val="17"/>
          <w:szCs w:val="17"/>
          <w:b w:val="1"/>
          <w:bCs w:val="1"/>
          <w:color w:val="auto"/>
        </w:rPr>
        <w:t>(Dubai)</w:t>
      </w:r>
    </w:p>
    <w:p>
      <w:pPr>
        <w:spacing w:after="0" w:line="2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Positive performance testing program with all test runs carried out by end of March.</w:t>
      </w:r>
    </w:p>
    <w:p>
      <w:pPr>
        <w:spacing w:after="0" w:line="83" w:lineRule="exact"/>
        <w:rPr>
          <w:rFonts w:ascii="Arial" w:cs="Arial" w:eastAsia="Arial" w:hAnsi="Arial"/>
          <w:sz w:val="20"/>
          <w:szCs w:val="20"/>
          <w:b w:val="1"/>
          <w:bCs w:val="1"/>
          <w:color w:val="auto"/>
        </w:rPr>
      </w:pPr>
    </w:p>
    <w:p>
      <w:pPr>
        <w:ind w:left="660" w:hanging="328"/>
        <w:spacing w:after="0"/>
        <w:tabs>
          <w:tab w:leader="none" w:pos="66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ZheJiang Petroleum &amp; Chemical Co. Ethylene Plant </w:t>
      </w:r>
      <w:r>
        <w:rPr>
          <w:rFonts w:ascii="Arial" w:cs="Arial" w:eastAsia="Arial" w:hAnsi="Arial"/>
          <w:sz w:val="17"/>
          <w:szCs w:val="17"/>
          <w:b w:val="1"/>
          <w:bCs w:val="1"/>
          <w:color w:val="auto"/>
        </w:rPr>
        <w:t>(China)</w:t>
      </w:r>
    </w:p>
    <w:p>
      <w:pPr>
        <w:spacing w:after="0" w:line="23" w:lineRule="exact"/>
        <w:rPr>
          <w:rFonts w:ascii="Arial" w:cs="Arial" w:eastAsia="Arial" w:hAnsi="Arial"/>
          <w:sz w:val="20"/>
          <w:szCs w:val="20"/>
          <w:b w:val="1"/>
          <w:bCs w:val="1"/>
          <w:color w:val="auto"/>
        </w:rPr>
      </w:pPr>
    </w:p>
    <w:p>
      <w:pPr>
        <w:ind w:left="660" w:right="2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Rapid startup of a 1,400 KTA ethylene plant where TechnipFMC provided license and process design as well as other key proprietary components.</w:t>
      </w:r>
    </w:p>
    <w:p>
      <w:pPr>
        <w:spacing w:after="0" w:line="200" w:lineRule="exact"/>
        <w:rPr>
          <w:sz w:val="20"/>
          <w:szCs w:val="20"/>
          <w:color w:val="auto"/>
        </w:rPr>
      </w:pPr>
    </w:p>
    <w:p>
      <w:pPr>
        <w:spacing w:after="0" w:line="318" w:lineRule="exact"/>
        <w:rPr>
          <w:sz w:val="20"/>
          <w:szCs w:val="20"/>
          <w:color w:val="auto"/>
        </w:rPr>
      </w:pPr>
    </w:p>
    <w:p>
      <w:pPr>
        <w:ind w:left="5100"/>
        <w:spacing w:after="0"/>
        <w:tabs>
          <w:tab w:leader="none" w:pos="103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7 of </w:t>
      </w:r>
      <w:hyperlink w:anchor="page32">
        <w:r>
          <w:rPr>
            <w:rFonts w:ascii="Arial" w:cs="Arial" w:eastAsia="Arial" w:hAnsi="Arial"/>
            <w:sz w:val="14"/>
            <w:szCs w:val="14"/>
            <w:b w:val="1"/>
            <w:bCs w:val="1"/>
            <w:color w:val="auto"/>
          </w:rPr>
          <w:t>28</w:t>
        </w:r>
      </w:hyperlink>
    </w:p>
    <w:p>
      <w:pPr>
        <w:sectPr>
          <w:pgSz w:w="11900" w:h="16838" w:orient="portrait"/>
          <w:cols w:equalWidth="0" w:num="1">
            <w:col w:w="11260"/>
          </w:cols>
          <w:pgMar w:left="320" w:top="1327" w:right="319" w:bottom="1440" w:gutter="0" w:footer="0" w:header="0"/>
        </w:sectPr>
      </w:pPr>
    </w:p>
    <w:bookmarkStart w:id="11" w:name="page12"/>
    <w:bookmarkEnd w:id="11"/>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Partnership and Alliance Highlights</w:t>
      </w:r>
    </w:p>
    <w:p>
      <w:pPr>
        <w:spacing w:after="0" w:line="8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Partnership with Neste for future NEXBTL™ technology-based projects</w:t>
      </w:r>
    </w:p>
    <w:p>
      <w:pPr>
        <w:spacing w:after="0" w:line="23" w:lineRule="exact"/>
        <w:rPr>
          <w:rFonts w:ascii="Arial" w:cs="Arial" w:eastAsia="Arial" w:hAnsi="Arial"/>
          <w:sz w:val="20"/>
          <w:szCs w:val="20"/>
          <w:b w:val="1"/>
          <w:bCs w:val="1"/>
          <w:color w:val="auto"/>
        </w:rPr>
      </w:pPr>
    </w:p>
    <w:p>
      <w:pPr>
        <w:ind w:left="660" w:right="14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TechnipFMC to provide Front End Loading services; agreement also covers TechnipFMC’s participation during the execution phase of future NEXBTL projects. This technology allows the conversion of second generation feedstock, like vegetable oil or waste fat, into renewable diesel and other renewable products.</w:t>
      </w:r>
    </w:p>
    <w:p>
      <w:pPr>
        <w:spacing w:after="0" w:line="73" w:lineRule="exact"/>
        <w:rPr>
          <w:rFonts w:ascii="Arial" w:cs="Arial" w:eastAsia="Arial" w:hAnsi="Arial"/>
          <w:sz w:val="20"/>
          <w:szCs w:val="20"/>
          <w:b w:val="1"/>
          <w:bCs w:val="1"/>
          <w:color w:val="auto"/>
        </w:rPr>
      </w:pPr>
    </w:p>
    <w:p>
      <w:pPr>
        <w:ind w:left="660" w:hanging="328"/>
        <w:spacing w:after="0"/>
        <w:tabs>
          <w:tab w:leader="none" w:pos="66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Alliance extension with BP Petrochemicals to BP Infinia technology</w:t>
      </w:r>
    </w:p>
    <w:p>
      <w:pPr>
        <w:spacing w:after="0" w:line="23" w:lineRule="exact"/>
        <w:rPr>
          <w:rFonts w:ascii="Arial" w:cs="Arial" w:eastAsia="Arial" w:hAnsi="Arial"/>
          <w:sz w:val="20"/>
          <w:szCs w:val="20"/>
          <w:b w:val="1"/>
          <w:bCs w:val="1"/>
          <w:color w:val="auto"/>
        </w:rPr>
      </w:pPr>
    </w:p>
    <w:p>
      <w:pPr>
        <w:ind w:left="660" w:right="46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Extension of our purified terephthalic acid (PTA) and acetic acid alliance to include Infinia technology, which enables circularity for difficult-to-recycle PET plastic waste, such as highly-colored bottles and food trays.</w:t>
      </w:r>
    </w:p>
    <w:p>
      <w:pPr>
        <w:spacing w:after="0" w:line="200" w:lineRule="exact"/>
        <w:rPr>
          <w:sz w:val="20"/>
          <w:szCs w:val="20"/>
          <w:color w:val="auto"/>
        </w:rPr>
      </w:pPr>
    </w:p>
    <w:p>
      <w:pPr>
        <w:spacing w:after="0" w:line="32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Technip Energies inbound orders for the quarter were $ 560.6 million, resulting in a book-to-bill of 0.4. Despite the absence of an announced project award, front-end engineering and other services activity as well as our Process Technology business continued to exhibit inbound order resilience.</w:t>
      </w:r>
    </w:p>
    <w:p>
      <w:pPr>
        <w:spacing w:after="0" w:line="200" w:lineRule="exact"/>
        <w:rPr>
          <w:sz w:val="20"/>
          <w:szCs w:val="20"/>
          <w:color w:val="auto"/>
        </w:rPr>
      </w:pP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40" w:type="dxa"/>
            <w:vAlign w:val="bottom"/>
            <w:tcBorders>
              <w:top w:val="single" w:sz="8" w:color="B6DDE8"/>
              <w:right w:val="single" w:sz="8" w:color="B6DDE8"/>
            </w:tcBorders>
            <w:shd w:val="clear" w:color="auto" w:fill="B6DDE8"/>
          </w:tcPr>
          <w:p>
            <w:pPr>
              <w:spacing w:after="0"/>
              <w:rPr>
                <w:sz w:val="24"/>
                <w:szCs w:val="24"/>
                <w:color w:val="auto"/>
              </w:rPr>
            </w:pPr>
          </w:p>
        </w:tc>
        <w:tc>
          <w:tcPr>
            <w:tcW w:w="7120" w:type="dxa"/>
            <w:vAlign w:val="bottom"/>
            <w:tcBorders>
              <w:top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Technip Energies</w:t>
            </w:r>
          </w:p>
        </w:tc>
        <w:tc>
          <w:tcPr>
            <w:tcW w:w="2020" w:type="dxa"/>
            <w:vAlign w:val="bottom"/>
            <w:tcBorders>
              <w:top w:val="single" w:sz="8" w:color="B6DDE8"/>
              <w:right w:val="single" w:sz="8" w:color="B6DDE8"/>
            </w:tcBorders>
          </w:tcPr>
          <w:p>
            <w:pPr>
              <w:jc w:val="right"/>
              <w:ind w:right="341"/>
              <w:spacing w:after="0"/>
              <w:rPr>
                <w:sz w:val="20"/>
                <w:szCs w:val="20"/>
                <w:color w:val="auto"/>
              </w:rPr>
            </w:pPr>
            <w:r>
              <w:rPr>
                <w:rFonts w:ascii="Arial" w:cs="Arial" w:eastAsia="Arial" w:hAnsi="Arial"/>
                <w:sz w:val="20"/>
                <w:szCs w:val="20"/>
                <w:color w:val="auto"/>
              </w:rPr>
              <w:t>Consolidated</w:t>
            </w:r>
          </w:p>
        </w:tc>
        <w:tc>
          <w:tcPr>
            <w:tcW w:w="2020" w:type="dxa"/>
            <w:vAlign w:val="bottom"/>
            <w:tcBorders>
              <w:top w:val="single" w:sz="8" w:color="B6DDE8"/>
              <w:right w:val="single" w:sz="8" w:color="B6DDE8"/>
            </w:tcBorders>
          </w:tcPr>
          <w:p>
            <w:pPr>
              <w:jc w:val="right"/>
              <w:ind w:right="161"/>
              <w:spacing w:after="0"/>
              <w:rPr>
                <w:sz w:val="20"/>
                <w:szCs w:val="20"/>
                <w:color w:val="auto"/>
              </w:rPr>
            </w:pPr>
            <w:r>
              <w:rPr>
                <w:rFonts w:ascii="Arial" w:cs="Arial" w:eastAsia="Arial" w:hAnsi="Arial"/>
                <w:sz w:val="20"/>
                <w:szCs w:val="20"/>
                <w:color w:val="auto"/>
              </w:rPr>
              <w:t>Non-consolidated</w:t>
            </w:r>
          </w:p>
        </w:tc>
      </w:tr>
      <w:tr>
        <w:trPr>
          <w:trHeight w:val="216"/>
        </w:trPr>
        <w:tc>
          <w:tcPr>
            <w:tcW w:w="40" w:type="dxa"/>
            <w:vAlign w:val="bottom"/>
            <w:tcBorders>
              <w:right w:val="single" w:sz="8" w:color="B6DDE8"/>
            </w:tcBorders>
            <w:shd w:val="clear" w:color="auto" w:fill="B6DDE8"/>
          </w:tcPr>
          <w:p>
            <w:pPr>
              <w:spacing w:after="0"/>
              <w:rPr>
                <w:sz w:val="18"/>
                <w:szCs w:val="18"/>
                <w:color w:val="auto"/>
              </w:rPr>
            </w:pPr>
          </w:p>
        </w:tc>
        <w:tc>
          <w:tcPr>
            <w:tcW w:w="7120" w:type="dxa"/>
            <w:vAlign w:val="bottom"/>
            <w:tcBorders>
              <w:right w:val="single" w:sz="8" w:color="B6DDE8"/>
            </w:tcBorders>
          </w:tcPr>
          <w:p>
            <w:pPr>
              <w:spacing w:after="0"/>
              <w:rPr>
                <w:sz w:val="20"/>
                <w:szCs w:val="20"/>
                <w:color w:val="auto"/>
              </w:rPr>
            </w:pPr>
            <w:r>
              <w:rPr>
                <w:rFonts w:ascii="Arial" w:cs="Arial" w:eastAsia="Arial" w:hAnsi="Arial"/>
                <w:sz w:val="18"/>
                <w:szCs w:val="18"/>
                <w:color w:val="auto"/>
              </w:rPr>
              <w:t>Estimated Backlog Scheduling as of March 31, 2020</w:t>
            </w:r>
          </w:p>
        </w:tc>
        <w:tc>
          <w:tcPr>
            <w:tcW w:w="2020" w:type="dxa"/>
            <w:vAlign w:val="bottom"/>
            <w:tcBorders>
              <w:right w:val="single" w:sz="8" w:color="B6DDE8"/>
            </w:tcBorders>
          </w:tcPr>
          <w:p>
            <w:pPr>
              <w:jc w:val="right"/>
              <w:ind w:right="541"/>
              <w:spacing w:after="0" w:line="216" w:lineRule="exact"/>
              <w:rPr>
                <w:sz w:val="20"/>
                <w:szCs w:val="20"/>
                <w:color w:val="auto"/>
              </w:rPr>
            </w:pPr>
            <w:r>
              <w:rPr>
                <w:rFonts w:ascii="Arial" w:cs="Arial" w:eastAsia="Arial" w:hAnsi="Arial"/>
                <w:sz w:val="20"/>
                <w:szCs w:val="20"/>
                <w:color w:val="auto"/>
              </w:rPr>
              <w:t>backlog</w:t>
            </w:r>
            <w:r>
              <w:rPr>
                <w:rFonts w:ascii="Arial" w:cs="Arial" w:eastAsia="Arial" w:hAnsi="Arial"/>
                <w:sz w:val="25"/>
                <w:szCs w:val="25"/>
                <w:color w:val="auto"/>
                <w:vertAlign w:val="superscript"/>
              </w:rPr>
              <w:t>1</w:t>
            </w:r>
          </w:p>
        </w:tc>
        <w:tc>
          <w:tcPr>
            <w:tcW w:w="2020" w:type="dxa"/>
            <w:vAlign w:val="bottom"/>
            <w:tcBorders>
              <w:right w:val="single" w:sz="8" w:color="B6DDE8"/>
            </w:tcBorders>
          </w:tcPr>
          <w:p>
            <w:pPr>
              <w:jc w:val="right"/>
              <w:ind w:right="561"/>
              <w:spacing w:after="0" w:line="216" w:lineRule="exact"/>
              <w:rPr>
                <w:sz w:val="20"/>
                <w:szCs w:val="20"/>
                <w:color w:val="auto"/>
              </w:rPr>
            </w:pPr>
            <w:r>
              <w:rPr>
                <w:rFonts w:ascii="Arial" w:cs="Arial" w:eastAsia="Arial" w:hAnsi="Arial"/>
                <w:sz w:val="20"/>
                <w:szCs w:val="20"/>
                <w:color w:val="auto"/>
              </w:rPr>
              <w:t>backlog</w:t>
            </w:r>
            <w:r>
              <w:rPr>
                <w:rFonts w:ascii="Arial" w:cs="Arial" w:eastAsia="Arial" w:hAnsi="Arial"/>
                <w:sz w:val="25"/>
                <w:szCs w:val="25"/>
                <w:color w:val="auto"/>
                <w:vertAlign w:val="superscript"/>
              </w:rPr>
              <w:t>2</w:t>
            </w:r>
          </w:p>
        </w:tc>
      </w:tr>
      <w:tr>
        <w:trPr>
          <w:trHeight w:val="156"/>
        </w:trPr>
        <w:tc>
          <w:tcPr>
            <w:tcW w:w="40" w:type="dxa"/>
            <w:vAlign w:val="bottom"/>
            <w:tcBorders>
              <w:bottom w:val="single" w:sz="8" w:color="B6DDE8"/>
              <w:right w:val="single" w:sz="8" w:color="B6DDE8"/>
            </w:tcBorders>
            <w:shd w:val="clear" w:color="auto" w:fill="B6DDE8"/>
          </w:tcPr>
          <w:p>
            <w:pPr>
              <w:spacing w:after="0"/>
              <w:rPr>
                <w:sz w:val="13"/>
                <w:szCs w:val="13"/>
                <w:color w:val="auto"/>
              </w:rPr>
            </w:pPr>
          </w:p>
        </w:tc>
        <w:tc>
          <w:tcPr>
            <w:tcW w:w="7120" w:type="dxa"/>
            <w:vAlign w:val="bottom"/>
            <w:tcBorders>
              <w:bottom w:val="single" w:sz="8" w:color="B8CCE4"/>
              <w:right w:val="single" w:sz="8" w:color="B6DDE8"/>
            </w:tcBorders>
          </w:tcPr>
          <w:p>
            <w:pPr>
              <w:spacing w:after="0" w:line="149" w:lineRule="exact"/>
              <w:rPr>
                <w:sz w:val="20"/>
                <w:szCs w:val="20"/>
                <w:color w:val="auto"/>
              </w:rPr>
            </w:pPr>
            <w:r>
              <w:rPr>
                <w:rFonts w:ascii="Arial" w:cs="Arial" w:eastAsia="Arial" w:hAnsi="Arial"/>
                <w:sz w:val="14"/>
                <w:szCs w:val="14"/>
                <w:color w:val="auto"/>
              </w:rPr>
              <w:t>(In millions)</w:t>
            </w:r>
          </w:p>
        </w:tc>
        <w:tc>
          <w:tcPr>
            <w:tcW w:w="2020" w:type="dxa"/>
            <w:vAlign w:val="bottom"/>
            <w:tcBorders>
              <w:bottom w:val="single" w:sz="8" w:color="B8CCE4"/>
              <w:right w:val="single" w:sz="8" w:color="B6DDE8"/>
            </w:tcBorders>
          </w:tcPr>
          <w:p>
            <w:pPr>
              <w:spacing w:after="0"/>
              <w:rPr>
                <w:sz w:val="13"/>
                <w:szCs w:val="13"/>
                <w:color w:val="auto"/>
              </w:rPr>
            </w:pPr>
          </w:p>
        </w:tc>
        <w:tc>
          <w:tcPr>
            <w:tcW w:w="2020" w:type="dxa"/>
            <w:vAlign w:val="bottom"/>
            <w:tcBorders>
              <w:bottom w:val="single" w:sz="8" w:color="B8CCE4"/>
              <w:right w:val="single" w:sz="8" w:color="B6DDE8"/>
            </w:tcBorders>
          </w:tcPr>
          <w:p>
            <w:pPr>
              <w:spacing w:after="0"/>
              <w:rPr>
                <w:sz w:val="13"/>
                <w:szCs w:val="13"/>
                <w:color w:val="auto"/>
              </w:rPr>
            </w:pPr>
          </w:p>
        </w:tc>
      </w:tr>
      <w:tr>
        <w:trPr>
          <w:trHeight w:val="266"/>
        </w:trPr>
        <w:tc>
          <w:tcPr>
            <w:tcW w:w="40" w:type="dxa"/>
            <w:vAlign w:val="bottom"/>
            <w:tcBorders>
              <w:bottom w:val="single" w:sz="8" w:color="B6DDE8"/>
              <w:right w:val="single" w:sz="8" w:color="B6DDE8"/>
            </w:tcBorders>
            <w:shd w:val="clear" w:color="auto" w:fill="B6DDE8"/>
          </w:tcPr>
          <w:p>
            <w:pPr>
              <w:spacing w:after="0"/>
              <w:rPr>
                <w:sz w:val="23"/>
                <w:szCs w:val="23"/>
                <w:color w:val="auto"/>
              </w:rPr>
            </w:pPr>
          </w:p>
        </w:tc>
        <w:tc>
          <w:tcPr>
            <w:tcW w:w="7120" w:type="dxa"/>
            <w:vAlign w:val="bottom"/>
            <w:tcBorders>
              <w:bottom w:val="single" w:sz="8" w:color="BFE4FF"/>
              <w:right w:val="single" w:sz="8" w:color="B6DDE8"/>
            </w:tcBorders>
          </w:tcPr>
          <w:p>
            <w:pPr>
              <w:spacing w:after="0"/>
              <w:rPr>
                <w:sz w:val="20"/>
                <w:szCs w:val="20"/>
                <w:color w:val="auto"/>
              </w:rPr>
            </w:pPr>
            <w:r>
              <w:rPr>
                <w:rFonts w:ascii="Arial" w:cs="Arial" w:eastAsia="Arial" w:hAnsi="Arial"/>
                <w:sz w:val="20"/>
                <w:szCs w:val="20"/>
                <w:b w:val="1"/>
                <w:bCs w:val="1"/>
                <w:color w:val="auto"/>
              </w:rPr>
              <w:t>2020 (9 months)</w:t>
            </w:r>
          </w:p>
        </w:tc>
        <w:tc>
          <w:tcPr>
            <w:tcW w:w="202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$4,828</w:t>
            </w:r>
          </w:p>
        </w:tc>
        <w:tc>
          <w:tcPr>
            <w:tcW w:w="202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$648</w:t>
            </w: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12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2021</w:t>
            </w:r>
          </w:p>
        </w:tc>
        <w:tc>
          <w:tcPr>
            <w:tcW w:w="202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$5,232</w:t>
            </w:r>
          </w:p>
        </w:tc>
        <w:tc>
          <w:tcPr>
            <w:tcW w:w="202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$694</w:t>
            </w:r>
          </w:p>
        </w:tc>
      </w:tr>
      <w:tr>
        <w:trPr>
          <w:trHeight w:val="263"/>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12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2022 and beyond</w:t>
            </w:r>
          </w:p>
        </w:tc>
        <w:tc>
          <w:tcPr>
            <w:tcW w:w="202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$3,707</w:t>
            </w:r>
          </w:p>
        </w:tc>
        <w:tc>
          <w:tcPr>
            <w:tcW w:w="202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$1,009</w:t>
            </w:r>
          </w:p>
        </w:tc>
      </w:tr>
      <w:tr>
        <w:trPr>
          <w:trHeight w:val="263"/>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12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Total</w:t>
            </w:r>
          </w:p>
        </w:tc>
        <w:tc>
          <w:tcPr>
            <w:tcW w:w="202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$13,767</w:t>
            </w:r>
          </w:p>
        </w:tc>
        <w:tc>
          <w:tcPr>
            <w:tcW w:w="202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$2,350</w:t>
            </w:r>
          </w:p>
        </w:tc>
      </w:tr>
    </w:tbl>
    <w:p>
      <w:pPr>
        <w:ind w:left="180" w:hanging="118"/>
        <w:spacing w:after="0" w:line="230" w:lineRule="auto"/>
        <w:tabs>
          <w:tab w:leader="none" w:pos="180" w:val="left"/>
        </w:tabs>
        <w:numPr>
          <w:ilvl w:val="0"/>
          <w:numId w:val="14"/>
        </w:numPr>
        <w:rPr>
          <w:rFonts w:ascii="Arial" w:cs="Arial" w:eastAsia="Arial" w:hAnsi="Arial"/>
          <w:sz w:val="22"/>
          <w:szCs w:val="22"/>
          <w:i w:val="1"/>
          <w:iCs w:val="1"/>
          <w:color w:val="auto"/>
          <w:vertAlign w:val="superscript"/>
        </w:rPr>
      </w:pPr>
      <w:r>
        <w:rPr>
          <w:rFonts w:ascii="Arial" w:cs="Arial" w:eastAsia="Arial" w:hAnsi="Arial"/>
          <w:sz w:val="18"/>
          <w:szCs w:val="18"/>
          <w:i w:val="1"/>
          <w:iCs w:val="1"/>
          <w:color w:val="auto"/>
        </w:rPr>
        <w:t>Backlog in the period was reduced by a foreign exchange impact of $398 million.</w:t>
      </w:r>
    </w:p>
    <w:p>
      <w:pPr>
        <w:spacing w:after="0" w:line="38" w:lineRule="exact"/>
        <w:rPr>
          <w:sz w:val="20"/>
          <w:szCs w:val="20"/>
          <w:color w:val="auto"/>
        </w:rPr>
      </w:pPr>
    </w:p>
    <w:p>
      <w:pPr>
        <w:ind w:left="60" w:right="340" w:firstLine="2"/>
        <w:spacing w:after="0" w:line="220" w:lineRule="auto"/>
        <w:tabs>
          <w:tab w:leader="none" w:pos="170" w:val="left"/>
        </w:tabs>
        <w:numPr>
          <w:ilvl w:val="0"/>
          <w:numId w:val="15"/>
        </w:numPr>
        <w:rPr>
          <w:rFonts w:ascii="Arial" w:cs="Arial" w:eastAsia="Arial" w:hAnsi="Arial"/>
          <w:sz w:val="22"/>
          <w:szCs w:val="22"/>
          <w:i w:val="1"/>
          <w:iCs w:val="1"/>
          <w:color w:val="auto"/>
          <w:vertAlign w:val="superscript"/>
        </w:rPr>
      </w:pPr>
      <w:r>
        <w:rPr>
          <w:rFonts w:ascii="Arial" w:cs="Arial" w:eastAsia="Arial" w:hAnsi="Arial"/>
          <w:sz w:val="18"/>
          <w:szCs w:val="18"/>
          <w:i w:val="1"/>
          <w:iCs w:val="1"/>
          <w:color w:val="auto"/>
        </w:rPr>
        <w:t>Non-consolidated backlog reflects the proportional share of backlog related to joint ventures that is not consolidated due to our minority ownership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100"/>
        <w:spacing w:after="0"/>
        <w:tabs>
          <w:tab w:leader="none" w:pos="103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8 of </w:t>
      </w:r>
      <w:hyperlink w:anchor="page32">
        <w:r>
          <w:rPr>
            <w:rFonts w:ascii="Arial" w:cs="Arial" w:eastAsia="Arial" w:hAnsi="Arial"/>
            <w:sz w:val="14"/>
            <w:szCs w:val="14"/>
            <w:b w:val="1"/>
            <w:bCs w:val="1"/>
            <w:color w:val="auto"/>
          </w:rPr>
          <w:t>28</w:t>
        </w:r>
      </w:hyperlink>
    </w:p>
    <w:p>
      <w:pPr>
        <w:sectPr>
          <w:pgSz w:w="11900" w:h="16838" w:orient="portrait"/>
          <w:cols w:equalWidth="0" w:num="1">
            <w:col w:w="11240"/>
          </w:cols>
          <w:pgMar w:left="320" w:top="1189" w:right="339" w:bottom="1440" w:gutter="0" w:footer="0" w:header="0"/>
        </w:sectPr>
      </w:pPr>
    </w:p>
    <w:bookmarkStart w:id="12" w:name="page13"/>
    <w:bookmarkEnd w:id="12"/>
    <w:p>
      <w:pPr>
        <w:ind w:left="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Surface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30" w:type="dxa"/>
        <w:tblCellMar>
          <w:top w:w="0" w:type="dxa"/>
          <w:left w:w="0" w:type="dxa"/>
          <w:bottom w:w="0" w:type="dxa"/>
          <w:right w:w="0" w:type="dxa"/>
        </w:tblCellMar>
      </w:tblPr>
      <w:tr>
        <w:trPr>
          <w:trHeight w:val="189"/>
        </w:trPr>
        <w:tc>
          <w:tcPr>
            <w:tcW w:w="638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tcBorders>
              <w:top w:val="single" w:sz="8" w:color="B8CCE4"/>
              <w:right w:val="single" w:sz="8" w:color="B8CCE4"/>
            </w:tcBorders>
          </w:tcPr>
          <w:p>
            <w:pPr>
              <w:jc w:val="right"/>
              <w:ind w:right="468"/>
              <w:spacing w:after="0"/>
              <w:rPr>
                <w:sz w:val="20"/>
                <w:szCs w:val="20"/>
                <w:color w:val="auto"/>
              </w:rPr>
            </w:pPr>
            <w:r>
              <w:rPr>
                <w:rFonts w:ascii="Arial" w:cs="Arial" w:eastAsia="Arial" w:hAnsi="Arial"/>
                <w:sz w:val="14"/>
                <w:szCs w:val="14"/>
                <w:b w:val="1"/>
                <w:bCs w:val="1"/>
                <w:color w:val="auto"/>
              </w:rPr>
              <w:t>March 31,</w:t>
            </w:r>
          </w:p>
        </w:tc>
        <w:tc>
          <w:tcPr>
            <w:tcW w:w="1660" w:type="dxa"/>
            <w:vAlign w:val="bottom"/>
            <w:tcBorders>
              <w:top w:val="single" w:sz="8" w:color="B8CCE4"/>
              <w:right w:val="single" w:sz="8" w:color="B8CCE4"/>
            </w:tcBorders>
          </w:tcPr>
          <w:p>
            <w:pPr>
              <w:spacing w:after="0"/>
              <w:rPr>
                <w:sz w:val="16"/>
                <w:szCs w:val="16"/>
                <w:color w:val="auto"/>
              </w:rPr>
            </w:pPr>
          </w:p>
        </w:tc>
        <w:tc>
          <w:tcPr>
            <w:tcW w:w="1420" w:type="dxa"/>
            <w:vAlign w:val="bottom"/>
            <w:tcBorders>
              <w:top w:val="single" w:sz="8" w:color="B8CCE4"/>
              <w:right w:val="single" w:sz="8" w:color="B8CCE4"/>
            </w:tcBorders>
          </w:tcPr>
          <w:p>
            <w:pPr>
              <w:spacing w:after="0"/>
              <w:rPr>
                <w:sz w:val="16"/>
                <w:szCs w:val="16"/>
                <w:color w:val="auto"/>
              </w:rPr>
            </w:pPr>
          </w:p>
        </w:tc>
      </w:tr>
      <w:tr>
        <w:trPr>
          <w:trHeight w:val="196"/>
        </w:trPr>
        <w:tc>
          <w:tcPr>
            <w:tcW w:w="63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760" w:type="dxa"/>
            <w:vAlign w:val="bottom"/>
            <w:tcBorders>
              <w:bottom w:val="single" w:sz="8" w:color="B8CCE4"/>
              <w:right w:val="single" w:sz="8" w:color="B8CCE4"/>
            </w:tcBorders>
          </w:tcPr>
          <w:p>
            <w:pPr>
              <w:jc w:val="right"/>
              <w:ind w:right="628"/>
              <w:spacing w:after="0"/>
              <w:rPr>
                <w:sz w:val="20"/>
                <w:szCs w:val="20"/>
                <w:color w:val="auto"/>
              </w:rPr>
            </w:pPr>
            <w:r>
              <w:rPr>
                <w:rFonts w:ascii="Arial" w:cs="Arial" w:eastAsia="Arial" w:hAnsi="Arial"/>
                <w:sz w:val="14"/>
                <w:szCs w:val="14"/>
                <w:b w:val="1"/>
                <w:bCs w:val="1"/>
                <w:color w:val="auto"/>
              </w:rPr>
              <w:t>2020</w:t>
            </w:r>
          </w:p>
        </w:tc>
        <w:tc>
          <w:tcPr>
            <w:tcW w:w="1660" w:type="dxa"/>
            <w:vAlign w:val="bottom"/>
            <w:tcBorders>
              <w:bottom w:val="single" w:sz="8" w:color="B8CCE4"/>
              <w:right w:val="single" w:sz="8" w:color="B8CCE4"/>
            </w:tcBorders>
          </w:tcPr>
          <w:p>
            <w:pPr>
              <w:jc w:val="right"/>
              <w:ind w:right="225"/>
              <w:spacing w:after="0"/>
              <w:rPr>
                <w:sz w:val="20"/>
                <w:szCs w:val="20"/>
                <w:color w:val="auto"/>
              </w:rPr>
            </w:pPr>
            <w:r>
              <w:rPr>
                <w:rFonts w:ascii="Arial" w:cs="Arial" w:eastAsia="Arial" w:hAnsi="Arial"/>
                <w:sz w:val="14"/>
                <w:szCs w:val="14"/>
                <w:b w:val="1"/>
                <w:bCs w:val="1"/>
                <w:color w:val="auto"/>
              </w:rPr>
              <w:t>March 31, 2019</w:t>
            </w:r>
          </w:p>
        </w:tc>
        <w:tc>
          <w:tcPr>
            <w:tcW w:w="14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65"/>
        </w:trPr>
        <w:tc>
          <w:tcPr>
            <w:tcW w:w="63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7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$329.5</w:t>
            </w:r>
          </w:p>
        </w:tc>
        <w:tc>
          <w:tcPr>
            <w:tcW w:w="16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$392.6</w:t>
            </w:r>
          </w:p>
        </w:tc>
        <w:tc>
          <w:tcPr>
            <w:tcW w:w="14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(16.1%)</w:t>
            </w:r>
          </w:p>
        </w:tc>
      </w:tr>
      <w:tr>
        <w:trPr>
          <w:trHeight w:val="263"/>
        </w:trPr>
        <w:tc>
          <w:tcPr>
            <w:tcW w:w="63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 (loss)</w:t>
            </w:r>
          </w:p>
        </w:tc>
        <w:tc>
          <w:tcPr>
            <w:tcW w:w="1760" w:type="dxa"/>
            <w:vAlign w:val="bottom"/>
            <w:tcBorders>
              <w:bottom w:val="single" w:sz="8" w:color="B4C6E7"/>
              <w:right w:val="single" w:sz="8" w:color="B8CCE4"/>
            </w:tcBorders>
          </w:tcPr>
          <w:p>
            <w:pPr>
              <w:jc w:val="right"/>
              <w:spacing w:after="0"/>
              <w:rPr>
                <w:sz w:val="20"/>
                <w:szCs w:val="20"/>
                <w:color w:val="auto"/>
              </w:rPr>
            </w:pPr>
            <w:r>
              <w:rPr>
                <w:rFonts w:ascii="Arial" w:cs="Arial" w:eastAsia="Arial" w:hAnsi="Arial"/>
                <w:sz w:val="20"/>
                <w:szCs w:val="20"/>
                <w:color w:val="auto"/>
              </w:rPr>
              <w:t>$(424.0)</w:t>
            </w:r>
          </w:p>
        </w:tc>
        <w:tc>
          <w:tcPr>
            <w:tcW w:w="1660" w:type="dxa"/>
            <w:vAlign w:val="bottom"/>
            <w:tcBorders>
              <w:bottom w:val="single" w:sz="8" w:color="B4C6E7"/>
              <w:right w:val="single" w:sz="8" w:color="B8CCE4"/>
            </w:tcBorders>
          </w:tcPr>
          <w:p>
            <w:pPr>
              <w:jc w:val="right"/>
              <w:spacing w:after="0"/>
              <w:rPr>
                <w:sz w:val="20"/>
                <w:szCs w:val="20"/>
                <w:color w:val="auto"/>
              </w:rPr>
            </w:pPr>
            <w:r>
              <w:rPr>
                <w:rFonts w:ascii="Arial" w:cs="Arial" w:eastAsia="Arial" w:hAnsi="Arial"/>
                <w:sz w:val="20"/>
                <w:szCs w:val="20"/>
                <w:color w:val="auto"/>
              </w:rPr>
              <w:t>$10.5</w:t>
            </w:r>
          </w:p>
        </w:tc>
        <w:tc>
          <w:tcPr>
            <w:tcW w:w="14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r>
      <w:tr>
        <w:trPr>
          <w:trHeight w:val="263"/>
        </w:trPr>
        <w:tc>
          <w:tcPr>
            <w:tcW w:w="63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760" w:type="dxa"/>
            <w:vAlign w:val="bottom"/>
            <w:tcBorders>
              <w:bottom w:val="single" w:sz="8" w:color="B4C6E7"/>
              <w:right w:val="single" w:sz="8" w:color="B8CCE4"/>
            </w:tcBorders>
          </w:tcPr>
          <w:p>
            <w:pPr>
              <w:jc w:val="right"/>
              <w:spacing w:after="0"/>
              <w:rPr>
                <w:sz w:val="20"/>
                <w:szCs w:val="20"/>
                <w:color w:val="auto"/>
              </w:rPr>
            </w:pPr>
            <w:r>
              <w:rPr>
                <w:rFonts w:ascii="Arial" w:cs="Arial" w:eastAsia="Arial" w:hAnsi="Arial"/>
                <w:sz w:val="20"/>
                <w:szCs w:val="20"/>
                <w:color w:val="auto"/>
              </w:rPr>
              <w:t>$24.5</w:t>
            </w:r>
          </w:p>
        </w:tc>
        <w:tc>
          <w:tcPr>
            <w:tcW w:w="1660" w:type="dxa"/>
            <w:vAlign w:val="bottom"/>
            <w:tcBorders>
              <w:bottom w:val="single" w:sz="8" w:color="B4C6E7"/>
              <w:right w:val="single" w:sz="8" w:color="B8CCE4"/>
            </w:tcBorders>
          </w:tcPr>
          <w:p>
            <w:pPr>
              <w:jc w:val="right"/>
              <w:spacing w:after="0"/>
              <w:rPr>
                <w:sz w:val="20"/>
                <w:szCs w:val="20"/>
                <w:color w:val="auto"/>
              </w:rPr>
            </w:pPr>
            <w:r>
              <w:rPr>
                <w:rFonts w:ascii="Arial" w:cs="Arial" w:eastAsia="Arial" w:hAnsi="Arial"/>
                <w:sz w:val="20"/>
                <w:szCs w:val="20"/>
                <w:color w:val="auto"/>
              </w:rPr>
              <w:t>$30.1</w:t>
            </w:r>
          </w:p>
        </w:tc>
        <w:tc>
          <w:tcPr>
            <w:tcW w:w="14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(18.6%)</w:t>
            </w:r>
          </w:p>
        </w:tc>
      </w:tr>
      <w:tr>
        <w:trPr>
          <w:trHeight w:val="264"/>
        </w:trPr>
        <w:tc>
          <w:tcPr>
            <w:tcW w:w="63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7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7.4%</w:t>
            </w:r>
          </w:p>
        </w:tc>
        <w:tc>
          <w:tcPr>
            <w:tcW w:w="1660" w:type="dxa"/>
            <w:vAlign w:val="bottom"/>
            <w:tcBorders>
              <w:bottom w:val="single" w:sz="8" w:color="B4C6E7"/>
              <w:right w:val="single" w:sz="8" w:color="B8CCE4"/>
            </w:tcBorders>
          </w:tcPr>
          <w:p>
            <w:pPr>
              <w:jc w:val="right"/>
              <w:spacing w:after="0"/>
              <w:rPr>
                <w:sz w:val="20"/>
                <w:szCs w:val="20"/>
                <w:color w:val="auto"/>
              </w:rPr>
            </w:pPr>
            <w:r>
              <w:rPr>
                <w:rFonts w:ascii="Arial" w:cs="Arial" w:eastAsia="Arial" w:hAnsi="Arial"/>
                <w:sz w:val="20"/>
                <w:szCs w:val="20"/>
                <w:color w:val="auto"/>
              </w:rPr>
              <w:t>7.7%</w:t>
            </w:r>
          </w:p>
        </w:tc>
        <w:tc>
          <w:tcPr>
            <w:tcW w:w="14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(30 bps)</w:t>
            </w:r>
          </w:p>
        </w:tc>
      </w:tr>
      <w:tr>
        <w:trPr>
          <w:trHeight w:val="322"/>
        </w:trPr>
        <w:tc>
          <w:tcPr>
            <w:tcW w:w="6380" w:type="dxa"/>
            <w:vAlign w:val="bottom"/>
            <w:tcBorders>
              <w:left w:val="single" w:sz="8" w:color="B8CCE4"/>
              <w:bottom w:val="single" w:sz="8" w:color="B8CCE4"/>
            </w:tcBorders>
          </w:tcPr>
          <w:p>
            <w:pPr>
              <w:spacing w:after="0"/>
              <w:rPr>
                <w:sz w:val="24"/>
                <w:szCs w:val="24"/>
                <w:color w:val="auto"/>
              </w:rPr>
            </w:pPr>
          </w:p>
        </w:tc>
        <w:tc>
          <w:tcPr>
            <w:tcW w:w="1760" w:type="dxa"/>
            <w:vAlign w:val="bottom"/>
            <w:tcBorders>
              <w:bottom w:val="single" w:sz="8" w:color="B8CCE4"/>
            </w:tcBorders>
          </w:tcPr>
          <w:p>
            <w:pPr>
              <w:spacing w:after="0"/>
              <w:rPr>
                <w:sz w:val="24"/>
                <w:szCs w:val="24"/>
                <w:color w:val="auto"/>
              </w:rPr>
            </w:pPr>
          </w:p>
        </w:tc>
        <w:tc>
          <w:tcPr>
            <w:tcW w:w="1660" w:type="dxa"/>
            <w:vAlign w:val="bottom"/>
            <w:tcBorders>
              <w:bottom w:val="single" w:sz="8" w:color="B8CCE4"/>
            </w:tcBorders>
          </w:tcPr>
          <w:p>
            <w:pPr>
              <w:spacing w:after="0"/>
              <w:rPr>
                <w:sz w:val="24"/>
                <w:szCs w:val="24"/>
                <w:color w:val="auto"/>
              </w:rPr>
            </w:pPr>
          </w:p>
        </w:tc>
        <w:tc>
          <w:tcPr>
            <w:tcW w:w="1420" w:type="dxa"/>
            <w:vAlign w:val="bottom"/>
            <w:tcBorders>
              <w:bottom w:val="single" w:sz="8" w:color="B8CCE4"/>
              <w:right w:val="single" w:sz="8" w:color="B8CCE4"/>
            </w:tcBorders>
          </w:tcPr>
          <w:p>
            <w:pPr>
              <w:spacing w:after="0"/>
              <w:rPr>
                <w:sz w:val="24"/>
                <w:szCs w:val="24"/>
                <w:color w:val="auto"/>
              </w:rPr>
            </w:pPr>
          </w:p>
        </w:tc>
      </w:tr>
      <w:tr>
        <w:trPr>
          <w:trHeight w:val="259"/>
        </w:trPr>
        <w:tc>
          <w:tcPr>
            <w:tcW w:w="63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7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$366.3</w:t>
            </w:r>
          </w:p>
        </w:tc>
        <w:tc>
          <w:tcPr>
            <w:tcW w:w="16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$368.0</w:t>
            </w:r>
          </w:p>
        </w:tc>
        <w:tc>
          <w:tcPr>
            <w:tcW w:w="14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(0.5%)</w:t>
            </w:r>
          </w:p>
        </w:tc>
      </w:tr>
      <w:tr>
        <w:trPr>
          <w:trHeight w:val="263"/>
        </w:trPr>
        <w:tc>
          <w:tcPr>
            <w:tcW w:w="63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7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$422.0</w:t>
            </w:r>
          </w:p>
        </w:tc>
        <w:tc>
          <w:tcPr>
            <w:tcW w:w="16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$437.6</w:t>
            </w:r>
          </w:p>
        </w:tc>
        <w:tc>
          <w:tcPr>
            <w:tcW w:w="14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(3.6%)</w:t>
            </w:r>
          </w:p>
        </w:tc>
      </w:tr>
    </w:tbl>
    <w:p>
      <w:pPr>
        <w:spacing w:after="0" w:line="38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Surface Technologies reported first quarter revenue of $329.5 million, a decrease of 16.1 percent from the prior-year quarter. The revenue decline was primarily driven by the slowdown in operator activity in North America and the reallocation of the Loading Systems business to Technip Energies. Despite travel and supply chain impacts of COVID-19, revenue outside North America increased modestly and represented just over 50 percent of total Surface Technologies revenue in the period.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In the quarter, Surface Technologies recorded non-cash impairment and other charges totaling $411.5 million, which included:</w:t>
      </w:r>
    </w:p>
    <w:p>
      <w:pPr>
        <w:spacing w:after="0" w:line="54" w:lineRule="exact"/>
        <w:rPr>
          <w:sz w:val="20"/>
          <w:szCs w:val="20"/>
          <w:color w:val="auto"/>
        </w:rPr>
      </w:pPr>
    </w:p>
    <w:p>
      <w:pPr>
        <w:ind w:left="660" w:hanging="328"/>
        <w:spacing w:after="0" w:line="246"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Goodwill impairment charge of $335.9 million due to the decline in the Company’s market capitalization with no further goodwill attributable to the segment; and</w:t>
      </w:r>
    </w:p>
    <w:p>
      <w:pPr>
        <w:spacing w:after="0" w:line="41" w:lineRule="exact"/>
        <w:rPr>
          <w:rFonts w:ascii="Arial" w:cs="Arial" w:eastAsia="Arial" w:hAnsi="Arial"/>
          <w:sz w:val="20"/>
          <w:szCs w:val="20"/>
          <w:color w:val="auto"/>
        </w:rPr>
      </w:pPr>
    </w:p>
    <w:p>
      <w:pPr>
        <w:ind w:left="660" w:hanging="328"/>
        <w:spacing w:after="0" w:line="246"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Fixed asset impairment charges totaling $75.6 million primarily driven by expectations for lower stimulation activity in North America.</w:t>
      </w:r>
    </w:p>
    <w:p>
      <w:pPr>
        <w:spacing w:after="0" w:line="16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Surface Technologies reported an operating loss of $424 million; adjusted EBITDA was $24.5 million with a margin of 7.4 percent. When compared to the prior-year period, operating margin outside North America improved despite the COVID-19 impacts on the current year result.</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Inbound orders for the quarter were $366.3 million. Backlog decreased 3.6 percent versus the prior-year quarter to $422 million.</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Given the short-cycle nature of the business, orders are generally converted into revenue within twelve months.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First Quarter Surface Technologies Award Highlights</w:t>
      </w:r>
    </w:p>
    <w:p>
      <w:pPr>
        <w:spacing w:after="0" w:line="8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ADNOC </w:t>
      </w:r>
      <w:r>
        <w:rPr>
          <w:rFonts w:ascii="Arial" w:cs="Arial" w:eastAsia="Arial" w:hAnsi="Arial"/>
          <w:sz w:val="17"/>
          <w:szCs w:val="17"/>
          <w:b w:val="1"/>
          <w:bCs w:val="1"/>
          <w:color w:val="auto"/>
        </w:rPr>
        <w:t>(United Arab Emirates)</w:t>
      </w:r>
    </w:p>
    <w:p>
      <w:pPr>
        <w:spacing w:after="0" w:line="23" w:lineRule="exact"/>
        <w:rPr>
          <w:rFonts w:ascii="Arial" w:cs="Arial" w:eastAsia="Arial" w:hAnsi="Arial"/>
          <w:sz w:val="20"/>
          <w:szCs w:val="20"/>
          <w:b w:val="1"/>
          <w:bCs w:val="1"/>
          <w:color w:val="auto"/>
        </w:rPr>
      </w:pPr>
    </w:p>
    <w:p>
      <w:pPr>
        <w:ind w:left="66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Received orders for 57 sets of high-specification, clad equipment for onshore Abu Dhabi and 330 annular safety valves for offshore fields.</w:t>
      </w:r>
    </w:p>
    <w:p>
      <w:pPr>
        <w:spacing w:after="0" w:line="71" w:lineRule="exact"/>
        <w:rPr>
          <w:rFonts w:ascii="Arial" w:cs="Arial" w:eastAsia="Arial" w:hAnsi="Arial"/>
          <w:sz w:val="20"/>
          <w:szCs w:val="20"/>
          <w:b w:val="1"/>
          <w:bCs w:val="1"/>
          <w:color w:val="auto"/>
        </w:rPr>
      </w:pPr>
    </w:p>
    <w:p>
      <w:pPr>
        <w:ind w:left="660" w:hanging="328"/>
        <w:spacing w:after="0"/>
        <w:tabs>
          <w:tab w:leader="none" w:pos="66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ROSO Technologies </w:t>
      </w:r>
      <w:r>
        <w:rPr>
          <w:rFonts w:ascii="Arial" w:cs="Arial" w:eastAsia="Arial" w:hAnsi="Arial"/>
          <w:sz w:val="17"/>
          <w:szCs w:val="17"/>
          <w:b w:val="1"/>
          <w:bCs w:val="1"/>
          <w:color w:val="auto"/>
        </w:rPr>
        <w:t>(China)</w:t>
      </w:r>
    </w:p>
    <w:p>
      <w:pPr>
        <w:spacing w:after="0" w:line="2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Inbound orders for 20,000 psi pressure control flowlines and 60 well service pumps totaling 180,000 horsepower.</w:t>
      </w:r>
    </w:p>
    <w:p>
      <w:pPr>
        <w:spacing w:after="0" w:line="200" w:lineRule="exact"/>
        <w:rPr>
          <w:sz w:val="20"/>
          <w:szCs w:val="20"/>
          <w:color w:val="auto"/>
        </w:rPr>
      </w:pPr>
    </w:p>
    <w:p>
      <w:pPr>
        <w:spacing w:after="0" w:line="330" w:lineRule="exact"/>
        <w:rPr>
          <w:sz w:val="20"/>
          <w:szCs w:val="20"/>
          <w:color w:val="auto"/>
        </w:rPr>
      </w:pPr>
    </w:p>
    <w:p>
      <w:pPr>
        <w:ind w:left="5100"/>
        <w:spacing w:after="0"/>
        <w:tabs>
          <w:tab w:leader="none" w:pos="103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9 of </w:t>
      </w:r>
      <w:hyperlink w:anchor="page32">
        <w:r>
          <w:rPr>
            <w:rFonts w:ascii="Arial" w:cs="Arial" w:eastAsia="Arial" w:hAnsi="Arial"/>
            <w:sz w:val="14"/>
            <w:szCs w:val="14"/>
            <w:b w:val="1"/>
            <w:bCs w:val="1"/>
            <w:color w:val="auto"/>
          </w:rPr>
          <w:t>28</w:t>
        </w:r>
      </w:hyperlink>
    </w:p>
    <w:p>
      <w:pPr>
        <w:sectPr>
          <w:pgSz w:w="11900" w:h="16838" w:orient="portrait"/>
          <w:cols w:equalWidth="0" w:num="1">
            <w:col w:w="11240"/>
          </w:cols>
          <w:pgMar w:left="320" w:top="1327" w:right="339" w:bottom="1440" w:gutter="0" w:footer="0" w:header="0"/>
        </w:sectPr>
      </w:pPr>
    </w:p>
    <w:bookmarkStart w:id="13" w:name="page14"/>
    <w:bookmarkEnd w:id="13"/>
    <w:p>
      <w:pPr>
        <w:ind w:left="328" w:hanging="328"/>
        <w:spacing w:after="0"/>
        <w:tabs>
          <w:tab w:leader="none" w:pos="328"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 xml:space="preserve">Dana Petroleum Unity Project </w:t>
      </w:r>
      <w:r>
        <w:rPr>
          <w:rFonts w:ascii="Arial" w:cs="Arial" w:eastAsia="Arial" w:hAnsi="Arial"/>
          <w:sz w:val="17"/>
          <w:szCs w:val="17"/>
          <w:b w:val="1"/>
          <w:bCs w:val="1"/>
          <w:color w:val="auto"/>
        </w:rPr>
        <w:t>(Netherlands)</w:t>
      </w:r>
    </w:p>
    <w:p>
      <w:pPr>
        <w:spacing w:after="0" w:line="23" w:lineRule="exact"/>
        <w:rPr>
          <w:rFonts w:ascii="Arial" w:cs="Arial" w:eastAsia="Arial" w:hAnsi="Arial"/>
          <w:sz w:val="20"/>
          <w:szCs w:val="20"/>
          <w:b w:val="1"/>
          <w:bCs w:val="1"/>
          <w:color w:val="auto"/>
        </w:rPr>
      </w:pPr>
    </w:p>
    <w:p>
      <w:pPr>
        <w:ind w:left="328"/>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Contract to supply surface wellheads, trees and services for the Unity Project offshore Netherlands; scope of supply is from our standardized product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768"/>
        <w:spacing w:after="0"/>
        <w:tabs>
          <w:tab w:leader="none" w:pos="9908"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10 of </w:t>
      </w:r>
      <w:hyperlink w:anchor="page32">
        <w:r>
          <w:rPr>
            <w:rFonts w:ascii="Arial" w:cs="Arial" w:eastAsia="Arial" w:hAnsi="Arial"/>
            <w:sz w:val="14"/>
            <w:szCs w:val="14"/>
            <w:b w:val="1"/>
            <w:bCs w:val="1"/>
            <w:color w:val="auto"/>
          </w:rPr>
          <w:t>28</w:t>
        </w:r>
      </w:hyperlink>
    </w:p>
    <w:p>
      <w:pPr>
        <w:sectPr>
          <w:pgSz w:w="11900" w:h="16838" w:orient="portrait"/>
          <w:cols w:equalWidth="0" w:num="1">
            <w:col w:w="10908"/>
          </w:cols>
          <w:pgMar w:left="652" w:top="1165"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Corporate and Other Items</w:t>
      </w:r>
    </w:p>
    <w:p>
      <w:pPr>
        <w:spacing w:after="0" w:line="24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Corporate expense in the first quarter was $112.2 million. This includes charges and credits totaling $30.7 million of expense. Excluding charges and credits, corporate expense was $81.5 million which included $ 43.3 million of foreign exchange losses. The foreign exchange losses resulted from the impact of the strengthening U.S. dollar on hedging costs and timing differences in naturally hedged projects.</w:t>
      </w:r>
    </w:p>
    <w:p>
      <w:pPr>
        <w:spacing w:after="0" w:line="288" w:lineRule="exact"/>
        <w:rPr>
          <w:sz w:val="20"/>
          <w:szCs w:val="20"/>
          <w:color w:val="auto"/>
        </w:rPr>
      </w:pPr>
    </w:p>
    <w:tbl>
      <w:tblPr>
        <w:tblLayout w:type="fixed"/>
        <w:tblInd w:w="1270" w:type="dxa"/>
        <w:tblCellMar>
          <w:top w:w="0" w:type="dxa"/>
          <w:left w:w="0" w:type="dxa"/>
          <w:bottom w:w="0" w:type="dxa"/>
          <w:right w:w="0" w:type="dxa"/>
        </w:tblCellMar>
      </w:tblPr>
      <w:tr>
        <w:trPr>
          <w:trHeight w:val="277"/>
        </w:trPr>
        <w:tc>
          <w:tcPr>
            <w:tcW w:w="6400" w:type="dxa"/>
            <w:vAlign w:val="bottom"/>
            <w:tcBorders>
              <w:top w:val="single" w:sz="8" w:color="B8CCE4"/>
              <w:left w:val="single" w:sz="8" w:color="B8CCE4"/>
              <w:bottom w:val="single" w:sz="8" w:color="B8CCE4"/>
              <w:right w:val="single" w:sz="8" w:color="B8CCE4"/>
            </w:tcBorders>
          </w:tcPr>
          <w:p>
            <w:pPr>
              <w:spacing w:after="0"/>
              <w:rPr>
                <w:sz w:val="24"/>
                <w:szCs w:val="24"/>
                <w:color w:val="auto"/>
              </w:rPr>
            </w:pPr>
          </w:p>
        </w:tc>
        <w:tc>
          <w:tcPr>
            <w:tcW w:w="2380" w:type="dxa"/>
            <w:vAlign w:val="bottom"/>
            <w:tcBorders>
              <w:top w:val="single" w:sz="8" w:color="B8CCE4"/>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6400" w:type="dxa"/>
            <w:vAlign w:val="bottom"/>
            <w:tcBorders>
              <w:left w:val="single" w:sz="8" w:color="B8CCE4"/>
              <w:right w:val="single" w:sz="8" w:color="B8CCE4"/>
            </w:tcBorders>
          </w:tcPr>
          <w:p>
            <w:pPr>
              <w:spacing w:after="0"/>
              <w:rPr>
                <w:sz w:val="15"/>
                <w:szCs w:val="15"/>
                <w:color w:val="auto"/>
              </w:rPr>
            </w:pPr>
          </w:p>
        </w:tc>
        <w:tc>
          <w:tcPr>
            <w:tcW w:w="2380" w:type="dxa"/>
            <w:vAlign w:val="bottom"/>
            <w:tcBorders>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March 31,</w:t>
            </w:r>
          </w:p>
        </w:tc>
      </w:tr>
      <w:tr>
        <w:trPr>
          <w:trHeight w:val="196"/>
        </w:trPr>
        <w:tc>
          <w:tcPr>
            <w:tcW w:w="640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3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2020</w:t>
            </w:r>
          </w:p>
        </w:tc>
      </w:tr>
      <w:tr>
        <w:trPr>
          <w:trHeight w:val="265"/>
        </w:trPr>
        <w:tc>
          <w:tcPr>
            <w:tcW w:w="640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20"/>
                <w:szCs w:val="20"/>
                <w:b w:val="1"/>
                <w:bCs w:val="1"/>
                <w:color w:val="auto"/>
              </w:rPr>
              <w:t>Corporate expense, reported</w:t>
            </w:r>
          </w:p>
        </w:tc>
        <w:tc>
          <w:tcPr>
            <w:tcW w:w="23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$112.2</w:t>
            </w:r>
          </w:p>
        </w:tc>
      </w:tr>
      <w:tr>
        <w:trPr>
          <w:trHeight w:val="264"/>
        </w:trPr>
        <w:tc>
          <w:tcPr>
            <w:tcW w:w="640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20"/>
                <w:szCs w:val="20"/>
                <w:b w:val="1"/>
                <w:bCs w:val="1"/>
                <w:color w:val="auto"/>
              </w:rPr>
              <w:t xml:space="preserve">Less charges and (credits) </w:t>
            </w:r>
            <w:r>
              <w:rPr>
                <w:rFonts w:ascii="Arial" w:cs="Arial" w:eastAsia="Arial" w:hAnsi="Arial"/>
                <w:sz w:val="17"/>
                <w:szCs w:val="17"/>
                <w:color w:val="auto"/>
              </w:rPr>
              <w:t>[Exhibit 9]</w:t>
            </w:r>
          </w:p>
        </w:tc>
        <w:tc>
          <w:tcPr>
            <w:tcW w:w="2380" w:type="dxa"/>
            <w:vAlign w:val="bottom"/>
            <w:tcBorders>
              <w:bottom w:val="single" w:sz="8" w:color="auto"/>
              <w:right w:val="single" w:sz="8" w:color="B8CCE4"/>
            </w:tcBorders>
          </w:tcPr>
          <w:p>
            <w:pPr>
              <w:jc w:val="right"/>
              <w:spacing w:after="0"/>
              <w:rPr>
                <w:sz w:val="20"/>
                <w:szCs w:val="20"/>
                <w:color w:val="auto"/>
              </w:rPr>
            </w:pPr>
            <w:r>
              <w:rPr>
                <w:rFonts w:ascii="Arial" w:cs="Arial" w:eastAsia="Arial" w:hAnsi="Arial"/>
                <w:sz w:val="20"/>
                <w:szCs w:val="20"/>
                <w:color w:val="auto"/>
              </w:rPr>
              <w:t>$30.7</w:t>
            </w:r>
          </w:p>
        </w:tc>
      </w:tr>
      <w:tr>
        <w:trPr>
          <w:trHeight w:val="263"/>
        </w:trPr>
        <w:tc>
          <w:tcPr>
            <w:tcW w:w="640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20"/>
                <w:szCs w:val="20"/>
                <w:b w:val="1"/>
                <w:bCs w:val="1"/>
                <w:color w:val="auto"/>
              </w:rPr>
              <w:t>Corporate expense, adjusted</w:t>
            </w:r>
          </w:p>
        </w:tc>
        <w:tc>
          <w:tcPr>
            <w:tcW w:w="23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$81.5</w:t>
            </w:r>
          </w:p>
        </w:tc>
      </w:tr>
      <w:tr>
        <w:trPr>
          <w:trHeight w:val="263"/>
        </w:trPr>
        <w:tc>
          <w:tcPr>
            <w:tcW w:w="640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20"/>
                <w:szCs w:val="20"/>
                <w:b w:val="1"/>
                <w:bCs w:val="1"/>
                <w:color w:val="auto"/>
              </w:rPr>
              <w:t>Less foreign exchange losses</w:t>
            </w:r>
          </w:p>
        </w:tc>
        <w:tc>
          <w:tcPr>
            <w:tcW w:w="2380" w:type="dxa"/>
            <w:vAlign w:val="bottom"/>
            <w:tcBorders>
              <w:bottom w:val="single" w:sz="8" w:color="auto"/>
              <w:right w:val="single" w:sz="8" w:color="B8CCE4"/>
            </w:tcBorders>
          </w:tcPr>
          <w:p>
            <w:pPr>
              <w:jc w:val="right"/>
              <w:spacing w:after="0"/>
              <w:rPr>
                <w:sz w:val="20"/>
                <w:szCs w:val="20"/>
                <w:color w:val="auto"/>
              </w:rPr>
            </w:pPr>
            <w:r>
              <w:rPr>
                <w:rFonts w:ascii="Arial" w:cs="Arial" w:eastAsia="Arial" w:hAnsi="Arial"/>
                <w:sz w:val="20"/>
                <w:szCs w:val="20"/>
                <w:color w:val="auto"/>
              </w:rPr>
              <w:t>$43.3</w:t>
            </w:r>
          </w:p>
        </w:tc>
      </w:tr>
      <w:tr>
        <w:trPr>
          <w:trHeight w:val="213"/>
        </w:trPr>
        <w:tc>
          <w:tcPr>
            <w:tcW w:w="6400" w:type="dxa"/>
            <w:vAlign w:val="bottom"/>
            <w:tcBorders>
              <w:left w:val="single" w:sz="8" w:color="B8CCE4"/>
              <w:right w:val="single" w:sz="8" w:color="B8CCE4"/>
            </w:tcBorders>
          </w:tcPr>
          <w:p>
            <w:pPr>
              <w:ind w:left="20"/>
              <w:spacing w:after="0" w:line="213" w:lineRule="exact"/>
              <w:rPr>
                <w:sz w:val="20"/>
                <w:szCs w:val="20"/>
                <w:color w:val="auto"/>
              </w:rPr>
            </w:pPr>
            <w:r>
              <w:rPr>
                <w:rFonts w:ascii="Arial" w:cs="Arial" w:eastAsia="Arial" w:hAnsi="Arial"/>
                <w:sz w:val="20"/>
                <w:szCs w:val="20"/>
                <w:b w:val="1"/>
                <w:bCs w:val="1"/>
                <w:color w:val="auto"/>
              </w:rPr>
              <w:t>Corporate expense, adjusted and excluding foreign exchange</w:t>
            </w:r>
          </w:p>
        </w:tc>
        <w:tc>
          <w:tcPr>
            <w:tcW w:w="2380" w:type="dxa"/>
            <w:vAlign w:val="bottom"/>
            <w:tcBorders>
              <w:right w:val="single" w:sz="8" w:color="CCEEFF"/>
            </w:tcBorders>
          </w:tcPr>
          <w:p>
            <w:pPr>
              <w:spacing w:after="0"/>
              <w:rPr>
                <w:sz w:val="18"/>
                <w:szCs w:val="18"/>
                <w:color w:val="auto"/>
              </w:rPr>
            </w:pPr>
          </w:p>
        </w:tc>
      </w:tr>
      <w:tr>
        <w:trPr>
          <w:trHeight w:val="297"/>
        </w:trPr>
        <w:tc>
          <w:tcPr>
            <w:tcW w:w="640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20"/>
                <w:szCs w:val="20"/>
                <w:b w:val="1"/>
                <w:bCs w:val="1"/>
                <w:color w:val="auto"/>
              </w:rPr>
              <w:t>losses</w:t>
            </w:r>
          </w:p>
        </w:tc>
        <w:tc>
          <w:tcPr>
            <w:tcW w:w="2380" w:type="dxa"/>
            <w:vAlign w:val="bottom"/>
            <w:tcBorders>
              <w:bottom w:val="single" w:sz="8" w:color="auto"/>
              <w:right w:val="single" w:sz="8" w:color="CCEEFF"/>
            </w:tcBorders>
          </w:tcPr>
          <w:p>
            <w:pPr>
              <w:jc w:val="right"/>
              <w:spacing w:after="0"/>
              <w:rPr>
                <w:sz w:val="20"/>
                <w:szCs w:val="20"/>
                <w:color w:val="auto"/>
              </w:rPr>
            </w:pPr>
            <w:r>
              <w:rPr>
                <w:rFonts w:ascii="Arial" w:cs="Arial" w:eastAsia="Arial" w:hAnsi="Arial"/>
                <w:sz w:val="20"/>
                <w:szCs w:val="20"/>
                <w:color w:val="auto"/>
              </w:rPr>
              <w:t>$38.2</w:t>
            </w:r>
          </w:p>
        </w:tc>
      </w:tr>
    </w:tbl>
    <w:p>
      <w:pPr>
        <w:spacing w:after="0" w:line="200" w:lineRule="exact"/>
        <w:rPr>
          <w:sz w:val="20"/>
          <w:szCs w:val="20"/>
          <w:color w:val="auto"/>
        </w:rPr>
      </w:pPr>
    </w:p>
    <w:p>
      <w:pPr>
        <w:spacing w:after="0" w:line="201"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Net interest expense was $72 million in the quarter, which included an increase in the liability payable to joint venture partners of $35.5 million.</w:t>
      </w:r>
    </w:p>
    <w:p>
      <w:pPr>
        <w:spacing w:after="0" w:line="21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recorded a tax provision in the quarter of $37.7 million. The quarterly tax rate was impacted by the non-deductible impairment charges recorded in the quarter.</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Total depreciation and amortization for the quarter was $120.4 million.</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Cash flow from operations in the quarter was $27.9 million. The Company ended the period with cash and cash equivalents of $4,999.4 million, of which approximately $3,200 million was held in joint ventures. Operating cash and cash equivalents totaled approximately $1,800 million, a significant portion of which was readily available for corporate use. Net cash at the end of the period was $588.8 million.</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w:t>
      </w:r>
    </w:p>
    <w:p>
      <w:pPr>
        <w:spacing w:after="0" w:line="19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Company’s liquidity is supported by a revolving credit facility (RCF) of $2.5 billion. The committed credit backstops our ability to issue commercial paper obligations on a long-term basis. The available capacity under the RCF is reduced by our outstanding commercial paper balance and any borrowings under the facility. As of March 31, 2020, the Company had $1,374 million of commercial paper outstanding and had drawn down $500 million from the RCF in response to the conditions in the commercial paper markets.</w:t>
      </w:r>
    </w:p>
    <w:p>
      <w:pPr>
        <w:spacing w:after="0" w:line="200" w:lineRule="exact"/>
        <w:rPr>
          <w:sz w:val="20"/>
          <w:szCs w:val="20"/>
          <w:color w:val="auto"/>
        </w:rPr>
      </w:pPr>
    </w:p>
    <w:p>
      <w:pPr>
        <w:spacing w:after="0" w:line="391" w:lineRule="exact"/>
        <w:rPr>
          <w:sz w:val="20"/>
          <w:szCs w:val="20"/>
          <w:color w:val="auto"/>
        </w:rPr>
      </w:pPr>
    </w:p>
    <w:p>
      <w:pPr>
        <w:ind w:left="5100"/>
        <w:spacing w:after="0"/>
        <w:tabs>
          <w:tab w:leader="none" w:pos="102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11 of </w:t>
      </w:r>
      <w:hyperlink w:anchor="page32">
        <w:r>
          <w:rPr>
            <w:rFonts w:ascii="Arial" w:cs="Arial" w:eastAsia="Arial" w:hAnsi="Arial"/>
            <w:sz w:val="14"/>
            <w:szCs w:val="14"/>
            <w:b w:val="1"/>
            <w:bCs w:val="1"/>
            <w:color w:val="auto"/>
          </w:rPr>
          <w:t>28</w:t>
        </w:r>
      </w:hyperlink>
    </w:p>
    <w:p>
      <w:pPr>
        <w:sectPr>
          <w:pgSz w:w="11900" w:h="16838" w:orient="portrait"/>
          <w:cols w:equalWidth="0" w:num="1">
            <w:col w:w="11240"/>
          </w:cols>
          <w:pgMar w:left="320" w:top="1165"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Dividend</w:t>
      </w:r>
    </w:p>
    <w:p>
      <w:pPr>
        <w:spacing w:after="0" w:line="19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 recently announced that its Board of Directors has revised its dividend policy to $ 0.13 per share on an annualized basis. The Company made a dividend payment of $0.13 per share earlier this month, and this fulfills the annual dividend distribution for 2020. The revised dividend policy will reduce the annual cash distribution by $175 million when compared to the prior year.</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The Company intends to pay its 2021 dividend in quarterly installments beginning in April 2021.</w:t>
      </w:r>
    </w:p>
    <w:p>
      <w:pPr>
        <w:spacing w:after="0" w:line="200" w:lineRule="exact"/>
        <w:rPr>
          <w:sz w:val="20"/>
          <w:szCs w:val="20"/>
          <w:color w:val="auto"/>
        </w:rPr>
      </w:pPr>
    </w:p>
    <w:p>
      <w:pPr>
        <w:spacing w:after="0" w:line="357" w:lineRule="exact"/>
        <w:rPr>
          <w:sz w:val="20"/>
          <w:szCs w:val="20"/>
          <w:color w:val="auto"/>
        </w:rPr>
      </w:pPr>
    </w:p>
    <w:p>
      <w:pPr>
        <w:ind w:left="5100"/>
        <w:spacing w:after="0"/>
        <w:tabs>
          <w:tab w:leader="none" w:pos="102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12 of </w:t>
      </w:r>
      <w:hyperlink w:anchor="page32">
        <w:r>
          <w:rPr>
            <w:rFonts w:ascii="Arial" w:cs="Arial" w:eastAsia="Arial" w:hAnsi="Arial"/>
            <w:sz w:val="14"/>
            <w:szCs w:val="14"/>
            <w:b w:val="1"/>
            <w:bCs w:val="1"/>
            <w:color w:val="auto"/>
          </w:rPr>
          <w:t>28</w:t>
        </w:r>
      </w:hyperlink>
    </w:p>
    <w:p>
      <w:pPr>
        <w:sectPr>
          <w:pgSz w:w="11900" w:h="16838" w:orient="portrait"/>
          <w:cols w:equalWidth="0" w:num="1">
            <w:col w:w="11240"/>
          </w:cols>
          <w:pgMar w:left="320" w:top="1165"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2020 Financial Guidance</w:t>
      </w:r>
      <w:r>
        <w:rPr>
          <w:rFonts w:ascii="Arial" w:cs="Arial" w:eastAsia="Arial" w:hAnsi="Arial"/>
          <w:sz w:val="25"/>
          <w:szCs w:val="25"/>
          <w:b w:val="1"/>
          <w:bCs w:val="1"/>
          <w:color w:val="auto"/>
          <w:vertAlign w:val="superscript"/>
        </w:rPr>
        <w:t>1</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The Company’s full-year guidance for 2020 can be found in the table below.</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All segment guidance assumes no further material degradation from COVID-19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6934835" cy="300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34835" cy="300355"/>
                    </a:xfrm>
                    <a:prstGeom prst="rect">
                      <a:avLst/>
                    </a:prstGeom>
                    <a:noFill/>
                  </pic:spPr>
                </pic:pic>
              </a:graphicData>
            </a:graphic>
          </wp:anchor>
        </w:drawing>
      </w:r>
    </w:p>
    <w:p>
      <w:pPr>
        <w:spacing w:after="0" w:line="361"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 xml:space="preserve">2020 Guidance </w:t>
      </w:r>
      <w:r>
        <w:rPr>
          <w:rFonts w:ascii="Arial" w:cs="Arial" w:eastAsia="Arial" w:hAnsi="Arial"/>
          <w:sz w:val="16"/>
          <w:szCs w:val="16"/>
          <w:i w:val="1"/>
          <w:iCs w:val="1"/>
          <w:color w:val="auto"/>
        </w:rPr>
        <w:t>*Updated April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934835" cy="5246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34835" cy="524637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FFFFFF"/>
        </w:rPr>
        <w:t>Subsea</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0"/>
          <w:szCs w:val="20"/>
          <w:i w:val="1"/>
          <w:iCs w:val="1"/>
          <w:color w:val="auto"/>
        </w:rPr>
        <w:t>In lieu of specific revenue and EBITDA margin guidance, we provide the following:</w:t>
      </w:r>
    </w:p>
    <w:p>
      <w:pPr>
        <w:spacing w:after="0" w:line="182" w:lineRule="exact"/>
        <w:rPr>
          <w:sz w:val="20"/>
          <w:szCs w:val="20"/>
          <w:color w:val="auto"/>
        </w:rPr>
      </w:pPr>
    </w:p>
    <w:p>
      <w:pPr>
        <w:ind w:left="260" w:hanging="162"/>
        <w:spacing w:after="0"/>
        <w:tabs>
          <w:tab w:leader="none" w:pos="2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$3.1 billion of backlog to be converted into revenue for remainder of the year</w:t>
      </w:r>
    </w:p>
    <w:p>
      <w:pPr>
        <w:spacing w:after="0" w:line="175" w:lineRule="exact"/>
        <w:rPr>
          <w:rFonts w:ascii="Arial" w:cs="Arial" w:eastAsia="Arial" w:hAnsi="Arial"/>
          <w:sz w:val="20"/>
          <w:szCs w:val="20"/>
          <w:color w:val="auto"/>
        </w:rPr>
      </w:pPr>
    </w:p>
    <w:p>
      <w:pPr>
        <w:ind w:left="260" w:hanging="162"/>
        <w:spacing w:after="0"/>
        <w:tabs>
          <w:tab w:leader="none" w:pos="2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Inbound orders to be down as much as 50% versus 2019</w:t>
      </w:r>
    </w:p>
    <w:p>
      <w:pPr>
        <w:spacing w:after="0" w:line="175" w:lineRule="exact"/>
        <w:rPr>
          <w:rFonts w:ascii="Arial" w:cs="Arial" w:eastAsia="Arial" w:hAnsi="Arial"/>
          <w:sz w:val="20"/>
          <w:szCs w:val="20"/>
          <w:color w:val="auto"/>
        </w:rPr>
      </w:pPr>
    </w:p>
    <w:p>
      <w:pPr>
        <w:ind w:left="260" w:hanging="162"/>
        <w:spacing w:after="0"/>
        <w:tabs>
          <w:tab w:leader="none" w:pos="2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Subsea Services revenue to be approximately $1 billion for the full year</w:t>
      </w:r>
    </w:p>
    <w:p>
      <w:pPr>
        <w:spacing w:after="0" w:line="175" w:lineRule="exact"/>
        <w:rPr>
          <w:rFonts w:ascii="Arial" w:cs="Arial" w:eastAsia="Arial" w:hAnsi="Arial"/>
          <w:sz w:val="20"/>
          <w:szCs w:val="20"/>
          <w:color w:val="auto"/>
        </w:rPr>
      </w:pPr>
    </w:p>
    <w:p>
      <w:pPr>
        <w:ind w:left="260" w:hanging="162"/>
        <w:spacing w:after="0"/>
        <w:tabs>
          <w:tab w:leader="none" w:pos="2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Installation campaigns extend to 2021; limited flexibility to mitigate near-term costs</w:t>
      </w:r>
    </w:p>
    <w:p>
      <w:pPr>
        <w:spacing w:after="0" w:line="165"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FFFFFF"/>
        </w:rPr>
        <w:t>Technip Energies</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20"/>
          <w:szCs w:val="20"/>
          <w:color w:val="auto"/>
        </w:rPr>
        <w:t>Revenue in a range of $6.3 - 6.8 billion</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20"/>
          <w:szCs w:val="20"/>
          <w:color w:val="auto"/>
        </w:rPr>
        <w:t>EBITDA margin at least 10% (excluding charges and credits)</w:t>
      </w:r>
    </w:p>
    <w:p>
      <w:pPr>
        <w:spacing w:after="0" w:line="367"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FFFFFF"/>
        </w:rPr>
        <w:t>Surface Technologies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0"/>
          <w:szCs w:val="20"/>
          <w:i w:val="1"/>
          <w:iCs w:val="1"/>
          <w:color w:val="auto"/>
        </w:rPr>
        <w:t>In lieu of specific revenue and EBITDA margin guidance, we provide the following:</w:t>
      </w:r>
    </w:p>
    <w:p>
      <w:pPr>
        <w:spacing w:after="0" w:line="182" w:lineRule="exact"/>
        <w:rPr>
          <w:sz w:val="20"/>
          <w:szCs w:val="20"/>
          <w:color w:val="auto"/>
        </w:rPr>
      </w:pPr>
    </w:p>
    <w:p>
      <w:pPr>
        <w:ind w:left="260" w:hanging="162"/>
        <w:spacing w:after="0"/>
        <w:tabs>
          <w:tab w:leader="none" w:pos="2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International market to represent ~60% of revenue mix</w:t>
      </w:r>
    </w:p>
    <w:p>
      <w:pPr>
        <w:spacing w:after="0" w:line="175" w:lineRule="exact"/>
        <w:rPr>
          <w:rFonts w:ascii="Arial" w:cs="Arial" w:eastAsia="Arial" w:hAnsi="Arial"/>
          <w:sz w:val="20"/>
          <w:szCs w:val="20"/>
          <w:color w:val="auto"/>
        </w:rPr>
      </w:pPr>
    </w:p>
    <w:p>
      <w:pPr>
        <w:ind w:left="260" w:hanging="162"/>
        <w:spacing w:after="0"/>
        <w:tabs>
          <w:tab w:leader="none" w:pos="2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Vertical integration and technology differentiation benefits internationally</w:t>
      </w:r>
    </w:p>
    <w:p>
      <w:pPr>
        <w:spacing w:after="0" w:line="391" w:lineRule="exact"/>
        <w:rPr>
          <w:rFonts w:ascii="Arial" w:cs="Arial" w:eastAsia="Arial" w:hAnsi="Arial"/>
          <w:sz w:val="20"/>
          <w:szCs w:val="20"/>
          <w:color w:val="auto"/>
        </w:rPr>
      </w:pPr>
    </w:p>
    <w:p>
      <w:pPr>
        <w:ind w:left="260" w:right="3960" w:hanging="162"/>
        <w:spacing w:after="0" w:line="246" w:lineRule="auto"/>
        <w:tabs>
          <w:tab w:leader="none" w:pos="258" w:val="left"/>
        </w:tabs>
        <w:numPr>
          <w:ilvl w:val="0"/>
          <w:numId w:val="20"/>
        </w:numPr>
        <w:rPr>
          <w:rFonts w:ascii="Arial" w:cs="Arial" w:eastAsia="Arial" w:hAnsi="Arial"/>
          <w:sz w:val="20"/>
          <w:szCs w:val="20"/>
          <w:color w:val="auto"/>
        </w:rPr>
      </w:pPr>
      <w:r>
        <w:rPr>
          <w:rFonts w:ascii="Arial" w:cs="Arial" w:eastAsia="Arial" w:hAnsi="Arial"/>
          <w:sz w:val="20"/>
          <w:szCs w:val="20"/>
          <w:color w:val="auto"/>
        </w:rPr>
        <w:t>Aggressive actions to North America cost base; expect to be modestly profitable (excluding charges and credits)</w:t>
      </w:r>
    </w:p>
    <w:p>
      <w:pPr>
        <w:spacing w:after="0" w:line="355"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FFFFFF"/>
        </w:rPr>
        <w:t>TechnipFMC</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Corporate expense, net </w:t>
      </w:r>
      <w:r>
        <w:rPr>
          <w:rFonts w:ascii="Arial" w:cs="Arial" w:eastAsia="Arial" w:hAnsi="Arial"/>
          <w:sz w:val="20"/>
          <w:szCs w:val="20"/>
          <w:color w:val="auto"/>
        </w:rPr>
        <w:t>$165 - 175 million for the full year (excluding the impact of foreign currency fluctuations)</w:t>
      </w:r>
    </w:p>
    <w:p>
      <w:pPr>
        <w:spacing w:after="0" w:line="337" w:lineRule="exact"/>
        <w:rPr>
          <w:sz w:val="20"/>
          <w:szCs w:val="20"/>
          <w:color w:val="auto"/>
        </w:rPr>
      </w:pPr>
    </w:p>
    <w:p>
      <w:pPr>
        <w:ind w:left="40" w:right="360"/>
        <w:spacing w:after="0" w:line="257" w:lineRule="auto"/>
        <w:rPr>
          <w:sz w:val="20"/>
          <w:szCs w:val="20"/>
          <w:color w:val="auto"/>
        </w:rPr>
      </w:pPr>
      <w:r>
        <w:rPr>
          <w:rFonts w:ascii="Arial" w:cs="Arial" w:eastAsia="Arial" w:hAnsi="Arial"/>
          <w:sz w:val="20"/>
          <w:szCs w:val="20"/>
          <w:b w:val="1"/>
          <w:bCs w:val="1"/>
          <w:color w:val="auto"/>
        </w:rPr>
        <w:t xml:space="preserve">Net interest expense </w:t>
      </w:r>
      <w:r>
        <w:rPr>
          <w:rFonts w:ascii="Arial" w:cs="Arial" w:eastAsia="Arial" w:hAnsi="Arial"/>
          <w:sz w:val="20"/>
          <w:szCs w:val="20"/>
          <w:color w:val="auto"/>
        </w:rPr>
        <w:t>$80 - 90 million for the full year (excluding the impact of revaluation of partners’ mandatorily</w:t>
      </w:r>
      <w:r>
        <w:rPr>
          <w:rFonts w:ascii="Arial" w:cs="Arial" w:eastAsia="Arial" w:hAnsi="Arial"/>
          <w:sz w:val="20"/>
          <w:szCs w:val="20"/>
          <w:b w:val="1"/>
          <w:bCs w:val="1"/>
          <w:color w:val="auto"/>
        </w:rPr>
        <w:t xml:space="preserve"> </w:t>
      </w:r>
      <w:r>
        <w:rPr>
          <w:rFonts w:ascii="Arial" w:cs="Arial" w:eastAsia="Arial" w:hAnsi="Arial"/>
          <w:sz w:val="20"/>
          <w:szCs w:val="20"/>
          <w:color w:val="auto"/>
        </w:rPr>
        <w:t>redeemable financial liability)</w:t>
      </w:r>
    </w:p>
    <w:p>
      <w:pPr>
        <w:spacing w:after="0" w:line="29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Capital expenditures </w:t>
      </w:r>
      <w:r>
        <w:rPr>
          <w:rFonts w:ascii="Arial" w:cs="Arial" w:eastAsia="Arial" w:hAnsi="Arial"/>
          <w:sz w:val="20"/>
          <w:szCs w:val="20"/>
          <w:color w:val="auto"/>
        </w:rPr>
        <w:t>approximately $300 million for the full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20" w:lineRule="exact"/>
        <w:rPr>
          <w:sz w:val="20"/>
          <w:szCs w:val="20"/>
          <w:color w:val="auto"/>
        </w:rPr>
      </w:pPr>
    </w:p>
    <w:p>
      <w:pPr>
        <w:jc w:val="both"/>
        <w:ind w:firstLine="8"/>
        <w:spacing w:after="0" w:line="230" w:lineRule="auto"/>
        <w:tabs>
          <w:tab w:leader="none" w:pos="9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Our guidance measures adjusted EBITDA margin, corporate expense, net (excluding the impact of foreign currency fluctuations) and net interest expense (excluding the impact of revaluation of partners’ mandatorily redeemable financial liability) are non-GAAP financial measures. We are unable to provide a reconciliation to comparable GAAP financial measures on a forward-looking basis without unreasonable effort because of the unpredictability of the individual components of the most directly comparable GAAP financial measure and the variability of items excluded from each such measure. Such information may have a significant, and potentially unpredictable, impact on our future financial results.</w:t>
      </w:r>
    </w:p>
    <w:p>
      <w:pPr>
        <w:sectPr>
          <w:pgSz w:w="11900" w:h="16838" w:orient="portrait"/>
          <w:cols w:equalWidth="0" w:num="1">
            <w:col w:w="11240"/>
          </w:cols>
          <w:pgMar w:left="320" w:top="1165"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5100"/>
        <w:spacing w:after="0"/>
        <w:tabs>
          <w:tab w:leader="none" w:pos="102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13 of </w:t>
      </w:r>
      <w:hyperlink w:anchor="page32">
        <w:r>
          <w:rPr>
            <w:rFonts w:ascii="Arial" w:cs="Arial" w:eastAsia="Arial" w:hAnsi="Arial"/>
            <w:sz w:val="14"/>
            <w:szCs w:val="14"/>
            <w:b w:val="1"/>
            <w:bCs w:val="1"/>
            <w:color w:val="auto"/>
          </w:rPr>
          <w:t>28</w:t>
        </w:r>
      </w:hyperlink>
    </w:p>
    <w:p>
      <w:pPr>
        <w:sectPr>
          <w:pgSz w:w="11900" w:h="16838" w:orient="portrait"/>
          <w:cols w:equalWidth="0" w:num="1">
            <w:col w:w="11240"/>
          </w:cols>
          <w:pgMar w:left="320" w:top="116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Teleconference</w:t>
      </w:r>
    </w:p>
    <w:p>
      <w:pPr>
        <w:spacing w:after="0" w:line="24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The Company will host a teleconference on Thursday, April 23, 2020 to discuss the first quarter 2020 financial results. The call will begin at 1 p.m. London time (8 a.m. New York time). Dial-in information and an accompanying presentation can be found at </w:t>
      </w:r>
      <w:r>
        <w:rPr>
          <w:rFonts w:ascii="Arial" w:cs="Arial" w:eastAsia="Arial" w:hAnsi="Arial"/>
          <w:sz w:val="20"/>
          <w:szCs w:val="20"/>
          <w:u w:val="single" w:color="auto"/>
          <w:color w:val="0000FF"/>
        </w:rPr>
        <w:t>www.TechnipFMC.com</w:t>
      </w:r>
      <w:r>
        <w:rPr>
          <w:rFonts w:ascii="Arial" w:cs="Arial" w:eastAsia="Arial" w:hAnsi="Arial"/>
          <w:sz w:val="20"/>
          <w:szCs w:val="20"/>
          <w:color w:val="000000"/>
        </w:rPr>
        <w:t>.</w:t>
      </w:r>
    </w:p>
    <w:p>
      <w:pPr>
        <w:spacing w:after="0" w:line="16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Webcast access will also be available on our website prior to the start of the call. An archived audio replay will be available after the event at the same website address. In the event of a disruption of service or technical difficulty during the call, information will be posted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100"/>
        <w:spacing w:after="0"/>
        <w:tabs>
          <w:tab w:leader="none" w:pos="102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14 of </w:t>
      </w:r>
      <w:hyperlink w:anchor="page32">
        <w:r>
          <w:rPr>
            <w:rFonts w:ascii="Arial" w:cs="Arial" w:eastAsia="Arial" w:hAnsi="Arial"/>
            <w:sz w:val="14"/>
            <w:szCs w:val="14"/>
            <w:b w:val="1"/>
            <w:bCs w:val="1"/>
            <w:color w:val="auto"/>
          </w:rPr>
          <w:t>28</w:t>
        </w:r>
      </w:hyperlink>
    </w:p>
    <w:p>
      <w:pPr>
        <w:sectPr>
          <w:pgSz w:w="11900" w:h="16838" w:orient="portrait"/>
          <w:cols w:equalWidth="0" w:num="1">
            <w:col w:w="11240"/>
          </w:cols>
          <w:pgMar w:left="320" w:top="1165"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808080"/>
        </w:rPr>
        <w:t>About TechnipFMC</w:t>
      </w:r>
    </w:p>
    <w:p>
      <w:pPr>
        <w:spacing w:after="0" w:line="395"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i w:val="1"/>
          <w:iCs w:val="1"/>
          <w:color w:val="808080"/>
        </w:rPr>
        <w:t>TechnipFMC is a global leader in subsea, onshore/offshore, and surface projects. With our proprietary technologies and production systems, integrated expertise, and comprehensive solutions, we are transforming our clients’ project economics.</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808080"/>
        </w:rPr>
        <w:t>We are uniquely positioned to deliver greater efficiency across project lifecycles from concept to project delivery and beyond. Through innovative technologies and improved efficiencies, our offering unlocks new possibilities for our clients in developing their oil and gas resources.</w:t>
      </w:r>
    </w:p>
    <w:p>
      <w:pPr>
        <w:spacing w:after="0" w:line="13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i w:val="1"/>
          <w:iCs w:val="1"/>
          <w:color w:val="808080"/>
        </w:rPr>
        <w:t>Each of our more than 37,000 employees is driven by a steady commitment to clients and a culture of purposeful innovation, challenging industry conventions, and rethinking how the best results are achieved.</w:t>
      </w:r>
    </w:p>
    <w:p>
      <w:pPr>
        <w:spacing w:after="0" w:line="123" w:lineRule="exact"/>
        <w:rPr>
          <w:sz w:val="20"/>
          <w:szCs w:val="20"/>
          <w:color w:val="auto"/>
        </w:rPr>
      </w:pPr>
    </w:p>
    <w:p>
      <w:pPr>
        <w:ind w:right="260"/>
        <w:spacing w:after="0" w:line="253" w:lineRule="auto"/>
        <w:rPr>
          <w:sz w:val="20"/>
          <w:szCs w:val="20"/>
          <w:color w:val="auto"/>
        </w:rPr>
      </w:pPr>
      <w:r>
        <w:rPr>
          <w:rFonts w:ascii="Arial" w:cs="Arial" w:eastAsia="Arial" w:hAnsi="Arial"/>
          <w:sz w:val="20"/>
          <w:szCs w:val="20"/>
          <w:i w:val="1"/>
          <w:iCs w:val="1"/>
          <w:color w:val="808080"/>
        </w:rPr>
        <w:t>TechnipFMC utilizes its website www.TechnipFMC.com as a channel of distribution of material company information. To learn more about us and how we are enhancing the performance of the world’s energy industry, go to www.TechnipFMC.com and follow us on Twitter @TechnipFMC.</w:t>
      </w:r>
    </w:p>
    <w:p>
      <w:pPr>
        <w:spacing w:after="0" w:line="2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808080"/>
        </w:rPr>
        <w:t>This communication contains “forward-looking statements” as defined in Section 27A of the United States Securities Act of 1933, as amended, and Section 21E of the United States Securities Exchange Act of 1934, as amended. Words such as “guidance,” “confident,” “believe,” “expect,” “anticipate,” “plan,” “intend,” “foresee,” “should,” “would,” “could,” “may,” “will,” “likely,” “predicated,” “estimate,” “outlook” and similar expressions are intended to identify forward -looking statements, which are generally not historical in nature. Such forward-looking statements involve significant risks, uncertainties and assumptions that could cause actual results to differ materially from our historical experience and our present expectations or projections, including the following known material factors:</w:t>
      </w:r>
    </w:p>
    <w:p>
      <w:pPr>
        <w:spacing w:after="0" w:line="147" w:lineRule="exact"/>
        <w:rPr>
          <w:sz w:val="20"/>
          <w:szCs w:val="20"/>
          <w:color w:val="auto"/>
        </w:rPr>
      </w:pPr>
    </w:p>
    <w:p>
      <w:pPr>
        <w:ind w:left="660" w:hanging="328"/>
        <w:spacing w:after="0" w:line="260" w:lineRule="auto"/>
        <w:tabs>
          <w:tab w:leader="none" w:pos="660" w:val="left"/>
        </w:tabs>
        <w:numPr>
          <w:ilvl w:val="0"/>
          <w:numId w:val="22"/>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associated with disease outbreaks and changes in, and the administration of, treaties, laws, and regulations, including the response to public health issues, such as COVID-19;</w:t>
      </w:r>
    </w:p>
    <w:p>
      <w:pPr>
        <w:spacing w:after="0" w:line="1" w:lineRule="exact"/>
        <w:rPr>
          <w:rFonts w:ascii="Arial" w:cs="Arial" w:eastAsia="Arial" w:hAnsi="Arial"/>
          <w:sz w:val="18"/>
          <w:szCs w:val="18"/>
          <w:i w:val="1"/>
          <w:iCs w:val="1"/>
          <w:color w:val="808080"/>
        </w:rPr>
      </w:pPr>
    </w:p>
    <w:p>
      <w:pPr>
        <w:ind w:left="660" w:hanging="328"/>
        <w:spacing w:after="0"/>
        <w:tabs>
          <w:tab w:leader="none" w:pos="660" w:val="left"/>
        </w:tabs>
        <w:numPr>
          <w:ilvl w:val="0"/>
          <w:numId w:val="22"/>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associated with our ability to consummate our proposed separation and spin-off;</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22"/>
        </w:numPr>
        <w:rPr>
          <w:rFonts w:ascii="Arial" w:cs="Arial" w:eastAsia="Arial" w:hAnsi="Arial"/>
          <w:sz w:val="18"/>
          <w:szCs w:val="18"/>
          <w:i w:val="1"/>
          <w:iCs w:val="1"/>
          <w:color w:val="808080"/>
        </w:rPr>
      </w:pPr>
      <w:r>
        <w:rPr>
          <w:rFonts w:ascii="Arial" w:cs="Arial" w:eastAsia="Arial" w:hAnsi="Arial"/>
          <w:sz w:val="18"/>
          <w:szCs w:val="18"/>
          <w:i w:val="1"/>
          <w:iCs w:val="1"/>
          <w:color w:val="808080"/>
        </w:rPr>
        <w:t>unanticipated changes relating to competitive factors in our industry;</w:t>
      </w:r>
    </w:p>
    <w:p>
      <w:pPr>
        <w:spacing w:after="0" w:line="9" w:lineRule="exact"/>
        <w:rPr>
          <w:rFonts w:ascii="Arial" w:cs="Arial" w:eastAsia="Arial" w:hAnsi="Arial"/>
          <w:sz w:val="18"/>
          <w:szCs w:val="18"/>
          <w:i w:val="1"/>
          <w:iCs w:val="1"/>
          <w:color w:val="808080"/>
        </w:rPr>
      </w:pPr>
    </w:p>
    <w:p>
      <w:pPr>
        <w:ind w:left="660" w:hanging="328"/>
        <w:spacing w:after="0" w:line="250" w:lineRule="auto"/>
        <w:tabs>
          <w:tab w:leader="none" w:pos="660" w:val="left"/>
        </w:tabs>
        <w:numPr>
          <w:ilvl w:val="0"/>
          <w:numId w:val="22"/>
        </w:numPr>
        <w:rPr>
          <w:rFonts w:ascii="Arial" w:cs="Arial" w:eastAsia="Arial" w:hAnsi="Arial"/>
          <w:sz w:val="18"/>
          <w:szCs w:val="18"/>
          <w:i w:val="1"/>
          <w:iCs w:val="1"/>
          <w:color w:val="808080"/>
        </w:rPr>
      </w:pPr>
      <w:r>
        <w:rPr>
          <w:rFonts w:ascii="Arial" w:cs="Arial" w:eastAsia="Arial" w:hAnsi="Arial"/>
          <w:sz w:val="18"/>
          <w:szCs w:val="18"/>
          <w:i w:val="1"/>
          <w:iCs w:val="1"/>
          <w:color w:val="808080"/>
        </w:rPr>
        <w:t>demand for our products and services, which is affected by changes in the price of, and demand for, crude oil and natural gas in domestic and international markets;</w:t>
      </w:r>
    </w:p>
    <w:p>
      <w:pPr>
        <w:ind w:left="660" w:hanging="328"/>
        <w:spacing w:after="0" w:line="250" w:lineRule="auto"/>
        <w:tabs>
          <w:tab w:leader="none" w:pos="660" w:val="left"/>
        </w:tabs>
        <w:numPr>
          <w:ilvl w:val="0"/>
          <w:numId w:val="22"/>
        </w:numPr>
        <w:rPr>
          <w:rFonts w:ascii="Arial" w:cs="Arial" w:eastAsia="Arial" w:hAnsi="Arial"/>
          <w:sz w:val="18"/>
          <w:szCs w:val="18"/>
          <w:i w:val="1"/>
          <w:iCs w:val="1"/>
          <w:color w:val="808080"/>
        </w:rPr>
      </w:pPr>
      <w:r>
        <w:rPr>
          <w:rFonts w:ascii="Arial" w:cs="Arial" w:eastAsia="Arial" w:hAnsi="Arial"/>
          <w:sz w:val="18"/>
          <w:szCs w:val="18"/>
          <w:i w:val="1"/>
          <w:iCs w:val="1"/>
          <w:color w:val="808080"/>
        </w:rPr>
        <w:t>our ability to develop and implement new technologies and services, as well as our ability to protect and maintain critical intellectual property assets;</w:t>
      </w:r>
    </w:p>
    <w:p>
      <w:pPr>
        <w:ind w:left="660" w:hanging="328"/>
        <w:spacing w:after="0"/>
        <w:tabs>
          <w:tab w:leader="none" w:pos="660" w:val="left"/>
        </w:tabs>
        <w:numPr>
          <w:ilvl w:val="0"/>
          <w:numId w:val="22"/>
        </w:numPr>
        <w:rPr>
          <w:rFonts w:ascii="Arial" w:cs="Arial" w:eastAsia="Arial" w:hAnsi="Arial"/>
          <w:sz w:val="18"/>
          <w:szCs w:val="18"/>
          <w:i w:val="1"/>
          <w:iCs w:val="1"/>
          <w:color w:val="808080"/>
        </w:rPr>
      </w:pPr>
      <w:r>
        <w:rPr>
          <w:rFonts w:ascii="Arial" w:cs="Arial" w:eastAsia="Arial" w:hAnsi="Arial"/>
          <w:sz w:val="18"/>
          <w:szCs w:val="18"/>
          <w:i w:val="1"/>
          <w:iCs w:val="1"/>
          <w:color w:val="808080"/>
        </w:rPr>
        <w:t>potential liabilities arising out of the installation or use of our products;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22"/>
        </w:numPr>
        <w:rPr>
          <w:rFonts w:ascii="Arial" w:cs="Arial" w:eastAsia="Arial" w:hAnsi="Arial"/>
          <w:sz w:val="18"/>
          <w:szCs w:val="18"/>
          <w:i w:val="1"/>
          <w:iCs w:val="1"/>
          <w:color w:val="808080"/>
        </w:rPr>
      </w:pPr>
      <w:r>
        <w:rPr>
          <w:rFonts w:ascii="Arial" w:cs="Arial" w:eastAsia="Arial" w:hAnsi="Arial"/>
          <w:sz w:val="18"/>
          <w:szCs w:val="18"/>
          <w:i w:val="1"/>
          <w:iCs w:val="1"/>
          <w:color w:val="808080"/>
        </w:rPr>
        <w:t>cost overruns related to our fixed price contracts or capital asset construction projects that may affect revenues;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22"/>
        </w:numPr>
        <w:rPr>
          <w:rFonts w:ascii="Arial" w:cs="Arial" w:eastAsia="Arial" w:hAnsi="Arial"/>
          <w:sz w:val="18"/>
          <w:szCs w:val="18"/>
          <w:i w:val="1"/>
          <w:iCs w:val="1"/>
          <w:color w:val="808080"/>
        </w:rPr>
      </w:pPr>
      <w:r>
        <w:rPr>
          <w:rFonts w:ascii="Arial" w:cs="Arial" w:eastAsia="Arial" w:hAnsi="Arial"/>
          <w:sz w:val="18"/>
          <w:szCs w:val="18"/>
          <w:i w:val="1"/>
          <w:iCs w:val="1"/>
          <w:color w:val="808080"/>
        </w:rPr>
        <w:t>our ability to timely deliver our backlog and its effect on our future sales, profitability, and our relationships with our customers;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22"/>
        </w:numPr>
        <w:rPr>
          <w:rFonts w:ascii="Arial" w:cs="Arial" w:eastAsia="Arial" w:hAnsi="Arial"/>
          <w:sz w:val="18"/>
          <w:szCs w:val="18"/>
          <w:i w:val="1"/>
          <w:iCs w:val="1"/>
          <w:color w:val="808080"/>
        </w:rPr>
      </w:pPr>
      <w:r>
        <w:rPr>
          <w:rFonts w:ascii="Arial" w:cs="Arial" w:eastAsia="Arial" w:hAnsi="Arial"/>
          <w:sz w:val="18"/>
          <w:szCs w:val="18"/>
          <w:i w:val="1"/>
          <w:iCs w:val="1"/>
          <w:color w:val="808080"/>
        </w:rPr>
        <w:t>our reliance on subcontractors, suppliers and joint venture partners in the performance of our contracts;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22"/>
        </w:numPr>
        <w:rPr>
          <w:rFonts w:ascii="Arial" w:cs="Arial" w:eastAsia="Arial" w:hAnsi="Arial"/>
          <w:sz w:val="18"/>
          <w:szCs w:val="18"/>
          <w:i w:val="1"/>
          <w:iCs w:val="1"/>
          <w:color w:val="808080"/>
        </w:rPr>
      </w:pPr>
      <w:r>
        <w:rPr>
          <w:rFonts w:ascii="Arial" w:cs="Arial" w:eastAsia="Arial" w:hAnsi="Arial"/>
          <w:sz w:val="18"/>
          <w:szCs w:val="18"/>
          <w:i w:val="1"/>
          <w:iCs w:val="1"/>
          <w:color w:val="808080"/>
        </w:rPr>
        <w:t>our ability to hire and retain key personnel;</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22"/>
        </w:numPr>
        <w:rPr>
          <w:rFonts w:ascii="Arial" w:cs="Arial" w:eastAsia="Arial" w:hAnsi="Arial"/>
          <w:sz w:val="18"/>
          <w:szCs w:val="18"/>
          <w:i w:val="1"/>
          <w:iCs w:val="1"/>
          <w:color w:val="808080"/>
        </w:rPr>
      </w:pPr>
      <w:r>
        <w:rPr>
          <w:rFonts w:ascii="Arial" w:cs="Arial" w:eastAsia="Arial" w:hAnsi="Arial"/>
          <w:sz w:val="18"/>
          <w:szCs w:val="18"/>
          <w:i w:val="1"/>
          <w:iCs w:val="1"/>
          <w:color w:val="808080"/>
        </w:rPr>
        <w:t>piracy risks for our maritime employees and assets;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22"/>
        </w:numPr>
        <w:rPr>
          <w:rFonts w:ascii="Arial" w:cs="Arial" w:eastAsia="Arial" w:hAnsi="Arial"/>
          <w:sz w:val="18"/>
          <w:szCs w:val="18"/>
          <w:i w:val="1"/>
          <w:iCs w:val="1"/>
          <w:color w:val="808080"/>
        </w:rPr>
      </w:pPr>
      <w:r>
        <w:rPr>
          <w:rFonts w:ascii="Arial" w:cs="Arial" w:eastAsia="Arial" w:hAnsi="Arial"/>
          <w:sz w:val="18"/>
          <w:szCs w:val="18"/>
          <w:i w:val="1"/>
          <w:iCs w:val="1"/>
          <w:color w:val="808080"/>
        </w:rPr>
        <w:t>the potential impacts of seasonal and weather conditions;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22"/>
        </w:numPr>
        <w:rPr>
          <w:rFonts w:ascii="Arial" w:cs="Arial" w:eastAsia="Arial" w:hAnsi="Arial"/>
          <w:sz w:val="18"/>
          <w:szCs w:val="18"/>
          <w:i w:val="1"/>
          <w:iCs w:val="1"/>
          <w:color w:val="808080"/>
        </w:rPr>
      </w:pPr>
      <w:r>
        <w:rPr>
          <w:rFonts w:ascii="Arial" w:cs="Arial" w:eastAsia="Arial" w:hAnsi="Arial"/>
          <w:sz w:val="18"/>
          <w:szCs w:val="18"/>
          <w:i w:val="1"/>
          <w:iCs w:val="1"/>
          <w:color w:val="808080"/>
        </w:rPr>
        <w:t>the cumulative loss of major contracts or alliances;</w:t>
      </w:r>
    </w:p>
    <w:p>
      <w:pPr>
        <w:spacing w:after="0" w:line="200" w:lineRule="exact"/>
        <w:rPr>
          <w:sz w:val="20"/>
          <w:szCs w:val="20"/>
          <w:color w:val="auto"/>
        </w:rPr>
      </w:pPr>
    </w:p>
    <w:p>
      <w:pPr>
        <w:spacing w:after="0" w:line="229" w:lineRule="exact"/>
        <w:rPr>
          <w:sz w:val="20"/>
          <w:szCs w:val="20"/>
          <w:color w:val="auto"/>
        </w:rPr>
      </w:pPr>
    </w:p>
    <w:p>
      <w:pPr>
        <w:ind w:left="5100"/>
        <w:spacing w:after="0"/>
        <w:tabs>
          <w:tab w:leader="none" w:pos="102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15 of </w:t>
      </w:r>
      <w:hyperlink w:anchor="page32">
        <w:r>
          <w:rPr>
            <w:rFonts w:ascii="Arial" w:cs="Arial" w:eastAsia="Arial" w:hAnsi="Arial"/>
            <w:sz w:val="14"/>
            <w:szCs w:val="14"/>
            <w:b w:val="1"/>
            <w:bCs w:val="1"/>
            <w:color w:val="auto"/>
          </w:rPr>
          <w:t>28</w:t>
        </w:r>
      </w:hyperlink>
    </w:p>
    <w:p>
      <w:pPr>
        <w:sectPr>
          <w:pgSz w:w="11900" w:h="16838" w:orient="portrait"/>
          <w:cols w:equalWidth="0" w:num="1">
            <w:col w:w="11240"/>
          </w:cols>
          <w:pgMar w:left="320" w:top="1165" w:right="339" w:bottom="1440" w:gutter="0" w:footer="0" w:header="0"/>
        </w:sectPr>
      </w:pPr>
    </w:p>
    <w:bookmarkStart w:id="19" w:name="page20"/>
    <w:bookmarkEnd w:id="19"/>
    <w:p>
      <w:pPr>
        <w:ind w:left="660" w:hanging="328"/>
        <w:spacing w:after="0" w:line="260" w:lineRule="auto"/>
        <w:tabs>
          <w:tab w:leader="none" w:pos="660" w:val="left"/>
        </w:tabs>
        <w:numPr>
          <w:ilvl w:val="0"/>
          <w:numId w:val="23"/>
        </w:numPr>
        <w:rPr>
          <w:rFonts w:ascii="Arial" w:cs="Arial" w:eastAsia="Arial" w:hAnsi="Arial"/>
          <w:sz w:val="18"/>
          <w:szCs w:val="18"/>
          <w:i w:val="1"/>
          <w:iCs w:val="1"/>
          <w:color w:val="808080"/>
        </w:rPr>
      </w:pPr>
      <w:r>
        <w:rPr>
          <w:rFonts w:ascii="Arial" w:cs="Arial" w:eastAsia="Arial" w:hAnsi="Arial"/>
          <w:sz w:val="18"/>
          <w:szCs w:val="18"/>
          <w:i w:val="1"/>
          <w:iCs w:val="1"/>
          <w:color w:val="808080"/>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U.S. and international laws and regulations, including existing or future environmental regulations, that may increase our costs, limit the demand for our products and services or restrict our operations;</w:t>
      </w:r>
    </w:p>
    <w:p>
      <w:pPr>
        <w:spacing w:after="0" w:line="1" w:lineRule="exact"/>
        <w:rPr>
          <w:rFonts w:ascii="Arial" w:cs="Arial" w:eastAsia="Arial" w:hAnsi="Arial"/>
          <w:sz w:val="18"/>
          <w:szCs w:val="18"/>
          <w:i w:val="1"/>
          <w:iCs w:val="1"/>
          <w:color w:val="808080"/>
        </w:rPr>
      </w:pPr>
    </w:p>
    <w:p>
      <w:pPr>
        <w:ind w:left="660" w:hanging="328"/>
        <w:spacing w:after="0"/>
        <w:tabs>
          <w:tab w:leader="none" w:pos="660" w:val="left"/>
        </w:tabs>
        <w:numPr>
          <w:ilvl w:val="0"/>
          <w:numId w:val="23"/>
        </w:numPr>
        <w:rPr>
          <w:rFonts w:ascii="Arial" w:cs="Arial" w:eastAsia="Arial" w:hAnsi="Arial"/>
          <w:sz w:val="18"/>
          <w:szCs w:val="18"/>
          <w:i w:val="1"/>
          <w:iCs w:val="1"/>
          <w:color w:val="808080"/>
        </w:rPr>
      </w:pPr>
      <w:r>
        <w:rPr>
          <w:rFonts w:ascii="Arial" w:cs="Arial" w:eastAsia="Arial" w:hAnsi="Arial"/>
          <w:sz w:val="18"/>
          <w:szCs w:val="18"/>
          <w:i w:val="1"/>
          <w:iCs w:val="1"/>
          <w:color w:val="808080"/>
        </w:rPr>
        <w:t>disruptions in the political, regulatory, economic and social conditions of the countries in which we conduct business;</w:t>
      </w:r>
    </w:p>
    <w:p>
      <w:pPr>
        <w:spacing w:after="0" w:line="9" w:lineRule="exact"/>
        <w:rPr>
          <w:rFonts w:ascii="Arial" w:cs="Arial" w:eastAsia="Arial" w:hAnsi="Arial"/>
          <w:sz w:val="18"/>
          <w:szCs w:val="18"/>
          <w:i w:val="1"/>
          <w:iCs w:val="1"/>
          <w:color w:val="808080"/>
        </w:rPr>
      </w:pPr>
    </w:p>
    <w:p>
      <w:pPr>
        <w:ind w:left="660" w:hanging="328"/>
        <w:spacing w:after="0" w:line="250" w:lineRule="auto"/>
        <w:tabs>
          <w:tab w:leader="none" w:pos="660" w:val="left"/>
        </w:tabs>
        <w:numPr>
          <w:ilvl w:val="0"/>
          <w:numId w:val="23"/>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associated with The Depository Trust Company and Euroclear for clearance services for shares traded on the NYSE and Euronext Paris, respectively;</w:t>
      </w:r>
    </w:p>
    <w:p>
      <w:pPr>
        <w:ind w:left="660" w:hanging="328"/>
        <w:spacing w:after="0"/>
        <w:tabs>
          <w:tab w:leader="none" w:pos="660" w:val="left"/>
        </w:tabs>
        <w:numPr>
          <w:ilvl w:val="0"/>
          <w:numId w:val="23"/>
        </w:numPr>
        <w:rPr>
          <w:rFonts w:ascii="Arial" w:cs="Arial" w:eastAsia="Arial" w:hAnsi="Arial"/>
          <w:sz w:val="18"/>
          <w:szCs w:val="18"/>
          <w:i w:val="1"/>
          <w:iCs w:val="1"/>
          <w:color w:val="808080"/>
        </w:rPr>
      </w:pPr>
      <w:r>
        <w:rPr>
          <w:rFonts w:ascii="Arial" w:cs="Arial" w:eastAsia="Arial" w:hAnsi="Arial"/>
          <w:sz w:val="18"/>
          <w:szCs w:val="18"/>
          <w:i w:val="1"/>
          <w:iCs w:val="1"/>
          <w:color w:val="808080"/>
        </w:rPr>
        <w:t>the United Kingdom’s withdrawal from the European Union;</w:t>
      </w:r>
    </w:p>
    <w:p>
      <w:pPr>
        <w:spacing w:after="0" w:line="9" w:lineRule="exact"/>
        <w:rPr>
          <w:rFonts w:ascii="Arial" w:cs="Arial" w:eastAsia="Arial" w:hAnsi="Arial"/>
          <w:sz w:val="18"/>
          <w:szCs w:val="18"/>
          <w:i w:val="1"/>
          <w:iCs w:val="1"/>
          <w:color w:val="808080"/>
        </w:rPr>
      </w:pPr>
    </w:p>
    <w:p>
      <w:pPr>
        <w:jc w:val="both"/>
        <w:ind w:left="660" w:hanging="328"/>
        <w:spacing w:after="0" w:line="250" w:lineRule="auto"/>
        <w:tabs>
          <w:tab w:leader="none" w:pos="660" w:val="left"/>
        </w:tabs>
        <w:numPr>
          <w:ilvl w:val="0"/>
          <w:numId w:val="23"/>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associated with being an English public limited company, including the need for “distributable profits”, shareholder approval of certain capital structure decisions, and the risk that we may not be able to pay dividends or repurchase shares in accordance with our announced capital allocation plan;</w:t>
      </w:r>
    </w:p>
    <w:p>
      <w:pPr>
        <w:spacing w:after="0" w:line="1" w:lineRule="exact"/>
        <w:rPr>
          <w:rFonts w:ascii="Arial" w:cs="Arial" w:eastAsia="Arial" w:hAnsi="Arial"/>
          <w:sz w:val="18"/>
          <w:szCs w:val="18"/>
          <w:i w:val="1"/>
          <w:iCs w:val="1"/>
          <w:color w:val="808080"/>
        </w:rPr>
      </w:pPr>
    </w:p>
    <w:p>
      <w:pPr>
        <w:ind w:left="660" w:hanging="328"/>
        <w:spacing w:after="0"/>
        <w:tabs>
          <w:tab w:leader="none" w:pos="660" w:val="left"/>
        </w:tabs>
        <w:numPr>
          <w:ilvl w:val="0"/>
          <w:numId w:val="23"/>
        </w:numPr>
        <w:rPr>
          <w:rFonts w:ascii="Arial" w:cs="Arial" w:eastAsia="Arial" w:hAnsi="Arial"/>
          <w:sz w:val="18"/>
          <w:szCs w:val="18"/>
          <w:i w:val="1"/>
          <w:iCs w:val="1"/>
          <w:color w:val="808080"/>
        </w:rPr>
      </w:pPr>
      <w:r>
        <w:rPr>
          <w:rFonts w:ascii="Arial" w:cs="Arial" w:eastAsia="Arial" w:hAnsi="Arial"/>
          <w:sz w:val="18"/>
          <w:szCs w:val="18"/>
          <w:i w:val="1"/>
          <w:iCs w:val="1"/>
          <w:color w:val="808080"/>
        </w:rPr>
        <w:t>compliance with covenants under our debt instruments and conditions in the credit markets;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23"/>
        </w:numPr>
        <w:rPr>
          <w:rFonts w:ascii="Arial" w:cs="Arial" w:eastAsia="Arial" w:hAnsi="Arial"/>
          <w:sz w:val="18"/>
          <w:szCs w:val="18"/>
          <w:i w:val="1"/>
          <w:iCs w:val="1"/>
          <w:color w:val="808080"/>
        </w:rPr>
      </w:pPr>
      <w:r>
        <w:rPr>
          <w:rFonts w:ascii="Arial" w:cs="Arial" w:eastAsia="Arial" w:hAnsi="Arial"/>
          <w:sz w:val="18"/>
          <w:szCs w:val="18"/>
          <w:i w:val="1"/>
          <w:iCs w:val="1"/>
          <w:color w:val="808080"/>
        </w:rPr>
        <w:t>downgrade in the ratings of our debt could restrict our ability to access the debt capital markets;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23"/>
        </w:numPr>
        <w:rPr>
          <w:rFonts w:ascii="Arial" w:cs="Arial" w:eastAsia="Arial" w:hAnsi="Arial"/>
          <w:sz w:val="18"/>
          <w:szCs w:val="18"/>
          <w:i w:val="1"/>
          <w:iCs w:val="1"/>
          <w:color w:val="808080"/>
        </w:rPr>
      </w:pPr>
      <w:r>
        <w:rPr>
          <w:rFonts w:ascii="Arial" w:cs="Arial" w:eastAsia="Arial" w:hAnsi="Arial"/>
          <w:sz w:val="18"/>
          <w:szCs w:val="18"/>
          <w:i w:val="1"/>
          <w:iCs w:val="1"/>
          <w:color w:val="808080"/>
        </w:rPr>
        <w:t>the outcome of uninsured claims and litigation against us;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23"/>
        </w:numPr>
        <w:rPr>
          <w:rFonts w:ascii="Arial" w:cs="Arial" w:eastAsia="Arial" w:hAnsi="Arial"/>
          <w:sz w:val="18"/>
          <w:szCs w:val="18"/>
          <w:i w:val="1"/>
          <w:iCs w:val="1"/>
          <w:color w:val="808080"/>
        </w:rPr>
      </w:pPr>
      <w:r>
        <w:rPr>
          <w:rFonts w:ascii="Arial" w:cs="Arial" w:eastAsia="Arial" w:hAnsi="Arial"/>
          <w:sz w:val="18"/>
          <w:szCs w:val="18"/>
          <w:i w:val="1"/>
          <w:iCs w:val="1"/>
          <w:color w:val="808080"/>
        </w:rPr>
        <w:t>the risks of currency exchange rate fluctuations associated with our international operations;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23"/>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related to our acquisition and divestiture activities;</w:t>
      </w:r>
    </w:p>
    <w:p>
      <w:pPr>
        <w:spacing w:after="0" w:line="9" w:lineRule="exact"/>
        <w:rPr>
          <w:rFonts w:ascii="Arial" w:cs="Arial" w:eastAsia="Arial" w:hAnsi="Arial"/>
          <w:sz w:val="18"/>
          <w:szCs w:val="18"/>
          <w:i w:val="1"/>
          <w:iCs w:val="1"/>
          <w:color w:val="808080"/>
        </w:rPr>
      </w:pPr>
    </w:p>
    <w:p>
      <w:pPr>
        <w:ind w:left="660" w:hanging="328"/>
        <w:spacing w:after="0" w:line="250" w:lineRule="auto"/>
        <w:tabs>
          <w:tab w:leader="none" w:pos="660" w:val="left"/>
        </w:tabs>
        <w:numPr>
          <w:ilvl w:val="0"/>
          <w:numId w:val="23"/>
        </w:numPr>
        <w:rPr>
          <w:rFonts w:ascii="Arial" w:cs="Arial" w:eastAsia="Arial" w:hAnsi="Arial"/>
          <w:sz w:val="18"/>
          <w:szCs w:val="18"/>
          <w:i w:val="1"/>
          <w:iCs w:val="1"/>
          <w:color w:val="808080"/>
        </w:rPr>
      </w:pPr>
      <w:r>
        <w:rPr>
          <w:rFonts w:ascii="Arial" w:cs="Arial" w:eastAsia="Arial" w:hAnsi="Arial"/>
          <w:sz w:val="18"/>
          <w:szCs w:val="18"/>
          <w:i w:val="1"/>
          <w:iCs w:val="1"/>
          <w:color w:val="808080"/>
        </w:rPr>
        <w:t>failure of our information technology infrastructure or any significant breach of security, including related to cyber attacks, and actual or perceived failure to comply with data security and privacy obligations;</w:t>
      </w:r>
    </w:p>
    <w:p>
      <w:pPr>
        <w:ind w:left="660" w:hanging="328"/>
        <w:spacing w:after="0"/>
        <w:tabs>
          <w:tab w:leader="none" w:pos="660" w:val="left"/>
        </w:tabs>
        <w:numPr>
          <w:ilvl w:val="0"/>
          <w:numId w:val="23"/>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associated with tax liabilities, changes in U.S. federal or international tax laws or interpretations to which they are subject; and</w:t>
      </w:r>
    </w:p>
    <w:p>
      <w:pPr>
        <w:spacing w:after="0" w:line="9" w:lineRule="exact"/>
        <w:rPr>
          <w:rFonts w:ascii="Arial" w:cs="Arial" w:eastAsia="Arial" w:hAnsi="Arial"/>
          <w:sz w:val="18"/>
          <w:szCs w:val="18"/>
          <w:i w:val="1"/>
          <w:iCs w:val="1"/>
          <w:color w:val="808080"/>
        </w:rPr>
      </w:pPr>
    </w:p>
    <w:p>
      <w:pPr>
        <w:ind w:left="660" w:hanging="328"/>
        <w:spacing w:after="0" w:line="261" w:lineRule="auto"/>
        <w:tabs>
          <w:tab w:leader="none" w:pos="660" w:val="left"/>
        </w:tabs>
        <w:numPr>
          <w:ilvl w:val="0"/>
          <w:numId w:val="23"/>
        </w:numPr>
        <w:rPr>
          <w:rFonts w:ascii="Arial" w:cs="Arial" w:eastAsia="Arial" w:hAnsi="Arial"/>
          <w:sz w:val="18"/>
          <w:szCs w:val="18"/>
          <w:i w:val="1"/>
          <w:iCs w:val="1"/>
          <w:color w:val="808080"/>
        </w:rPr>
      </w:pPr>
      <w:r>
        <w:rPr>
          <w:rFonts w:ascii="Arial" w:cs="Arial" w:eastAsia="Arial" w:hAnsi="Arial"/>
          <w:sz w:val="18"/>
          <w:szCs w:val="18"/>
          <w:i w:val="1"/>
          <w:iCs w:val="1"/>
          <w:color w:val="808080"/>
        </w:rPr>
        <w:t>such other risk factors as set forth in our filings with the U.S. Securities and Exchange Commission and in our filings with the Autorité des marchés financiers or the U.K. Financial Conduct Authority.</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808080"/>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100"/>
        <w:spacing w:after="0"/>
        <w:tabs>
          <w:tab w:leader="none" w:pos="102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16 of </w:t>
      </w:r>
      <w:hyperlink w:anchor="page32">
        <w:r>
          <w:rPr>
            <w:rFonts w:ascii="Arial" w:cs="Arial" w:eastAsia="Arial" w:hAnsi="Arial"/>
            <w:sz w:val="14"/>
            <w:szCs w:val="14"/>
            <w:b w:val="1"/>
            <w:bCs w:val="1"/>
            <w:color w:val="auto"/>
          </w:rPr>
          <w:t>28</w:t>
        </w:r>
      </w:hyperlink>
    </w:p>
    <w:p>
      <w:pPr>
        <w:sectPr>
          <w:pgSz w:w="11900" w:h="16838" w:orient="portrait"/>
          <w:cols w:equalWidth="0" w:num="1">
            <w:col w:w="11240"/>
          </w:cols>
          <w:pgMar w:left="320" w:top="1174" w:right="33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Contacts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220" w:type="dxa"/>
            <w:vAlign w:val="bottom"/>
            <w:gridSpan w:val="4"/>
          </w:tcPr>
          <w:p>
            <w:pPr>
              <w:spacing w:after="0"/>
              <w:rPr>
                <w:sz w:val="20"/>
                <w:szCs w:val="20"/>
                <w:color w:val="auto"/>
              </w:rPr>
            </w:pPr>
            <w:r>
              <w:rPr>
                <w:rFonts w:ascii="Arial" w:cs="Arial" w:eastAsia="Arial" w:hAnsi="Arial"/>
                <w:sz w:val="20"/>
                <w:szCs w:val="20"/>
                <w:b w:val="1"/>
                <w:bCs w:val="1"/>
                <w:color w:val="auto"/>
              </w:rPr>
              <w:t>Investor relations</w:t>
            </w:r>
          </w:p>
        </w:tc>
        <w:tc>
          <w:tcPr>
            <w:tcW w:w="5080" w:type="dxa"/>
            <w:vAlign w:val="bottom"/>
            <w:gridSpan w:val="4"/>
          </w:tcPr>
          <w:p>
            <w:pPr>
              <w:ind w:left="1060"/>
              <w:spacing w:after="0"/>
              <w:rPr>
                <w:sz w:val="20"/>
                <w:szCs w:val="20"/>
                <w:color w:val="auto"/>
              </w:rPr>
            </w:pPr>
            <w:r>
              <w:rPr>
                <w:rFonts w:ascii="Arial" w:cs="Arial" w:eastAsia="Arial" w:hAnsi="Arial"/>
                <w:sz w:val="20"/>
                <w:szCs w:val="20"/>
                <w:b w:val="1"/>
                <w:bCs w:val="1"/>
                <w:color w:val="auto"/>
              </w:rPr>
              <w:t>Media relations</w:t>
            </w:r>
          </w:p>
        </w:tc>
      </w:tr>
      <w:tr>
        <w:trPr>
          <w:trHeight w:val="411"/>
        </w:trPr>
        <w:tc>
          <w:tcPr>
            <w:tcW w:w="4220" w:type="dxa"/>
            <w:vAlign w:val="bottom"/>
            <w:gridSpan w:val="4"/>
          </w:tcPr>
          <w:p>
            <w:pPr>
              <w:spacing w:after="0"/>
              <w:rPr>
                <w:sz w:val="20"/>
                <w:szCs w:val="20"/>
                <w:color w:val="auto"/>
              </w:rPr>
            </w:pPr>
            <w:r>
              <w:rPr>
                <w:rFonts w:ascii="Arial" w:cs="Arial" w:eastAsia="Arial" w:hAnsi="Arial"/>
                <w:sz w:val="20"/>
                <w:szCs w:val="20"/>
                <w:color w:val="auto"/>
              </w:rPr>
              <w:t>Matt Seinsheimer</w:t>
            </w:r>
          </w:p>
        </w:tc>
        <w:tc>
          <w:tcPr>
            <w:tcW w:w="5080" w:type="dxa"/>
            <w:vAlign w:val="bottom"/>
            <w:gridSpan w:val="4"/>
          </w:tcPr>
          <w:p>
            <w:pPr>
              <w:ind w:left="1060"/>
              <w:spacing w:after="0"/>
              <w:rPr>
                <w:sz w:val="20"/>
                <w:szCs w:val="20"/>
                <w:color w:val="auto"/>
              </w:rPr>
            </w:pPr>
            <w:r>
              <w:rPr>
                <w:rFonts w:ascii="Arial" w:cs="Arial" w:eastAsia="Arial" w:hAnsi="Arial"/>
                <w:sz w:val="20"/>
                <w:szCs w:val="20"/>
                <w:color w:val="auto"/>
              </w:rPr>
              <w:t>Christophe Bélorgeot</w:t>
            </w:r>
          </w:p>
        </w:tc>
      </w:tr>
      <w:tr>
        <w:trPr>
          <w:trHeight w:val="216"/>
        </w:trPr>
        <w:tc>
          <w:tcPr>
            <w:tcW w:w="4220" w:type="dxa"/>
            <w:vAlign w:val="bottom"/>
            <w:gridSpan w:val="4"/>
          </w:tcPr>
          <w:p>
            <w:pPr>
              <w:spacing w:after="0" w:line="216" w:lineRule="exact"/>
              <w:rPr>
                <w:sz w:val="20"/>
                <w:szCs w:val="20"/>
                <w:color w:val="auto"/>
              </w:rPr>
            </w:pPr>
            <w:r>
              <w:rPr>
                <w:rFonts w:ascii="Arial" w:cs="Arial" w:eastAsia="Arial" w:hAnsi="Arial"/>
                <w:sz w:val="20"/>
                <w:szCs w:val="20"/>
                <w:color w:val="auto"/>
              </w:rPr>
              <w:t>Vice President Investor Relations</w:t>
            </w:r>
          </w:p>
        </w:tc>
        <w:tc>
          <w:tcPr>
            <w:tcW w:w="5080" w:type="dxa"/>
            <w:vAlign w:val="bottom"/>
            <w:gridSpan w:val="4"/>
          </w:tcPr>
          <w:p>
            <w:pPr>
              <w:ind w:left="1060"/>
              <w:spacing w:after="0" w:line="216" w:lineRule="exact"/>
              <w:rPr>
                <w:sz w:val="20"/>
                <w:szCs w:val="20"/>
                <w:color w:val="auto"/>
              </w:rPr>
            </w:pPr>
            <w:r>
              <w:rPr>
                <w:rFonts w:ascii="Arial" w:cs="Arial" w:eastAsia="Arial" w:hAnsi="Arial"/>
                <w:sz w:val="20"/>
                <w:szCs w:val="20"/>
                <w:color w:val="auto"/>
                <w:w w:val="98"/>
              </w:rPr>
              <w:t>Senior Vice President Corporate Engagement</w:t>
            </w:r>
          </w:p>
        </w:tc>
      </w:tr>
      <w:tr>
        <w:trPr>
          <w:trHeight w:val="216"/>
        </w:trPr>
        <w:tc>
          <w:tcPr>
            <w:tcW w:w="4220" w:type="dxa"/>
            <w:vAlign w:val="bottom"/>
            <w:gridSpan w:val="4"/>
          </w:tcPr>
          <w:p>
            <w:pPr>
              <w:spacing w:after="0" w:line="216" w:lineRule="exact"/>
              <w:rPr>
                <w:sz w:val="20"/>
                <w:szCs w:val="20"/>
                <w:color w:val="auto"/>
              </w:rPr>
            </w:pPr>
            <w:r>
              <w:rPr>
                <w:rFonts w:ascii="Arial" w:cs="Arial" w:eastAsia="Arial" w:hAnsi="Arial"/>
                <w:sz w:val="20"/>
                <w:szCs w:val="20"/>
                <w:color w:val="auto"/>
              </w:rPr>
              <w:t>Tel: +1 281 260 3665</w:t>
            </w:r>
          </w:p>
        </w:tc>
        <w:tc>
          <w:tcPr>
            <w:tcW w:w="5080" w:type="dxa"/>
            <w:vAlign w:val="bottom"/>
            <w:gridSpan w:val="4"/>
          </w:tcPr>
          <w:p>
            <w:pPr>
              <w:ind w:left="1060"/>
              <w:spacing w:after="0" w:line="216" w:lineRule="exact"/>
              <w:rPr>
                <w:sz w:val="20"/>
                <w:szCs w:val="20"/>
                <w:color w:val="auto"/>
              </w:rPr>
            </w:pPr>
            <w:r>
              <w:rPr>
                <w:rFonts w:ascii="Arial" w:cs="Arial" w:eastAsia="Arial" w:hAnsi="Arial"/>
                <w:sz w:val="20"/>
                <w:szCs w:val="20"/>
                <w:color w:val="auto"/>
              </w:rPr>
              <w:t>Tel: +33 1 47 78 39 92</w:t>
            </w:r>
          </w:p>
        </w:tc>
      </w:tr>
      <w:tr>
        <w:trPr>
          <w:trHeight w:val="193"/>
        </w:trPr>
        <w:tc>
          <w:tcPr>
            <w:tcW w:w="4220" w:type="dxa"/>
            <w:vAlign w:val="bottom"/>
            <w:gridSpan w:val="4"/>
          </w:tcPr>
          <w:p>
            <w:pPr>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EE"/>
              </w:rPr>
              <w:t>Matt Seinsheimer</w:t>
            </w:r>
          </w:p>
        </w:tc>
        <w:tc>
          <w:tcPr>
            <w:tcW w:w="5080" w:type="dxa"/>
            <w:vAlign w:val="bottom"/>
            <w:gridSpan w:val="4"/>
          </w:tcPr>
          <w:p>
            <w:pPr>
              <w:ind w:left="1060"/>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EE"/>
              </w:rPr>
              <w:t>Christophe Belorgeot</w:t>
            </w:r>
          </w:p>
        </w:tc>
      </w:tr>
      <w:tr>
        <w:trPr>
          <w:trHeight w:val="20"/>
        </w:trPr>
        <w:tc>
          <w:tcPr>
            <w:tcW w:w="6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35"/>
        </w:trPr>
        <w:tc>
          <w:tcPr>
            <w:tcW w:w="4220" w:type="dxa"/>
            <w:vAlign w:val="bottom"/>
            <w:gridSpan w:val="4"/>
          </w:tcPr>
          <w:p>
            <w:pPr>
              <w:spacing w:after="0"/>
              <w:rPr>
                <w:sz w:val="20"/>
                <w:szCs w:val="20"/>
                <w:color w:val="auto"/>
              </w:rPr>
            </w:pPr>
            <w:r>
              <w:rPr>
                <w:rFonts w:ascii="Arial" w:cs="Arial" w:eastAsia="Arial" w:hAnsi="Arial"/>
                <w:sz w:val="20"/>
                <w:szCs w:val="20"/>
                <w:color w:val="auto"/>
              </w:rPr>
              <w:t>Phillip Lindsay</w:t>
            </w:r>
          </w:p>
        </w:tc>
        <w:tc>
          <w:tcPr>
            <w:tcW w:w="5080" w:type="dxa"/>
            <w:vAlign w:val="bottom"/>
            <w:gridSpan w:val="4"/>
          </w:tcPr>
          <w:p>
            <w:pPr>
              <w:ind w:left="1060"/>
              <w:spacing w:after="0"/>
              <w:rPr>
                <w:sz w:val="20"/>
                <w:szCs w:val="20"/>
                <w:color w:val="auto"/>
              </w:rPr>
            </w:pPr>
            <w:r>
              <w:rPr>
                <w:rFonts w:ascii="Arial" w:cs="Arial" w:eastAsia="Arial" w:hAnsi="Arial"/>
                <w:sz w:val="20"/>
                <w:szCs w:val="20"/>
                <w:color w:val="auto"/>
              </w:rPr>
              <w:t>Brooke Robertson</w:t>
            </w:r>
          </w:p>
        </w:tc>
      </w:tr>
      <w:tr>
        <w:trPr>
          <w:trHeight w:val="216"/>
        </w:trPr>
        <w:tc>
          <w:tcPr>
            <w:tcW w:w="4220" w:type="dxa"/>
            <w:vAlign w:val="bottom"/>
            <w:gridSpan w:val="4"/>
          </w:tcPr>
          <w:p>
            <w:pPr>
              <w:spacing w:after="0" w:line="216" w:lineRule="exact"/>
              <w:rPr>
                <w:sz w:val="20"/>
                <w:szCs w:val="20"/>
                <w:color w:val="auto"/>
              </w:rPr>
            </w:pPr>
            <w:r>
              <w:rPr>
                <w:rFonts w:ascii="Arial" w:cs="Arial" w:eastAsia="Arial" w:hAnsi="Arial"/>
                <w:sz w:val="20"/>
                <w:szCs w:val="20"/>
                <w:color w:val="auto"/>
              </w:rPr>
              <w:t>Director Investor Relations (Europe)</w:t>
            </w:r>
          </w:p>
        </w:tc>
        <w:tc>
          <w:tcPr>
            <w:tcW w:w="5080" w:type="dxa"/>
            <w:vAlign w:val="bottom"/>
            <w:gridSpan w:val="4"/>
          </w:tcPr>
          <w:p>
            <w:pPr>
              <w:ind w:left="1060"/>
              <w:spacing w:after="0" w:line="216" w:lineRule="exact"/>
              <w:rPr>
                <w:sz w:val="20"/>
                <w:szCs w:val="20"/>
                <w:color w:val="auto"/>
              </w:rPr>
            </w:pPr>
            <w:r>
              <w:rPr>
                <w:rFonts w:ascii="Arial" w:cs="Arial" w:eastAsia="Arial" w:hAnsi="Arial"/>
                <w:sz w:val="20"/>
                <w:szCs w:val="20"/>
                <w:color w:val="auto"/>
              </w:rPr>
              <w:t>Public Relations Director</w:t>
            </w:r>
          </w:p>
        </w:tc>
      </w:tr>
      <w:tr>
        <w:trPr>
          <w:trHeight w:val="216"/>
        </w:trPr>
        <w:tc>
          <w:tcPr>
            <w:tcW w:w="4220" w:type="dxa"/>
            <w:vAlign w:val="bottom"/>
            <w:gridSpan w:val="4"/>
          </w:tcPr>
          <w:p>
            <w:pPr>
              <w:spacing w:after="0" w:line="216" w:lineRule="exact"/>
              <w:rPr>
                <w:sz w:val="20"/>
                <w:szCs w:val="20"/>
                <w:color w:val="auto"/>
              </w:rPr>
            </w:pPr>
            <w:r>
              <w:rPr>
                <w:rFonts w:ascii="Arial" w:cs="Arial" w:eastAsia="Arial" w:hAnsi="Arial"/>
                <w:sz w:val="20"/>
                <w:szCs w:val="20"/>
                <w:color w:val="auto"/>
              </w:rPr>
              <w:t>Tel: +44 (0) 20 3429 3929</w:t>
            </w:r>
          </w:p>
        </w:tc>
        <w:tc>
          <w:tcPr>
            <w:tcW w:w="5080" w:type="dxa"/>
            <w:vAlign w:val="bottom"/>
            <w:gridSpan w:val="4"/>
          </w:tcPr>
          <w:p>
            <w:pPr>
              <w:ind w:left="1060"/>
              <w:spacing w:after="0" w:line="216" w:lineRule="exact"/>
              <w:rPr>
                <w:sz w:val="20"/>
                <w:szCs w:val="20"/>
                <w:color w:val="auto"/>
              </w:rPr>
            </w:pPr>
            <w:r>
              <w:rPr>
                <w:rFonts w:ascii="Arial" w:cs="Arial" w:eastAsia="Arial" w:hAnsi="Arial"/>
                <w:sz w:val="20"/>
                <w:szCs w:val="20"/>
                <w:color w:val="auto"/>
              </w:rPr>
              <w:t>Tel: +1 281 591 4108</w:t>
            </w:r>
          </w:p>
        </w:tc>
      </w:tr>
      <w:tr>
        <w:trPr>
          <w:trHeight w:val="193"/>
        </w:trPr>
        <w:tc>
          <w:tcPr>
            <w:tcW w:w="4220" w:type="dxa"/>
            <w:vAlign w:val="bottom"/>
            <w:gridSpan w:val="4"/>
          </w:tcPr>
          <w:p>
            <w:pPr>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EE"/>
              </w:rPr>
              <w:t>Phillip Lindsay</w:t>
            </w:r>
          </w:p>
        </w:tc>
        <w:tc>
          <w:tcPr>
            <w:tcW w:w="5080" w:type="dxa"/>
            <w:vAlign w:val="bottom"/>
            <w:gridSpan w:val="4"/>
          </w:tcPr>
          <w:p>
            <w:pPr>
              <w:ind w:left="1060"/>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EE"/>
              </w:rPr>
              <w:t>Brooke Robertson</w:t>
            </w:r>
          </w:p>
        </w:tc>
      </w:tr>
      <w:tr>
        <w:trPr>
          <w:trHeight w:val="20"/>
        </w:trPr>
        <w:tc>
          <w:tcPr>
            <w:tcW w:w="6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5060"/>
        <w:spacing w:after="0"/>
        <w:tabs>
          <w:tab w:leader="none" w:pos="102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17 of </w:t>
      </w:r>
      <w:hyperlink w:anchor="page32">
        <w:r>
          <w:rPr>
            <w:rFonts w:ascii="Arial" w:cs="Arial" w:eastAsia="Arial" w:hAnsi="Arial"/>
            <w:sz w:val="14"/>
            <w:szCs w:val="14"/>
            <w:b w:val="1"/>
            <w:bCs w:val="1"/>
            <w:color w:val="auto"/>
          </w:rPr>
          <w:t>28</w:t>
        </w:r>
      </w:hyperlink>
    </w:p>
    <w:p>
      <w:pPr>
        <w:sectPr>
          <w:pgSz w:w="11900" w:h="16838" w:orient="portrait"/>
          <w:cols w:equalWidth="0" w:num="1">
            <w:col w:w="11140"/>
          </w:cols>
          <w:pgMar w:left="360" w:top="1322" w:right="399" w:bottom="1440" w:gutter="0" w:footer="0" w:header="0"/>
        </w:sectPr>
      </w:pPr>
    </w:p>
    <w:bookmarkStart w:id="21" w:name="page22"/>
    <w:bookmarkEnd w:id="21"/>
    <w:p>
      <w:pPr>
        <w:jc w:val="right"/>
        <w:spacing w:after="0"/>
        <w:rPr>
          <w:sz w:val="20"/>
          <w:szCs w:val="20"/>
          <w:color w:val="auto"/>
        </w:rPr>
      </w:pPr>
      <w:r>
        <w:rPr>
          <w:rFonts w:ascii="Arial" w:cs="Arial" w:eastAsia="Arial" w:hAnsi="Arial"/>
          <w:sz w:val="13"/>
          <w:szCs w:val="13"/>
          <w:b w:val="1"/>
          <w:bCs w:val="1"/>
          <w:color w:val="auto"/>
        </w:rPr>
        <w:t>Exhibit 1</w:t>
      </w:r>
    </w:p>
    <w:p>
      <w:pPr>
        <w:spacing w:after="0" w:line="161"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u w:val="single" w:color="auto"/>
          <w:color w:val="auto"/>
        </w:rPr>
        <w:t>CONDENSED CONSOLIDATED STATEMENTS OF INCOME</w:t>
      </w:r>
    </w:p>
    <w:p>
      <w:pPr>
        <w:spacing w:after="0" w:line="9"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(In millions, except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gridSpan w:val="5"/>
          </w:tcPr>
          <w:p>
            <w:pPr>
              <w:jc w:val="center"/>
              <w:ind w:right="1128"/>
              <w:spacing w:after="0"/>
              <w:rPr>
                <w:sz w:val="20"/>
                <w:szCs w:val="20"/>
                <w:color w:val="auto"/>
              </w:rPr>
            </w:pPr>
            <w:r>
              <w:rPr>
                <w:rFonts w:ascii="Arial" w:cs="Arial" w:eastAsia="Arial" w:hAnsi="Arial"/>
                <w:sz w:val="18"/>
                <w:szCs w:val="18"/>
                <w:b w:val="1"/>
                <w:bCs w:val="1"/>
                <w:color w:val="auto"/>
                <w:w w:val="93"/>
              </w:rPr>
              <w:t>(Unaudited)</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gridSpan w:val="5"/>
          </w:tcPr>
          <w:p>
            <w:pPr>
              <w:jc w:val="center"/>
              <w:ind w:right="1108"/>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3"/>
              </w:rPr>
              <w:t>March 31,</w:t>
            </w:r>
          </w:p>
        </w:tc>
        <w:tc>
          <w:tcPr>
            <w:tcW w:w="8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w w:val="89"/>
              </w:rPr>
              <w:t>2019</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6680" w:type="dxa"/>
            <w:vAlign w:val="bottom"/>
          </w:tcPr>
          <w:p>
            <w:pPr>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3,130.3</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2,913.0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6,266.3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2,778.2</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(3,136.0)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134.8</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6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6680" w:type="dxa"/>
            <w:vAlign w:val="bottom"/>
          </w:tcPr>
          <w:p>
            <w:pPr>
              <w:spacing w:after="0"/>
              <w:rPr>
                <w:sz w:val="20"/>
                <w:szCs w:val="20"/>
                <w:color w:val="auto"/>
              </w:rPr>
            </w:pPr>
            <w:r>
              <w:rPr>
                <w:rFonts w:ascii="Arial" w:cs="Arial" w:eastAsia="Arial" w:hAnsi="Arial"/>
                <w:sz w:val="18"/>
                <w:szCs w:val="18"/>
                <w:color w:val="auto"/>
              </w:rPr>
              <w:t>Income (loss) before net interest expense and income taxes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(3,135.7)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122.5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Net interest expense</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(88.2)</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66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(3,208.0)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34.3</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6680" w:type="dxa"/>
            <w:vAlign w:val="bottom"/>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(3,245.7)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73"/>
        </w:trPr>
        <w:tc>
          <w:tcPr>
            <w:tcW w:w="6680" w:type="dxa"/>
            <w:vAlign w:val="bottom"/>
          </w:tcPr>
          <w:p>
            <w:pPr>
              <w:spacing w:after="0"/>
              <w:rPr>
                <w:sz w:val="20"/>
                <w:szCs w:val="20"/>
                <w:color w:val="auto"/>
              </w:rPr>
            </w:pPr>
            <w:r>
              <w:rPr>
                <w:rFonts w:ascii="Arial" w:cs="Arial" w:eastAsia="Arial" w:hAnsi="Arial"/>
                <w:sz w:val="18"/>
                <w:szCs w:val="18"/>
                <w:color w:val="auto"/>
              </w:rPr>
              <w:t>Net income (loss) attributable to TechnipFMC plc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(3,256.1)</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Income (loss) per share attributable to TechnipFMC plc:</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6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80" w:type="dxa"/>
            <w:vAlign w:val="bottom"/>
          </w:tcPr>
          <w:p>
            <w:pPr>
              <w:ind w:left="2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80" w:type="dxa"/>
            <w:vAlign w:val="bottom"/>
          </w:tcPr>
          <w:p>
            <w:pPr>
              <w:ind w:left="2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3"/>
        </w:trPr>
        <w:tc>
          <w:tcPr>
            <w:tcW w:w="668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80" w:type="dxa"/>
            <w:vAlign w:val="bottom"/>
          </w:tcPr>
          <w:p>
            <w:pPr>
              <w:ind w:left="2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450.1</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80" w:type="dxa"/>
            <w:vAlign w:val="bottom"/>
          </w:tcPr>
          <w:p>
            <w:pPr>
              <w:ind w:left="2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453.3</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3"/>
        </w:trPr>
        <w:tc>
          <w:tcPr>
            <w:tcW w:w="6680" w:type="dxa"/>
            <w:vAlign w:val="bottom"/>
          </w:tcPr>
          <w:p>
            <w:pPr>
              <w:spacing w:after="0"/>
              <w:rPr>
                <w:sz w:val="20"/>
                <w:szCs w:val="20"/>
                <w:color w:val="auto"/>
              </w:rPr>
            </w:pPr>
            <w:r>
              <w:rPr>
                <w:rFonts w:ascii="Arial" w:cs="Arial" w:eastAsia="Arial" w:hAnsi="Arial"/>
                <w:sz w:val="18"/>
                <w:szCs w:val="18"/>
                <w:color w:val="auto"/>
              </w:rPr>
              <w:t>Cash dividends declared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6"/>
        </w:trPr>
        <w:tc>
          <w:tcPr>
            <w:tcW w:w="6680" w:type="dxa"/>
            <w:vAlign w:val="bottom"/>
          </w:tcPr>
          <w:p>
            <w:pPr>
              <w:ind w:left="4040"/>
              <w:spacing w:after="0"/>
              <w:rPr>
                <w:sz w:val="20"/>
                <w:szCs w:val="20"/>
                <w:color w:val="auto"/>
              </w:rPr>
            </w:pPr>
            <w:r>
              <w:rPr>
                <w:rFonts w:ascii="Arial" w:cs="Arial" w:eastAsia="Arial" w:hAnsi="Arial"/>
                <w:sz w:val="14"/>
                <w:szCs w:val="14"/>
                <w:b w:val="1"/>
                <w:bCs w:val="1"/>
                <w:color w:val="auto"/>
              </w:rPr>
              <w:t>TechnipFMC.com</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ind w:left="4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Page 18 of </w:t>
            </w:r>
            <w:hyperlink w:anchor="page32">
              <w:r>
                <w:rPr>
                  <w:rFonts w:ascii="Arial" w:cs="Arial" w:eastAsia="Arial" w:hAnsi="Arial"/>
                  <w:sz w:val="14"/>
                  <w:szCs w:val="14"/>
                  <w:b w:val="1"/>
                  <w:bCs w:val="1"/>
                  <w:color w:val="auto"/>
                </w:rPr>
                <w:t>28</w:t>
              </w:r>
            </w:hyperlink>
          </w:p>
        </w:tc>
        <w:tc>
          <w:tcPr>
            <w:tcW w:w="0" w:type="dxa"/>
            <w:vAlign w:val="bottom"/>
          </w:tcPr>
          <w:p>
            <w:pPr>
              <w:spacing w:after="0"/>
              <w:rPr>
                <w:sz w:val="1"/>
                <w:szCs w:val="1"/>
                <w:color w:val="auto"/>
              </w:rPr>
            </w:pPr>
          </w:p>
        </w:tc>
      </w:tr>
    </w:tbl>
    <w:p>
      <w:pPr>
        <w:sectPr>
          <w:pgSz w:w="11900" w:h="16838" w:orient="portrait"/>
          <w:cols w:equalWidth="0" w:num="1">
            <w:col w:w="10180"/>
          </w:cols>
          <w:pgMar w:left="1380" w:top="499"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3"/>
          <w:szCs w:val="13"/>
          <w:b w:val="1"/>
          <w:bCs w:val="1"/>
          <w:color w:val="auto"/>
        </w:rPr>
        <w:t>Exhibit 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106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3"/>
              </w:rPr>
              <w:t>(Unaudited)</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3"/>
              </w:rPr>
              <w:t>March 31,</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w w:val="85"/>
              </w:rPr>
              <w:t>Revenue</w:t>
            </w:r>
          </w:p>
        </w:tc>
        <w:tc>
          <w:tcPr>
            <w:tcW w:w="6020" w:type="dxa"/>
            <w:vAlign w:val="bottom"/>
            <w:gridSpan w:val="4"/>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60" w:type="dxa"/>
            <w:vAlign w:val="bottom"/>
            <w:tcBorders>
              <w:bottom w:val="single" w:sz="8" w:color="auto"/>
            </w:tcBorders>
            <w:vMerge w:val="continue"/>
          </w:tcPr>
          <w:p>
            <w:pPr>
              <w:spacing w:after="0"/>
              <w:rPr>
                <w:sz w:val="17"/>
                <w:szCs w:val="17"/>
                <w:color w:val="auto"/>
              </w:rPr>
            </w:pPr>
          </w:p>
        </w:tc>
        <w:tc>
          <w:tcPr>
            <w:tcW w:w="6020" w:type="dxa"/>
            <w:vAlign w:val="bottom"/>
            <w:gridSpan w:val="4"/>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6680" w:type="dxa"/>
            <w:vAlign w:val="bottom"/>
            <w:gridSpan w:val="5"/>
          </w:tcPr>
          <w:p>
            <w:pPr>
              <w:spacing w:after="0"/>
              <w:rPr>
                <w:sz w:val="20"/>
                <w:szCs w:val="20"/>
                <w:color w:val="auto"/>
              </w:rPr>
            </w:pPr>
            <w:r>
              <w:rPr>
                <w:rFonts w:ascii="Arial" w:cs="Arial" w:eastAsia="Arial" w:hAnsi="Arial"/>
                <w:sz w:val="18"/>
                <w:szCs w:val="18"/>
                <w:color w:val="auto"/>
              </w:rPr>
              <w:t>Subsea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1,253.1</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1,185.3</w:t>
            </w:r>
          </w:p>
        </w:tc>
        <w:tc>
          <w:tcPr>
            <w:tcW w:w="0" w:type="dxa"/>
            <w:vAlign w:val="bottom"/>
          </w:tcPr>
          <w:p>
            <w:pPr>
              <w:spacing w:after="0"/>
              <w:rPr>
                <w:sz w:val="1"/>
                <w:szCs w:val="1"/>
                <w:color w:val="auto"/>
              </w:rPr>
            </w:pPr>
          </w:p>
        </w:tc>
      </w:tr>
      <w:tr>
        <w:trPr>
          <w:trHeight w:val="270"/>
        </w:trPr>
        <w:tc>
          <w:tcPr>
            <w:tcW w:w="6680" w:type="dxa"/>
            <w:vAlign w:val="bottom"/>
            <w:gridSpan w:val="5"/>
          </w:tcPr>
          <w:p>
            <w:pPr>
              <w:spacing w:after="0"/>
              <w:rPr>
                <w:sz w:val="20"/>
                <w:szCs w:val="20"/>
                <w:color w:val="auto"/>
              </w:rPr>
            </w:pPr>
            <w:r>
              <w:rPr>
                <w:rFonts w:ascii="Arial" w:cs="Arial" w:eastAsia="Arial" w:hAnsi="Arial"/>
                <w:sz w:val="18"/>
                <w:szCs w:val="18"/>
                <w:color w:val="auto"/>
              </w:rPr>
              <w:t>Technip Energies</w:t>
            </w: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1,547.7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1,335.1</w:t>
            </w:r>
          </w:p>
        </w:tc>
        <w:tc>
          <w:tcPr>
            <w:tcW w:w="0" w:type="dxa"/>
            <w:vAlign w:val="bottom"/>
          </w:tcPr>
          <w:p>
            <w:pPr>
              <w:spacing w:after="0"/>
              <w:rPr>
                <w:sz w:val="1"/>
                <w:szCs w:val="1"/>
                <w:color w:val="auto"/>
              </w:rPr>
            </w:pPr>
          </w:p>
        </w:tc>
      </w:tr>
      <w:tr>
        <w:trPr>
          <w:trHeight w:val="270"/>
        </w:trPr>
        <w:tc>
          <w:tcPr>
            <w:tcW w:w="6680" w:type="dxa"/>
            <w:vAlign w:val="bottom"/>
            <w:gridSpan w:val="5"/>
          </w:tcPr>
          <w:p>
            <w:pPr>
              <w:spacing w:after="0"/>
              <w:rPr>
                <w:sz w:val="20"/>
                <w:szCs w:val="20"/>
                <w:color w:val="auto"/>
              </w:rPr>
            </w:pPr>
            <w:r>
              <w:rPr>
                <w:rFonts w:ascii="Arial" w:cs="Arial" w:eastAsia="Arial" w:hAnsi="Arial"/>
                <w:sz w:val="18"/>
                <w:szCs w:val="18"/>
                <w:color w:val="auto"/>
              </w:rPr>
              <w:t>Surface Technologies</w:t>
            </w: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329.5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3,130.3</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2,913.0</w:t>
            </w:r>
          </w:p>
        </w:tc>
        <w:tc>
          <w:tcPr>
            <w:tcW w:w="0" w:type="dxa"/>
            <w:vAlign w:val="bottom"/>
          </w:tcPr>
          <w:p>
            <w:pPr>
              <w:spacing w:after="0"/>
              <w:rPr>
                <w:sz w:val="1"/>
                <w:szCs w:val="1"/>
                <w:color w:val="auto"/>
              </w:rPr>
            </w:pPr>
          </w:p>
        </w:tc>
      </w:tr>
      <w:tr>
        <w:trPr>
          <w:trHeight w:val="27"/>
        </w:trPr>
        <w:tc>
          <w:tcPr>
            <w:tcW w:w="66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80" w:type="dxa"/>
            <w:vAlign w:val="bottom"/>
            <w:gridSpan w:val="5"/>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68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22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w w:val="90"/>
              </w:rPr>
              <w:t>Segment operating profit (loss)</w:t>
            </w:r>
          </w:p>
        </w:tc>
        <w:tc>
          <w:tcPr>
            <w:tcW w:w="320" w:type="dxa"/>
            <w:vAlign w:val="bottom"/>
            <w:tcBorders>
              <w:top w:val="single" w:sz="8" w:color="auto"/>
            </w:tcBorders>
          </w:tcPr>
          <w:p>
            <w:pPr>
              <w:spacing w:after="0"/>
              <w:rPr>
                <w:sz w:val="24"/>
                <w:szCs w:val="24"/>
                <w:color w:val="auto"/>
              </w:rPr>
            </w:pPr>
          </w:p>
        </w:tc>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680" w:type="dxa"/>
            <w:vAlign w:val="bottom"/>
            <w:gridSpan w:val="5"/>
          </w:tcPr>
          <w:p>
            <w:pPr>
              <w:spacing w:after="0"/>
              <w:rPr>
                <w:sz w:val="20"/>
                <w:szCs w:val="20"/>
                <w:color w:val="auto"/>
              </w:rPr>
            </w:pPr>
            <w:r>
              <w:rPr>
                <w:rFonts w:ascii="Arial" w:cs="Arial" w:eastAsia="Arial" w:hAnsi="Arial"/>
                <w:sz w:val="18"/>
                <w:szCs w:val="18"/>
                <w:color w:val="auto"/>
              </w:rPr>
              <w:t>Subsea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(2,750.7)</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0"/>
        </w:trPr>
        <w:tc>
          <w:tcPr>
            <w:tcW w:w="6680" w:type="dxa"/>
            <w:vAlign w:val="bottom"/>
            <w:gridSpan w:val="5"/>
          </w:tcPr>
          <w:p>
            <w:pPr>
              <w:spacing w:after="0"/>
              <w:rPr>
                <w:sz w:val="20"/>
                <w:szCs w:val="20"/>
                <w:color w:val="auto"/>
              </w:rPr>
            </w:pPr>
            <w:r>
              <w:rPr>
                <w:rFonts w:ascii="Arial" w:cs="Arial" w:eastAsia="Arial" w:hAnsi="Arial"/>
                <w:sz w:val="18"/>
                <w:szCs w:val="18"/>
                <w:color w:val="auto"/>
              </w:rPr>
              <w:t>Technip Energies</w:t>
            </w: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70"/>
        </w:trPr>
        <w:tc>
          <w:tcPr>
            <w:tcW w:w="6680" w:type="dxa"/>
            <w:vAlign w:val="bottom"/>
            <w:gridSpan w:val="5"/>
          </w:tcPr>
          <w:p>
            <w:pPr>
              <w:spacing w:after="0"/>
              <w:rPr>
                <w:sz w:val="20"/>
                <w:szCs w:val="20"/>
                <w:color w:val="auto"/>
              </w:rPr>
            </w:pPr>
            <w:r>
              <w:rPr>
                <w:rFonts w:ascii="Arial" w:cs="Arial" w:eastAsia="Arial" w:hAnsi="Arial"/>
                <w:sz w:val="18"/>
                <w:szCs w:val="18"/>
                <w:color w:val="auto"/>
              </w:rPr>
              <w:t>Surface Technologies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(424.0)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80" w:type="dxa"/>
            <w:vAlign w:val="bottom"/>
            <w:gridSpan w:val="5"/>
          </w:tcPr>
          <w:p>
            <w:pPr>
              <w:spacing w:after="0"/>
              <w:rPr>
                <w:sz w:val="20"/>
                <w:szCs w:val="20"/>
                <w:color w:val="auto"/>
              </w:rPr>
            </w:pPr>
            <w:r>
              <w:rPr>
                <w:rFonts w:ascii="Arial" w:cs="Arial" w:eastAsia="Arial" w:hAnsi="Arial"/>
                <w:sz w:val="18"/>
                <w:szCs w:val="18"/>
                <w:color w:val="auto"/>
              </w:rPr>
              <w:t>Total segment operating profit (loss)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(3,023.5)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7"/>
        </w:trPr>
        <w:tc>
          <w:tcPr>
            <w:tcW w:w="6680" w:type="dxa"/>
            <w:vAlign w:val="bottom"/>
            <w:gridSpan w:val="5"/>
            <w:vMerge w:val="restart"/>
          </w:tcPr>
          <w:p>
            <w:pPr>
              <w:spacing w:after="0"/>
              <w:rPr>
                <w:sz w:val="20"/>
                <w:szCs w:val="20"/>
                <w:color w:val="auto"/>
              </w:rPr>
            </w:pPr>
            <w:r>
              <w:rPr>
                <w:rFonts w:ascii="Arial" w:cs="Arial" w:eastAsia="Arial" w:hAnsi="Arial"/>
                <w:sz w:val="18"/>
                <w:szCs w:val="18"/>
                <w:color w:val="auto"/>
              </w:rPr>
              <w:t>Corporate items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68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gridSpan w:val="2"/>
            <w:shd w:val="clear" w:color="auto" w:fill="000000"/>
          </w:tcPr>
          <w:p>
            <w:pPr>
              <w:spacing w:after="0" w:line="20" w:lineRule="exact"/>
              <w:rPr>
                <w:sz w:val="1"/>
                <w:szCs w:val="1"/>
                <w:color w:val="auto"/>
              </w:rPr>
            </w:pPr>
          </w:p>
        </w:tc>
        <w:tc>
          <w:tcPr>
            <w:tcW w:w="55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680" w:type="dxa"/>
            <w:vAlign w:val="bottom"/>
            <w:gridSpan w:val="5"/>
          </w:tcPr>
          <w:p>
            <w:pPr>
              <w:spacing w:after="0"/>
              <w:rPr>
                <w:sz w:val="20"/>
                <w:szCs w:val="20"/>
                <w:color w:val="auto"/>
              </w:rPr>
            </w:pPr>
            <w:r>
              <w:rPr>
                <w:rFonts w:ascii="Arial" w:cs="Arial" w:eastAsia="Arial" w:hAnsi="Arial"/>
                <w:sz w:val="18"/>
                <w:szCs w:val="18"/>
                <w:color w:val="auto"/>
              </w:rPr>
              <w:t xml:space="preserve">Corporate expense </w:t>
            </w:r>
            <w:r>
              <w:rPr>
                <w:rFonts w:ascii="Arial" w:cs="Arial" w:eastAsia="Arial" w:hAnsi="Arial"/>
                <w:sz w:val="25"/>
                <w:szCs w:val="25"/>
                <w:color w:val="auto"/>
                <w:vertAlign w:val="superscript"/>
              </w:rPr>
              <w:t>(1)</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30"/>
        </w:trPr>
        <w:tc>
          <w:tcPr>
            <w:tcW w:w="6680" w:type="dxa"/>
            <w:vAlign w:val="bottom"/>
            <w:gridSpan w:val="5"/>
          </w:tcPr>
          <w:p>
            <w:pPr>
              <w:spacing w:after="0"/>
              <w:rPr>
                <w:sz w:val="20"/>
                <w:szCs w:val="20"/>
                <w:color w:val="auto"/>
              </w:rPr>
            </w:pPr>
            <w:r>
              <w:rPr>
                <w:rFonts w:ascii="Arial" w:cs="Arial" w:eastAsia="Arial" w:hAnsi="Arial"/>
                <w:sz w:val="18"/>
                <w:szCs w:val="18"/>
                <w:color w:val="auto"/>
              </w:rPr>
              <w:t>Net interest expense</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80" w:type="dxa"/>
            <w:vAlign w:val="bottom"/>
            <w:gridSpan w:val="5"/>
          </w:tcPr>
          <w:p>
            <w:pPr>
              <w:spacing w:after="0"/>
              <w:rPr>
                <w:sz w:val="20"/>
                <w:szCs w:val="20"/>
                <w:color w:val="auto"/>
              </w:rPr>
            </w:pPr>
            <w:r>
              <w:rPr>
                <w:rFonts w:ascii="Arial" w:cs="Arial" w:eastAsia="Arial" w:hAnsi="Arial"/>
                <w:sz w:val="18"/>
                <w:szCs w:val="18"/>
                <w:color w:val="auto"/>
              </w:rPr>
              <w:t>Total corporate items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7"/>
        </w:trPr>
        <w:tc>
          <w:tcPr>
            <w:tcW w:w="6680" w:type="dxa"/>
            <w:vAlign w:val="bottom"/>
            <w:gridSpan w:val="5"/>
          </w:tcPr>
          <w:p>
            <w:pPr>
              <w:spacing w:after="0"/>
              <w:rPr>
                <w:sz w:val="20"/>
                <w:szCs w:val="20"/>
                <w:color w:val="auto"/>
              </w:rPr>
            </w:pPr>
            <w:r>
              <w:rPr>
                <w:rFonts w:ascii="Arial" w:cs="Arial" w:eastAsia="Arial" w:hAnsi="Arial"/>
                <w:sz w:val="18"/>
                <w:szCs w:val="18"/>
                <w:color w:val="auto"/>
              </w:rPr>
              <w:t xml:space="preserve">Income (loss) before income taxes </w:t>
            </w:r>
            <w:r>
              <w:rPr>
                <w:rFonts w:ascii="Arial" w:cs="Arial" w:eastAsia="Arial" w:hAnsi="Arial"/>
                <w:sz w:val="25"/>
                <w:szCs w:val="25"/>
                <w:color w:val="auto"/>
                <w:vertAlign w:val="superscript"/>
              </w:rPr>
              <w:t>(2)</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(3,208.0)</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Corporate expense primarily includes corporate staff expenses, legal reserve, share-based compensation expenses, other employee benefits, certain foreign exchange gains and losses, merger transaction integration and separation expenses.</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amounts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100"/>
        <w:spacing w:after="0"/>
        <w:tabs>
          <w:tab w:leader="none" w:pos="102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19 of </w:t>
      </w:r>
      <w:hyperlink w:anchor="page32">
        <w:r>
          <w:rPr>
            <w:rFonts w:ascii="Arial" w:cs="Arial" w:eastAsia="Arial" w:hAnsi="Arial"/>
            <w:sz w:val="14"/>
            <w:szCs w:val="14"/>
            <w:b w:val="1"/>
            <w:bCs w:val="1"/>
            <w:color w:val="auto"/>
          </w:rPr>
          <w:t>28</w:t>
        </w:r>
      </w:hyperlink>
    </w:p>
    <w:p>
      <w:pPr>
        <w:sectPr>
          <w:pgSz w:w="11900" w:h="16838" w:orient="portrait"/>
          <w:cols w:equalWidth="0" w:num="1">
            <w:col w:w="11240"/>
          </w:cols>
          <w:pgMar w:left="320" w:top="499"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3"/>
          <w:szCs w:val="13"/>
          <w:b w:val="1"/>
          <w:bCs w:val="1"/>
          <w:color w:val="auto"/>
        </w:rPr>
        <w:t>Exhibit 3</w:t>
      </w:r>
    </w:p>
    <w:p>
      <w:pPr>
        <w:spacing w:after="0" w:line="161"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(In millions, unaudited)</w:t>
      </w:r>
    </w:p>
    <w:p>
      <w:pPr>
        <w:spacing w:after="0" w:line="369" w:lineRule="exact"/>
        <w:rPr>
          <w:sz w:val="20"/>
          <w:szCs w:val="20"/>
          <w:color w:val="auto"/>
        </w:rPr>
      </w:pPr>
    </w:p>
    <w:tbl>
      <w:tblPr>
        <w:tblLayout w:type="fixed"/>
        <w:tblInd w:w="1052"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4"/>
          </w:tcPr>
          <w:p>
            <w:pPr>
              <w:ind w:left="140"/>
              <w:spacing w:after="0"/>
              <w:rPr>
                <w:sz w:val="20"/>
                <w:szCs w:val="20"/>
                <w:color w:val="auto"/>
              </w:rPr>
            </w:pPr>
            <w:r>
              <w:rPr>
                <w:rFonts w:ascii="Arial" w:cs="Arial" w:eastAsia="Arial" w:hAnsi="Arial"/>
                <w:sz w:val="18"/>
                <w:szCs w:val="18"/>
                <w:b w:val="1"/>
                <w:bCs w:val="1"/>
                <w:color w:val="auto"/>
              </w:rPr>
              <w:t>Three Months Ended</w:t>
            </w:r>
          </w:p>
        </w:tc>
      </w:tr>
      <w:tr>
        <w:trPr>
          <w:trHeight w:val="230"/>
        </w:trPr>
        <w:tc>
          <w:tcPr>
            <w:tcW w:w="6760" w:type="dxa"/>
            <w:vAlign w:val="bottom"/>
            <w:gridSpan w:val="3"/>
          </w:tcPr>
          <w:p>
            <w:pPr>
              <w:spacing w:after="0" w:line="229" w:lineRule="exact"/>
              <w:rPr>
                <w:sz w:val="20"/>
                <w:szCs w:val="20"/>
                <w:color w:val="auto"/>
              </w:rPr>
            </w:pPr>
            <w:r>
              <w:rPr>
                <w:rFonts w:ascii="Arial" w:cs="Arial" w:eastAsia="Arial" w:hAnsi="Arial"/>
                <w:sz w:val="18"/>
                <w:szCs w:val="18"/>
                <w:b w:val="1"/>
                <w:bCs w:val="1"/>
                <w:color w:val="auto"/>
              </w:rPr>
              <w:t xml:space="preserve">Inbound Orders </w:t>
            </w:r>
            <w:r>
              <w:rPr>
                <w:rFonts w:ascii="Arial" w:cs="Arial" w:eastAsia="Arial" w:hAnsi="Arial"/>
                <w:sz w:val="25"/>
                <w:szCs w:val="25"/>
                <w:b w:val="1"/>
                <w:bCs w:val="1"/>
                <w:color w:val="auto"/>
                <w:vertAlign w:val="superscript"/>
              </w:rPr>
              <w:t>(1)</w:t>
            </w:r>
          </w:p>
        </w:tc>
        <w:tc>
          <w:tcPr>
            <w:tcW w:w="260" w:type="dxa"/>
            <w:vAlign w:val="bottom"/>
          </w:tcPr>
          <w:p>
            <w:pPr>
              <w:spacing w:after="0"/>
              <w:rPr>
                <w:sz w:val="19"/>
                <w:szCs w:val="19"/>
                <w:color w:val="auto"/>
              </w:rPr>
            </w:pPr>
          </w:p>
        </w:tc>
        <w:tc>
          <w:tcPr>
            <w:tcW w:w="1360" w:type="dxa"/>
            <w:vAlign w:val="bottom"/>
            <w:gridSpan w:val="3"/>
          </w:tcPr>
          <w:p>
            <w:pPr>
              <w:ind w:left="560"/>
              <w:spacing w:after="0"/>
              <w:rPr>
                <w:sz w:val="20"/>
                <w:szCs w:val="20"/>
                <w:color w:val="auto"/>
              </w:rPr>
            </w:pPr>
            <w:r>
              <w:rPr>
                <w:rFonts w:ascii="Arial" w:cs="Arial" w:eastAsia="Arial" w:hAnsi="Arial"/>
                <w:sz w:val="18"/>
                <w:szCs w:val="18"/>
                <w:b w:val="1"/>
                <w:bCs w:val="1"/>
                <w:color w:val="auto"/>
                <w:w w:val="93"/>
              </w:rPr>
              <w:t>March 31,</w:t>
            </w:r>
          </w:p>
        </w:tc>
        <w:tc>
          <w:tcPr>
            <w:tcW w:w="780" w:type="dxa"/>
            <w:vAlign w:val="bottom"/>
          </w:tcPr>
          <w:p>
            <w:pPr>
              <w:spacing w:after="0"/>
              <w:rPr>
                <w:sz w:val="19"/>
                <w:szCs w:val="19"/>
                <w:color w:val="auto"/>
              </w:rPr>
            </w:pPr>
          </w:p>
        </w:tc>
      </w:tr>
      <w:tr>
        <w:trPr>
          <w:trHeight w:val="48"/>
        </w:trPr>
        <w:tc>
          <w:tcPr>
            <w:tcW w:w="11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5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37"/>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520"/>
        </w:trPr>
        <w:tc>
          <w:tcPr>
            <w:tcW w:w="6760" w:type="dxa"/>
            <w:vAlign w:val="bottom"/>
            <w:gridSpan w:val="3"/>
          </w:tcPr>
          <w:p>
            <w:pPr>
              <w:spacing w:after="0"/>
              <w:rPr>
                <w:sz w:val="20"/>
                <w:szCs w:val="20"/>
                <w:color w:val="auto"/>
              </w:rPr>
            </w:pPr>
            <w:r>
              <w:rPr>
                <w:rFonts w:ascii="Arial" w:cs="Arial" w:eastAsia="Arial" w:hAnsi="Arial"/>
                <w:sz w:val="18"/>
                <w:szCs w:val="18"/>
                <w:color w:val="auto"/>
              </w:rPr>
              <w:t>Subsea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1,172.1</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2,677.6</w:t>
            </w:r>
          </w:p>
        </w:tc>
      </w:tr>
      <w:tr>
        <w:trPr>
          <w:trHeight w:val="270"/>
        </w:trPr>
        <w:tc>
          <w:tcPr>
            <w:tcW w:w="6760" w:type="dxa"/>
            <w:vAlign w:val="bottom"/>
            <w:gridSpan w:val="3"/>
          </w:tcPr>
          <w:p>
            <w:pPr>
              <w:spacing w:after="0"/>
              <w:rPr>
                <w:sz w:val="20"/>
                <w:szCs w:val="20"/>
                <w:color w:val="auto"/>
              </w:rPr>
            </w:pPr>
            <w:r>
              <w:rPr>
                <w:rFonts w:ascii="Arial" w:cs="Arial" w:eastAsia="Arial" w:hAnsi="Arial"/>
                <w:sz w:val="18"/>
                <w:szCs w:val="18"/>
                <w:color w:val="auto"/>
              </w:rPr>
              <w:t>Technip Energies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560.6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3,138.9</w:t>
            </w:r>
          </w:p>
        </w:tc>
      </w:tr>
      <w:tr>
        <w:trPr>
          <w:trHeight w:val="270"/>
        </w:trPr>
        <w:tc>
          <w:tcPr>
            <w:tcW w:w="6760" w:type="dxa"/>
            <w:vAlign w:val="bottom"/>
            <w:gridSpan w:val="3"/>
          </w:tcPr>
          <w:p>
            <w:pPr>
              <w:spacing w:after="0"/>
              <w:rPr>
                <w:sz w:val="20"/>
                <w:szCs w:val="20"/>
                <w:color w:val="auto"/>
              </w:rPr>
            </w:pPr>
            <w:r>
              <w:rPr>
                <w:rFonts w:ascii="Arial" w:cs="Arial" w:eastAsia="Arial" w:hAnsi="Arial"/>
                <w:sz w:val="18"/>
                <w:szCs w:val="18"/>
                <w:color w:val="auto"/>
              </w:rPr>
              <w:t>Surface Technologies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368.0</w:t>
            </w:r>
          </w:p>
        </w:tc>
      </w:tr>
      <w:tr>
        <w:trPr>
          <w:trHeight w:val="27"/>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6760" w:type="dxa"/>
            <w:vAlign w:val="bottom"/>
            <w:gridSpan w:val="3"/>
          </w:tcPr>
          <w:p>
            <w:pPr>
              <w:spacing w:after="0"/>
              <w:rPr>
                <w:sz w:val="20"/>
                <w:szCs w:val="20"/>
                <w:color w:val="auto"/>
              </w:rPr>
            </w:pPr>
            <w:r>
              <w:rPr>
                <w:rFonts w:ascii="Arial" w:cs="Arial" w:eastAsia="Arial" w:hAnsi="Arial"/>
                <w:sz w:val="18"/>
                <w:szCs w:val="18"/>
                <w:color w:val="auto"/>
              </w:rPr>
              <w:t>Total inbound orders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6,184.5</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41"/>
        </w:trPr>
        <w:tc>
          <w:tcPr>
            <w:tcW w:w="67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Order Backlog </w:t>
            </w:r>
            <w:r>
              <w:rPr>
                <w:rFonts w:ascii="Arial" w:cs="Arial" w:eastAsia="Arial" w:hAnsi="Arial"/>
                <w:sz w:val="25"/>
                <w:szCs w:val="25"/>
                <w:b w:val="1"/>
                <w:bCs w:val="1"/>
                <w:color w:val="auto"/>
                <w:vertAlign w:val="superscript"/>
              </w:rPr>
              <w:t>(2)</w:t>
            </w:r>
          </w:p>
        </w:tc>
        <w:tc>
          <w:tcPr>
            <w:tcW w:w="260" w:type="dxa"/>
            <w:vAlign w:val="bottom"/>
          </w:tcPr>
          <w:p>
            <w:pPr>
              <w:spacing w:after="0"/>
              <w:rPr>
                <w:sz w:val="24"/>
                <w:szCs w:val="24"/>
                <w:color w:val="auto"/>
              </w:rPr>
            </w:pPr>
          </w:p>
        </w:tc>
        <w:tc>
          <w:tcPr>
            <w:tcW w:w="1360" w:type="dxa"/>
            <w:vAlign w:val="bottom"/>
            <w:gridSpan w:val="3"/>
          </w:tcPr>
          <w:p>
            <w:pPr>
              <w:ind w:left="560"/>
              <w:spacing w:after="0"/>
              <w:rPr>
                <w:sz w:val="20"/>
                <w:szCs w:val="20"/>
                <w:color w:val="auto"/>
              </w:rPr>
            </w:pPr>
            <w:r>
              <w:rPr>
                <w:rFonts w:ascii="Arial" w:cs="Arial" w:eastAsia="Arial" w:hAnsi="Arial"/>
                <w:sz w:val="18"/>
                <w:szCs w:val="18"/>
                <w:b w:val="1"/>
                <w:bCs w:val="1"/>
                <w:color w:val="auto"/>
                <w:w w:val="93"/>
              </w:rPr>
              <w:t>March 31,</w:t>
            </w:r>
          </w:p>
        </w:tc>
        <w:tc>
          <w:tcPr>
            <w:tcW w:w="780" w:type="dxa"/>
            <w:vAlign w:val="bottom"/>
          </w:tcPr>
          <w:p>
            <w:pPr>
              <w:spacing w:after="0"/>
              <w:rPr>
                <w:sz w:val="24"/>
                <w:szCs w:val="24"/>
                <w:color w:val="auto"/>
              </w:rPr>
            </w:pPr>
          </w:p>
        </w:tc>
      </w:tr>
      <w:tr>
        <w:trPr>
          <w:trHeight w:val="48"/>
        </w:trPr>
        <w:tc>
          <w:tcPr>
            <w:tcW w:w="11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5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37"/>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32"/>
          </w:cols>
          <w:pgMar w:left="328" w:top="499" w:right="339" w:bottom="1440" w:gutter="0" w:footer="0" w:header="0"/>
        </w:sectPr>
      </w:pPr>
    </w:p>
    <w:p>
      <w:pPr>
        <w:spacing w:after="0" w:line="96" w:lineRule="exact"/>
        <w:rPr>
          <w:sz w:val="20"/>
          <w:szCs w:val="20"/>
          <w:color w:val="auto"/>
        </w:rPr>
      </w:pPr>
    </w:p>
    <w:tbl>
      <w:tblPr>
        <w:tblLayout w:type="fixed"/>
        <w:tblInd w:w="1052"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Subsea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7,773.5</w:t>
            </w: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Technip Energies</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13,766.6</w:t>
            </w: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Surface Technologies</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422.0</w:t>
            </w:r>
          </w:p>
        </w:tc>
      </w:tr>
      <w:tr>
        <w:trPr>
          <w:trHeight w:val="27"/>
        </w:trPr>
        <w:tc>
          <w:tcPr>
            <w:tcW w:w="6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760" w:type="dxa"/>
            <w:vAlign w:val="bottom"/>
          </w:tcPr>
          <w:p>
            <w:pPr>
              <w:spacing w:after="0"/>
              <w:rPr>
                <w:sz w:val="20"/>
                <w:szCs w:val="20"/>
                <w:color w:val="auto"/>
              </w:rPr>
            </w:pPr>
            <w:r>
              <w:rPr>
                <w:rFonts w:ascii="Arial" w:cs="Arial" w:eastAsia="Arial" w:hAnsi="Arial"/>
                <w:sz w:val="18"/>
                <w:szCs w:val="18"/>
                <w:color w:val="auto"/>
              </w:rPr>
              <w:t>Total order backlog</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21,962.1</w:t>
            </w:r>
          </w:p>
        </w:tc>
      </w:tr>
      <w:tr>
        <w:trPr>
          <w:trHeight w:val="20"/>
        </w:trPr>
        <w:tc>
          <w:tcPr>
            <w:tcW w:w="6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32" w:hanging="332"/>
        <w:spacing w:after="0"/>
        <w:tabs>
          <w:tab w:leader="none" w:pos="332"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Inbound orders represent the estimated sales value of confirmed customer orders received during the reporting period.</w:t>
      </w:r>
    </w:p>
    <w:p>
      <w:pPr>
        <w:spacing w:after="0" w:line="194" w:lineRule="exact"/>
        <w:rPr>
          <w:rFonts w:ascii="Arial" w:cs="Arial" w:eastAsia="Arial" w:hAnsi="Arial"/>
          <w:sz w:val="16"/>
          <w:szCs w:val="16"/>
          <w:color w:val="auto"/>
        </w:rPr>
      </w:pPr>
    </w:p>
    <w:p>
      <w:pPr>
        <w:ind w:left="332" w:hanging="332"/>
        <w:spacing w:after="0"/>
        <w:tabs>
          <w:tab w:leader="none" w:pos="332" w:val="left"/>
        </w:tabs>
        <w:numPr>
          <w:ilvl w:val="0"/>
          <w:numId w:val="25"/>
        </w:numPr>
        <w:rPr>
          <w:rFonts w:ascii="Arial" w:cs="Arial" w:eastAsia="Arial" w:hAnsi="Arial"/>
          <w:sz w:val="16"/>
          <w:szCs w:val="16"/>
          <w:color w:val="auto"/>
        </w:rPr>
      </w:pPr>
      <w:r>
        <w:rPr>
          <w:rFonts w:ascii="Arial" w:cs="Arial" w:eastAsia="Arial" w:hAnsi="Arial"/>
          <w:sz w:val="16"/>
          <w:szCs w:val="16"/>
          <w:color w:val="auto"/>
        </w:rPr>
        <w:t>Order backlog is calculated as the estimated sales value of unfilled, confirmed customer orders at the reporting date.</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520" w:hanging="520"/>
        <w:spacing w:after="0"/>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7,477.3</w:t>
      </w:r>
    </w:p>
    <w:p>
      <w:pPr>
        <w:spacing w:after="0" w:line="86"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9,862.7</w:t>
      </w:r>
    </w:p>
    <w:p>
      <w:pPr>
        <w:spacing w:after="0" w:line="8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5"/>
          <w:szCs w:val="15"/>
          <w:color w:val="auto"/>
        </w:rPr>
        <w:t>437.6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1" w:lineRule="exact"/>
        <w:rPr>
          <w:sz w:val="20"/>
          <w:szCs w:val="20"/>
          <w:color w:val="auto"/>
        </w:rPr>
      </w:pPr>
    </w:p>
    <w:p>
      <w:pPr>
        <w:ind w:left="440" w:hanging="440"/>
        <w:spacing w:after="0"/>
        <w:tabs>
          <w:tab w:leader="none" w:pos="4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17,777.6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289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71120</wp:posOffset>
            </wp:positionV>
            <wp:extent cx="7289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089" w:lineRule="exact"/>
        <w:rPr>
          <w:sz w:val="20"/>
          <w:szCs w:val="20"/>
          <w:color w:val="auto"/>
        </w:rPr>
      </w:pPr>
    </w:p>
    <w:p>
      <w:pPr>
        <w:sectPr>
          <w:pgSz w:w="11900" w:h="16838" w:orient="portrait"/>
          <w:cols w:equalWidth="0" w:num="2">
            <w:col w:w="8972" w:space="120"/>
            <w:col w:w="2140"/>
          </w:cols>
          <w:pgMar w:left="328" w:top="49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92"/>
        <w:spacing w:after="0"/>
        <w:tabs>
          <w:tab w:leader="none" w:pos="10232"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20 of </w:t>
      </w:r>
      <w:hyperlink w:anchor="page32">
        <w:r>
          <w:rPr>
            <w:rFonts w:ascii="Arial" w:cs="Arial" w:eastAsia="Arial" w:hAnsi="Arial"/>
            <w:sz w:val="14"/>
            <w:szCs w:val="14"/>
            <w:b w:val="1"/>
            <w:bCs w:val="1"/>
            <w:color w:val="auto"/>
          </w:rPr>
          <w:t>28</w:t>
        </w:r>
      </w:hyperlink>
    </w:p>
    <w:p>
      <w:pPr>
        <w:sectPr>
          <w:pgSz w:w="11900" w:h="16838" w:orient="portrait"/>
          <w:cols w:equalWidth="0" w:num="1">
            <w:col w:w="11232"/>
          </w:cols>
          <w:pgMar w:left="328" w:top="499" w:right="339" w:bottom="1440"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13"/>
          <w:szCs w:val="13"/>
          <w:b w:val="1"/>
          <w:bCs w:val="1"/>
          <w:color w:val="auto"/>
        </w:rPr>
        <w:t>Exhibit 4</w:t>
      </w:r>
    </w:p>
    <w:p>
      <w:pPr>
        <w:spacing w:after="0" w:line="161"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u w:val="single" w:color="auto"/>
          <w:color w:val="auto"/>
        </w:rPr>
        <w:t>CONDENSED CONSOLIDATED BALANCE SHEETS</w:t>
      </w:r>
    </w:p>
    <w:p>
      <w:pPr>
        <w:spacing w:after="0" w:line="9"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39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960" w:type="dxa"/>
            <w:vAlign w:val="bottom"/>
          </w:tcPr>
          <w:p>
            <w:pPr>
              <w:spacing w:after="0"/>
              <w:rPr>
                <w:sz w:val="2"/>
                <w:szCs w:val="2"/>
                <w:color w:val="auto"/>
              </w:rPr>
            </w:pPr>
          </w:p>
        </w:tc>
      </w:tr>
      <w:tr>
        <w:trPr>
          <w:trHeight w:val="209"/>
        </w:trPr>
        <w:tc>
          <w:tcPr>
            <w:tcW w:w="39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w:t>
            </w:r>
          </w:p>
        </w:tc>
        <w:tc>
          <w:tcPr>
            <w:tcW w:w="210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39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330"/>
              <w:spacing w:after="0"/>
              <w:rPr>
                <w:sz w:val="20"/>
                <w:szCs w:val="20"/>
                <w:color w:val="auto"/>
              </w:rPr>
            </w:pPr>
            <w:r>
              <w:rPr>
                <w:rFonts w:ascii="Arial" w:cs="Arial" w:eastAsia="Arial" w:hAnsi="Arial"/>
                <w:sz w:val="16"/>
                <w:szCs w:val="16"/>
                <w:b w:val="1"/>
                <w:bCs w:val="1"/>
                <w:color w:val="auto"/>
                <w:w w:val="89"/>
              </w:rPr>
              <w:t>2019</w:t>
            </w:r>
          </w:p>
        </w:tc>
        <w:tc>
          <w:tcPr>
            <w:tcW w:w="960" w:type="dxa"/>
            <w:vAlign w:val="bottom"/>
          </w:tcPr>
          <w:p>
            <w:pPr>
              <w:spacing w:after="0"/>
              <w:rPr>
                <w:sz w:val="18"/>
                <w:szCs w:val="18"/>
                <w:color w:val="auto"/>
              </w:rPr>
            </w:pPr>
          </w:p>
        </w:tc>
      </w:tr>
      <w:tr>
        <w:trPr>
          <w:trHeight w:val="33"/>
        </w:trPr>
        <w:tc>
          <w:tcPr>
            <w:tcW w:w="39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r>
      <w:tr>
        <w:trPr>
          <w:trHeight w:val="520"/>
        </w:trPr>
        <w:tc>
          <w:tcPr>
            <w:tcW w:w="3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4,999.4</w:t>
            </w:r>
          </w:p>
        </w:tc>
        <w:tc>
          <w:tcPr>
            <w:tcW w:w="100" w:type="dxa"/>
            <w:vAlign w:val="bottom"/>
          </w:tcPr>
          <w:p>
            <w:pPr>
              <w:spacing w:after="0"/>
              <w:rPr>
                <w:sz w:val="24"/>
                <w:szCs w:val="24"/>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5,190.2</w:t>
            </w:r>
          </w:p>
        </w:tc>
        <w:tc>
          <w:tcPr>
            <w:tcW w:w="960" w:type="dxa"/>
            <w:vAlign w:val="bottom"/>
          </w:tcPr>
          <w:p>
            <w:pPr>
              <w:spacing w:after="0"/>
              <w:rPr>
                <w:sz w:val="24"/>
                <w:szCs w:val="24"/>
                <w:color w:val="auto"/>
              </w:rPr>
            </w:pPr>
          </w:p>
        </w:tc>
      </w:tr>
      <w:tr>
        <w:trPr>
          <w:trHeight w:val="270"/>
        </w:trPr>
        <w:tc>
          <w:tcPr>
            <w:tcW w:w="3940" w:type="dxa"/>
            <w:vAlign w:val="bottom"/>
          </w:tcPr>
          <w:p>
            <w:pPr>
              <w:spacing w:after="0"/>
              <w:rPr>
                <w:sz w:val="20"/>
                <w:szCs w:val="20"/>
                <w:color w:val="auto"/>
              </w:rPr>
            </w:pPr>
            <w:r>
              <w:rPr>
                <w:rFonts w:ascii="Arial" w:cs="Arial" w:eastAsia="Arial" w:hAnsi="Arial"/>
                <w:sz w:val="18"/>
                <w:szCs w:val="18"/>
                <w:color w:val="auto"/>
              </w:rPr>
              <w:t>Trade receivables, net</w:t>
            </w:r>
          </w:p>
        </w:tc>
        <w:tc>
          <w:tcPr>
            <w:tcW w:w="2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2,208.8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2,287.1</w:t>
            </w:r>
          </w:p>
        </w:tc>
        <w:tc>
          <w:tcPr>
            <w:tcW w:w="960" w:type="dxa"/>
            <w:vAlign w:val="bottom"/>
          </w:tcPr>
          <w:p>
            <w:pPr>
              <w:spacing w:after="0"/>
              <w:rPr>
                <w:sz w:val="23"/>
                <w:szCs w:val="23"/>
                <w:color w:val="auto"/>
              </w:rPr>
            </w:pPr>
          </w:p>
        </w:tc>
      </w:tr>
      <w:tr>
        <w:trPr>
          <w:trHeight w:val="270"/>
        </w:trPr>
        <w:tc>
          <w:tcPr>
            <w:tcW w:w="3940" w:type="dxa"/>
            <w:vAlign w:val="bottom"/>
          </w:tcPr>
          <w:p>
            <w:pPr>
              <w:spacing w:after="0"/>
              <w:rPr>
                <w:sz w:val="20"/>
                <w:szCs w:val="20"/>
                <w:color w:val="auto"/>
              </w:rPr>
            </w:pPr>
            <w:r>
              <w:rPr>
                <w:rFonts w:ascii="Arial" w:cs="Arial" w:eastAsia="Arial" w:hAnsi="Arial"/>
                <w:sz w:val="18"/>
                <w:szCs w:val="18"/>
                <w:color w:val="auto"/>
              </w:rPr>
              <w:t>Contract assets</w:t>
            </w:r>
          </w:p>
        </w:tc>
        <w:tc>
          <w:tcPr>
            <w:tcW w:w="2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1,402.9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1,520.0</w:t>
            </w:r>
          </w:p>
        </w:tc>
        <w:tc>
          <w:tcPr>
            <w:tcW w:w="960" w:type="dxa"/>
            <w:vAlign w:val="bottom"/>
          </w:tcPr>
          <w:p>
            <w:pPr>
              <w:spacing w:after="0"/>
              <w:rPr>
                <w:sz w:val="23"/>
                <w:szCs w:val="23"/>
                <w:color w:val="auto"/>
              </w:rPr>
            </w:pPr>
          </w:p>
        </w:tc>
      </w:tr>
      <w:tr>
        <w:trPr>
          <w:trHeight w:val="270"/>
        </w:trPr>
        <w:tc>
          <w:tcPr>
            <w:tcW w:w="3940" w:type="dxa"/>
            <w:vAlign w:val="bottom"/>
          </w:tcPr>
          <w:p>
            <w:pPr>
              <w:spacing w:after="0"/>
              <w:rPr>
                <w:sz w:val="20"/>
                <w:szCs w:val="20"/>
                <w:color w:val="auto"/>
              </w:rPr>
            </w:pPr>
            <w:r>
              <w:rPr>
                <w:rFonts w:ascii="Arial" w:cs="Arial" w:eastAsia="Arial" w:hAnsi="Arial"/>
                <w:sz w:val="18"/>
                <w:szCs w:val="18"/>
                <w:color w:val="auto"/>
              </w:rPr>
              <w:t>Inventories, net</w:t>
            </w:r>
          </w:p>
        </w:tc>
        <w:tc>
          <w:tcPr>
            <w:tcW w:w="2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1,347.5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1,416.0</w:t>
            </w:r>
          </w:p>
        </w:tc>
        <w:tc>
          <w:tcPr>
            <w:tcW w:w="960" w:type="dxa"/>
            <w:vAlign w:val="bottom"/>
          </w:tcPr>
          <w:p>
            <w:pPr>
              <w:spacing w:after="0"/>
              <w:rPr>
                <w:sz w:val="23"/>
                <w:szCs w:val="23"/>
                <w:color w:val="auto"/>
              </w:rPr>
            </w:pPr>
          </w:p>
        </w:tc>
      </w:tr>
      <w:tr>
        <w:trPr>
          <w:trHeight w:val="270"/>
        </w:trPr>
        <w:tc>
          <w:tcPr>
            <w:tcW w:w="3940" w:type="dxa"/>
            <w:vAlign w:val="bottom"/>
          </w:tcPr>
          <w:p>
            <w:pPr>
              <w:spacing w:after="0"/>
              <w:rPr>
                <w:sz w:val="20"/>
                <w:szCs w:val="20"/>
                <w:color w:val="auto"/>
              </w:rPr>
            </w:pPr>
            <w:r>
              <w:rPr>
                <w:rFonts w:ascii="Arial" w:cs="Arial" w:eastAsia="Arial" w:hAnsi="Arial"/>
                <w:sz w:val="18"/>
                <w:szCs w:val="18"/>
                <w:color w:val="auto"/>
              </w:rPr>
              <w:t>Other current assets</w:t>
            </w:r>
          </w:p>
        </w:tc>
        <w:tc>
          <w:tcPr>
            <w:tcW w:w="2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1,871.5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1,473.1</w:t>
            </w:r>
          </w:p>
        </w:tc>
        <w:tc>
          <w:tcPr>
            <w:tcW w:w="960" w:type="dxa"/>
            <w:vAlign w:val="bottom"/>
          </w:tcPr>
          <w:p>
            <w:pPr>
              <w:spacing w:after="0"/>
              <w:rPr>
                <w:sz w:val="23"/>
                <w:szCs w:val="23"/>
                <w:color w:val="auto"/>
              </w:rPr>
            </w:pPr>
          </w:p>
        </w:tc>
      </w:tr>
      <w:tr>
        <w:trPr>
          <w:trHeight w:val="27"/>
        </w:trPr>
        <w:tc>
          <w:tcPr>
            <w:tcW w:w="39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394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2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11,830.1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6"/>
              </w:rPr>
              <w:t>11,886.4</w:t>
            </w:r>
          </w:p>
        </w:tc>
        <w:tc>
          <w:tcPr>
            <w:tcW w:w="960" w:type="dxa"/>
            <w:vAlign w:val="bottom"/>
          </w:tcPr>
          <w:p>
            <w:pPr>
              <w:spacing w:after="0"/>
              <w:rPr>
                <w:sz w:val="20"/>
                <w:szCs w:val="20"/>
                <w:color w:val="auto"/>
              </w:rPr>
            </w:pPr>
          </w:p>
        </w:tc>
      </w:tr>
      <w:tr>
        <w:trPr>
          <w:trHeight w:val="553"/>
        </w:trPr>
        <w:tc>
          <w:tcPr>
            <w:tcW w:w="39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2,852.5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3,162.0</w:t>
            </w:r>
          </w:p>
        </w:tc>
        <w:tc>
          <w:tcPr>
            <w:tcW w:w="960" w:type="dxa"/>
            <w:vAlign w:val="bottom"/>
          </w:tcPr>
          <w:p>
            <w:pPr>
              <w:spacing w:after="0"/>
              <w:rPr>
                <w:sz w:val="24"/>
                <w:szCs w:val="24"/>
                <w:color w:val="auto"/>
              </w:rPr>
            </w:pPr>
          </w:p>
        </w:tc>
      </w:tr>
      <w:tr>
        <w:trPr>
          <w:trHeight w:val="270"/>
        </w:trPr>
        <w:tc>
          <w:tcPr>
            <w:tcW w:w="3940" w:type="dxa"/>
            <w:vAlign w:val="bottom"/>
          </w:tcPr>
          <w:p>
            <w:pPr>
              <w:spacing w:after="0"/>
              <w:rPr>
                <w:sz w:val="20"/>
                <w:szCs w:val="20"/>
                <w:color w:val="auto"/>
              </w:rPr>
            </w:pPr>
            <w:r>
              <w:rPr>
                <w:rFonts w:ascii="Arial" w:cs="Arial" w:eastAsia="Arial" w:hAnsi="Arial"/>
                <w:sz w:val="18"/>
                <w:szCs w:val="18"/>
                <w:color w:val="auto"/>
              </w:rPr>
              <w:t>Goodwill</w:t>
            </w:r>
          </w:p>
        </w:tc>
        <w:tc>
          <w:tcPr>
            <w:tcW w:w="2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2,461.0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5,598.3</w:t>
            </w:r>
          </w:p>
        </w:tc>
        <w:tc>
          <w:tcPr>
            <w:tcW w:w="960" w:type="dxa"/>
            <w:vAlign w:val="bottom"/>
          </w:tcPr>
          <w:p>
            <w:pPr>
              <w:spacing w:after="0"/>
              <w:rPr>
                <w:sz w:val="23"/>
                <w:szCs w:val="23"/>
                <w:color w:val="auto"/>
              </w:rPr>
            </w:pPr>
          </w:p>
        </w:tc>
      </w:tr>
      <w:tr>
        <w:trPr>
          <w:trHeight w:val="270"/>
        </w:trPr>
        <w:tc>
          <w:tcPr>
            <w:tcW w:w="39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1,049.5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1,086.6</w:t>
            </w:r>
          </w:p>
        </w:tc>
        <w:tc>
          <w:tcPr>
            <w:tcW w:w="960" w:type="dxa"/>
            <w:vAlign w:val="bottom"/>
          </w:tcPr>
          <w:p>
            <w:pPr>
              <w:spacing w:after="0"/>
              <w:rPr>
                <w:sz w:val="23"/>
                <w:szCs w:val="23"/>
                <w:color w:val="auto"/>
              </w:rPr>
            </w:pPr>
          </w:p>
        </w:tc>
      </w:tr>
      <w:tr>
        <w:trPr>
          <w:trHeight w:val="270"/>
        </w:trPr>
        <w:tc>
          <w:tcPr>
            <w:tcW w:w="3940" w:type="dxa"/>
            <w:vAlign w:val="bottom"/>
          </w:tcPr>
          <w:p>
            <w:pPr>
              <w:spacing w:after="0"/>
              <w:rPr>
                <w:sz w:val="20"/>
                <w:szCs w:val="20"/>
                <w:color w:val="auto"/>
              </w:rPr>
            </w:pPr>
            <w:r>
              <w:rPr>
                <w:rFonts w:ascii="Arial" w:cs="Arial" w:eastAsia="Arial" w:hAnsi="Arial"/>
                <w:sz w:val="18"/>
                <w:szCs w:val="18"/>
                <w:color w:val="auto"/>
              </w:rPr>
              <w:t>Other assets</w:t>
            </w:r>
          </w:p>
        </w:tc>
        <w:tc>
          <w:tcPr>
            <w:tcW w:w="2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1,734.5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1,785.5</w:t>
            </w:r>
          </w:p>
        </w:tc>
        <w:tc>
          <w:tcPr>
            <w:tcW w:w="960" w:type="dxa"/>
            <w:vAlign w:val="bottom"/>
          </w:tcPr>
          <w:p>
            <w:pPr>
              <w:spacing w:after="0"/>
              <w:rPr>
                <w:sz w:val="23"/>
                <w:szCs w:val="23"/>
                <w:color w:val="auto"/>
              </w:rPr>
            </w:pPr>
          </w:p>
        </w:tc>
      </w:tr>
      <w:tr>
        <w:trPr>
          <w:trHeight w:val="27"/>
        </w:trPr>
        <w:tc>
          <w:tcPr>
            <w:tcW w:w="39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3940" w:type="dxa"/>
            <w:vAlign w:val="bottom"/>
          </w:tcPr>
          <w:p>
            <w:pPr>
              <w:spacing w:after="0"/>
              <w:rPr>
                <w:sz w:val="20"/>
                <w:szCs w:val="20"/>
                <w:color w:val="auto"/>
              </w:rPr>
            </w:pPr>
            <w:r>
              <w:rPr>
                <w:rFonts w:ascii="Arial" w:cs="Arial" w:eastAsia="Arial" w:hAnsi="Arial"/>
                <w:sz w:val="18"/>
                <w:szCs w:val="18"/>
                <w:color w:val="auto"/>
              </w:rPr>
              <w:t>Total assets</w:t>
            </w:r>
          </w:p>
        </w:tc>
        <w:tc>
          <w:tcPr>
            <w:tcW w:w="28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19,927.6</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23,518.8</w:t>
            </w:r>
          </w:p>
        </w:tc>
        <w:tc>
          <w:tcPr>
            <w:tcW w:w="960" w:type="dxa"/>
            <w:vAlign w:val="bottom"/>
          </w:tcPr>
          <w:p>
            <w:pPr>
              <w:spacing w:after="0"/>
              <w:rPr>
                <w:sz w:val="22"/>
                <w:szCs w:val="22"/>
                <w:color w:val="auto"/>
              </w:rPr>
            </w:pPr>
          </w:p>
        </w:tc>
      </w:tr>
      <w:tr>
        <w:trPr>
          <w:trHeight w:val="20"/>
        </w:trPr>
        <w:tc>
          <w:tcPr>
            <w:tcW w:w="39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514"/>
        </w:trPr>
        <w:tc>
          <w:tcPr>
            <w:tcW w:w="3940" w:type="dxa"/>
            <w:vAlign w:val="bottom"/>
          </w:tcPr>
          <w:p>
            <w:pPr>
              <w:spacing w:after="0"/>
              <w:rPr>
                <w:sz w:val="20"/>
                <w:szCs w:val="20"/>
                <w:color w:val="auto"/>
              </w:rPr>
            </w:pPr>
            <w:r>
              <w:rPr>
                <w:rFonts w:ascii="Arial" w:cs="Arial" w:eastAsia="Arial" w:hAnsi="Arial"/>
                <w:sz w:val="18"/>
                <w:szCs w:val="18"/>
                <w:color w:val="auto"/>
                <w:w w:val="92"/>
              </w:rPr>
              <w:t>Short-term debt and current portion of long-term debt</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586.7</w:t>
            </w:r>
          </w:p>
        </w:tc>
        <w:tc>
          <w:tcPr>
            <w:tcW w:w="100" w:type="dxa"/>
            <w:vAlign w:val="bottom"/>
          </w:tcPr>
          <w:p>
            <w:pPr>
              <w:spacing w:after="0"/>
              <w:rPr>
                <w:sz w:val="24"/>
                <w:szCs w:val="24"/>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495.4</w:t>
            </w:r>
          </w:p>
        </w:tc>
        <w:tc>
          <w:tcPr>
            <w:tcW w:w="960" w:type="dxa"/>
            <w:vAlign w:val="bottom"/>
          </w:tcPr>
          <w:p>
            <w:pPr>
              <w:spacing w:after="0"/>
              <w:rPr>
                <w:sz w:val="24"/>
                <w:szCs w:val="24"/>
                <w:color w:val="auto"/>
              </w:rPr>
            </w:pPr>
          </w:p>
        </w:tc>
      </w:tr>
      <w:tr>
        <w:trPr>
          <w:trHeight w:val="270"/>
        </w:trPr>
        <w:tc>
          <w:tcPr>
            <w:tcW w:w="3940" w:type="dxa"/>
            <w:vAlign w:val="bottom"/>
          </w:tcPr>
          <w:p>
            <w:pPr>
              <w:spacing w:after="0"/>
              <w:rPr>
                <w:sz w:val="20"/>
                <w:szCs w:val="20"/>
                <w:color w:val="auto"/>
              </w:rPr>
            </w:pPr>
            <w:r>
              <w:rPr>
                <w:rFonts w:ascii="Arial" w:cs="Arial" w:eastAsia="Arial" w:hAnsi="Arial"/>
                <w:sz w:val="18"/>
                <w:szCs w:val="18"/>
                <w:color w:val="auto"/>
              </w:rPr>
              <w:t>Accounts payable, trade</w:t>
            </w:r>
          </w:p>
        </w:tc>
        <w:tc>
          <w:tcPr>
            <w:tcW w:w="2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2,551.2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2,659.8</w:t>
            </w:r>
          </w:p>
        </w:tc>
        <w:tc>
          <w:tcPr>
            <w:tcW w:w="960" w:type="dxa"/>
            <w:vAlign w:val="bottom"/>
          </w:tcPr>
          <w:p>
            <w:pPr>
              <w:spacing w:after="0"/>
              <w:rPr>
                <w:sz w:val="23"/>
                <w:szCs w:val="23"/>
                <w:color w:val="auto"/>
              </w:rPr>
            </w:pPr>
          </w:p>
        </w:tc>
      </w:tr>
      <w:tr>
        <w:trPr>
          <w:trHeight w:val="270"/>
        </w:trPr>
        <w:tc>
          <w:tcPr>
            <w:tcW w:w="3940" w:type="dxa"/>
            <w:vAlign w:val="bottom"/>
          </w:tcPr>
          <w:p>
            <w:pPr>
              <w:spacing w:after="0"/>
              <w:rPr>
                <w:sz w:val="20"/>
                <w:szCs w:val="20"/>
                <w:color w:val="auto"/>
              </w:rPr>
            </w:pPr>
            <w:r>
              <w:rPr>
                <w:rFonts w:ascii="Arial" w:cs="Arial" w:eastAsia="Arial" w:hAnsi="Arial"/>
                <w:sz w:val="18"/>
                <w:szCs w:val="18"/>
                <w:color w:val="auto"/>
              </w:rPr>
              <w:t>Contract liabilities</w:t>
            </w:r>
          </w:p>
        </w:tc>
        <w:tc>
          <w:tcPr>
            <w:tcW w:w="2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4,616.4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4,585.1</w:t>
            </w:r>
          </w:p>
        </w:tc>
        <w:tc>
          <w:tcPr>
            <w:tcW w:w="960" w:type="dxa"/>
            <w:vAlign w:val="bottom"/>
          </w:tcPr>
          <w:p>
            <w:pPr>
              <w:spacing w:after="0"/>
              <w:rPr>
                <w:sz w:val="23"/>
                <w:szCs w:val="23"/>
                <w:color w:val="auto"/>
              </w:rPr>
            </w:pPr>
          </w:p>
        </w:tc>
      </w:tr>
      <w:tr>
        <w:trPr>
          <w:trHeight w:val="270"/>
        </w:trPr>
        <w:tc>
          <w:tcPr>
            <w:tcW w:w="39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2,616.3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2,398.1</w:t>
            </w:r>
          </w:p>
        </w:tc>
        <w:tc>
          <w:tcPr>
            <w:tcW w:w="960" w:type="dxa"/>
            <w:vAlign w:val="bottom"/>
          </w:tcPr>
          <w:p>
            <w:pPr>
              <w:spacing w:after="0"/>
              <w:rPr>
                <w:sz w:val="23"/>
                <w:szCs w:val="23"/>
                <w:color w:val="auto"/>
              </w:rPr>
            </w:pPr>
          </w:p>
        </w:tc>
      </w:tr>
      <w:tr>
        <w:trPr>
          <w:trHeight w:val="27"/>
        </w:trPr>
        <w:tc>
          <w:tcPr>
            <w:tcW w:w="39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394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2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10,370.6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6"/>
              </w:rPr>
              <w:t>10,138.4</w:t>
            </w:r>
          </w:p>
        </w:tc>
        <w:tc>
          <w:tcPr>
            <w:tcW w:w="960" w:type="dxa"/>
            <w:vAlign w:val="bottom"/>
          </w:tcPr>
          <w:p>
            <w:pPr>
              <w:spacing w:after="0"/>
              <w:rPr>
                <w:sz w:val="20"/>
                <w:szCs w:val="20"/>
                <w:color w:val="auto"/>
              </w:rPr>
            </w:pPr>
          </w:p>
        </w:tc>
      </w:tr>
      <w:tr>
        <w:trPr>
          <w:trHeight w:val="553"/>
        </w:trPr>
        <w:tc>
          <w:tcPr>
            <w:tcW w:w="394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3,823.9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3,980.0</w:t>
            </w:r>
          </w:p>
        </w:tc>
        <w:tc>
          <w:tcPr>
            <w:tcW w:w="960" w:type="dxa"/>
            <w:vAlign w:val="bottom"/>
          </w:tcPr>
          <w:p>
            <w:pPr>
              <w:spacing w:after="0"/>
              <w:rPr>
                <w:sz w:val="24"/>
                <w:szCs w:val="24"/>
                <w:color w:val="auto"/>
              </w:rPr>
            </w:pPr>
          </w:p>
        </w:tc>
      </w:tr>
      <w:tr>
        <w:trPr>
          <w:trHeight w:val="270"/>
        </w:trPr>
        <w:tc>
          <w:tcPr>
            <w:tcW w:w="3940" w:type="dxa"/>
            <w:vAlign w:val="bottom"/>
          </w:tcPr>
          <w:p>
            <w:pPr>
              <w:spacing w:after="0"/>
              <w:rPr>
                <w:sz w:val="20"/>
                <w:szCs w:val="20"/>
                <w:color w:val="auto"/>
              </w:rPr>
            </w:pPr>
            <w:r>
              <w:rPr>
                <w:rFonts w:ascii="Arial" w:cs="Arial" w:eastAsia="Arial" w:hAnsi="Arial"/>
                <w:sz w:val="18"/>
                <w:szCs w:val="18"/>
                <w:color w:val="auto"/>
              </w:rPr>
              <w:t>Other liabilities</w:t>
            </w:r>
          </w:p>
        </w:tc>
        <w:tc>
          <w:tcPr>
            <w:tcW w:w="2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1,608.8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1,671.2</w:t>
            </w:r>
          </w:p>
        </w:tc>
        <w:tc>
          <w:tcPr>
            <w:tcW w:w="960" w:type="dxa"/>
            <w:vAlign w:val="bottom"/>
          </w:tcPr>
          <w:p>
            <w:pPr>
              <w:spacing w:after="0"/>
              <w:rPr>
                <w:sz w:val="23"/>
                <w:szCs w:val="23"/>
                <w:color w:val="auto"/>
              </w:rPr>
            </w:pPr>
          </w:p>
        </w:tc>
      </w:tr>
      <w:tr>
        <w:trPr>
          <w:trHeight w:val="270"/>
        </w:trPr>
        <w:tc>
          <w:tcPr>
            <w:tcW w:w="3940" w:type="dxa"/>
            <w:vAlign w:val="bottom"/>
          </w:tcPr>
          <w:p>
            <w:pPr>
              <w:spacing w:after="0"/>
              <w:rPr>
                <w:sz w:val="20"/>
                <w:szCs w:val="20"/>
                <w:color w:val="auto"/>
              </w:rPr>
            </w:pPr>
            <w:r>
              <w:rPr>
                <w:rFonts w:ascii="Arial" w:cs="Arial" w:eastAsia="Arial" w:hAnsi="Arial"/>
                <w:sz w:val="18"/>
                <w:szCs w:val="18"/>
                <w:color w:val="auto"/>
              </w:rPr>
              <w:t>Redeemable noncontrolling interest</w:t>
            </w:r>
          </w:p>
        </w:tc>
        <w:tc>
          <w:tcPr>
            <w:tcW w:w="2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41.1</w:t>
            </w:r>
          </w:p>
        </w:tc>
        <w:tc>
          <w:tcPr>
            <w:tcW w:w="960" w:type="dxa"/>
            <w:vAlign w:val="bottom"/>
          </w:tcPr>
          <w:p>
            <w:pPr>
              <w:spacing w:after="0"/>
              <w:rPr>
                <w:sz w:val="23"/>
                <w:szCs w:val="23"/>
                <w:color w:val="auto"/>
              </w:rPr>
            </w:pPr>
          </w:p>
        </w:tc>
      </w:tr>
      <w:tr>
        <w:trPr>
          <w:trHeight w:val="270"/>
        </w:trPr>
        <w:tc>
          <w:tcPr>
            <w:tcW w:w="3940" w:type="dxa"/>
            <w:vAlign w:val="bottom"/>
          </w:tcPr>
          <w:p>
            <w:pPr>
              <w:spacing w:after="0"/>
              <w:rPr>
                <w:sz w:val="20"/>
                <w:szCs w:val="20"/>
                <w:color w:val="auto"/>
              </w:rPr>
            </w:pPr>
            <w:r>
              <w:rPr>
                <w:rFonts w:ascii="Arial" w:cs="Arial" w:eastAsia="Arial" w:hAnsi="Arial"/>
                <w:sz w:val="18"/>
                <w:szCs w:val="18"/>
                <w:color w:val="auto"/>
              </w:rPr>
              <w:t>TechnipFMC plc stockholders’ equity</w:t>
            </w:r>
          </w:p>
        </w:tc>
        <w:tc>
          <w:tcPr>
            <w:tcW w:w="2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4,056.4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7,659.3</w:t>
            </w:r>
          </w:p>
        </w:tc>
        <w:tc>
          <w:tcPr>
            <w:tcW w:w="960" w:type="dxa"/>
            <w:vAlign w:val="bottom"/>
          </w:tcPr>
          <w:p>
            <w:pPr>
              <w:spacing w:after="0"/>
              <w:rPr>
                <w:sz w:val="23"/>
                <w:szCs w:val="23"/>
                <w:color w:val="auto"/>
              </w:rPr>
            </w:pPr>
          </w:p>
        </w:tc>
      </w:tr>
      <w:tr>
        <w:trPr>
          <w:trHeight w:val="270"/>
        </w:trPr>
        <w:tc>
          <w:tcPr>
            <w:tcW w:w="39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28.8</w:t>
            </w:r>
          </w:p>
        </w:tc>
        <w:tc>
          <w:tcPr>
            <w:tcW w:w="960" w:type="dxa"/>
            <w:vAlign w:val="bottom"/>
          </w:tcPr>
          <w:p>
            <w:pPr>
              <w:spacing w:after="0"/>
              <w:rPr>
                <w:sz w:val="23"/>
                <w:szCs w:val="23"/>
                <w:color w:val="auto"/>
              </w:rPr>
            </w:pPr>
          </w:p>
        </w:tc>
      </w:tr>
      <w:tr>
        <w:trPr>
          <w:trHeight w:val="27"/>
        </w:trPr>
        <w:tc>
          <w:tcPr>
            <w:tcW w:w="39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394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19,927.6</w:t>
            </w:r>
          </w:p>
        </w:tc>
        <w:tc>
          <w:tcPr>
            <w:tcW w:w="100" w:type="dxa"/>
            <w:vAlign w:val="bottom"/>
          </w:tcPr>
          <w:p>
            <w:pPr>
              <w:spacing w:after="0"/>
              <w:rPr>
                <w:sz w:val="22"/>
                <w:szCs w:val="22"/>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6"/>
              </w:rPr>
              <w:t>23,518.8</w:t>
            </w:r>
          </w:p>
        </w:tc>
        <w:tc>
          <w:tcPr>
            <w:tcW w:w="960" w:type="dxa"/>
            <w:vAlign w:val="bottom"/>
          </w:tcPr>
          <w:p>
            <w:pPr>
              <w:spacing w:after="0"/>
              <w:rPr>
                <w:sz w:val="22"/>
                <w:szCs w:val="22"/>
                <w:color w:val="auto"/>
              </w:rPr>
            </w:pPr>
          </w:p>
        </w:tc>
      </w:tr>
      <w:tr>
        <w:trPr>
          <w:trHeight w:val="20"/>
        </w:trPr>
        <w:tc>
          <w:tcPr>
            <w:tcW w:w="39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596"/>
        </w:trPr>
        <w:tc>
          <w:tcPr>
            <w:tcW w:w="3940" w:type="dxa"/>
            <w:vAlign w:val="bottom"/>
          </w:tcPr>
          <w:p>
            <w:pPr>
              <w:spacing w:after="0"/>
              <w:rPr>
                <w:sz w:val="24"/>
                <w:szCs w:val="24"/>
                <w:color w:val="auto"/>
              </w:rPr>
            </w:pPr>
          </w:p>
        </w:tc>
        <w:tc>
          <w:tcPr>
            <w:tcW w:w="2980" w:type="dxa"/>
            <w:vAlign w:val="bottom"/>
            <w:gridSpan w:val="2"/>
          </w:tcPr>
          <w:p>
            <w:pPr>
              <w:jc w:val="right"/>
              <w:ind w:right="1610"/>
              <w:spacing w:after="0"/>
              <w:rPr>
                <w:sz w:val="20"/>
                <w:szCs w:val="20"/>
                <w:color w:val="auto"/>
              </w:rPr>
            </w:pPr>
            <w:r>
              <w:rPr>
                <w:rFonts w:ascii="Arial" w:cs="Arial" w:eastAsia="Arial" w:hAnsi="Arial"/>
                <w:sz w:val="14"/>
                <w:szCs w:val="14"/>
                <w:b w:val="1"/>
                <w:bCs w:val="1"/>
                <w:color w:val="auto"/>
              </w:rPr>
              <w:t>TechnipFMC.com</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ind w:left="4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Page 21 of </w:t>
            </w:r>
            <w:hyperlink w:anchor="page32">
              <w:r>
                <w:rPr>
                  <w:rFonts w:ascii="Arial" w:cs="Arial" w:eastAsia="Arial" w:hAnsi="Arial"/>
                  <w:sz w:val="14"/>
                  <w:szCs w:val="14"/>
                  <w:b w:val="1"/>
                  <w:bCs w:val="1"/>
                  <w:color w:val="auto"/>
                </w:rPr>
                <w:t>28</w:t>
              </w:r>
            </w:hyperlink>
          </w:p>
        </w:tc>
      </w:tr>
    </w:tbl>
    <w:p>
      <w:pPr>
        <w:sectPr>
          <w:pgSz w:w="11900" w:h="16838" w:orient="portrait"/>
          <w:cols w:equalWidth="0" w:num="1">
            <w:col w:w="10180"/>
          </w:cols>
          <w:pgMar w:left="1380" w:top="499"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3"/>
          <w:szCs w:val="13"/>
          <w:b w:val="1"/>
          <w:bCs w:val="1"/>
          <w:color w:val="auto"/>
        </w:rPr>
        <w:t>Exhibit 5</w:t>
      </w:r>
    </w:p>
    <w:p>
      <w:pPr>
        <w:spacing w:after="0" w:line="165" w:lineRule="exact"/>
        <w:rPr>
          <w:sz w:val="20"/>
          <w:szCs w:val="20"/>
          <w:color w:val="auto"/>
        </w:rPr>
      </w:pPr>
    </w:p>
    <w:p>
      <w:pPr>
        <w:jc w:val="center"/>
        <w:ind w:right="1040"/>
        <w:spacing w:after="0"/>
        <w:rPr>
          <w:sz w:val="20"/>
          <w:szCs w:val="20"/>
          <w:color w:val="auto"/>
        </w:rPr>
      </w:pPr>
      <w:r>
        <w:rPr>
          <w:rFonts w:ascii="Arial" w:cs="Arial" w:eastAsia="Arial" w:hAnsi="Arial"/>
          <w:sz w:val="16"/>
          <w:szCs w:val="16"/>
          <w:b w:val="1"/>
          <w:bCs w:val="1"/>
          <w:u w:val="single" w:color="auto"/>
          <w:color w:val="auto"/>
        </w:rPr>
        <w:t>TECHNIPFMC PLC AND CONSOLIDATED SUBSIDIARIES</w:t>
      </w:r>
    </w:p>
    <w:p>
      <w:pPr>
        <w:spacing w:after="0" w:line="23" w:lineRule="exact"/>
        <w:rPr>
          <w:sz w:val="20"/>
          <w:szCs w:val="20"/>
          <w:color w:val="auto"/>
        </w:rPr>
      </w:pPr>
    </w:p>
    <w:p>
      <w:pPr>
        <w:jc w:val="center"/>
        <w:ind w:right="1040"/>
        <w:spacing w:after="0"/>
        <w:rPr>
          <w:sz w:val="20"/>
          <w:szCs w:val="20"/>
          <w:color w:val="auto"/>
        </w:rPr>
      </w:pPr>
      <w:r>
        <w:rPr>
          <w:rFonts w:ascii="Arial" w:cs="Arial" w:eastAsia="Arial" w:hAnsi="Arial"/>
          <w:sz w:val="16"/>
          <w:szCs w:val="16"/>
          <w:b w:val="1"/>
          <w:bCs w:val="1"/>
          <w:u w:val="single" w:color="auto"/>
          <w:color w:val="auto"/>
        </w:rPr>
        <w:t>CONSOLIDATED STATEMENTS OF CASH FLOWS</w:t>
      </w:r>
    </w:p>
    <w:p>
      <w:pPr>
        <w:spacing w:after="0" w:line="5" w:lineRule="exact"/>
        <w:rPr>
          <w:sz w:val="20"/>
          <w:szCs w:val="20"/>
          <w:color w:val="auto"/>
        </w:rPr>
      </w:pPr>
    </w:p>
    <w:p>
      <w:pPr>
        <w:jc w:val="center"/>
        <w:ind w:right="1040"/>
        <w:spacing w:after="0"/>
        <w:rPr>
          <w:sz w:val="20"/>
          <w:szCs w:val="20"/>
          <w:color w:val="auto"/>
        </w:rPr>
      </w:pPr>
      <w:r>
        <w:rPr>
          <w:rFonts w:ascii="Arial" w:cs="Arial" w:eastAsia="Arial" w:hAnsi="Arial"/>
          <w:sz w:val="16"/>
          <w:szCs w:val="16"/>
          <w:b w:val="1"/>
          <w:bCs w:val="1"/>
          <w:color w:val="auto"/>
        </w:rPr>
        <w:t>(In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center"/>
              <w:ind w:left="479"/>
              <w:spacing w:after="0"/>
              <w:rPr>
                <w:sz w:val="20"/>
                <w:szCs w:val="20"/>
                <w:color w:val="auto"/>
              </w:rPr>
            </w:pPr>
            <w:r>
              <w:rPr>
                <w:rFonts w:ascii="Arial" w:cs="Arial" w:eastAsia="Arial" w:hAnsi="Arial"/>
                <w:sz w:val="16"/>
                <w:szCs w:val="16"/>
                <w:b w:val="1"/>
                <w:bCs w:val="1"/>
                <w:color w:val="auto"/>
                <w:w w:val="94"/>
              </w:rPr>
              <w:t>(Unaudited)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4"/>
          </w:tcPr>
          <w:p>
            <w:pPr>
              <w:jc w:val="center"/>
              <w:ind w:right="179"/>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257"/>
        </w:trPr>
        <w:tc>
          <w:tcPr>
            <w:tcW w:w="6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w w:val="94"/>
              </w:rPr>
              <w:t>March 31,</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33"/>
        </w:trPr>
        <w:tc>
          <w:tcPr>
            <w:tcW w:w="6680" w:type="dxa"/>
            <w:vAlign w:val="bottom"/>
            <w:vMerge w:val="restart"/>
          </w:tcPr>
          <w:p>
            <w:pPr>
              <w:spacing w:after="0"/>
              <w:rPr>
                <w:sz w:val="20"/>
                <w:szCs w:val="20"/>
                <w:color w:val="auto"/>
              </w:rPr>
            </w:pPr>
            <w:r>
              <w:rPr>
                <w:rFonts w:ascii="Arial" w:cs="Arial" w:eastAsia="Arial" w:hAnsi="Arial"/>
                <w:sz w:val="16"/>
                <w:szCs w:val="16"/>
                <w:color w:val="auto"/>
              </w:rPr>
              <w:t>Cash provided (required) by operating activities</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6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80" w:type="dxa"/>
            <w:vAlign w:val="bottom"/>
          </w:tcPr>
          <w:p>
            <w:pPr>
              <w:ind w:left="140"/>
              <w:spacing w:after="0"/>
              <w:rPr>
                <w:sz w:val="20"/>
                <w:szCs w:val="20"/>
                <w:color w:val="auto"/>
              </w:rPr>
            </w:pPr>
            <w:r>
              <w:rPr>
                <w:rFonts w:ascii="Arial" w:cs="Arial" w:eastAsia="Arial" w:hAnsi="Arial"/>
                <w:sz w:val="16"/>
                <w:szCs w:val="16"/>
                <w:color w:val="auto"/>
              </w:rPr>
              <w:t>Net income (loss)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(3,245.7)</w:t>
            </w:r>
          </w:p>
        </w:tc>
        <w:tc>
          <w:tcPr>
            <w:tcW w:w="10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6"/>
                <w:szCs w:val="16"/>
                <w:color w:val="auto"/>
              </w:rPr>
              <w:t>Adjustments to reconcile net income to cash provided (required) by operating activities</w:t>
            </w: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80" w:type="dxa"/>
            <w:vAlign w:val="bottom"/>
          </w:tcPr>
          <w:p>
            <w:pPr>
              <w:ind w:left="360"/>
              <w:spacing w:after="0"/>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89.5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270"/>
        </w:trPr>
        <w:tc>
          <w:tcPr>
            <w:tcW w:w="6680" w:type="dxa"/>
            <w:vAlign w:val="bottom"/>
          </w:tcPr>
          <w:p>
            <w:pPr>
              <w:ind w:left="360"/>
              <w:spacing w:after="0"/>
              <w:rPr>
                <w:sz w:val="20"/>
                <w:szCs w:val="20"/>
                <w:color w:val="auto"/>
              </w:rPr>
            </w:pPr>
            <w:r>
              <w:rPr>
                <w:rFonts w:ascii="Arial" w:cs="Arial" w:eastAsia="Arial" w:hAnsi="Arial"/>
                <w:sz w:val="16"/>
                <w:szCs w:val="16"/>
                <w:color w:val="auto"/>
              </w:rPr>
              <w:t>Amortization</w:t>
            </w:r>
          </w:p>
        </w:tc>
        <w:tc>
          <w:tcPr>
            <w:tcW w:w="2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70"/>
        </w:trPr>
        <w:tc>
          <w:tcPr>
            <w:tcW w:w="6680" w:type="dxa"/>
            <w:vAlign w:val="bottom"/>
          </w:tcPr>
          <w:p>
            <w:pPr>
              <w:ind w:left="360"/>
              <w:spacing w:after="0"/>
              <w:rPr>
                <w:sz w:val="20"/>
                <w:szCs w:val="20"/>
                <w:color w:val="auto"/>
              </w:rPr>
            </w:pPr>
            <w:r>
              <w:rPr>
                <w:rFonts w:ascii="Arial" w:cs="Arial" w:eastAsia="Arial" w:hAnsi="Arial"/>
                <w:sz w:val="16"/>
                <w:szCs w:val="16"/>
                <w:color w:val="auto"/>
              </w:rPr>
              <w:t>Impairments</w:t>
            </w:r>
          </w:p>
        </w:tc>
        <w:tc>
          <w:tcPr>
            <w:tcW w:w="2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3,188.0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70"/>
        </w:trPr>
        <w:tc>
          <w:tcPr>
            <w:tcW w:w="6680" w:type="dxa"/>
            <w:vAlign w:val="bottom"/>
          </w:tcPr>
          <w:p>
            <w:pPr>
              <w:ind w:left="360"/>
              <w:spacing w:after="0"/>
              <w:rPr>
                <w:sz w:val="20"/>
                <w:szCs w:val="20"/>
                <w:color w:val="auto"/>
              </w:rPr>
            </w:pPr>
            <w:r>
              <w:rPr>
                <w:rFonts w:ascii="Arial" w:cs="Arial" w:eastAsia="Arial" w:hAnsi="Arial"/>
                <w:sz w:val="16"/>
                <w:szCs w:val="16"/>
                <w:color w:val="auto"/>
              </w:rPr>
              <w:t>Employee benefit plan and share-based compensation costs</w:t>
            </w:r>
          </w:p>
        </w:tc>
        <w:tc>
          <w:tcPr>
            <w:tcW w:w="2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70"/>
        </w:trPr>
        <w:tc>
          <w:tcPr>
            <w:tcW w:w="6680" w:type="dxa"/>
            <w:vAlign w:val="bottom"/>
          </w:tcPr>
          <w:p>
            <w:pPr>
              <w:ind w:left="360"/>
              <w:spacing w:after="0"/>
              <w:rPr>
                <w:sz w:val="20"/>
                <w:szCs w:val="20"/>
                <w:color w:val="auto"/>
              </w:rPr>
            </w:pPr>
            <w:r>
              <w:rPr>
                <w:rFonts w:ascii="Arial" w:cs="Arial" w:eastAsia="Arial" w:hAnsi="Arial"/>
                <w:sz w:val="16"/>
                <w:szCs w:val="16"/>
                <w:color w:val="auto"/>
              </w:rPr>
              <w:t>Deferred income tax provision (benefit), net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270"/>
        </w:trPr>
        <w:tc>
          <w:tcPr>
            <w:tcW w:w="6680" w:type="dxa"/>
            <w:vAlign w:val="bottom"/>
          </w:tcPr>
          <w:p>
            <w:pPr>
              <w:ind w:left="360"/>
              <w:spacing w:after="0"/>
              <w:rPr>
                <w:sz w:val="20"/>
                <w:szCs w:val="20"/>
                <w:color w:val="auto"/>
              </w:rPr>
            </w:pPr>
            <w:r>
              <w:rPr>
                <w:rFonts w:ascii="Arial" w:cs="Arial" w:eastAsia="Arial" w:hAnsi="Arial"/>
                <w:sz w:val="16"/>
                <w:szCs w:val="16"/>
                <w:color w:val="auto"/>
              </w:rPr>
              <w:t>Unrealized loss on derivative instruments and foreign exchange</w:t>
            </w:r>
          </w:p>
        </w:tc>
        <w:tc>
          <w:tcPr>
            <w:tcW w:w="2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105.6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70"/>
        </w:trPr>
        <w:tc>
          <w:tcPr>
            <w:tcW w:w="6680" w:type="dxa"/>
            <w:vAlign w:val="bottom"/>
          </w:tcPr>
          <w:p>
            <w:pPr>
              <w:ind w:left="360"/>
              <w:spacing w:after="0"/>
              <w:rPr>
                <w:sz w:val="20"/>
                <w:szCs w:val="20"/>
                <w:color w:val="auto"/>
              </w:rPr>
            </w:pPr>
            <w:r>
              <w:rPr>
                <w:rFonts w:ascii="Arial" w:cs="Arial" w:eastAsia="Arial" w:hAnsi="Arial"/>
                <w:sz w:val="16"/>
                <w:szCs w:val="16"/>
                <w:color w:val="auto"/>
              </w:rPr>
              <w:t>Income from equity affiliates, net of dividends received</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70"/>
        </w:trPr>
        <w:tc>
          <w:tcPr>
            <w:tcW w:w="6680" w:type="dxa"/>
            <w:vAlign w:val="bottom"/>
          </w:tcPr>
          <w:p>
            <w:pPr>
              <w:ind w:left="36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6"/>
                <w:szCs w:val="16"/>
                <w:color w:val="auto"/>
              </w:rPr>
              <w:t>Changes in operating assets and liabilities, net of effects of acquisitions</w:t>
            </w: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80" w:type="dxa"/>
            <w:vAlign w:val="bottom"/>
          </w:tcPr>
          <w:p>
            <w:pPr>
              <w:ind w:left="360"/>
              <w:spacing w:after="0"/>
              <w:rPr>
                <w:sz w:val="20"/>
                <w:szCs w:val="20"/>
                <w:color w:val="auto"/>
              </w:rPr>
            </w:pPr>
            <w:r>
              <w:rPr>
                <w:rFonts w:ascii="Arial" w:cs="Arial" w:eastAsia="Arial" w:hAnsi="Arial"/>
                <w:sz w:val="16"/>
                <w:szCs w:val="16"/>
                <w:color w:val="auto"/>
              </w:rPr>
              <w:t>Trade receivables, net and contract assets</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131.8</w:t>
            </w:r>
          </w:p>
        </w:tc>
        <w:tc>
          <w:tcPr>
            <w:tcW w:w="0" w:type="dxa"/>
            <w:vAlign w:val="bottom"/>
          </w:tcPr>
          <w:p>
            <w:pPr>
              <w:spacing w:after="0"/>
              <w:rPr>
                <w:sz w:val="1"/>
                <w:szCs w:val="1"/>
                <w:color w:val="auto"/>
              </w:rPr>
            </w:pPr>
          </w:p>
        </w:tc>
      </w:tr>
      <w:tr>
        <w:trPr>
          <w:trHeight w:val="270"/>
        </w:trPr>
        <w:tc>
          <w:tcPr>
            <w:tcW w:w="6680" w:type="dxa"/>
            <w:vAlign w:val="bottom"/>
          </w:tcPr>
          <w:p>
            <w:pPr>
              <w:ind w:left="360"/>
              <w:spacing w:after="0"/>
              <w:rPr>
                <w:sz w:val="20"/>
                <w:szCs w:val="20"/>
                <w:color w:val="auto"/>
              </w:rPr>
            </w:pPr>
            <w:r>
              <w:rPr>
                <w:rFonts w:ascii="Arial" w:cs="Arial" w:eastAsia="Arial" w:hAnsi="Arial"/>
                <w:sz w:val="16"/>
                <w:szCs w:val="16"/>
                <w:color w:val="auto"/>
              </w:rPr>
              <w:t>Inventories, net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70"/>
        </w:trPr>
        <w:tc>
          <w:tcPr>
            <w:tcW w:w="6680" w:type="dxa"/>
            <w:vAlign w:val="bottom"/>
          </w:tcPr>
          <w:p>
            <w:pPr>
              <w:ind w:left="360"/>
              <w:spacing w:after="0"/>
              <w:rPr>
                <w:sz w:val="20"/>
                <w:szCs w:val="20"/>
                <w:color w:val="auto"/>
              </w:rPr>
            </w:pPr>
            <w:r>
              <w:rPr>
                <w:rFonts w:ascii="Arial" w:cs="Arial" w:eastAsia="Arial" w:hAnsi="Arial"/>
                <w:sz w:val="16"/>
                <w:szCs w:val="16"/>
                <w:color w:val="auto"/>
              </w:rPr>
              <w:t>Accounts payable, trade</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(148.6)</w:t>
            </w:r>
          </w:p>
        </w:tc>
        <w:tc>
          <w:tcPr>
            <w:tcW w:w="0" w:type="dxa"/>
            <w:vAlign w:val="bottom"/>
          </w:tcPr>
          <w:p>
            <w:pPr>
              <w:spacing w:after="0"/>
              <w:rPr>
                <w:sz w:val="1"/>
                <w:szCs w:val="1"/>
                <w:color w:val="auto"/>
              </w:rPr>
            </w:pPr>
          </w:p>
        </w:tc>
      </w:tr>
      <w:tr>
        <w:trPr>
          <w:trHeight w:val="270"/>
        </w:trPr>
        <w:tc>
          <w:tcPr>
            <w:tcW w:w="6680" w:type="dxa"/>
            <w:vAlign w:val="bottom"/>
          </w:tcPr>
          <w:p>
            <w:pPr>
              <w:ind w:left="360"/>
              <w:spacing w:after="0"/>
              <w:rPr>
                <w:sz w:val="20"/>
                <w:szCs w:val="20"/>
                <w:color w:val="auto"/>
              </w:rPr>
            </w:pPr>
            <w:r>
              <w:rPr>
                <w:rFonts w:ascii="Arial" w:cs="Arial" w:eastAsia="Arial" w:hAnsi="Arial"/>
                <w:sz w:val="16"/>
                <w:szCs w:val="16"/>
                <w:color w:val="auto"/>
              </w:rPr>
              <w:t>Contract liabilities</w:t>
            </w:r>
          </w:p>
        </w:tc>
        <w:tc>
          <w:tcPr>
            <w:tcW w:w="2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144.4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186.1</w:t>
            </w:r>
          </w:p>
        </w:tc>
        <w:tc>
          <w:tcPr>
            <w:tcW w:w="0" w:type="dxa"/>
            <w:vAlign w:val="bottom"/>
          </w:tcPr>
          <w:p>
            <w:pPr>
              <w:spacing w:after="0"/>
              <w:rPr>
                <w:sz w:val="1"/>
                <w:szCs w:val="1"/>
                <w:color w:val="auto"/>
              </w:rPr>
            </w:pPr>
          </w:p>
        </w:tc>
      </w:tr>
      <w:tr>
        <w:trPr>
          <w:trHeight w:val="270"/>
        </w:trPr>
        <w:tc>
          <w:tcPr>
            <w:tcW w:w="6680" w:type="dxa"/>
            <w:vAlign w:val="bottom"/>
          </w:tcPr>
          <w:p>
            <w:pPr>
              <w:ind w:left="360"/>
              <w:spacing w:after="0"/>
              <w:rPr>
                <w:sz w:val="20"/>
                <w:szCs w:val="20"/>
                <w:color w:val="auto"/>
              </w:rPr>
            </w:pPr>
            <w:r>
              <w:rPr>
                <w:rFonts w:ascii="Arial" w:cs="Arial" w:eastAsia="Arial" w:hAnsi="Arial"/>
                <w:sz w:val="16"/>
                <w:szCs w:val="16"/>
                <w:color w:val="auto"/>
              </w:rPr>
              <w:t>Income taxes payable (receivable), net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70"/>
        </w:trPr>
        <w:tc>
          <w:tcPr>
            <w:tcW w:w="6680" w:type="dxa"/>
            <w:vAlign w:val="bottom"/>
          </w:tcPr>
          <w:p>
            <w:pPr>
              <w:ind w:left="360"/>
              <w:spacing w:after="0"/>
              <w:rPr>
                <w:sz w:val="20"/>
                <w:szCs w:val="20"/>
                <w:color w:val="auto"/>
              </w:rPr>
            </w:pPr>
            <w:r>
              <w:rPr>
                <w:rFonts w:ascii="Arial" w:cs="Arial" w:eastAsia="Arial" w:hAnsi="Arial"/>
                <w:sz w:val="16"/>
                <w:szCs w:val="16"/>
                <w:color w:val="auto"/>
              </w:rPr>
              <w:t>Other current assets and liabilities, net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(338.1)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(126.3)</w:t>
            </w:r>
          </w:p>
        </w:tc>
        <w:tc>
          <w:tcPr>
            <w:tcW w:w="0" w:type="dxa"/>
            <w:vAlign w:val="bottom"/>
          </w:tcPr>
          <w:p>
            <w:pPr>
              <w:spacing w:after="0"/>
              <w:rPr>
                <w:sz w:val="1"/>
                <w:szCs w:val="1"/>
                <w:color w:val="auto"/>
              </w:rPr>
            </w:pPr>
          </w:p>
        </w:tc>
      </w:tr>
      <w:tr>
        <w:trPr>
          <w:trHeight w:val="270"/>
        </w:trPr>
        <w:tc>
          <w:tcPr>
            <w:tcW w:w="6680" w:type="dxa"/>
            <w:vAlign w:val="bottom"/>
          </w:tcPr>
          <w:p>
            <w:pPr>
              <w:ind w:left="360"/>
              <w:spacing w:after="0"/>
              <w:rPr>
                <w:sz w:val="20"/>
                <w:szCs w:val="20"/>
                <w:color w:val="auto"/>
              </w:rPr>
            </w:pPr>
            <w:r>
              <w:rPr>
                <w:rFonts w:ascii="Arial" w:cs="Arial" w:eastAsia="Arial" w:hAnsi="Arial"/>
                <w:sz w:val="16"/>
                <w:szCs w:val="16"/>
                <w:color w:val="auto"/>
              </w:rPr>
              <w:t>Other noncurrent assets and liabilities, net</w:t>
            </w:r>
          </w:p>
        </w:tc>
        <w:tc>
          <w:tcPr>
            <w:tcW w:w="2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162.4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680" w:type="dxa"/>
            <w:vAlign w:val="bottom"/>
          </w:tcPr>
          <w:p>
            <w:pPr>
              <w:spacing w:after="0"/>
              <w:rPr>
                <w:sz w:val="20"/>
                <w:szCs w:val="20"/>
                <w:color w:val="auto"/>
              </w:rPr>
            </w:pPr>
            <w:r>
              <w:rPr>
                <w:rFonts w:ascii="Arial" w:cs="Arial" w:eastAsia="Arial" w:hAnsi="Arial"/>
                <w:sz w:val="16"/>
                <w:szCs w:val="16"/>
                <w:color w:val="auto"/>
              </w:rPr>
              <w:t>Cash provided by operating activities</w:t>
            </w:r>
          </w:p>
        </w:tc>
        <w:tc>
          <w:tcPr>
            <w:tcW w:w="28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121.4</w:t>
            </w:r>
          </w:p>
        </w:tc>
        <w:tc>
          <w:tcPr>
            <w:tcW w:w="0" w:type="dxa"/>
            <w:vAlign w:val="bottom"/>
          </w:tcPr>
          <w:p>
            <w:pPr>
              <w:spacing w:after="0"/>
              <w:rPr>
                <w:sz w:val="1"/>
                <w:szCs w:val="1"/>
                <w:color w:val="auto"/>
              </w:rPr>
            </w:pPr>
          </w:p>
        </w:tc>
      </w:tr>
      <w:tr>
        <w:trPr>
          <w:trHeight w:val="33"/>
        </w:trPr>
        <w:tc>
          <w:tcPr>
            <w:tcW w:w="6680" w:type="dxa"/>
            <w:vAlign w:val="bottom"/>
            <w:vMerge w:val="restart"/>
          </w:tcPr>
          <w:p>
            <w:pPr>
              <w:spacing w:after="0"/>
              <w:rPr>
                <w:sz w:val="20"/>
                <w:szCs w:val="20"/>
                <w:color w:val="auto"/>
              </w:rPr>
            </w:pPr>
            <w:r>
              <w:rPr>
                <w:rFonts w:ascii="Arial" w:cs="Arial" w:eastAsia="Arial" w:hAnsi="Arial"/>
                <w:sz w:val="16"/>
                <w:szCs w:val="16"/>
                <w:color w:val="auto"/>
              </w:rPr>
              <w:t>Cash provided (required) by investing activities</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4"/>
        </w:trPr>
        <w:tc>
          <w:tcPr>
            <w:tcW w:w="66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80" w:type="dxa"/>
            <w:vAlign w:val="bottom"/>
          </w:tcPr>
          <w:p>
            <w:pPr>
              <w:ind w:left="36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(178.2)</w:t>
            </w:r>
          </w:p>
        </w:tc>
        <w:tc>
          <w:tcPr>
            <w:tcW w:w="0" w:type="dxa"/>
            <w:vAlign w:val="bottom"/>
          </w:tcPr>
          <w:p>
            <w:pPr>
              <w:spacing w:after="0"/>
              <w:rPr>
                <w:sz w:val="1"/>
                <w:szCs w:val="1"/>
                <w:color w:val="auto"/>
              </w:rPr>
            </w:pPr>
          </w:p>
        </w:tc>
      </w:tr>
      <w:tr>
        <w:trPr>
          <w:trHeight w:val="270"/>
        </w:trPr>
        <w:tc>
          <w:tcPr>
            <w:tcW w:w="6680" w:type="dxa"/>
            <w:vAlign w:val="bottom"/>
          </w:tcPr>
          <w:p>
            <w:pPr>
              <w:ind w:left="360"/>
              <w:spacing w:after="0"/>
              <w:rPr>
                <w:sz w:val="20"/>
                <w:szCs w:val="20"/>
                <w:color w:val="auto"/>
              </w:rPr>
            </w:pPr>
            <w:r>
              <w:rPr>
                <w:rFonts w:ascii="Arial" w:cs="Arial" w:eastAsia="Arial" w:hAnsi="Arial"/>
                <w:sz w:val="16"/>
                <w:szCs w:val="16"/>
                <w:color w:val="auto"/>
              </w:rPr>
              <w:t>Payment to acquire debt securities</w:t>
            </w:r>
          </w:p>
        </w:tc>
        <w:tc>
          <w:tcPr>
            <w:tcW w:w="28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270"/>
        </w:trPr>
        <w:tc>
          <w:tcPr>
            <w:tcW w:w="6680" w:type="dxa"/>
            <w:vAlign w:val="bottom"/>
          </w:tcPr>
          <w:p>
            <w:pPr>
              <w:ind w:left="360"/>
              <w:spacing w:after="0"/>
              <w:rPr>
                <w:sz w:val="20"/>
                <w:szCs w:val="20"/>
                <w:color w:val="auto"/>
              </w:rPr>
            </w:pPr>
            <w:r>
              <w:rPr>
                <w:rFonts w:ascii="Arial" w:cs="Arial" w:eastAsia="Arial" w:hAnsi="Arial"/>
                <w:sz w:val="16"/>
                <w:szCs w:val="16"/>
                <w:color w:val="auto"/>
              </w:rPr>
              <w:t>Cash received from divestiture</w:t>
            </w:r>
          </w:p>
        </w:tc>
        <w:tc>
          <w:tcPr>
            <w:tcW w:w="2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680" w:type="dxa"/>
            <w:vAlign w:val="bottom"/>
          </w:tcPr>
          <w:p>
            <w:pPr>
              <w:ind w:left="360"/>
              <w:spacing w:after="0"/>
              <w:rPr>
                <w:sz w:val="20"/>
                <w:szCs w:val="20"/>
                <w:color w:val="auto"/>
              </w:rPr>
            </w:pPr>
            <w:r>
              <w:rPr>
                <w:rFonts w:ascii="Arial" w:cs="Arial" w:eastAsia="Arial" w:hAnsi="Arial"/>
                <w:sz w:val="16"/>
                <w:szCs w:val="16"/>
                <w:color w:val="auto"/>
              </w:rPr>
              <w:t>Proceeds from sale of assets</w:t>
            </w:r>
          </w:p>
        </w:tc>
        <w:tc>
          <w:tcPr>
            <w:tcW w:w="2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680" w:type="dxa"/>
            <w:vAlign w:val="bottom"/>
          </w:tcPr>
          <w:p>
            <w:pPr>
              <w:spacing w:after="0"/>
              <w:rPr>
                <w:sz w:val="20"/>
                <w:szCs w:val="20"/>
                <w:color w:val="auto"/>
              </w:rPr>
            </w:pPr>
            <w:r>
              <w:rPr>
                <w:rFonts w:ascii="Arial" w:cs="Arial" w:eastAsia="Arial" w:hAnsi="Arial"/>
                <w:sz w:val="16"/>
                <w:szCs w:val="16"/>
                <w:color w:val="auto"/>
              </w:rPr>
              <w:t>Cash required by investing activities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(237.0)</w:t>
            </w:r>
          </w:p>
        </w:tc>
        <w:tc>
          <w:tcPr>
            <w:tcW w:w="0" w:type="dxa"/>
            <w:vAlign w:val="bottom"/>
          </w:tcPr>
          <w:p>
            <w:pPr>
              <w:spacing w:after="0"/>
              <w:rPr>
                <w:sz w:val="1"/>
                <w:szCs w:val="1"/>
                <w:color w:val="auto"/>
              </w:rPr>
            </w:pPr>
          </w:p>
        </w:tc>
      </w:tr>
      <w:tr>
        <w:trPr>
          <w:trHeight w:val="33"/>
        </w:trPr>
        <w:tc>
          <w:tcPr>
            <w:tcW w:w="6680" w:type="dxa"/>
            <w:vAlign w:val="bottom"/>
            <w:vMerge w:val="restart"/>
          </w:tcPr>
          <w:p>
            <w:pPr>
              <w:spacing w:after="0"/>
              <w:rPr>
                <w:sz w:val="20"/>
                <w:szCs w:val="20"/>
                <w:color w:val="auto"/>
              </w:rPr>
            </w:pPr>
            <w:r>
              <w:rPr>
                <w:rFonts w:ascii="Arial" w:cs="Arial" w:eastAsia="Arial" w:hAnsi="Arial"/>
                <w:sz w:val="16"/>
                <w:szCs w:val="16"/>
                <w:color w:val="auto"/>
              </w:rPr>
              <w:t>Cash required by financing activities</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4"/>
        </w:trPr>
        <w:tc>
          <w:tcPr>
            <w:tcW w:w="66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80" w:type="dxa"/>
            <w:vAlign w:val="bottom"/>
          </w:tcPr>
          <w:p>
            <w:pPr>
              <w:ind w:left="360"/>
              <w:spacing w:after="0"/>
              <w:rPr>
                <w:sz w:val="20"/>
                <w:szCs w:val="20"/>
                <w:color w:val="auto"/>
              </w:rPr>
            </w:pPr>
            <w:r>
              <w:rPr>
                <w:rFonts w:ascii="Arial" w:cs="Arial" w:eastAsia="Arial" w:hAnsi="Arial"/>
                <w:sz w:val="16"/>
                <w:szCs w:val="16"/>
                <w:color w:val="auto"/>
              </w:rPr>
              <w:t>Net increase in short-term debt</w:t>
            </w:r>
          </w:p>
        </w:tc>
        <w:tc>
          <w:tcPr>
            <w:tcW w:w="2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114.5</w:t>
            </w:r>
          </w:p>
        </w:tc>
        <w:tc>
          <w:tcPr>
            <w:tcW w:w="0" w:type="dxa"/>
            <w:vAlign w:val="bottom"/>
          </w:tcPr>
          <w:p>
            <w:pPr>
              <w:spacing w:after="0"/>
              <w:rPr>
                <w:sz w:val="1"/>
                <w:szCs w:val="1"/>
                <w:color w:val="auto"/>
              </w:rPr>
            </w:pPr>
          </w:p>
        </w:tc>
      </w:tr>
      <w:tr>
        <w:trPr>
          <w:trHeight w:val="270"/>
        </w:trPr>
        <w:tc>
          <w:tcPr>
            <w:tcW w:w="6680" w:type="dxa"/>
            <w:vAlign w:val="bottom"/>
          </w:tcPr>
          <w:p>
            <w:pPr>
              <w:ind w:left="360"/>
              <w:spacing w:after="0"/>
              <w:rPr>
                <w:sz w:val="20"/>
                <w:szCs w:val="20"/>
                <w:color w:val="auto"/>
              </w:rPr>
            </w:pPr>
            <w:r>
              <w:rPr>
                <w:rFonts w:ascii="Arial" w:cs="Arial" w:eastAsia="Arial" w:hAnsi="Arial"/>
                <w:sz w:val="16"/>
                <w:szCs w:val="16"/>
                <w:color w:val="auto"/>
              </w:rPr>
              <w:t>Net decrease in commercial paper</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(578.5)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(450.4)</w:t>
            </w:r>
          </w:p>
        </w:tc>
        <w:tc>
          <w:tcPr>
            <w:tcW w:w="0" w:type="dxa"/>
            <w:vAlign w:val="bottom"/>
          </w:tcPr>
          <w:p>
            <w:pPr>
              <w:spacing w:after="0"/>
              <w:rPr>
                <w:sz w:val="1"/>
                <w:szCs w:val="1"/>
                <w:color w:val="auto"/>
              </w:rPr>
            </w:pPr>
          </w:p>
        </w:tc>
      </w:tr>
      <w:tr>
        <w:trPr>
          <w:trHeight w:val="256"/>
        </w:trPr>
        <w:tc>
          <w:tcPr>
            <w:tcW w:w="6680" w:type="dxa"/>
            <w:vAlign w:val="bottom"/>
          </w:tcPr>
          <w:p>
            <w:pPr>
              <w:ind w:left="360"/>
              <w:spacing w:after="0"/>
              <w:rPr>
                <w:sz w:val="20"/>
                <w:szCs w:val="20"/>
                <w:color w:val="auto"/>
              </w:rPr>
            </w:pPr>
            <w:r>
              <w:rPr>
                <w:rFonts w:ascii="Arial" w:cs="Arial" w:eastAsia="Arial" w:hAnsi="Arial"/>
                <w:sz w:val="16"/>
                <w:szCs w:val="16"/>
                <w:color w:val="auto"/>
              </w:rPr>
              <w:t>Proceeds from revolving credit facility</w:t>
            </w:r>
          </w:p>
        </w:tc>
        <w:tc>
          <w:tcPr>
            <w:tcW w:w="2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680" w:type="dxa"/>
            <w:vAlign w:val="bottom"/>
          </w:tcPr>
          <w:p>
            <w:pPr>
              <w:ind w:left="360"/>
              <w:spacing w:after="0"/>
              <w:rPr>
                <w:sz w:val="20"/>
                <w:szCs w:val="20"/>
                <w:color w:val="auto"/>
              </w:rPr>
            </w:pPr>
            <w:r>
              <w:rPr>
                <w:rFonts w:ascii="Arial" w:cs="Arial" w:eastAsia="Arial" w:hAnsi="Arial"/>
                <w:sz w:val="16"/>
                <w:szCs w:val="16"/>
                <w:color w:val="auto"/>
              </w:rPr>
              <w:t>Proceeds from issuance of long-term debt</w:t>
            </w:r>
          </w:p>
        </w:tc>
        <w:tc>
          <w:tcPr>
            <w:tcW w:w="28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96.2</w:t>
            </w:r>
          </w:p>
        </w:tc>
        <w:tc>
          <w:tcPr>
            <w:tcW w:w="0" w:type="dxa"/>
            <w:vAlign w:val="bottom"/>
          </w:tcPr>
          <w:p>
            <w:pPr>
              <w:spacing w:after="0"/>
              <w:rPr>
                <w:sz w:val="1"/>
                <w:szCs w:val="1"/>
                <w:color w:val="auto"/>
              </w:rPr>
            </w:pPr>
          </w:p>
        </w:tc>
      </w:tr>
      <w:tr>
        <w:trPr>
          <w:trHeight w:val="270"/>
        </w:trPr>
        <w:tc>
          <w:tcPr>
            <w:tcW w:w="6680" w:type="dxa"/>
            <w:vAlign w:val="bottom"/>
          </w:tcPr>
          <w:p>
            <w:pPr>
              <w:ind w:left="360"/>
              <w:spacing w:after="0"/>
              <w:rPr>
                <w:sz w:val="20"/>
                <w:szCs w:val="20"/>
                <w:color w:val="auto"/>
              </w:rPr>
            </w:pPr>
            <w:r>
              <w:rPr>
                <w:rFonts w:ascii="Arial" w:cs="Arial" w:eastAsia="Arial" w:hAnsi="Arial"/>
                <w:sz w:val="16"/>
                <w:szCs w:val="16"/>
                <w:color w:val="auto"/>
              </w:rPr>
              <w:t>Purchase of ordinary shares</w:t>
            </w:r>
          </w:p>
        </w:tc>
        <w:tc>
          <w:tcPr>
            <w:tcW w:w="28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56"/>
        </w:trPr>
        <w:tc>
          <w:tcPr>
            <w:tcW w:w="6680" w:type="dxa"/>
            <w:vAlign w:val="bottom"/>
          </w:tcPr>
          <w:p>
            <w:pPr>
              <w:ind w:left="360"/>
              <w:spacing w:after="0"/>
              <w:rPr>
                <w:sz w:val="20"/>
                <w:szCs w:val="20"/>
                <w:color w:val="auto"/>
              </w:rPr>
            </w:pPr>
            <w:r>
              <w:rPr>
                <w:rFonts w:ascii="Arial" w:cs="Arial" w:eastAsia="Arial" w:hAnsi="Arial"/>
                <w:sz w:val="16"/>
                <w:szCs w:val="16"/>
                <w:color w:val="auto"/>
              </w:rPr>
              <w:t>Payments related to taxes withheld on share-based compensation</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680" w:type="dxa"/>
            <w:vAlign w:val="bottom"/>
          </w:tcPr>
          <w:p>
            <w:pPr>
              <w:ind w:left="360"/>
              <w:spacing w:after="0"/>
              <w:rPr>
                <w:sz w:val="20"/>
                <w:szCs w:val="20"/>
                <w:color w:val="auto"/>
              </w:rPr>
            </w:pPr>
            <w:r>
              <w:rPr>
                <w:rFonts w:ascii="Arial" w:cs="Arial" w:eastAsia="Arial" w:hAnsi="Arial"/>
                <w:sz w:val="16"/>
                <w:szCs w:val="16"/>
                <w:color w:val="auto"/>
              </w:rPr>
              <w:t>Settlements of mandatorily redeemable financial liability</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(174.9)</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680" w:type="dxa"/>
            <w:vAlign w:val="bottom"/>
          </w:tcPr>
          <w:p>
            <w:pPr>
              <w:spacing w:after="0"/>
              <w:rPr>
                <w:sz w:val="20"/>
                <w:szCs w:val="20"/>
                <w:color w:val="auto"/>
              </w:rPr>
            </w:pPr>
            <w:r>
              <w:rPr>
                <w:rFonts w:ascii="Arial" w:cs="Arial" w:eastAsia="Arial" w:hAnsi="Arial"/>
                <w:sz w:val="16"/>
                <w:szCs w:val="16"/>
                <w:color w:val="auto"/>
              </w:rPr>
              <w:t>Cash required by financing activities</w:t>
            </w:r>
          </w:p>
        </w:tc>
        <w:tc>
          <w:tcPr>
            <w:tcW w:w="28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(447.6)</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680" w:type="dxa"/>
            <w:vAlign w:val="bottom"/>
          </w:tcPr>
          <w:p>
            <w:pPr>
              <w:ind w:left="360"/>
              <w:spacing w:after="0"/>
              <w:rPr>
                <w:sz w:val="20"/>
                <w:szCs w:val="20"/>
                <w:color w:val="auto"/>
              </w:rPr>
            </w:pPr>
            <w:r>
              <w:rPr>
                <w:rFonts w:ascii="Arial" w:cs="Arial" w:eastAsia="Arial" w:hAnsi="Arial"/>
                <w:sz w:val="16"/>
                <w:szCs w:val="16"/>
                <w:color w:val="auto"/>
              </w:rPr>
              <w:t>Effect of changes in foreign exchange rates on cash and cash equivalents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(146.3)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680" w:type="dxa"/>
            <w:vAlign w:val="bottom"/>
          </w:tcPr>
          <w:p>
            <w:pPr>
              <w:ind w:left="360"/>
              <w:spacing w:after="0"/>
              <w:rPr>
                <w:sz w:val="20"/>
                <w:szCs w:val="20"/>
                <w:color w:val="auto"/>
              </w:rPr>
            </w:pPr>
            <w:r>
              <w:rPr>
                <w:rFonts w:ascii="Arial" w:cs="Arial" w:eastAsia="Arial" w:hAnsi="Arial"/>
                <w:sz w:val="16"/>
                <w:szCs w:val="16"/>
                <w:color w:val="auto"/>
              </w:rPr>
              <w:t>Decrease in cash and cash equivalents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(190.8)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(574.7)</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2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5,190.2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5,540.0</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8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4,999.4</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4,965.3</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00"/>
          </w:cols>
          <w:pgMar w:left="1360" w:top="499" w:right="339" w:bottom="1440" w:gutter="0" w:footer="0" w:header="0"/>
        </w:sectPr>
      </w:pPr>
    </w:p>
    <w:p>
      <w:pPr>
        <w:spacing w:after="0" w:line="219" w:lineRule="exact"/>
        <w:rPr>
          <w:sz w:val="20"/>
          <w:szCs w:val="20"/>
          <w:color w:val="auto"/>
        </w:rPr>
      </w:pPr>
    </w:p>
    <w:p>
      <w:pPr>
        <w:ind w:left="4060"/>
        <w:spacing w:after="0"/>
        <w:tabs>
          <w:tab w:leader="none" w:pos="92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22 of </w:t>
      </w:r>
      <w:hyperlink w:anchor="page32">
        <w:r>
          <w:rPr>
            <w:rFonts w:ascii="Arial" w:cs="Arial" w:eastAsia="Arial" w:hAnsi="Arial"/>
            <w:sz w:val="14"/>
            <w:szCs w:val="14"/>
            <w:b w:val="1"/>
            <w:bCs w:val="1"/>
            <w:color w:val="auto"/>
          </w:rPr>
          <w:t>28</w:t>
        </w:r>
      </w:hyperlink>
    </w:p>
    <w:p>
      <w:pPr>
        <w:sectPr>
          <w:pgSz w:w="11900" w:h="16838" w:orient="portrait"/>
          <w:cols w:equalWidth="0" w:num="1">
            <w:col w:w="10200"/>
          </w:cols>
          <w:pgMar w:left="1360" w:top="499" w:right="339"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3"/>
          <w:szCs w:val="13"/>
          <w:b w:val="1"/>
          <w:bCs w:val="1"/>
          <w:color w:val="auto"/>
        </w:rPr>
        <w:t>Exhibit 6</w:t>
      </w:r>
    </w:p>
    <w:p>
      <w:pPr>
        <w:spacing w:after="0" w:line="161"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u w:val="single" w:color="auto"/>
          <w:color w:val="auto"/>
        </w:rPr>
        <w:t>CASH AND CASH EQUIVALENTS</w:t>
      </w:r>
    </w:p>
    <w:p>
      <w:pPr>
        <w:spacing w:after="0" w:line="9"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(In billions,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4860925</wp:posOffset>
            </wp:positionH>
            <wp:positionV relativeFrom="paragraph">
              <wp:posOffset>228600</wp:posOffset>
            </wp:positionV>
            <wp:extent cx="9601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14"/>
              <w:spacing w:after="0"/>
              <w:rPr>
                <w:sz w:val="20"/>
                <w:szCs w:val="20"/>
                <w:color w:val="auto"/>
              </w:rPr>
            </w:pPr>
            <w:r>
              <w:rPr>
                <w:rFonts w:ascii="Arial" w:cs="Arial" w:eastAsia="Arial" w:hAnsi="Arial"/>
                <w:sz w:val="16"/>
                <w:szCs w:val="16"/>
                <w:b w:val="1"/>
                <w:bCs w:val="1"/>
                <w:color w:val="auto"/>
              </w:rPr>
              <w:t>March 31,</w:t>
            </w:r>
          </w:p>
        </w:tc>
      </w:tr>
      <w:tr>
        <w:trPr>
          <w:trHeight w:val="270"/>
        </w:trPr>
        <w:tc>
          <w:tcPr>
            <w:tcW w:w="7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514"/>
              <w:spacing w:after="0"/>
              <w:rPr>
                <w:sz w:val="20"/>
                <w:szCs w:val="20"/>
                <w:color w:val="auto"/>
              </w:rPr>
            </w:pPr>
            <w:r>
              <w:rPr>
                <w:rFonts w:ascii="Arial" w:cs="Arial" w:eastAsia="Arial" w:hAnsi="Arial"/>
                <w:sz w:val="16"/>
                <w:szCs w:val="16"/>
                <w:b w:val="1"/>
                <w:bCs w:val="1"/>
                <w:color w:val="auto"/>
              </w:rPr>
              <w:t>2020</w:t>
            </w:r>
          </w:p>
        </w:tc>
      </w:tr>
      <w:tr>
        <w:trPr>
          <w:trHeight w:val="33"/>
        </w:trPr>
        <w:tc>
          <w:tcPr>
            <w:tcW w:w="7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r>
              <w:rPr>
                <w:rFonts w:ascii="Arial" w:cs="Arial" w:eastAsia="Arial" w:hAnsi="Arial"/>
                <w:sz w:val="18"/>
                <w:szCs w:val="18"/>
                <w:color w:val="auto"/>
              </w:rPr>
              <w:t>Held by joint ventures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7660" w:type="dxa"/>
            <w:vAlign w:val="bottom"/>
          </w:tcPr>
          <w:p>
            <w:pPr>
              <w:spacing w:after="0"/>
              <w:rPr>
                <w:sz w:val="20"/>
                <w:szCs w:val="20"/>
                <w:color w:val="auto"/>
              </w:rPr>
            </w:pPr>
            <w:r>
              <w:rPr>
                <w:rFonts w:ascii="Arial" w:cs="Arial" w:eastAsia="Arial" w:hAnsi="Arial"/>
                <w:sz w:val="18"/>
                <w:szCs w:val="18"/>
                <w:color w:val="auto"/>
              </w:rPr>
              <w:t>Operating cash and cash equivalents</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7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7660" w:type="dxa"/>
            <w:vAlign w:val="bottom"/>
          </w:tcPr>
          <w:p>
            <w:pPr>
              <w:spacing w:after="0"/>
              <w:rPr>
                <w:sz w:val="20"/>
                <w:szCs w:val="20"/>
                <w:color w:val="auto"/>
              </w:rPr>
            </w:pPr>
            <w:r>
              <w:rPr>
                <w:rFonts w:ascii="Arial" w:cs="Arial" w:eastAsia="Arial" w:hAnsi="Arial"/>
                <w:sz w:val="18"/>
                <w:szCs w:val="18"/>
                <w:color w:val="auto"/>
              </w:rPr>
              <w:t>Total cash and cash equivalents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40"/>
        <w:spacing w:after="0"/>
        <w:tabs>
          <w:tab w:leader="none" w:pos="918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23 of </w:t>
      </w:r>
      <w:hyperlink w:anchor="page32">
        <w:r>
          <w:rPr>
            <w:rFonts w:ascii="Arial" w:cs="Arial" w:eastAsia="Arial" w:hAnsi="Arial"/>
            <w:sz w:val="14"/>
            <w:szCs w:val="14"/>
            <w:b w:val="1"/>
            <w:bCs w:val="1"/>
            <w:color w:val="auto"/>
          </w:rPr>
          <w:t>28</w:t>
        </w:r>
      </w:hyperlink>
    </w:p>
    <w:p>
      <w:pPr>
        <w:sectPr>
          <w:pgSz w:w="11900" w:h="16838" w:orient="portrait"/>
          <w:cols w:equalWidth="0" w:num="1">
            <w:col w:w="10180"/>
          </w:cols>
          <w:pgMar w:left="1380" w:top="499"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3"/>
          <w:szCs w:val="13"/>
          <w:b w:val="1"/>
          <w:bCs w:val="1"/>
          <w:color w:val="auto"/>
        </w:rPr>
        <w:t>Exhibit 7</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DATA FOR YAMAL LNG JOINT VENTURE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control the voting control interests in the legal Technip Energies contract entities which own and account for the design, engineering, and construction of the Yamal LNG plant. Our partners have a 50% joint interest in these entities. Below is summarized financial information for the consolidated Yamal LNG joint venture as reflected at 100% in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280035</wp:posOffset>
            </wp:positionV>
            <wp:extent cx="7372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104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center"/>
              <w:ind w:right="1048"/>
              <w:spacing w:after="0"/>
              <w:rPr>
                <w:sz w:val="20"/>
                <w:szCs w:val="20"/>
                <w:color w:val="auto"/>
              </w:rPr>
            </w:pPr>
            <w:r>
              <w:rPr>
                <w:rFonts w:ascii="Arial" w:cs="Arial" w:eastAsia="Arial" w:hAnsi="Arial"/>
                <w:sz w:val="16"/>
                <w:szCs w:val="16"/>
                <w:b w:val="1"/>
                <w:bCs w:val="1"/>
                <w:color w:val="auto"/>
                <w:w w:val="94"/>
              </w:rPr>
              <w:t>March 31,</w:t>
            </w:r>
          </w:p>
        </w:tc>
      </w:tr>
      <w:tr>
        <w:trPr>
          <w:trHeight w:val="270"/>
        </w:trPr>
        <w:tc>
          <w:tcPr>
            <w:tcW w:w="8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334"/>
              <w:spacing w:after="0"/>
              <w:rPr>
                <w:sz w:val="20"/>
                <w:szCs w:val="20"/>
                <w:color w:val="auto"/>
              </w:rPr>
            </w:pPr>
            <w:r>
              <w:rPr>
                <w:rFonts w:ascii="Arial" w:cs="Arial" w:eastAsia="Arial" w:hAnsi="Arial"/>
                <w:sz w:val="16"/>
                <w:szCs w:val="16"/>
                <w:b w:val="1"/>
                <w:bCs w:val="1"/>
                <w:color w:val="auto"/>
              </w:rPr>
              <w:t>2020</w:t>
            </w:r>
          </w:p>
        </w:tc>
        <w:tc>
          <w:tcPr>
            <w:tcW w:w="960" w:type="dxa"/>
            <w:vAlign w:val="bottom"/>
          </w:tcPr>
          <w:p>
            <w:pPr>
              <w:spacing w:after="0"/>
              <w:rPr>
                <w:sz w:val="23"/>
                <w:szCs w:val="23"/>
                <w:color w:val="auto"/>
              </w:rPr>
            </w:pPr>
          </w:p>
        </w:tc>
      </w:tr>
      <w:tr>
        <w:trPr>
          <w:trHeight w:val="33"/>
        </w:trPr>
        <w:tc>
          <w:tcPr>
            <w:tcW w:w="8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8000" w:type="dxa"/>
            <w:vAlign w:val="bottom"/>
          </w:tcPr>
          <w:p>
            <w:pPr>
              <w:spacing w:after="0"/>
              <w:rPr>
                <w:sz w:val="20"/>
                <w:szCs w:val="20"/>
                <w:color w:val="auto"/>
              </w:rPr>
            </w:pPr>
            <w:r>
              <w:rPr>
                <w:rFonts w:ascii="Arial" w:cs="Arial" w:eastAsia="Arial" w:hAnsi="Arial"/>
                <w:sz w:val="18"/>
                <w:szCs w:val="18"/>
                <w:color w:val="auto"/>
              </w:rPr>
              <w:t>Contract liabilities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1,184.6</w:t>
            </w:r>
          </w:p>
        </w:tc>
        <w:tc>
          <w:tcPr>
            <w:tcW w:w="960" w:type="dxa"/>
            <w:vAlign w:val="bottom"/>
          </w:tcPr>
          <w:p>
            <w:pPr>
              <w:spacing w:after="0"/>
              <w:rPr>
                <w:sz w:val="20"/>
                <w:szCs w:val="20"/>
                <w:color w:val="auto"/>
              </w:rPr>
            </w:pP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Mandatorily redeemable financial liability</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300.1</w:t>
            </w:r>
          </w:p>
        </w:tc>
        <w:tc>
          <w:tcPr>
            <w:tcW w:w="960" w:type="dxa"/>
            <w:vAlign w:val="bottom"/>
          </w:tcPr>
          <w:p>
            <w:pPr>
              <w:spacing w:after="0"/>
              <w:rPr>
                <w:sz w:val="23"/>
                <w:szCs w:val="23"/>
                <w:color w:val="auto"/>
              </w:rPr>
            </w:pPr>
          </w:p>
        </w:tc>
      </w:tr>
      <w:tr>
        <w:trPr>
          <w:trHeight w:val="594"/>
        </w:trPr>
        <w:tc>
          <w:tcPr>
            <w:tcW w:w="80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spacing w:after="0"/>
              <w:rPr>
                <w:sz w:val="24"/>
                <w:szCs w:val="24"/>
                <w:color w:val="auto"/>
              </w:rPr>
            </w:pPr>
          </w:p>
        </w:tc>
        <w:tc>
          <w:tcPr>
            <w:tcW w:w="960" w:type="dxa"/>
            <w:vAlign w:val="bottom"/>
          </w:tcPr>
          <w:p>
            <w:pPr>
              <w:spacing w:after="0"/>
              <w:rPr>
                <w:sz w:val="24"/>
                <w:szCs w:val="24"/>
                <w:color w:val="auto"/>
              </w:rPr>
            </w:pPr>
          </w:p>
        </w:tc>
      </w:tr>
      <w:tr>
        <w:trPr>
          <w:trHeight w:val="209"/>
        </w:trPr>
        <w:tc>
          <w:tcPr>
            <w:tcW w:w="8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3"/>
          </w:tcPr>
          <w:p>
            <w:pPr>
              <w:jc w:val="center"/>
              <w:ind w:right="908"/>
              <w:spacing w:after="0"/>
              <w:rPr>
                <w:sz w:val="20"/>
                <w:szCs w:val="20"/>
                <w:color w:val="auto"/>
              </w:rPr>
            </w:pPr>
            <w:r>
              <w:rPr>
                <w:rFonts w:ascii="Arial" w:cs="Arial" w:eastAsia="Arial" w:hAnsi="Arial"/>
                <w:sz w:val="16"/>
                <w:szCs w:val="16"/>
                <w:b w:val="1"/>
                <w:bCs w:val="1"/>
                <w:color w:val="auto"/>
                <w:w w:val="93"/>
              </w:rPr>
              <w:t>Three Months</w:t>
            </w:r>
          </w:p>
        </w:tc>
      </w:tr>
      <w:tr>
        <w:trPr>
          <w:trHeight w:val="210"/>
        </w:trPr>
        <w:tc>
          <w:tcPr>
            <w:tcW w:w="8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center"/>
              <w:ind w:right="1088"/>
              <w:spacing w:after="0"/>
              <w:rPr>
                <w:sz w:val="20"/>
                <w:szCs w:val="20"/>
                <w:color w:val="auto"/>
              </w:rPr>
            </w:pPr>
            <w:r>
              <w:rPr>
                <w:rFonts w:ascii="Arial" w:cs="Arial" w:eastAsia="Arial" w:hAnsi="Arial"/>
                <w:sz w:val="16"/>
                <w:szCs w:val="16"/>
                <w:b w:val="1"/>
                <w:bCs w:val="1"/>
                <w:color w:val="auto"/>
                <w:w w:val="93"/>
              </w:rPr>
              <w:t>Ended</w:t>
            </w:r>
          </w:p>
        </w:tc>
      </w:tr>
      <w:tr>
        <w:trPr>
          <w:trHeight w:val="270"/>
        </w:trPr>
        <w:tc>
          <w:tcPr>
            <w:tcW w:w="8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gridSpan w:val="2"/>
          </w:tcPr>
          <w:p>
            <w:pPr>
              <w:jc w:val="center"/>
              <w:ind w:right="1088"/>
              <w:spacing w:after="0"/>
              <w:rPr>
                <w:sz w:val="20"/>
                <w:szCs w:val="20"/>
                <w:color w:val="auto"/>
              </w:rPr>
            </w:pPr>
            <w:r>
              <w:rPr>
                <w:rFonts w:ascii="Arial" w:cs="Arial" w:eastAsia="Arial" w:hAnsi="Arial"/>
                <w:sz w:val="16"/>
                <w:szCs w:val="16"/>
                <w:b w:val="1"/>
                <w:bCs w:val="1"/>
                <w:color w:val="auto"/>
                <w:w w:val="94"/>
              </w:rPr>
              <w:t>March 31,</w:t>
            </w:r>
          </w:p>
        </w:tc>
      </w:tr>
      <w:tr>
        <w:trPr>
          <w:trHeight w:val="276"/>
        </w:trPr>
        <w:tc>
          <w:tcPr>
            <w:tcW w:w="8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314"/>
              <w:spacing w:after="0"/>
              <w:rPr>
                <w:sz w:val="20"/>
                <w:szCs w:val="20"/>
                <w:color w:val="auto"/>
              </w:rPr>
            </w:pPr>
            <w:r>
              <w:rPr>
                <w:rFonts w:ascii="Arial" w:cs="Arial" w:eastAsia="Arial" w:hAnsi="Arial"/>
                <w:sz w:val="18"/>
                <w:szCs w:val="18"/>
                <w:b w:val="1"/>
                <w:bCs w:val="1"/>
                <w:color w:val="auto"/>
              </w:rPr>
              <w:t>2020</w:t>
            </w:r>
          </w:p>
        </w:tc>
        <w:tc>
          <w:tcPr>
            <w:tcW w:w="960" w:type="dxa"/>
            <w:vAlign w:val="bottom"/>
          </w:tcPr>
          <w:p>
            <w:pPr>
              <w:spacing w:after="0"/>
              <w:rPr>
                <w:sz w:val="24"/>
                <w:szCs w:val="24"/>
                <w:color w:val="auto"/>
              </w:rPr>
            </w:pPr>
          </w:p>
        </w:tc>
      </w:tr>
      <w:tr>
        <w:trPr>
          <w:trHeight w:val="27"/>
        </w:trPr>
        <w:tc>
          <w:tcPr>
            <w:tcW w:w="8000" w:type="dxa"/>
            <w:vAlign w:val="bottom"/>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8000" w:type="dxa"/>
            <w:vAlign w:val="bottom"/>
          </w:tcPr>
          <w:p>
            <w:pPr>
              <w:spacing w:after="0"/>
              <w:rPr>
                <w:sz w:val="20"/>
                <w:szCs w:val="20"/>
                <w:color w:val="auto"/>
              </w:rPr>
            </w:pPr>
            <w:r>
              <w:rPr>
                <w:rFonts w:ascii="Arial" w:cs="Arial" w:eastAsia="Arial" w:hAnsi="Arial"/>
                <w:sz w:val="18"/>
                <w:szCs w:val="18"/>
                <w:color w:val="auto"/>
              </w:rPr>
              <w:t>Cash provided by operating activities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(30.2)</w:t>
            </w:r>
          </w:p>
        </w:tc>
        <w:tc>
          <w:tcPr>
            <w:tcW w:w="960" w:type="dxa"/>
            <w:vAlign w:val="bottom"/>
          </w:tcPr>
          <w:p>
            <w:pPr>
              <w:spacing w:after="0"/>
              <w:rPr>
                <w:sz w:val="20"/>
                <w:szCs w:val="20"/>
                <w:color w:val="auto"/>
              </w:rPr>
            </w:pP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Settlements of mandatorily redeemable financial liability</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960" w:type="dxa"/>
            <w:vAlign w:val="bottom"/>
          </w:tcPr>
          <w:p>
            <w:pPr>
              <w:spacing w:after="0"/>
              <w:rPr>
                <w:sz w:val="23"/>
                <w:szCs w:val="23"/>
                <w:color w:val="auto"/>
              </w:rPr>
            </w:pPr>
          </w:p>
        </w:tc>
      </w:tr>
      <w:tr>
        <w:trPr>
          <w:trHeight w:val="636"/>
        </w:trPr>
        <w:tc>
          <w:tcPr>
            <w:tcW w:w="8000" w:type="dxa"/>
            <w:vAlign w:val="bottom"/>
          </w:tcPr>
          <w:p>
            <w:pPr>
              <w:ind w:left="4060"/>
              <w:spacing w:after="0"/>
              <w:rPr>
                <w:sz w:val="20"/>
                <w:szCs w:val="20"/>
                <w:color w:val="auto"/>
              </w:rPr>
            </w:pPr>
            <w:r>
              <w:rPr>
                <w:rFonts w:ascii="Arial" w:cs="Arial" w:eastAsia="Arial" w:hAnsi="Arial"/>
                <w:sz w:val="14"/>
                <w:szCs w:val="14"/>
                <w:b w:val="1"/>
                <w:bCs w:val="1"/>
                <w:color w:val="auto"/>
              </w:rPr>
              <w:t>TechnipFMC.com</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ind w:left="4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Page 24 of </w:t>
            </w:r>
            <w:hyperlink w:anchor="page32">
              <w:r>
                <w:rPr>
                  <w:rFonts w:ascii="Arial" w:cs="Arial" w:eastAsia="Arial" w:hAnsi="Arial"/>
                  <w:sz w:val="14"/>
                  <w:szCs w:val="14"/>
                  <w:b w:val="1"/>
                  <w:bCs w:val="1"/>
                  <w:color w:val="auto"/>
                </w:rPr>
                <w:t>28</w:t>
              </w:r>
            </w:hyperlink>
          </w:p>
        </w:tc>
      </w:tr>
    </w:tbl>
    <w:p>
      <w:pPr>
        <w:sectPr>
          <w:pgSz w:w="11900" w:h="16838" w:orient="portrait"/>
          <w:cols w:equalWidth="0" w:num="1">
            <w:col w:w="11240"/>
          </w:cols>
          <w:pgMar w:left="320" w:top="499" w:right="339" w:bottom="1440" w:gutter="0" w:footer="0" w:header="0"/>
        </w:sectPr>
      </w:pPr>
    </w:p>
    <w:bookmarkStart w:id="28" w:name="page29"/>
    <w:bookmarkEnd w:id="28"/>
    <w:p>
      <w:pPr>
        <w:ind w:left="10740"/>
        <w:spacing w:after="0"/>
        <w:rPr>
          <w:sz w:val="20"/>
          <w:szCs w:val="20"/>
          <w:color w:val="auto"/>
        </w:rPr>
      </w:pPr>
      <w:r>
        <w:rPr>
          <w:rFonts w:ascii="Arial" w:cs="Arial" w:eastAsia="Arial" w:hAnsi="Arial"/>
          <w:sz w:val="10"/>
          <w:szCs w:val="10"/>
          <w:b w:val="1"/>
          <w:bCs w:val="1"/>
          <w:color w:val="auto"/>
        </w:rPr>
        <w:t>Exhibit 8</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RECONCILIATION OF GAAP TO NON-GAAP FINANCIAL MEASURES</w:t>
      </w:r>
    </w:p>
    <w:p>
      <w:pPr>
        <w:jc w:val="center"/>
        <w:spacing w:after="0"/>
        <w:rPr>
          <w:sz w:val="20"/>
          <w:szCs w:val="20"/>
          <w:color w:val="auto"/>
        </w:rPr>
      </w:pPr>
      <w:r>
        <w:rPr>
          <w:rFonts w:ascii="Arial" w:cs="Arial" w:eastAsia="Arial" w:hAnsi="Arial"/>
          <w:sz w:val="13"/>
          <w:szCs w:val="13"/>
          <w:b w:val="1"/>
          <w:bCs w:val="1"/>
          <w:color w:val="auto"/>
        </w:rPr>
        <w:t>(In millions, unaudited)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Charges and Credits</w:t>
      </w:r>
    </w:p>
    <w:p>
      <w:pPr>
        <w:spacing w:after="0" w:line="13" w:lineRule="exact"/>
        <w:rPr>
          <w:sz w:val="20"/>
          <w:szCs w:val="20"/>
          <w:color w:val="auto"/>
        </w:rPr>
      </w:pPr>
    </w:p>
    <w:p>
      <w:pPr>
        <w:jc w:val="both"/>
        <w:spacing w:after="0" w:line="322" w:lineRule="auto"/>
        <w:rPr>
          <w:sz w:val="20"/>
          <w:szCs w:val="20"/>
          <w:color w:val="auto"/>
        </w:rPr>
      </w:pPr>
      <w:r>
        <w:rPr>
          <w:rFonts w:ascii="Arial" w:cs="Arial" w:eastAsia="Arial" w:hAnsi="Arial"/>
          <w:sz w:val="10"/>
          <w:szCs w:val="10"/>
          <w:color w:val="auto"/>
        </w:rPr>
        <w:t>In addition to financial results determined in accordance with U.S. generally accepted accounting principles (GAAP), the first quarter 2020 Earnings Release also includes non-GAAP financial measures (as defined in Item 10 of Regulation S-K of the Securities Exchange Act of 1934, as amended) and describes performance on a year-over-year basis against 2019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156845</wp:posOffset>
            </wp:positionV>
            <wp:extent cx="47148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14875" cy="8255"/>
                    </a:xfrm>
                    <a:prstGeom prst="rect">
                      <a:avLst/>
                    </a:prstGeom>
                    <a:noFill/>
                  </pic:spPr>
                </pic:pic>
              </a:graphicData>
            </a:graphic>
          </wp:anchor>
        </w:drawing>
      </w:r>
    </w:p>
    <w:p>
      <w:pPr>
        <w:spacing w:after="0" w:line="335" w:lineRule="exact"/>
        <w:rPr>
          <w:sz w:val="20"/>
          <w:szCs w:val="20"/>
          <w:color w:val="auto"/>
        </w:rPr>
      </w:pPr>
    </w:p>
    <w:p>
      <w:pPr>
        <w:jc w:val="center"/>
        <w:ind w:left="1820"/>
        <w:spacing w:after="0"/>
        <w:rPr>
          <w:sz w:val="20"/>
          <w:szCs w:val="20"/>
          <w:color w:val="auto"/>
        </w:rPr>
      </w:pPr>
      <w:r>
        <w:rPr>
          <w:rFonts w:ascii="Arial" w:cs="Arial" w:eastAsia="Arial" w:hAnsi="Arial"/>
          <w:sz w:val="11"/>
          <w:szCs w:val="11"/>
          <w:b w:val="1"/>
          <w:bCs w:val="1"/>
          <w:color w:val="auto"/>
        </w:rPr>
        <w:t>Three Months Ended</w:t>
      </w:r>
    </w:p>
    <w:p>
      <w:pPr>
        <w:spacing w:after="0" w:line="49" w:lineRule="exact"/>
        <w:rPr>
          <w:sz w:val="20"/>
          <w:szCs w:val="20"/>
          <w:color w:val="auto"/>
        </w:rPr>
      </w:pPr>
    </w:p>
    <w:p>
      <w:pPr>
        <w:jc w:val="center"/>
        <w:ind w:left="1820"/>
        <w:spacing w:after="0"/>
        <w:rPr>
          <w:sz w:val="20"/>
          <w:szCs w:val="20"/>
          <w:color w:val="auto"/>
        </w:rPr>
      </w:pPr>
      <w:r>
        <w:rPr>
          <w:rFonts w:ascii="Arial" w:cs="Arial" w:eastAsia="Arial" w:hAnsi="Arial"/>
          <w:sz w:val="11"/>
          <w:szCs w:val="11"/>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82550</wp:posOffset>
            </wp:positionV>
            <wp:extent cx="47148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14875" cy="8890"/>
                    </a:xfrm>
                    <a:prstGeom prst="rect">
                      <a:avLst/>
                    </a:prstGeom>
                    <a:noFill/>
                  </pic:spPr>
                </pic:pic>
              </a:graphicData>
            </a:graphic>
          </wp:anchor>
        </w:drawing>
      </w:r>
    </w:p>
    <w:p>
      <w:pPr>
        <w:spacing w:after="0" w:line="132" w:lineRule="exact"/>
        <w:rPr>
          <w:sz w:val="20"/>
          <w:szCs w:val="20"/>
          <w:color w:val="auto"/>
        </w:rPr>
      </w:pPr>
    </w:p>
    <w:tbl>
      <w:tblPr>
        <w:tblLayout w:type="fixed"/>
        <w:tblInd w:w="1040" w:type="dxa"/>
        <w:tblCellMar>
          <w:top w:w="0" w:type="dxa"/>
          <w:left w:w="0" w:type="dxa"/>
          <w:bottom w:w="0" w:type="dxa"/>
          <w:right w:w="0" w:type="dxa"/>
        </w:tblCellMar>
      </w:tblPr>
      <w:tr>
        <w:trPr>
          <w:trHeight w:val="126"/>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2"/>
          </w:tcPr>
          <w:p>
            <w:pPr>
              <w:jc w:val="center"/>
              <w:ind w:right="6"/>
              <w:spacing w:after="0"/>
              <w:rPr>
                <w:sz w:val="20"/>
                <w:szCs w:val="20"/>
                <w:color w:val="auto"/>
              </w:rPr>
            </w:pPr>
            <w:r>
              <w:rPr>
                <w:rFonts w:ascii="Arial" w:cs="Arial" w:eastAsia="Arial" w:hAnsi="Arial"/>
                <w:sz w:val="11"/>
                <w:szCs w:val="11"/>
                <w:b w:val="1"/>
                <w:bCs w:val="1"/>
                <w:color w:val="auto"/>
                <w:w w:val="88"/>
              </w:rPr>
              <w:t>Earnings before</w:t>
            </w: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auto"/>
                <w:w w:val="87"/>
              </w:rPr>
              <w:t>net interest</w:t>
            </w: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Net income (loss)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5"/>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Income (loss) before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2"/>
          </w:tcPr>
          <w:p>
            <w:pPr>
              <w:jc w:val="center"/>
              <w:ind w:right="6"/>
              <w:spacing w:after="0" w:line="122" w:lineRule="exact"/>
              <w:rPr>
                <w:sz w:val="20"/>
                <w:szCs w:val="20"/>
                <w:color w:val="auto"/>
              </w:rPr>
            </w:pPr>
            <w:r>
              <w:rPr>
                <w:rFonts w:ascii="Arial" w:cs="Arial" w:eastAsia="Arial" w:hAnsi="Arial"/>
                <w:sz w:val="11"/>
                <w:szCs w:val="11"/>
                <w:b w:val="1"/>
                <w:bCs w:val="1"/>
                <w:color w:val="auto"/>
                <w:w w:val="83"/>
              </w:rPr>
              <w:t>expense, income</w:t>
            </w: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Net income (loss)</w:t>
            </w:r>
          </w:p>
        </w:tc>
        <w:tc>
          <w:tcPr>
            <w:tcW w:w="100" w:type="dxa"/>
            <w:vAlign w:val="bottom"/>
          </w:tcPr>
          <w:p>
            <w:pPr>
              <w:spacing w:after="0"/>
              <w:rPr>
                <w:sz w:val="10"/>
                <w:szCs w:val="10"/>
                <w:color w:val="auto"/>
              </w:rPr>
            </w:pPr>
          </w:p>
        </w:tc>
        <w:tc>
          <w:tcPr>
            <w:tcW w:w="96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attributable to</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5"/>
          </w:tcPr>
          <w:p>
            <w:pPr>
              <w:jc w:val="center"/>
              <w:ind w:right="120"/>
              <w:spacing w:after="0" w:line="122" w:lineRule="exact"/>
              <w:rPr>
                <w:sz w:val="20"/>
                <w:szCs w:val="20"/>
                <w:color w:val="auto"/>
              </w:rPr>
            </w:pPr>
            <w:r>
              <w:rPr>
                <w:rFonts w:ascii="Arial" w:cs="Arial" w:eastAsia="Arial" w:hAnsi="Arial"/>
                <w:sz w:val="11"/>
                <w:szCs w:val="11"/>
                <w:b w:val="1"/>
                <w:bCs w:val="1"/>
                <w:color w:val="auto"/>
                <w:w w:val="84"/>
              </w:rPr>
              <w:t>net interest expense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2"/>
          </w:tcPr>
          <w:p>
            <w:pPr>
              <w:jc w:val="center"/>
              <w:ind w:right="6"/>
              <w:spacing w:after="0" w:line="122" w:lineRule="exact"/>
              <w:rPr>
                <w:sz w:val="20"/>
                <w:szCs w:val="20"/>
                <w:color w:val="auto"/>
              </w:rPr>
            </w:pPr>
            <w:r>
              <w:rPr>
                <w:rFonts w:ascii="Arial" w:cs="Arial" w:eastAsia="Arial" w:hAnsi="Arial"/>
                <w:sz w:val="11"/>
                <w:szCs w:val="11"/>
                <w:b w:val="1"/>
                <w:bCs w:val="1"/>
                <w:color w:val="auto"/>
                <w:w w:val="86"/>
              </w:rPr>
              <w:t>taxes, depreciation</w:t>
            </w: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attributable to</w:t>
            </w:r>
          </w:p>
        </w:tc>
        <w:tc>
          <w:tcPr>
            <w:tcW w:w="100" w:type="dxa"/>
            <w:vAlign w:val="bottom"/>
          </w:tcPr>
          <w:p>
            <w:pPr>
              <w:spacing w:after="0"/>
              <w:rPr>
                <w:sz w:val="10"/>
                <w:szCs w:val="10"/>
                <w:color w:val="auto"/>
              </w:rPr>
            </w:pPr>
          </w:p>
        </w:tc>
        <w:tc>
          <w:tcPr>
            <w:tcW w:w="96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noncontrolling</w:t>
            </w:r>
          </w:p>
        </w:tc>
        <w:tc>
          <w:tcPr>
            <w:tcW w:w="40" w:type="dxa"/>
            <w:vAlign w:val="bottom"/>
          </w:tcPr>
          <w:p>
            <w:pPr>
              <w:spacing w:after="0"/>
              <w:rPr>
                <w:sz w:val="10"/>
                <w:szCs w:val="10"/>
                <w:color w:val="auto"/>
              </w:rPr>
            </w:pPr>
          </w:p>
        </w:tc>
        <w:tc>
          <w:tcPr>
            <w:tcW w:w="1040" w:type="dxa"/>
            <w:vAlign w:val="bottom"/>
            <w:gridSpan w:val="4"/>
          </w:tcPr>
          <w:p>
            <w:pPr>
              <w:jc w:val="right"/>
              <w:ind w:right="180"/>
              <w:spacing w:after="0" w:line="122" w:lineRule="exact"/>
              <w:rPr>
                <w:sz w:val="20"/>
                <w:szCs w:val="20"/>
                <w:color w:val="auto"/>
              </w:rPr>
            </w:pPr>
            <w:r>
              <w:rPr>
                <w:rFonts w:ascii="Arial" w:cs="Arial" w:eastAsia="Arial" w:hAnsi="Arial"/>
                <w:sz w:val="11"/>
                <w:szCs w:val="11"/>
                <w:b w:val="1"/>
                <w:bCs w:val="1"/>
                <w:color w:val="auto"/>
                <w:w w:val="86"/>
              </w:rPr>
              <w:t>Provision (benefit)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w w:val="85"/>
              </w:rPr>
              <w:t>Net interest</w:t>
            </w:r>
          </w:p>
        </w:tc>
        <w:tc>
          <w:tcPr>
            <w:tcW w:w="100" w:type="dxa"/>
            <w:vAlign w:val="bottom"/>
          </w:tcPr>
          <w:p>
            <w:pPr>
              <w:spacing w:after="0"/>
              <w:rPr>
                <w:sz w:val="10"/>
                <w:szCs w:val="10"/>
                <w:color w:val="auto"/>
              </w:rPr>
            </w:pPr>
          </w:p>
        </w:tc>
        <w:tc>
          <w:tcPr>
            <w:tcW w:w="1040" w:type="dxa"/>
            <w:vAlign w:val="bottom"/>
            <w:gridSpan w:val="4"/>
          </w:tcPr>
          <w:p>
            <w:pPr>
              <w:jc w:val="center"/>
              <w:ind w:right="220"/>
              <w:spacing w:after="0" w:line="122" w:lineRule="exact"/>
              <w:rPr>
                <w:sz w:val="20"/>
                <w:szCs w:val="20"/>
                <w:color w:val="auto"/>
              </w:rPr>
            </w:pPr>
            <w:r>
              <w:rPr>
                <w:rFonts w:ascii="Arial" w:cs="Arial" w:eastAsia="Arial" w:hAnsi="Arial"/>
                <w:sz w:val="11"/>
                <w:szCs w:val="11"/>
                <w:b w:val="1"/>
                <w:bCs w:val="1"/>
                <w:color w:val="auto"/>
                <w:w w:val="84"/>
              </w:rPr>
              <w:t>and income taxes</w:t>
            </w:r>
          </w:p>
        </w:tc>
        <w:tc>
          <w:tcPr>
            <w:tcW w:w="40" w:type="dxa"/>
            <w:vAlign w:val="bottom"/>
          </w:tcPr>
          <w:p>
            <w:pPr>
              <w:spacing w:after="0"/>
              <w:rPr>
                <w:sz w:val="10"/>
                <w:szCs w:val="10"/>
                <w:color w:val="auto"/>
              </w:rPr>
            </w:pPr>
          </w:p>
        </w:tc>
        <w:tc>
          <w:tcPr>
            <w:tcW w:w="1020" w:type="dxa"/>
            <w:vAlign w:val="bottom"/>
            <w:gridSpan w:val="4"/>
          </w:tcPr>
          <w:p>
            <w:pPr>
              <w:jc w:val="center"/>
              <w:ind w:right="160"/>
              <w:spacing w:after="0" w:line="122" w:lineRule="exact"/>
              <w:rPr>
                <w:sz w:val="20"/>
                <w:szCs w:val="20"/>
                <w:color w:val="auto"/>
              </w:rPr>
            </w:pPr>
            <w:r>
              <w:rPr>
                <w:rFonts w:ascii="Arial" w:cs="Arial" w:eastAsia="Arial" w:hAnsi="Arial"/>
                <w:sz w:val="11"/>
                <w:szCs w:val="11"/>
                <w:b w:val="1"/>
                <w:bCs w:val="1"/>
                <w:color w:val="auto"/>
                <w:w w:val="87"/>
              </w:rPr>
              <w:t>Depreciation and</w:t>
            </w:r>
          </w:p>
        </w:tc>
        <w:tc>
          <w:tcPr>
            <w:tcW w:w="40" w:type="dxa"/>
            <w:vAlign w:val="bottom"/>
          </w:tcPr>
          <w:p>
            <w:pPr>
              <w:spacing w:after="0"/>
              <w:rPr>
                <w:sz w:val="10"/>
                <w:szCs w:val="10"/>
                <w:color w:val="auto"/>
              </w:rPr>
            </w:pPr>
          </w:p>
        </w:tc>
        <w:tc>
          <w:tcPr>
            <w:tcW w:w="9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0"/>
              </w:rPr>
              <w:t>and amortization</w:t>
            </w: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tcPr>
          <w:p>
            <w:pPr>
              <w:ind w:left="20"/>
              <w:spacing w:after="0"/>
              <w:rPr>
                <w:sz w:val="20"/>
                <w:szCs w:val="20"/>
                <w:color w:val="auto"/>
              </w:rPr>
            </w:pPr>
            <w:r>
              <w:rPr>
                <w:rFonts w:ascii="Arial" w:cs="Arial" w:eastAsia="Arial" w:hAnsi="Arial"/>
                <w:sz w:val="11"/>
                <w:szCs w:val="11"/>
                <w:b w:val="1"/>
                <w:bCs w:val="1"/>
                <w:color w:val="auto"/>
              </w:rPr>
              <w:t>TechnipFMC plc</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2"/>
              </w:rPr>
              <w:t>interests</w:t>
            </w:r>
          </w:p>
        </w:tc>
        <w:tc>
          <w:tcPr>
            <w:tcW w:w="40" w:type="dxa"/>
            <w:vAlign w:val="bottom"/>
          </w:tcPr>
          <w:p>
            <w:pPr>
              <w:spacing w:after="0"/>
              <w:rPr>
                <w:sz w:val="12"/>
                <w:szCs w:val="12"/>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1"/>
                <w:szCs w:val="11"/>
                <w:b w:val="1"/>
                <w:bCs w:val="1"/>
                <w:color w:val="auto"/>
                <w:w w:val="91"/>
              </w:rPr>
              <w:t>for income taxes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w w:val="95"/>
              </w:rPr>
              <w:t>expense</w:t>
            </w:r>
          </w:p>
        </w:tc>
        <w:tc>
          <w:tcPr>
            <w:tcW w:w="114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90"/>
              </w:rPr>
              <w:t>(Operating profit)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88"/>
              </w:rPr>
              <w:t>amortization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66"/>
              <w:spacing w:after="0"/>
              <w:rPr>
                <w:sz w:val="20"/>
                <w:szCs w:val="20"/>
                <w:color w:val="auto"/>
              </w:rPr>
            </w:pPr>
            <w:r>
              <w:rPr>
                <w:rFonts w:ascii="Arial" w:cs="Arial" w:eastAsia="Arial" w:hAnsi="Arial"/>
                <w:sz w:val="11"/>
                <w:szCs w:val="11"/>
                <w:b w:val="1"/>
                <w:bCs w:val="1"/>
                <w:color w:val="auto"/>
                <w:w w:val="99"/>
              </w:rPr>
              <w:t>(EBITDA)</w:t>
            </w: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1780" w:type="dxa"/>
            <w:vAlign w:val="bottom"/>
          </w:tcPr>
          <w:p>
            <w:pPr>
              <w:spacing w:after="0"/>
              <w:rPr>
                <w:sz w:val="20"/>
                <w:szCs w:val="20"/>
                <w:color w:val="auto"/>
              </w:rPr>
            </w:pPr>
            <w:r>
              <w:rPr>
                <w:rFonts w:ascii="Arial" w:cs="Arial" w:eastAsia="Arial" w:hAnsi="Arial"/>
                <w:sz w:val="11"/>
                <w:szCs w:val="11"/>
                <w:color w:val="auto"/>
              </w:rPr>
              <w:t>TechnipFMC plc, as reported</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tcPr>
          <w:p>
            <w:pPr>
              <w:spacing w:after="0"/>
              <w:rPr>
                <w:sz w:val="16"/>
                <w:szCs w:val="16"/>
                <w:color w:val="auto"/>
              </w:rPr>
            </w:pP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(3,256.1)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10.4</w:t>
            </w:r>
          </w:p>
        </w:tc>
        <w:tc>
          <w:tcPr>
            <w:tcW w:w="100" w:type="dxa"/>
            <w:vAlign w:val="bottom"/>
          </w:tcPr>
          <w:p>
            <w:pPr>
              <w:spacing w:after="0"/>
              <w:rPr>
                <w:sz w:val="16"/>
                <w:szCs w:val="16"/>
                <w:color w:val="auto"/>
              </w:rPr>
            </w:pPr>
          </w:p>
        </w:tc>
        <w:tc>
          <w:tcPr>
            <w:tcW w:w="160" w:type="dxa"/>
            <w:vAlign w:val="bottom"/>
            <w:gridSpan w:val="2"/>
          </w:tcPr>
          <w:p>
            <w:pPr>
              <w:jc w:val="right"/>
              <w:ind w:right="26"/>
              <w:spacing w:after="0"/>
              <w:rPr>
                <w:sz w:val="20"/>
                <w:szCs w:val="20"/>
                <w:color w:val="auto"/>
              </w:rPr>
            </w:pPr>
            <w:r>
              <w:rPr>
                <w:rFonts w:ascii="Arial" w:cs="Arial" w:eastAsia="Arial" w:hAnsi="Arial"/>
                <w:sz w:val="11"/>
                <w:szCs w:val="11"/>
                <w:color w:val="auto"/>
                <w:w w:val="97"/>
              </w:rPr>
              <w:t>$</w:t>
            </w:r>
          </w:p>
        </w:tc>
        <w:tc>
          <w:tcPr>
            <w:tcW w:w="80" w:type="dxa"/>
            <w:vAlign w:val="bottom"/>
          </w:tcPr>
          <w:p>
            <w:pPr>
              <w:spacing w:after="0"/>
              <w:rPr>
                <w:sz w:val="16"/>
                <w:szCs w:val="16"/>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37.7</w:t>
            </w:r>
          </w:p>
        </w:tc>
        <w:tc>
          <w:tcPr>
            <w:tcW w:w="12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72.3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40" w:type="dxa"/>
            <w:vAlign w:val="bottom"/>
          </w:tcPr>
          <w:p>
            <w:pPr>
              <w:spacing w:after="0"/>
              <w:rPr>
                <w:sz w:val="16"/>
                <w:szCs w:val="16"/>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(3,135.7)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120.4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(3,015.3)</w:t>
            </w:r>
          </w:p>
        </w:tc>
        <w:tc>
          <w:tcPr>
            <w:tcW w:w="0" w:type="dxa"/>
            <w:vAlign w:val="bottom"/>
          </w:tcPr>
          <w:p>
            <w:pPr>
              <w:spacing w:after="0"/>
              <w:rPr>
                <w:sz w:val="1"/>
                <w:szCs w:val="1"/>
                <w:color w:val="auto"/>
              </w:rPr>
            </w:pPr>
          </w:p>
        </w:tc>
      </w:tr>
      <w:tr>
        <w:trPr>
          <w:trHeight w:val="486"/>
        </w:trPr>
        <w:tc>
          <w:tcPr>
            <w:tcW w:w="1780" w:type="dxa"/>
            <w:vAlign w:val="bottom"/>
          </w:tcPr>
          <w:p>
            <w:pPr>
              <w:spacing w:after="0"/>
              <w:rPr>
                <w:sz w:val="20"/>
                <w:szCs w:val="20"/>
                <w:color w:val="auto"/>
              </w:rPr>
            </w:pPr>
            <w:r>
              <w:rPr>
                <w:rFonts w:ascii="Arial" w:cs="Arial" w:eastAsia="Arial" w:hAnsi="Arial"/>
                <w:sz w:val="11"/>
                <w:szCs w:val="11"/>
                <w:color w:val="auto"/>
              </w:rPr>
              <w:t>Charges and (credits):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240"/>
              <w:spacing w:after="0"/>
              <w:rPr>
                <w:sz w:val="20"/>
                <w:szCs w:val="20"/>
                <w:color w:val="auto"/>
              </w:rPr>
            </w:pPr>
            <w:r>
              <w:rPr>
                <w:rFonts w:ascii="Arial" w:cs="Arial" w:eastAsia="Arial" w:hAnsi="Arial"/>
                <w:sz w:val="11"/>
                <w:szCs w:val="11"/>
                <w:color w:val="auto"/>
              </w:rPr>
              <w:t>Impairment and other charges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3,159.9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3,188.0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3,188.0</w:t>
            </w:r>
          </w:p>
        </w:tc>
        <w:tc>
          <w:tcPr>
            <w:tcW w:w="0" w:type="dxa"/>
            <w:vAlign w:val="bottom"/>
          </w:tcPr>
          <w:p>
            <w:pPr>
              <w:spacing w:after="0"/>
              <w:rPr>
                <w:sz w:val="1"/>
                <w:szCs w:val="1"/>
                <w:color w:val="auto"/>
              </w:rPr>
            </w:pPr>
          </w:p>
        </w:tc>
      </w:tr>
      <w:tr>
        <w:trPr>
          <w:trHeight w:val="216"/>
        </w:trPr>
        <w:tc>
          <w:tcPr>
            <w:tcW w:w="1780" w:type="dxa"/>
            <w:vAlign w:val="bottom"/>
          </w:tcPr>
          <w:p>
            <w:pPr>
              <w:ind w:left="240"/>
              <w:spacing w:after="0"/>
              <w:rPr>
                <w:sz w:val="20"/>
                <w:szCs w:val="20"/>
                <w:color w:val="auto"/>
              </w:rPr>
            </w:pPr>
            <w:r>
              <w:rPr>
                <w:rFonts w:ascii="Arial" w:cs="Arial" w:eastAsia="Arial" w:hAnsi="Arial"/>
                <w:sz w:val="11"/>
                <w:szCs w:val="11"/>
                <w:color w:val="auto"/>
                <w:w w:val="96"/>
              </w:rPr>
              <w:t>Restructuring and other charges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8.6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11.4</w:t>
            </w:r>
          </w:p>
        </w:tc>
        <w:tc>
          <w:tcPr>
            <w:tcW w:w="0" w:type="dxa"/>
            <w:vAlign w:val="bottom"/>
          </w:tcPr>
          <w:p>
            <w:pPr>
              <w:spacing w:after="0"/>
              <w:rPr>
                <w:sz w:val="1"/>
                <w:szCs w:val="1"/>
                <w:color w:val="auto"/>
              </w:rPr>
            </w:pPr>
          </w:p>
        </w:tc>
      </w:tr>
      <w:tr>
        <w:trPr>
          <w:trHeight w:val="216"/>
        </w:trPr>
        <w:tc>
          <w:tcPr>
            <w:tcW w:w="1780" w:type="dxa"/>
            <w:vAlign w:val="bottom"/>
          </w:tcPr>
          <w:p>
            <w:pPr>
              <w:ind w:left="240"/>
              <w:spacing w:after="0"/>
              <w:rPr>
                <w:sz w:val="20"/>
                <w:szCs w:val="20"/>
                <w:color w:val="auto"/>
              </w:rPr>
            </w:pPr>
            <w:r>
              <w:rPr>
                <w:rFonts w:ascii="Arial" w:cs="Arial" w:eastAsia="Arial" w:hAnsi="Arial"/>
                <w:sz w:val="11"/>
                <w:szCs w:val="11"/>
                <w:color w:val="auto"/>
              </w:rPr>
              <w:t>Direct COVID-19 expenses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6.8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216"/>
        </w:trPr>
        <w:tc>
          <w:tcPr>
            <w:tcW w:w="1780" w:type="dxa"/>
            <w:vAlign w:val="bottom"/>
          </w:tcPr>
          <w:p>
            <w:pPr>
              <w:ind w:left="240"/>
              <w:spacing w:after="0"/>
              <w:rPr>
                <w:sz w:val="20"/>
                <w:szCs w:val="20"/>
                <w:color w:val="auto"/>
              </w:rPr>
            </w:pPr>
            <w:r>
              <w:rPr>
                <w:rFonts w:ascii="Arial" w:cs="Arial" w:eastAsia="Arial" w:hAnsi="Arial"/>
                <w:sz w:val="11"/>
                <w:szCs w:val="11"/>
                <w:color w:val="auto"/>
              </w:rPr>
              <w:t>Separation costs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20.2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27.1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27.1</w:t>
            </w:r>
          </w:p>
        </w:tc>
        <w:tc>
          <w:tcPr>
            <w:tcW w:w="0" w:type="dxa"/>
            <w:vAlign w:val="bottom"/>
          </w:tcPr>
          <w:p>
            <w:pPr>
              <w:spacing w:after="0"/>
              <w:rPr>
                <w:sz w:val="1"/>
                <w:szCs w:val="1"/>
                <w:color w:val="auto"/>
              </w:rPr>
            </w:pPr>
          </w:p>
        </w:tc>
      </w:tr>
      <w:tr>
        <w:trPr>
          <w:trHeight w:val="161"/>
        </w:trPr>
        <w:tc>
          <w:tcPr>
            <w:tcW w:w="1780" w:type="dxa"/>
            <w:vAlign w:val="bottom"/>
          </w:tcPr>
          <w:p>
            <w:pPr>
              <w:ind w:left="240"/>
              <w:spacing w:after="0"/>
              <w:rPr>
                <w:sz w:val="20"/>
                <w:szCs w:val="20"/>
                <w:color w:val="auto"/>
              </w:rPr>
            </w:pPr>
            <w:r>
              <w:rPr>
                <w:rFonts w:ascii="Arial" w:cs="Arial" w:eastAsia="Arial" w:hAnsi="Arial"/>
                <w:sz w:val="11"/>
                <w:szCs w:val="11"/>
                <w:color w:val="auto"/>
              </w:rPr>
              <w:t>Purchase price accounting</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80" w:type="dxa"/>
            <w:vAlign w:val="bottom"/>
          </w:tcPr>
          <w:p>
            <w:pPr>
              <w:ind w:left="240"/>
              <w:spacing w:after="0"/>
              <w:rPr>
                <w:sz w:val="20"/>
                <w:szCs w:val="20"/>
                <w:color w:val="auto"/>
              </w:rPr>
            </w:pPr>
            <w:r>
              <w:rPr>
                <w:rFonts w:ascii="Arial" w:cs="Arial" w:eastAsia="Arial" w:hAnsi="Arial"/>
                <w:sz w:val="11"/>
                <w:szCs w:val="11"/>
                <w:color w:val="auto"/>
              </w:rPr>
              <w:t>adjustment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6.5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6"/>
        </w:trPr>
        <w:tc>
          <w:tcPr>
            <w:tcW w:w="1780" w:type="dxa"/>
            <w:vAlign w:val="bottom"/>
          </w:tcPr>
          <w:p>
            <w:pPr>
              <w:ind w:left="240"/>
              <w:spacing w:after="0"/>
              <w:rPr>
                <w:sz w:val="20"/>
                <w:szCs w:val="20"/>
                <w:color w:val="auto"/>
              </w:rPr>
            </w:pPr>
            <w:r>
              <w:rPr>
                <w:rFonts w:ascii="Arial" w:cs="Arial" w:eastAsia="Arial" w:hAnsi="Arial"/>
                <w:sz w:val="11"/>
                <w:szCs w:val="11"/>
                <w:color w:val="auto"/>
              </w:rPr>
              <w:t>Valuation allowance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5.0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Arial" w:cs="Arial" w:eastAsia="Arial" w:hAnsi="Arial"/>
                <w:sz w:val="11"/>
                <w:szCs w:val="11"/>
                <w:color w:val="auto"/>
              </w:rPr>
              <w:t>Adjusted financial measures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(49.1)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w:t>
            </w:r>
          </w:p>
        </w:tc>
        <w:tc>
          <w:tcPr>
            <w:tcW w:w="100" w:type="dxa"/>
            <w:vAlign w:val="bottom"/>
          </w:tcPr>
          <w:p>
            <w:pPr>
              <w:spacing w:after="0"/>
              <w:rPr>
                <w:sz w:val="17"/>
                <w:szCs w:val="17"/>
                <w:color w:val="auto"/>
              </w:rPr>
            </w:pPr>
          </w:p>
        </w:tc>
        <w:tc>
          <w:tcPr>
            <w:tcW w:w="16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1"/>
                <w:szCs w:val="11"/>
                <w:color w:val="auto"/>
                <w:w w:val="97"/>
              </w:rPr>
              <w:t>$</w:t>
            </w: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74.7</w:t>
            </w:r>
          </w:p>
        </w:tc>
        <w:tc>
          <w:tcPr>
            <w:tcW w:w="12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108.3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111.9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220.2</w:t>
            </w:r>
          </w:p>
        </w:tc>
        <w:tc>
          <w:tcPr>
            <w:tcW w:w="0" w:type="dxa"/>
            <w:vAlign w:val="bottom"/>
          </w:tcPr>
          <w:p>
            <w:pPr>
              <w:spacing w:after="0"/>
              <w:rPr>
                <w:sz w:val="1"/>
                <w:szCs w:val="1"/>
                <w:color w:val="auto"/>
              </w:rPr>
            </w:pPr>
          </w:p>
        </w:tc>
      </w:tr>
      <w:tr>
        <w:trPr>
          <w:trHeight w:val="20"/>
        </w:trPr>
        <w:tc>
          <w:tcPr>
            <w:tcW w:w="1780" w:type="dxa"/>
            <w:vAlign w:val="bottom"/>
            <w:vMerge w:val="restart"/>
          </w:tcPr>
          <w:p>
            <w:pPr>
              <w:spacing w:after="0"/>
              <w:rPr>
                <w:sz w:val="20"/>
                <w:szCs w:val="20"/>
                <w:color w:val="auto"/>
              </w:rPr>
            </w:pPr>
            <w:r>
              <w:rPr>
                <w:rFonts w:ascii="Arial" w:cs="Arial" w:eastAsia="Arial" w:hAnsi="Arial"/>
                <w:sz w:val="11"/>
                <w:szCs w:val="11"/>
                <w:color w:val="auto"/>
              </w:rPr>
              <w:t>Diluted earnings (loss) per share</w:t>
            </w: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line="122" w:lineRule="exact"/>
              <w:rPr>
                <w:sz w:val="20"/>
                <w:szCs w:val="20"/>
                <w:color w:val="auto"/>
              </w:rPr>
            </w:pPr>
            <w:r>
              <w:rPr>
                <w:rFonts w:ascii="Arial" w:cs="Arial" w:eastAsia="Arial" w:hAnsi="Arial"/>
                <w:sz w:val="11"/>
                <w:szCs w:val="11"/>
                <w:color w:val="auto"/>
              </w:rPr>
              <w:t>attributable to TechnipFMC plc, as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780" w:type="dxa"/>
            <w:vAlign w:val="bottom"/>
          </w:tcPr>
          <w:p>
            <w:pPr>
              <w:spacing w:after="0"/>
              <w:rPr>
                <w:sz w:val="20"/>
                <w:szCs w:val="20"/>
                <w:color w:val="auto"/>
              </w:rPr>
            </w:pPr>
            <w:r>
              <w:rPr>
                <w:rFonts w:ascii="Arial" w:cs="Arial" w:eastAsia="Arial" w:hAnsi="Arial"/>
                <w:sz w:val="11"/>
                <w:szCs w:val="11"/>
                <w:color w:val="auto"/>
              </w:rPr>
              <w:t>reported</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tcPr>
          <w:p>
            <w:pPr>
              <w:spacing w:after="0"/>
              <w:rPr>
                <w:sz w:val="11"/>
                <w:szCs w:val="11"/>
                <w:color w:val="auto"/>
              </w:rPr>
            </w:pP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(7.28)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80" w:type="dxa"/>
            <w:vAlign w:val="bottom"/>
          </w:tcPr>
          <w:p>
            <w:pPr>
              <w:spacing w:after="0"/>
              <w:rPr>
                <w:sz w:val="20"/>
                <w:szCs w:val="20"/>
                <w:color w:val="auto"/>
              </w:rPr>
            </w:pPr>
            <w:r>
              <w:rPr>
                <w:rFonts w:ascii="Arial" w:cs="Arial" w:eastAsia="Arial" w:hAnsi="Arial"/>
                <w:sz w:val="11"/>
                <w:szCs w:val="11"/>
                <w:color w:val="auto"/>
              </w:rPr>
              <w:t>Adjusted diluted earnings per share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80" w:type="dxa"/>
            <w:vAlign w:val="bottom"/>
          </w:tcPr>
          <w:p>
            <w:pPr>
              <w:spacing w:after="0"/>
              <w:rPr>
                <w:sz w:val="20"/>
                <w:szCs w:val="20"/>
                <w:color w:val="auto"/>
              </w:rPr>
            </w:pPr>
            <w:r>
              <w:rPr>
                <w:rFonts w:ascii="Arial" w:cs="Arial" w:eastAsia="Arial" w:hAnsi="Arial"/>
                <w:sz w:val="11"/>
                <w:szCs w:val="11"/>
                <w:color w:val="auto"/>
              </w:rPr>
              <w:t>attributable to TechnipFMC plc</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tcPr>
          <w:p>
            <w:pPr>
              <w:spacing w:after="0"/>
              <w:rPr>
                <w:sz w:val="11"/>
                <w:szCs w:val="11"/>
                <w:color w:val="auto"/>
              </w:rPr>
            </w:pP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(0.11)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3"/>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4"/>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4"/>
          </w:tcPr>
          <w:p>
            <w:pPr>
              <w:ind w:left="20"/>
              <w:spacing w:after="0"/>
              <w:rPr>
                <w:sz w:val="20"/>
                <w:szCs w:val="20"/>
                <w:color w:val="auto"/>
              </w:rPr>
            </w:pPr>
            <w:r>
              <w:rPr>
                <w:rFonts w:ascii="Arial" w:cs="Arial" w:eastAsia="Arial" w:hAnsi="Arial"/>
                <w:sz w:val="11"/>
                <w:szCs w:val="11"/>
                <w:b w:val="1"/>
                <w:bCs w:val="1"/>
                <w:color w:val="auto"/>
                <w:w w:val="90"/>
              </w:rPr>
              <w:t>Three Months Ended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97"/>
              </w:rPr>
              <w:t>March 31, 2019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46"/>
              <w:spacing w:after="0"/>
              <w:rPr>
                <w:sz w:val="20"/>
                <w:szCs w:val="20"/>
                <w:color w:val="auto"/>
              </w:rPr>
            </w:pPr>
            <w:r>
              <w:rPr>
                <w:rFonts w:ascii="Arial" w:cs="Arial" w:eastAsia="Arial" w:hAnsi="Arial"/>
                <w:sz w:val="11"/>
                <w:szCs w:val="11"/>
                <w:b w:val="1"/>
                <w:bCs w:val="1"/>
                <w:color w:val="auto"/>
                <w:w w:val="88"/>
              </w:rPr>
              <w:t>Earnings before</w:t>
            </w: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84"/>
              </w:rPr>
              <w:t>Income (loss)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7"/>
              </w:rPr>
              <w:t>net interest</w:t>
            </w: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5"/>
              </w:rPr>
              <w:t>Net income (loss)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4"/>
          </w:tcPr>
          <w:p>
            <w:pPr>
              <w:jc w:val="center"/>
              <w:ind w:right="80"/>
              <w:spacing w:after="0" w:line="122" w:lineRule="exact"/>
              <w:rPr>
                <w:sz w:val="20"/>
                <w:szCs w:val="20"/>
                <w:color w:val="auto"/>
              </w:rPr>
            </w:pPr>
            <w:r>
              <w:rPr>
                <w:rFonts w:ascii="Arial" w:cs="Arial" w:eastAsia="Arial" w:hAnsi="Arial"/>
                <w:sz w:val="11"/>
                <w:szCs w:val="11"/>
                <w:b w:val="1"/>
                <w:bCs w:val="1"/>
                <w:color w:val="auto"/>
                <w:w w:val="87"/>
              </w:rPr>
              <w:t>before net interest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83"/>
              </w:rPr>
              <w:t>expense, income</w:t>
            </w: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Net income (loss)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2"/>
              </w:rPr>
              <w:t>attributable to</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83"/>
              </w:rPr>
              <w:t>expense and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taxes, depreciation</w:t>
            </w: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2"/>
              </w:rPr>
              <w:t>attributable to</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88"/>
              </w:rPr>
              <w:t>noncontrolling</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w w:val="91"/>
              </w:rPr>
              <w:t>Provision (benefit)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Net interest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income taxes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87"/>
              </w:rPr>
              <w:t>Depreciation and</w:t>
            </w:r>
          </w:p>
        </w:tc>
        <w:tc>
          <w:tcPr>
            <w:tcW w:w="40" w:type="dxa"/>
            <w:vAlign w:val="bottom"/>
          </w:tcPr>
          <w:p>
            <w:pPr>
              <w:spacing w:after="0"/>
              <w:rPr>
                <w:sz w:val="10"/>
                <w:szCs w:val="10"/>
                <w:color w:val="auto"/>
              </w:rPr>
            </w:pPr>
          </w:p>
        </w:tc>
        <w:tc>
          <w:tcPr>
            <w:tcW w:w="9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0"/>
              </w:rPr>
              <w:t>and amortization</w:t>
            </w: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1"/>
              </w:rPr>
              <w:t>TechnipFMC plc</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87"/>
              </w:rPr>
              <w:t>interests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82"/>
              </w:rPr>
              <w:t>for income taxes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expense</w:t>
            </w:r>
          </w:p>
        </w:tc>
        <w:tc>
          <w:tcPr>
            <w:tcW w:w="100" w:type="dxa"/>
            <w:vAlign w:val="bottom"/>
          </w:tcPr>
          <w:p>
            <w:pPr>
              <w:spacing w:after="0"/>
              <w:rPr>
                <w:sz w:val="12"/>
                <w:szCs w:val="12"/>
                <w:color w:val="auto"/>
              </w:rPr>
            </w:pPr>
          </w:p>
        </w:tc>
        <w:tc>
          <w:tcPr>
            <w:tcW w:w="104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92"/>
              </w:rPr>
              <w:t>(Operating profit)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88"/>
              </w:rPr>
              <w:t>amortization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26"/>
              <w:spacing w:after="0"/>
              <w:rPr>
                <w:sz w:val="20"/>
                <w:szCs w:val="20"/>
                <w:color w:val="auto"/>
              </w:rPr>
            </w:pPr>
            <w:r>
              <w:rPr>
                <w:rFonts w:ascii="Arial" w:cs="Arial" w:eastAsia="Arial" w:hAnsi="Arial"/>
                <w:sz w:val="11"/>
                <w:szCs w:val="11"/>
                <w:b w:val="1"/>
                <w:bCs w:val="1"/>
                <w:color w:val="auto"/>
                <w:w w:val="99"/>
              </w:rPr>
              <w:t>(EBITDA)</w:t>
            </w: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780" w:type="dxa"/>
            <w:vAlign w:val="bottom"/>
          </w:tcPr>
          <w:p>
            <w:pPr>
              <w:spacing w:after="0"/>
              <w:rPr>
                <w:sz w:val="20"/>
                <w:szCs w:val="20"/>
                <w:color w:val="auto"/>
              </w:rPr>
            </w:pPr>
            <w:r>
              <w:rPr>
                <w:rFonts w:ascii="Arial" w:cs="Arial" w:eastAsia="Arial" w:hAnsi="Arial"/>
                <w:sz w:val="11"/>
                <w:szCs w:val="11"/>
                <w:color w:val="auto"/>
              </w:rPr>
              <w:t>TechnipFMC plc, as reported</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20.9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1"/>
                <w:szCs w:val="11"/>
                <w:color w:val="auto"/>
              </w:rPr>
              <w:t>(1.1)</w:t>
            </w:r>
          </w:p>
        </w:tc>
        <w:tc>
          <w:tcPr>
            <w:tcW w:w="240" w:type="dxa"/>
            <w:vAlign w:val="bottom"/>
            <w:gridSpan w:val="3"/>
          </w:tcPr>
          <w:p>
            <w:pPr>
              <w:ind w:left="18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14.5</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88.2</w:t>
            </w:r>
          </w:p>
        </w:tc>
        <w:tc>
          <w:tcPr>
            <w:tcW w:w="24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122.5</w:t>
            </w: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119.4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241.9</w:t>
            </w:r>
          </w:p>
        </w:tc>
        <w:tc>
          <w:tcPr>
            <w:tcW w:w="0" w:type="dxa"/>
            <w:vAlign w:val="bottom"/>
          </w:tcPr>
          <w:p>
            <w:pPr>
              <w:spacing w:after="0"/>
              <w:rPr>
                <w:sz w:val="1"/>
                <w:szCs w:val="1"/>
                <w:color w:val="auto"/>
              </w:rPr>
            </w:pPr>
          </w:p>
        </w:tc>
      </w:tr>
      <w:tr>
        <w:trPr>
          <w:trHeight w:val="486"/>
        </w:trPr>
        <w:tc>
          <w:tcPr>
            <w:tcW w:w="1780" w:type="dxa"/>
            <w:vAlign w:val="bottom"/>
          </w:tcPr>
          <w:p>
            <w:pPr>
              <w:spacing w:after="0"/>
              <w:rPr>
                <w:sz w:val="20"/>
                <w:szCs w:val="20"/>
                <w:color w:val="auto"/>
              </w:rPr>
            </w:pPr>
            <w:r>
              <w:rPr>
                <w:rFonts w:ascii="Arial" w:cs="Arial" w:eastAsia="Arial" w:hAnsi="Arial"/>
                <w:sz w:val="11"/>
                <w:szCs w:val="11"/>
                <w:color w:val="auto"/>
              </w:rPr>
              <w:t>Charges and (credits):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80" w:type="dxa"/>
            <w:vAlign w:val="bottom"/>
          </w:tcPr>
          <w:p>
            <w:pPr>
              <w:ind w:left="240"/>
              <w:spacing w:after="0"/>
              <w:rPr>
                <w:sz w:val="20"/>
                <w:szCs w:val="20"/>
                <w:color w:val="auto"/>
              </w:rPr>
            </w:pPr>
            <w:r>
              <w:rPr>
                <w:rFonts w:ascii="Arial" w:cs="Arial" w:eastAsia="Arial" w:hAnsi="Arial"/>
                <w:sz w:val="11"/>
                <w:szCs w:val="11"/>
                <w:color w:val="auto"/>
              </w:rPr>
              <w:t>Impairment and other charges</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0.5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0.2</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0.7</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0.7</w:t>
            </w:r>
          </w:p>
        </w:tc>
        <w:tc>
          <w:tcPr>
            <w:tcW w:w="0" w:type="dxa"/>
            <w:vAlign w:val="bottom"/>
          </w:tcPr>
          <w:p>
            <w:pPr>
              <w:spacing w:after="0"/>
              <w:rPr>
                <w:sz w:val="1"/>
                <w:szCs w:val="1"/>
                <w:color w:val="auto"/>
              </w:rPr>
            </w:pPr>
          </w:p>
        </w:tc>
      </w:tr>
      <w:tr>
        <w:trPr>
          <w:trHeight w:val="161"/>
        </w:trPr>
        <w:tc>
          <w:tcPr>
            <w:tcW w:w="1780" w:type="dxa"/>
            <w:vAlign w:val="bottom"/>
          </w:tcPr>
          <w:p>
            <w:pPr>
              <w:ind w:left="240"/>
              <w:spacing w:after="0"/>
              <w:rPr>
                <w:sz w:val="20"/>
                <w:szCs w:val="20"/>
                <w:color w:val="auto"/>
              </w:rPr>
            </w:pPr>
            <w:r>
              <w:rPr>
                <w:rFonts w:ascii="Arial" w:cs="Arial" w:eastAsia="Arial" w:hAnsi="Arial"/>
                <w:sz w:val="11"/>
                <w:szCs w:val="11"/>
                <w:color w:val="auto"/>
                <w:w w:val="90"/>
              </w:rPr>
              <w:t>Restructuring and other severance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80" w:type="dxa"/>
            <w:vAlign w:val="bottom"/>
          </w:tcPr>
          <w:p>
            <w:pPr>
              <w:ind w:left="240"/>
              <w:spacing w:after="0"/>
              <w:rPr>
                <w:sz w:val="20"/>
                <w:szCs w:val="20"/>
                <w:color w:val="auto"/>
              </w:rPr>
            </w:pPr>
            <w:r>
              <w:rPr>
                <w:rFonts w:ascii="Arial" w:cs="Arial" w:eastAsia="Arial" w:hAnsi="Arial"/>
                <w:sz w:val="11"/>
                <w:szCs w:val="11"/>
                <w:color w:val="auto"/>
              </w:rPr>
              <w:t>charges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11.6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15.8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15.8</w:t>
            </w:r>
          </w:p>
        </w:tc>
        <w:tc>
          <w:tcPr>
            <w:tcW w:w="0" w:type="dxa"/>
            <w:vAlign w:val="bottom"/>
          </w:tcPr>
          <w:p>
            <w:pPr>
              <w:spacing w:after="0"/>
              <w:rPr>
                <w:sz w:val="1"/>
                <w:szCs w:val="1"/>
                <w:color w:val="auto"/>
              </w:rPr>
            </w:pPr>
          </w:p>
        </w:tc>
      </w:tr>
      <w:tr>
        <w:trPr>
          <w:trHeight w:val="161"/>
        </w:trPr>
        <w:tc>
          <w:tcPr>
            <w:tcW w:w="1780" w:type="dxa"/>
            <w:vAlign w:val="bottom"/>
          </w:tcPr>
          <w:p>
            <w:pPr>
              <w:ind w:left="240"/>
              <w:spacing w:after="0"/>
              <w:rPr>
                <w:sz w:val="20"/>
                <w:szCs w:val="20"/>
                <w:color w:val="auto"/>
              </w:rPr>
            </w:pPr>
            <w:r>
              <w:rPr>
                <w:rFonts w:ascii="Arial" w:cs="Arial" w:eastAsia="Arial" w:hAnsi="Arial"/>
                <w:sz w:val="11"/>
                <w:szCs w:val="11"/>
                <w:color w:val="auto"/>
                <w:w w:val="89"/>
              </w:rPr>
              <w:t>Business combinations transaction</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80" w:type="dxa"/>
            <w:vAlign w:val="bottom"/>
          </w:tcPr>
          <w:p>
            <w:pPr>
              <w:ind w:left="240"/>
              <w:spacing w:after="0"/>
              <w:rPr>
                <w:sz w:val="20"/>
                <w:szCs w:val="20"/>
                <w:color w:val="auto"/>
              </w:rPr>
            </w:pPr>
            <w:r>
              <w:rPr>
                <w:rFonts w:ascii="Arial" w:cs="Arial" w:eastAsia="Arial" w:hAnsi="Arial"/>
                <w:sz w:val="11"/>
                <w:szCs w:val="11"/>
                <w:color w:val="auto"/>
              </w:rPr>
              <w:t>and integration costs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12.1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12.1</w:t>
            </w:r>
          </w:p>
        </w:tc>
        <w:tc>
          <w:tcPr>
            <w:tcW w:w="0" w:type="dxa"/>
            <w:vAlign w:val="bottom"/>
          </w:tcPr>
          <w:p>
            <w:pPr>
              <w:spacing w:after="0"/>
              <w:rPr>
                <w:sz w:val="1"/>
                <w:szCs w:val="1"/>
                <w:color w:val="auto"/>
              </w:rPr>
            </w:pPr>
          </w:p>
        </w:tc>
      </w:tr>
      <w:tr>
        <w:trPr>
          <w:trHeight w:val="270"/>
        </w:trPr>
        <w:tc>
          <w:tcPr>
            <w:tcW w:w="1780" w:type="dxa"/>
            <w:vAlign w:val="bottom"/>
          </w:tcPr>
          <w:p>
            <w:pPr>
              <w:ind w:left="240"/>
              <w:spacing w:after="0"/>
              <w:rPr>
                <w:sz w:val="20"/>
                <w:szCs w:val="20"/>
                <w:color w:val="auto"/>
              </w:rPr>
            </w:pPr>
            <w:r>
              <w:rPr>
                <w:rFonts w:ascii="Arial" w:cs="Arial" w:eastAsia="Arial" w:hAnsi="Arial"/>
                <w:sz w:val="11"/>
                <w:szCs w:val="11"/>
                <w:color w:val="auto"/>
              </w:rPr>
              <w:t>Reorganization</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19.2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25.3</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25.3</w:t>
            </w:r>
          </w:p>
        </w:tc>
        <w:tc>
          <w:tcPr>
            <w:tcW w:w="0" w:type="dxa"/>
            <w:vAlign w:val="bottom"/>
          </w:tcPr>
          <w:p>
            <w:pPr>
              <w:spacing w:after="0"/>
              <w:rPr>
                <w:sz w:val="1"/>
                <w:szCs w:val="1"/>
                <w:color w:val="auto"/>
              </w:rPr>
            </w:pPr>
          </w:p>
        </w:tc>
      </w:tr>
      <w:tr>
        <w:trPr>
          <w:trHeight w:val="161"/>
        </w:trPr>
        <w:tc>
          <w:tcPr>
            <w:tcW w:w="1780" w:type="dxa"/>
            <w:vAlign w:val="bottom"/>
          </w:tcPr>
          <w:p>
            <w:pPr>
              <w:ind w:left="240"/>
              <w:spacing w:after="0"/>
              <w:rPr>
                <w:sz w:val="20"/>
                <w:szCs w:val="20"/>
                <w:color w:val="auto"/>
              </w:rPr>
            </w:pPr>
            <w:r>
              <w:rPr>
                <w:rFonts w:ascii="Arial" w:cs="Arial" w:eastAsia="Arial" w:hAnsi="Arial"/>
                <w:sz w:val="11"/>
                <w:szCs w:val="11"/>
                <w:color w:val="auto"/>
              </w:rPr>
              <w:t>Purchase price accounting</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80" w:type="dxa"/>
            <w:vAlign w:val="bottom"/>
          </w:tcPr>
          <w:p>
            <w:pPr>
              <w:ind w:left="240"/>
              <w:spacing w:after="0"/>
              <w:rPr>
                <w:sz w:val="20"/>
                <w:szCs w:val="20"/>
                <w:color w:val="auto"/>
              </w:rPr>
            </w:pPr>
            <w:r>
              <w:rPr>
                <w:rFonts w:ascii="Arial" w:cs="Arial" w:eastAsia="Arial" w:hAnsi="Arial"/>
                <w:sz w:val="11"/>
                <w:szCs w:val="11"/>
                <w:color w:val="auto"/>
              </w:rPr>
              <w:t>adjustment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8.5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1"/>
                <w:szCs w:val="11"/>
                <w:color w:val="auto"/>
              </w:rPr>
              <w:t>(8.5)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780" w:type="dxa"/>
            <w:vAlign w:val="bottom"/>
          </w:tcPr>
          <w:p>
            <w:pPr>
              <w:ind w:left="240"/>
              <w:spacing w:after="0"/>
              <w:rPr>
                <w:sz w:val="20"/>
                <w:szCs w:val="20"/>
                <w:color w:val="auto"/>
              </w:rPr>
            </w:pPr>
            <w:r>
              <w:rPr>
                <w:rFonts w:ascii="Arial" w:cs="Arial" w:eastAsia="Arial" w:hAnsi="Arial"/>
                <w:sz w:val="11"/>
                <w:szCs w:val="11"/>
                <w:color w:val="auto"/>
              </w:rPr>
              <w:t>Valuation allowance</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1"/>
                <w:szCs w:val="11"/>
                <w:color w:val="auto"/>
              </w:rPr>
              <w:t>(40.3)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40.3</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1"/>
                <w:szCs w:val="11"/>
                <w:color w:val="auto"/>
              </w:rPr>
              <w:t>Adjusted financial measures</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27.3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1"/>
                <w:szCs w:val="11"/>
                <w:color w:val="auto"/>
              </w:rPr>
              <w:t>(1.1)</w:t>
            </w:r>
          </w:p>
        </w:tc>
        <w:tc>
          <w:tcPr>
            <w:tcW w:w="240" w:type="dxa"/>
            <w:vAlign w:val="bottom"/>
            <w:gridSpan w:val="3"/>
          </w:tcPr>
          <w:p>
            <w:pPr>
              <w:ind w:left="18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70.5</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88.2</w:t>
            </w:r>
          </w:p>
        </w:tc>
        <w:tc>
          <w:tcPr>
            <w:tcW w:w="24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184.9</w:t>
            </w:r>
          </w:p>
        </w:tc>
        <w:tc>
          <w:tcPr>
            <w:tcW w:w="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110.9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295.8</w:t>
            </w:r>
          </w:p>
        </w:tc>
        <w:tc>
          <w:tcPr>
            <w:tcW w:w="0" w:type="dxa"/>
            <w:vAlign w:val="bottom"/>
          </w:tcPr>
          <w:p>
            <w:pPr>
              <w:spacing w:after="0"/>
              <w:rPr>
                <w:sz w:val="1"/>
                <w:szCs w:val="1"/>
                <w:color w:val="auto"/>
              </w:rPr>
            </w:pPr>
          </w:p>
        </w:tc>
      </w:tr>
      <w:tr>
        <w:trPr>
          <w:trHeight w:val="20"/>
        </w:trPr>
        <w:tc>
          <w:tcPr>
            <w:tcW w:w="1780" w:type="dxa"/>
            <w:vAlign w:val="bottom"/>
            <w:vMerge w:val="restart"/>
          </w:tcPr>
          <w:p>
            <w:pPr>
              <w:spacing w:after="0"/>
              <w:rPr>
                <w:sz w:val="20"/>
                <w:szCs w:val="20"/>
                <w:color w:val="auto"/>
              </w:rPr>
            </w:pPr>
            <w:r>
              <w:rPr>
                <w:rFonts w:ascii="Arial" w:cs="Arial" w:eastAsia="Arial" w:hAnsi="Arial"/>
                <w:sz w:val="11"/>
                <w:szCs w:val="11"/>
                <w:color w:val="auto"/>
              </w:rPr>
              <w:t>Diluted earnings (loss) per share</w:t>
            </w: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line="122" w:lineRule="exact"/>
              <w:rPr>
                <w:sz w:val="20"/>
                <w:szCs w:val="20"/>
                <w:color w:val="auto"/>
              </w:rPr>
            </w:pPr>
            <w:r>
              <w:rPr>
                <w:rFonts w:ascii="Arial" w:cs="Arial" w:eastAsia="Arial" w:hAnsi="Arial"/>
                <w:sz w:val="11"/>
                <w:szCs w:val="11"/>
                <w:color w:val="auto"/>
              </w:rPr>
              <w:t>attributable to TechnipFMC plc, as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780" w:type="dxa"/>
            <w:vAlign w:val="bottom"/>
          </w:tcPr>
          <w:p>
            <w:pPr>
              <w:spacing w:after="0"/>
              <w:rPr>
                <w:sz w:val="20"/>
                <w:szCs w:val="20"/>
                <w:color w:val="auto"/>
              </w:rPr>
            </w:pPr>
            <w:r>
              <w:rPr>
                <w:rFonts w:ascii="Arial" w:cs="Arial" w:eastAsia="Arial" w:hAnsi="Arial"/>
                <w:sz w:val="11"/>
                <w:szCs w:val="11"/>
                <w:color w:val="auto"/>
              </w:rPr>
              <w:t>reported</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0.05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80" w:type="dxa"/>
            <w:vAlign w:val="bottom"/>
          </w:tcPr>
          <w:p>
            <w:pPr>
              <w:spacing w:after="0"/>
              <w:rPr>
                <w:sz w:val="20"/>
                <w:szCs w:val="20"/>
                <w:color w:val="auto"/>
              </w:rPr>
            </w:pPr>
            <w:r>
              <w:rPr>
                <w:rFonts w:ascii="Arial" w:cs="Arial" w:eastAsia="Arial" w:hAnsi="Arial"/>
                <w:sz w:val="11"/>
                <w:szCs w:val="11"/>
                <w:color w:val="auto"/>
              </w:rPr>
              <w:t>Adjusted diluted earnings per share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80" w:type="dxa"/>
            <w:vAlign w:val="bottom"/>
          </w:tcPr>
          <w:p>
            <w:pPr>
              <w:spacing w:after="0"/>
              <w:rPr>
                <w:sz w:val="20"/>
                <w:szCs w:val="20"/>
                <w:color w:val="auto"/>
              </w:rPr>
            </w:pPr>
            <w:r>
              <w:rPr>
                <w:rFonts w:ascii="Arial" w:cs="Arial" w:eastAsia="Arial" w:hAnsi="Arial"/>
                <w:sz w:val="11"/>
                <w:szCs w:val="11"/>
                <w:color w:val="auto"/>
              </w:rPr>
              <w:t>attributable to TechnipFMC plc</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0.06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99" w:right="339" w:bottom="1440" w:gutter="0" w:footer="0" w:header="0"/>
        </w:sectPr>
      </w:pPr>
    </w:p>
    <w:p>
      <w:pPr>
        <w:spacing w:after="0" w:line="241" w:lineRule="exact"/>
        <w:rPr>
          <w:sz w:val="20"/>
          <w:szCs w:val="20"/>
          <w:color w:val="auto"/>
        </w:rPr>
      </w:pPr>
    </w:p>
    <w:p>
      <w:pPr>
        <w:ind w:left="5100"/>
        <w:spacing w:after="0"/>
        <w:tabs>
          <w:tab w:leader="none" w:pos="102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25 of </w:t>
      </w:r>
      <w:hyperlink w:anchor="page32">
        <w:r>
          <w:rPr>
            <w:rFonts w:ascii="Arial" w:cs="Arial" w:eastAsia="Arial" w:hAnsi="Arial"/>
            <w:sz w:val="14"/>
            <w:szCs w:val="14"/>
            <w:b w:val="1"/>
            <w:bCs w:val="1"/>
            <w:color w:val="auto"/>
          </w:rPr>
          <w:t>28</w:t>
        </w:r>
      </w:hyperlink>
    </w:p>
    <w:p>
      <w:pPr>
        <w:sectPr>
          <w:pgSz w:w="11900" w:h="16838" w:orient="portrait"/>
          <w:cols w:equalWidth="0" w:num="1">
            <w:col w:w="11240"/>
          </w:cols>
          <w:pgMar w:left="320" w:top="499" w:right="339"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13"/>
          <w:szCs w:val="13"/>
          <w:b w:val="1"/>
          <w:bCs w:val="1"/>
          <w:color w:val="auto"/>
        </w:rPr>
        <w:t>Exhibit 9</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RECONCILIATION OF GAAP TO NON-GAAP FINANCIAL MEASURES</w:t>
      </w:r>
    </w:p>
    <w:p>
      <w:pPr>
        <w:jc w:val="center"/>
        <w:spacing w:after="0"/>
        <w:rPr>
          <w:sz w:val="20"/>
          <w:szCs w:val="20"/>
          <w:color w:val="auto"/>
        </w:rPr>
      </w:pPr>
      <w:r>
        <w:rPr>
          <w:rFonts w:ascii="Arial" w:cs="Arial" w:eastAsia="Arial" w:hAnsi="Arial"/>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224790</wp:posOffset>
            </wp:positionV>
            <wp:extent cx="33089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108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6"/>
          </w:tcPr>
          <w:p>
            <w:pPr>
              <w:jc w:val="center"/>
              <w:ind w:left="588"/>
              <w:spacing w:after="0"/>
              <w:rPr>
                <w:sz w:val="20"/>
                <w:szCs w:val="20"/>
                <w:color w:val="auto"/>
              </w:rPr>
            </w:pPr>
            <w:r>
              <w:rPr>
                <w:rFonts w:ascii="Arial" w:cs="Arial" w:eastAsia="Arial" w:hAnsi="Arial"/>
                <w:sz w:val="14"/>
                <w:szCs w:val="14"/>
                <w:b w:val="1"/>
                <w:bCs w:val="1"/>
                <w:color w:val="auto"/>
                <w:w w:val="93"/>
              </w:rPr>
              <w:t>Three Months Ended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Subsea</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Technip</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Surface</w:t>
            </w:r>
          </w:p>
        </w:tc>
        <w:tc>
          <w:tcPr>
            <w:tcW w:w="120" w:type="dxa"/>
            <w:vAlign w:val="bottom"/>
          </w:tcPr>
          <w:p>
            <w:pPr>
              <w:spacing w:after="0"/>
              <w:rPr>
                <w:sz w:val="13"/>
                <w:szCs w:val="13"/>
                <w:color w:val="auto"/>
              </w:rPr>
            </w:pPr>
          </w:p>
        </w:tc>
        <w:tc>
          <w:tcPr>
            <w:tcW w:w="8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3"/>
                <w:szCs w:val="13"/>
                <w:color w:val="auto"/>
              </w:rPr>
            </w:pPr>
          </w:p>
        </w:tc>
        <w:tc>
          <w:tcPr>
            <w:tcW w:w="7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4"/>
              </w:rPr>
              <w:t>Energies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6"/>
              </w:rPr>
              <w:t>Technologies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900" w:type="dxa"/>
            <w:vAlign w:val="bottom"/>
          </w:tcPr>
          <w:p>
            <w:pPr>
              <w:spacing w:after="0"/>
              <w:rPr>
                <w:sz w:val="20"/>
                <w:szCs w:val="20"/>
                <w:color w:val="auto"/>
              </w:rPr>
            </w:pPr>
            <w:r>
              <w:rPr>
                <w:rFonts w:ascii="Arial" w:cs="Arial" w:eastAsia="Arial" w:hAnsi="Arial"/>
                <w:sz w:val="14"/>
                <w:szCs w:val="14"/>
                <w:color w:val="auto"/>
              </w:rPr>
              <w:t>Revenue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1,253.1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1,547.7</w:t>
            </w:r>
          </w:p>
        </w:tc>
        <w:tc>
          <w:tcPr>
            <w:tcW w:w="10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329.5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3,130.3</w:t>
            </w:r>
          </w:p>
        </w:tc>
        <w:tc>
          <w:tcPr>
            <w:tcW w:w="0" w:type="dxa"/>
            <w:vAlign w:val="bottom"/>
          </w:tcPr>
          <w:p>
            <w:pPr>
              <w:spacing w:after="0"/>
              <w:rPr>
                <w:sz w:val="1"/>
                <w:szCs w:val="1"/>
                <w:color w:val="auto"/>
              </w:rPr>
            </w:pPr>
          </w:p>
        </w:tc>
      </w:tr>
      <w:tr>
        <w:trPr>
          <w:trHeight w:val="486"/>
        </w:trPr>
        <w:tc>
          <w:tcPr>
            <w:tcW w:w="3900" w:type="dxa"/>
            <w:vAlign w:val="bottom"/>
          </w:tcPr>
          <w:p>
            <w:pPr>
              <w:spacing w:after="0"/>
              <w:rPr>
                <w:sz w:val="20"/>
                <w:szCs w:val="20"/>
                <w:color w:val="auto"/>
              </w:rPr>
            </w:pPr>
            <w:r>
              <w:rPr>
                <w:rFonts w:ascii="Arial" w:cs="Arial" w:eastAsia="Arial" w:hAnsi="Arial"/>
                <w:sz w:val="14"/>
                <w:szCs w:val="14"/>
                <w:color w:val="auto"/>
              </w:rPr>
              <w:t>Operating profit (loss), as reported (pre-tax)</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(2,750.7)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151.2</w:t>
            </w:r>
          </w:p>
        </w:tc>
        <w:tc>
          <w:tcPr>
            <w:tcW w:w="100" w:type="dxa"/>
            <w:vAlign w:val="bottom"/>
          </w:tcPr>
          <w:p>
            <w:pPr>
              <w:spacing w:after="0"/>
              <w:rPr>
                <w:sz w:val="24"/>
                <w:szCs w:val="24"/>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(424.0)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(112.2)</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(3,135.7)</w:t>
            </w:r>
          </w:p>
        </w:tc>
        <w:tc>
          <w:tcPr>
            <w:tcW w:w="0" w:type="dxa"/>
            <w:vAlign w:val="bottom"/>
          </w:tcPr>
          <w:p>
            <w:pPr>
              <w:spacing w:after="0"/>
              <w:rPr>
                <w:sz w:val="1"/>
                <w:szCs w:val="1"/>
                <w:color w:val="auto"/>
              </w:rPr>
            </w:pPr>
          </w:p>
        </w:tc>
      </w:tr>
      <w:tr>
        <w:trPr>
          <w:trHeight w:val="486"/>
        </w:trPr>
        <w:tc>
          <w:tcPr>
            <w:tcW w:w="3900" w:type="dxa"/>
            <w:vAlign w:val="bottom"/>
          </w:tcPr>
          <w:p>
            <w:pPr>
              <w:spacing w:after="0"/>
              <w:rPr>
                <w:sz w:val="20"/>
                <w:szCs w:val="20"/>
                <w:color w:val="auto"/>
              </w:rPr>
            </w:pPr>
            <w:r>
              <w:rPr>
                <w:rFonts w:ascii="Arial" w:cs="Arial" w:eastAsia="Arial" w:hAnsi="Arial"/>
                <w:sz w:val="14"/>
                <w:szCs w:val="14"/>
                <w:color w:val="auto"/>
              </w:rPr>
              <w:t>Charges and (credits):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40"/>
              <w:spacing w:after="0"/>
              <w:rPr>
                <w:sz w:val="20"/>
                <w:szCs w:val="20"/>
                <w:color w:val="auto"/>
              </w:rPr>
            </w:pPr>
            <w:r>
              <w:rPr>
                <w:rFonts w:ascii="Arial" w:cs="Arial" w:eastAsia="Arial" w:hAnsi="Arial"/>
                <w:sz w:val="14"/>
                <w:szCs w:val="14"/>
                <w:color w:val="auto"/>
              </w:rPr>
              <w:t>Impairment and other charges</w:t>
            </w:r>
          </w:p>
        </w:tc>
        <w:tc>
          <w:tcPr>
            <w:tcW w:w="200" w:type="dxa"/>
            <w:vAlign w:val="bottom"/>
          </w:tcPr>
          <w:p>
            <w:pPr>
              <w:spacing w:after="0"/>
              <w:rPr>
                <w:sz w:val="18"/>
                <w:szCs w:val="18"/>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2,776.5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411.5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3,188.0</w:t>
            </w:r>
          </w:p>
        </w:tc>
        <w:tc>
          <w:tcPr>
            <w:tcW w:w="0" w:type="dxa"/>
            <w:vAlign w:val="bottom"/>
          </w:tcPr>
          <w:p>
            <w:pPr>
              <w:spacing w:after="0"/>
              <w:rPr>
                <w:sz w:val="1"/>
                <w:szCs w:val="1"/>
                <w:color w:val="auto"/>
              </w:rPr>
            </w:pPr>
          </w:p>
        </w:tc>
      </w:tr>
      <w:tr>
        <w:trPr>
          <w:trHeight w:val="216"/>
        </w:trPr>
        <w:tc>
          <w:tcPr>
            <w:tcW w:w="3900" w:type="dxa"/>
            <w:vAlign w:val="bottom"/>
          </w:tcPr>
          <w:p>
            <w:pPr>
              <w:ind w:left="240"/>
              <w:spacing w:after="0"/>
              <w:rPr>
                <w:sz w:val="20"/>
                <w:szCs w:val="20"/>
                <w:color w:val="auto"/>
              </w:rPr>
            </w:pPr>
            <w:r>
              <w:rPr>
                <w:rFonts w:ascii="Arial" w:cs="Arial" w:eastAsia="Arial" w:hAnsi="Arial"/>
                <w:sz w:val="14"/>
                <w:szCs w:val="14"/>
                <w:color w:val="auto"/>
              </w:rPr>
              <w:t>Restructuring and other charges*</w:t>
            </w:r>
          </w:p>
        </w:tc>
        <w:tc>
          <w:tcPr>
            <w:tcW w:w="200" w:type="dxa"/>
            <w:vAlign w:val="bottom"/>
          </w:tcPr>
          <w:p>
            <w:pPr>
              <w:spacing w:after="0"/>
              <w:rPr>
                <w:sz w:val="18"/>
                <w:szCs w:val="18"/>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16"/>
        </w:trPr>
        <w:tc>
          <w:tcPr>
            <w:tcW w:w="3900" w:type="dxa"/>
            <w:vAlign w:val="bottom"/>
          </w:tcPr>
          <w:p>
            <w:pPr>
              <w:ind w:left="240"/>
              <w:spacing w:after="0"/>
              <w:rPr>
                <w:sz w:val="20"/>
                <w:szCs w:val="20"/>
                <w:color w:val="auto"/>
              </w:rPr>
            </w:pPr>
            <w:r>
              <w:rPr>
                <w:rFonts w:ascii="Arial" w:cs="Arial" w:eastAsia="Arial" w:hAnsi="Arial"/>
                <w:sz w:val="14"/>
                <w:szCs w:val="14"/>
                <w:color w:val="auto"/>
              </w:rPr>
              <w:t>Direct COVID-19 expenses</w:t>
            </w:r>
          </w:p>
        </w:tc>
        <w:tc>
          <w:tcPr>
            <w:tcW w:w="200" w:type="dxa"/>
            <w:vAlign w:val="bottom"/>
          </w:tcPr>
          <w:p>
            <w:pPr>
              <w:spacing w:after="0"/>
              <w:rPr>
                <w:sz w:val="18"/>
                <w:szCs w:val="18"/>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16"/>
        </w:trPr>
        <w:tc>
          <w:tcPr>
            <w:tcW w:w="3900" w:type="dxa"/>
            <w:vAlign w:val="bottom"/>
          </w:tcPr>
          <w:p>
            <w:pPr>
              <w:ind w:left="240"/>
              <w:spacing w:after="0"/>
              <w:rPr>
                <w:sz w:val="20"/>
                <w:szCs w:val="20"/>
                <w:color w:val="auto"/>
              </w:rPr>
            </w:pPr>
            <w:r>
              <w:rPr>
                <w:rFonts w:ascii="Arial" w:cs="Arial" w:eastAsia="Arial" w:hAnsi="Arial"/>
                <w:sz w:val="14"/>
                <w:szCs w:val="14"/>
                <w:color w:val="auto"/>
              </w:rPr>
              <w:t>Separation costs</w:t>
            </w: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222"/>
        </w:trPr>
        <w:tc>
          <w:tcPr>
            <w:tcW w:w="3900" w:type="dxa"/>
            <w:vAlign w:val="bottom"/>
          </w:tcPr>
          <w:p>
            <w:pPr>
              <w:ind w:left="240"/>
              <w:spacing w:after="0"/>
              <w:rPr>
                <w:sz w:val="20"/>
                <w:szCs w:val="20"/>
                <w:color w:val="auto"/>
              </w:rPr>
            </w:pPr>
            <w:r>
              <w:rPr>
                <w:rFonts w:ascii="Arial" w:cs="Arial" w:eastAsia="Arial" w:hAnsi="Arial"/>
                <w:sz w:val="14"/>
                <w:szCs w:val="14"/>
                <w:color w:val="auto"/>
              </w:rPr>
              <w:t>Purchase price accounting adjustments</w:t>
            </w:r>
          </w:p>
        </w:tc>
        <w:tc>
          <w:tcPr>
            <w:tcW w:w="200" w:type="dxa"/>
            <w:vAlign w:val="bottom"/>
          </w:tcPr>
          <w:p>
            <w:pPr>
              <w:spacing w:after="0"/>
              <w:rPr>
                <w:sz w:val="19"/>
                <w:szCs w:val="19"/>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44"/>
        </w:trPr>
        <w:tc>
          <w:tcPr>
            <w:tcW w:w="3900" w:type="dxa"/>
            <w:vAlign w:val="bottom"/>
          </w:tcPr>
          <w:p>
            <w:pPr>
              <w:ind w:left="460"/>
              <w:spacing w:after="0"/>
              <w:rPr>
                <w:sz w:val="20"/>
                <w:szCs w:val="20"/>
                <w:color w:val="auto"/>
              </w:rPr>
            </w:pPr>
            <w:r>
              <w:rPr>
                <w:rFonts w:ascii="Arial" w:cs="Arial" w:eastAsia="Arial" w:hAnsi="Arial"/>
                <w:sz w:val="14"/>
                <w:szCs w:val="14"/>
                <w:color w:val="auto"/>
              </w:rPr>
              <w:t>Subtotal</w:t>
            </w:r>
          </w:p>
        </w:tc>
        <w:tc>
          <w:tcPr>
            <w:tcW w:w="2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2,782.1</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424.4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3,244.0</w:t>
            </w:r>
          </w:p>
        </w:tc>
        <w:tc>
          <w:tcPr>
            <w:tcW w:w="0" w:type="dxa"/>
            <w:vAlign w:val="bottom"/>
          </w:tcPr>
          <w:p>
            <w:pPr>
              <w:spacing w:after="0"/>
              <w:rPr>
                <w:sz w:val="1"/>
                <w:szCs w:val="1"/>
                <w:color w:val="auto"/>
              </w:rPr>
            </w:pPr>
          </w:p>
        </w:tc>
      </w:tr>
      <w:tr>
        <w:trPr>
          <w:trHeight w:val="228"/>
        </w:trPr>
        <w:tc>
          <w:tcPr>
            <w:tcW w:w="3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4"/>
                <w:szCs w:val="14"/>
                <w:color w:val="auto"/>
              </w:rPr>
              <w:t>Adjusted Operating profit (loss)</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158.0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108.3</w:t>
            </w:r>
          </w:p>
        </w:tc>
        <w:tc>
          <w:tcPr>
            <w:tcW w:w="0" w:type="dxa"/>
            <w:vAlign w:val="bottom"/>
          </w:tcPr>
          <w:p>
            <w:pPr>
              <w:spacing w:after="0"/>
              <w:rPr>
                <w:sz w:val="1"/>
                <w:szCs w:val="1"/>
                <w:color w:val="auto"/>
              </w:rPr>
            </w:pPr>
          </w:p>
        </w:tc>
      </w:tr>
      <w:tr>
        <w:trPr>
          <w:trHeight w:val="460"/>
        </w:trPr>
        <w:tc>
          <w:tcPr>
            <w:tcW w:w="390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20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73.4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111.9</w:t>
            </w:r>
          </w:p>
        </w:tc>
        <w:tc>
          <w:tcPr>
            <w:tcW w:w="0" w:type="dxa"/>
            <w:vAlign w:val="bottom"/>
          </w:tcPr>
          <w:p>
            <w:pPr>
              <w:spacing w:after="0"/>
              <w:rPr>
                <w:sz w:val="1"/>
                <w:szCs w:val="1"/>
                <w:color w:val="auto"/>
              </w:rPr>
            </w:pPr>
          </w:p>
        </w:tc>
      </w:tr>
      <w:tr>
        <w:trPr>
          <w:trHeight w:val="228"/>
        </w:trPr>
        <w:tc>
          <w:tcPr>
            <w:tcW w:w="3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00" w:type="dxa"/>
            <w:vAlign w:val="bottom"/>
          </w:tcPr>
          <w:p>
            <w:pPr>
              <w:spacing w:after="0"/>
              <w:rPr>
                <w:sz w:val="20"/>
                <w:szCs w:val="20"/>
                <w:color w:val="auto"/>
              </w:rPr>
            </w:pPr>
            <w:r>
              <w:rPr>
                <w:rFonts w:ascii="Arial" w:cs="Arial" w:eastAsia="Arial" w:hAnsi="Arial"/>
                <w:sz w:val="14"/>
                <w:szCs w:val="14"/>
                <w:color w:val="auto"/>
              </w:rPr>
              <w:t>Adjusted EBITDA</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104.8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167.1</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220.2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390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-219.5 %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-128.7 %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-100.2 %</w:t>
            </w:r>
          </w:p>
        </w:tc>
        <w:tc>
          <w:tcPr>
            <w:tcW w:w="0" w:type="dxa"/>
            <w:vAlign w:val="bottom"/>
          </w:tcPr>
          <w:p>
            <w:pPr>
              <w:spacing w:after="0"/>
              <w:rPr>
                <w:sz w:val="1"/>
                <w:szCs w:val="1"/>
                <w:color w:val="auto"/>
              </w:rPr>
            </w:pPr>
          </w:p>
        </w:tc>
      </w:tr>
      <w:tr>
        <w:trPr>
          <w:trHeight w:val="418"/>
        </w:trPr>
        <w:tc>
          <w:tcPr>
            <w:tcW w:w="390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3.5 %</w:t>
            </w:r>
          </w:p>
        </w:tc>
        <w:tc>
          <w:tcPr>
            <w:tcW w:w="0" w:type="dxa"/>
            <w:vAlign w:val="bottom"/>
          </w:tcPr>
          <w:p>
            <w:pPr>
              <w:spacing w:after="0"/>
              <w:rPr>
                <w:sz w:val="1"/>
                <w:szCs w:val="1"/>
                <w:color w:val="auto"/>
              </w:rPr>
            </w:pPr>
          </w:p>
        </w:tc>
      </w:tr>
      <w:tr>
        <w:trPr>
          <w:trHeight w:val="418"/>
        </w:trPr>
        <w:tc>
          <w:tcPr>
            <w:tcW w:w="3900" w:type="dxa"/>
            <w:vAlign w:val="bottom"/>
          </w:tcPr>
          <w:p>
            <w:pPr>
              <w:spacing w:after="0"/>
              <w:rPr>
                <w:sz w:val="20"/>
                <w:szCs w:val="20"/>
                <w:color w:val="auto"/>
              </w:rPr>
            </w:pPr>
            <w:r>
              <w:rPr>
                <w:rFonts w:ascii="Arial" w:cs="Arial" w:eastAsia="Arial" w:hAnsi="Arial"/>
                <w:sz w:val="14"/>
                <w:szCs w:val="14"/>
                <w:color w:val="auto"/>
              </w:rPr>
              <w:t>Adjusted EBITDA margin</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8.4 %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7.0 %</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right="220"/>
        <w:spacing w:after="0" w:line="255" w:lineRule="auto"/>
        <w:rPr>
          <w:sz w:val="20"/>
          <w:szCs w:val="20"/>
          <w:color w:val="auto"/>
        </w:rPr>
      </w:pPr>
      <w:r>
        <w:rPr>
          <w:rFonts w:ascii="Arial" w:cs="Arial" w:eastAsia="Arial" w:hAnsi="Arial"/>
          <w:sz w:val="13"/>
          <w:szCs w:val="13"/>
          <w:color w:val="auto"/>
        </w:rPr>
        <w:t>*On December 30, 2019, the Company completed the acquisition of the remaining 50 percent of Technip Odebrecht PLSV CV. A $7.3 million gain recorded within restructuring and other charges in the Subsea segment during the three months ended March 31, 2020 relates to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184785</wp:posOffset>
            </wp:positionV>
            <wp:extent cx="32321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2150" cy="8255"/>
                    </a:xfrm>
                    <a:prstGeom prst="rect">
                      <a:avLst/>
                    </a:prstGeom>
                    <a:noFill/>
                  </pic:spPr>
                </pic:pic>
              </a:graphicData>
            </a:graphic>
          </wp:anchor>
        </w:drawing>
      </w:r>
    </w:p>
    <w:p>
      <w:pPr>
        <w:spacing w:after="0" w:line="342" w:lineRule="exact"/>
        <w:rPr>
          <w:sz w:val="20"/>
          <w:szCs w:val="20"/>
          <w:color w:val="auto"/>
        </w:rPr>
      </w:pPr>
    </w:p>
    <w:tbl>
      <w:tblPr>
        <w:tblLayout w:type="fixed"/>
        <w:tblInd w:w="108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6"/>
          </w:tcPr>
          <w:p>
            <w:pPr>
              <w:jc w:val="center"/>
              <w:ind w:left="588"/>
              <w:spacing w:after="0"/>
              <w:rPr>
                <w:sz w:val="20"/>
                <w:szCs w:val="20"/>
                <w:color w:val="auto"/>
              </w:rPr>
            </w:pPr>
            <w:r>
              <w:rPr>
                <w:rFonts w:ascii="Arial" w:cs="Arial" w:eastAsia="Arial" w:hAnsi="Arial"/>
                <w:sz w:val="14"/>
                <w:szCs w:val="14"/>
                <w:b w:val="1"/>
                <w:bCs w:val="1"/>
                <w:color w:val="auto"/>
                <w:w w:val="93"/>
              </w:rPr>
              <w:t>Three Months Ended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4"/>
              </w:rPr>
              <w:t>March 31, 2019</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Subsea</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Technip</w:t>
            </w:r>
          </w:p>
        </w:tc>
        <w:tc>
          <w:tcPr>
            <w:tcW w:w="180" w:type="dxa"/>
            <w:vAlign w:val="bottom"/>
          </w:tcPr>
          <w:p>
            <w:pPr>
              <w:spacing w:after="0"/>
              <w:rPr>
                <w:sz w:val="13"/>
                <w:szCs w:val="13"/>
                <w:color w:val="auto"/>
              </w:rPr>
            </w:pPr>
          </w:p>
        </w:tc>
        <w:tc>
          <w:tcPr>
            <w:tcW w:w="9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Surface</w:t>
            </w:r>
          </w:p>
        </w:tc>
        <w:tc>
          <w:tcPr>
            <w:tcW w:w="120" w:type="dxa"/>
            <w:vAlign w:val="bottom"/>
          </w:tcPr>
          <w:p>
            <w:pPr>
              <w:spacing w:after="0"/>
              <w:rPr>
                <w:sz w:val="13"/>
                <w:szCs w:val="13"/>
                <w:color w:val="auto"/>
              </w:rPr>
            </w:pPr>
          </w:p>
        </w:tc>
        <w:tc>
          <w:tcPr>
            <w:tcW w:w="8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3"/>
                <w:szCs w:val="13"/>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4"/>
              </w:rPr>
              <w:t>Energies</w:t>
            </w:r>
          </w:p>
        </w:tc>
        <w:tc>
          <w:tcPr>
            <w:tcW w:w="1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Technologies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40" w:type="dxa"/>
            <w:vAlign w:val="bottom"/>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1,185.3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1,335.1</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392.6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2,913.0</w:t>
            </w:r>
          </w:p>
        </w:tc>
        <w:tc>
          <w:tcPr>
            <w:tcW w:w="0" w:type="dxa"/>
            <w:vAlign w:val="bottom"/>
          </w:tcPr>
          <w:p>
            <w:pPr>
              <w:spacing w:after="0"/>
              <w:rPr>
                <w:sz w:val="1"/>
                <w:szCs w:val="1"/>
                <w:color w:val="auto"/>
              </w:rPr>
            </w:pPr>
          </w:p>
        </w:tc>
      </w:tr>
      <w:tr>
        <w:trPr>
          <w:trHeight w:val="486"/>
        </w:trPr>
        <w:tc>
          <w:tcPr>
            <w:tcW w:w="4040" w:type="dxa"/>
            <w:vAlign w:val="bottom"/>
          </w:tcPr>
          <w:p>
            <w:pPr>
              <w:spacing w:after="0"/>
              <w:rPr>
                <w:sz w:val="20"/>
                <w:szCs w:val="20"/>
                <w:color w:val="auto"/>
              </w:rPr>
            </w:pPr>
            <w:r>
              <w:rPr>
                <w:rFonts w:ascii="Arial" w:cs="Arial" w:eastAsia="Arial" w:hAnsi="Arial"/>
                <w:sz w:val="14"/>
                <w:szCs w:val="14"/>
                <w:color w:val="auto"/>
              </w:rPr>
              <w:t>Operating profit (loss), as reported (pre-tax)</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49.9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155.7</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(93.6)</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122.5</w:t>
            </w:r>
          </w:p>
        </w:tc>
        <w:tc>
          <w:tcPr>
            <w:tcW w:w="0" w:type="dxa"/>
            <w:vAlign w:val="bottom"/>
          </w:tcPr>
          <w:p>
            <w:pPr>
              <w:spacing w:after="0"/>
              <w:rPr>
                <w:sz w:val="1"/>
                <w:szCs w:val="1"/>
                <w:color w:val="auto"/>
              </w:rPr>
            </w:pPr>
          </w:p>
        </w:tc>
      </w:tr>
      <w:tr>
        <w:trPr>
          <w:trHeight w:val="486"/>
        </w:trPr>
        <w:tc>
          <w:tcPr>
            <w:tcW w:w="4040" w:type="dxa"/>
            <w:vAlign w:val="bottom"/>
          </w:tcPr>
          <w:p>
            <w:pPr>
              <w:spacing w:after="0"/>
              <w:rPr>
                <w:sz w:val="20"/>
                <w:szCs w:val="20"/>
                <w:color w:val="auto"/>
              </w:rPr>
            </w:pPr>
            <w:r>
              <w:rPr>
                <w:rFonts w:ascii="Arial" w:cs="Arial" w:eastAsia="Arial" w:hAnsi="Arial"/>
                <w:sz w:val="14"/>
                <w:szCs w:val="14"/>
                <w:color w:val="auto"/>
              </w:rPr>
              <w:t>Charges and (credits):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40"/>
              <w:spacing w:after="0"/>
              <w:rPr>
                <w:sz w:val="20"/>
                <w:szCs w:val="20"/>
                <w:color w:val="auto"/>
              </w:rPr>
            </w:pPr>
            <w:r>
              <w:rPr>
                <w:rFonts w:ascii="Arial" w:cs="Arial" w:eastAsia="Arial" w:hAnsi="Arial"/>
                <w:sz w:val="14"/>
                <w:szCs w:val="14"/>
                <w:color w:val="auto"/>
              </w:rPr>
              <w:t>Impairment and other charges</w:t>
            </w:r>
          </w:p>
        </w:tc>
        <w:tc>
          <w:tcPr>
            <w:tcW w:w="16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16"/>
        </w:trPr>
        <w:tc>
          <w:tcPr>
            <w:tcW w:w="4040" w:type="dxa"/>
            <w:vAlign w:val="bottom"/>
          </w:tcPr>
          <w:p>
            <w:pPr>
              <w:ind w:left="240"/>
              <w:spacing w:after="0"/>
              <w:rPr>
                <w:sz w:val="20"/>
                <w:szCs w:val="20"/>
                <w:color w:val="auto"/>
              </w:rPr>
            </w:pPr>
            <w:r>
              <w:rPr>
                <w:rFonts w:ascii="Arial" w:cs="Arial" w:eastAsia="Arial" w:hAnsi="Arial"/>
                <w:sz w:val="14"/>
                <w:szCs w:val="14"/>
                <w:color w:val="auto"/>
              </w:rPr>
              <w:t>Restructuring and other severance charges</w:t>
            </w:r>
          </w:p>
        </w:tc>
        <w:tc>
          <w:tcPr>
            <w:tcW w:w="16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16"/>
        </w:trPr>
        <w:tc>
          <w:tcPr>
            <w:tcW w:w="4040" w:type="dxa"/>
            <w:vAlign w:val="bottom"/>
          </w:tcPr>
          <w:p>
            <w:pPr>
              <w:ind w:left="240"/>
              <w:spacing w:after="0"/>
              <w:rPr>
                <w:sz w:val="20"/>
                <w:szCs w:val="20"/>
                <w:color w:val="auto"/>
              </w:rPr>
            </w:pPr>
            <w:r>
              <w:rPr>
                <w:rFonts w:ascii="Arial" w:cs="Arial" w:eastAsia="Arial" w:hAnsi="Arial"/>
                <w:sz w:val="14"/>
                <w:szCs w:val="14"/>
                <w:color w:val="auto"/>
              </w:rPr>
              <w:t>Business combination transaction and integration costs</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16"/>
        </w:trPr>
        <w:tc>
          <w:tcPr>
            <w:tcW w:w="4040" w:type="dxa"/>
            <w:vAlign w:val="bottom"/>
          </w:tcPr>
          <w:p>
            <w:pPr>
              <w:ind w:left="240"/>
              <w:spacing w:after="0"/>
              <w:rPr>
                <w:sz w:val="20"/>
                <w:szCs w:val="20"/>
                <w:color w:val="auto"/>
              </w:rPr>
            </w:pPr>
            <w:r>
              <w:rPr>
                <w:rFonts w:ascii="Arial" w:cs="Arial" w:eastAsia="Arial" w:hAnsi="Arial"/>
                <w:sz w:val="14"/>
                <w:szCs w:val="14"/>
                <w:color w:val="auto"/>
              </w:rPr>
              <w:t>Reorganization</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22"/>
        </w:trPr>
        <w:tc>
          <w:tcPr>
            <w:tcW w:w="4040" w:type="dxa"/>
            <w:vAlign w:val="bottom"/>
          </w:tcPr>
          <w:p>
            <w:pPr>
              <w:ind w:left="240"/>
              <w:spacing w:after="0"/>
              <w:rPr>
                <w:sz w:val="20"/>
                <w:szCs w:val="20"/>
                <w:color w:val="auto"/>
              </w:rPr>
            </w:pPr>
            <w:r>
              <w:rPr>
                <w:rFonts w:ascii="Arial" w:cs="Arial" w:eastAsia="Arial" w:hAnsi="Arial"/>
                <w:sz w:val="14"/>
                <w:szCs w:val="14"/>
                <w:color w:val="auto"/>
                <w:w w:val="99"/>
              </w:rPr>
              <w:t>Purchase price accounting adjustments - amortization related</w:t>
            </w:r>
          </w:p>
        </w:tc>
        <w:tc>
          <w:tcPr>
            <w:tcW w:w="160" w:type="dxa"/>
            <w:vAlign w:val="bottom"/>
          </w:tcPr>
          <w:p>
            <w:pPr>
              <w:spacing w:after="0"/>
              <w:rPr>
                <w:sz w:val="19"/>
                <w:szCs w:val="19"/>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4"/>
        </w:trPr>
        <w:tc>
          <w:tcPr>
            <w:tcW w:w="4040" w:type="dxa"/>
            <w:vAlign w:val="bottom"/>
          </w:tcPr>
          <w:p>
            <w:pPr>
              <w:ind w:left="460"/>
              <w:spacing w:after="0"/>
              <w:rPr>
                <w:sz w:val="20"/>
                <w:szCs w:val="20"/>
                <w:color w:val="auto"/>
              </w:rPr>
            </w:pPr>
            <w:r>
              <w:rPr>
                <w:rFonts w:ascii="Arial" w:cs="Arial" w:eastAsia="Arial" w:hAnsi="Arial"/>
                <w:sz w:val="14"/>
                <w:szCs w:val="14"/>
                <w:color w:val="auto"/>
              </w:rPr>
              <w:t>Subtotal</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282"/>
        </w:trPr>
        <w:tc>
          <w:tcPr>
            <w:tcW w:w="4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040" w:type="dxa"/>
            <w:vAlign w:val="bottom"/>
          </w:tcPr>
          <w:p>
            <w:pPr>
              <w:spacing w:after="0"/>
              <w:rPr>
                <w:sz w:val="20"/>
                <w:szCs w:val="20"/>
                <w:color w:val="auto"/>
              </w:rPr>
            </w:pPr>
            <w:r>
              <w:rPr>
                <w:rFonts w:ascii="Arial" w:cs="Arial" w:eastAsia="Arial" w:hAnsi="Arial"/>
                <w:sz w:val="14"/>
                <w:szCs w:val="14"/>
                <w:color w:val="auto"/>
              </w:rPr>
              <w:t>Adjusted Operating profit (loss)</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60.7</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184.8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(72.6)</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184.9</w:t>
            </w:r>
          </w:p>
        </w:tc>
        <w:tc>
          <w:tcPr>
            <w:tcW w:w="0" w:type="dxa"/>
            <w:vAlign w:val="bottom"/>
          </w:tcPr>
          <w:p>
            <w:pPr>
              <w:spacing w:after="0"/>
              <w:rPr>
                <w:sz w:val="1"/>
                <w:szCs w:val="1"/>
                <w:color w:val="auto"/>
              </w:rPr>
            </w:pPr>
          </w:p>
        </w:tc>
      </w:tr>
      <w:tr>
        <w:trPr>
          <w:trHeight w:val="460"/>
        </w:trPr>
        <w:tc>
          <w:tcPr>
            <w:tcW w:w="404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160" w:type="dxa"/>
            <w:vAlign w:val="bottom"/>
          </w:tcPr>
          <w:p>
            <w:pPr>
              <w:spacing w:after="0"/>
              <w:rPr>
                <w:sz w:val="24"/>
                <w:szCs w:val="2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79.0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110.9</w:t>
            </w:r>
          </w:p>
        </w:tc>
        <w:tc>
          <w:tcPr>
            <w:tcW w:w="0" w:type="dxa"/>
            <w:vAlign w:val="bottom"/>
          </w:tcPr>
          <w:p>
            <w:pPr>
              <w:spacing w:after="0"/>
              <w:rPr>
                <w:sz w:val="1"/>
                <w:szCs w:val="1"/>
                <w:color w:val="auto"/>
              </w:rPr>
            </w:pPr>
          </w:p>
        </w:tc>
      </w:tr>
      <w:tr>
        <w:trPr>
          <w:trHeight w:val="282"/>
        </w:trPr>
        <w:tc>
          <w:tcPr>
            <w:tcW w:w="4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40" w:type="dxa"/>
            <w:vAlign w:val="bottom"/>
          </w:tcPr>
          <w:p>
            <w:pPr>
              <w:spacing w:after="0"/>
              <w:rPr>
                <w:sz w:val="20"/>
                <w:szCs w:val="20"/>
                <w:color w:val="auto"/>
              </w:rPr>
            </w:pPr>
            <w:r>
              <w:rPr>
                <w:rFonts w:ascii="Arial" w:cs="Arial" w:eastAsia="Arial" w:hAnsi="Arial"/>
                <w:sz w:val="14"/>
                <w:szCs w:val="14"/>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139.7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194.8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295.8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404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472"/>
        </w:trPr>
        <w:tc>
          <w:tcPr>
            <w:tcW w:w="404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473"/>
        </w:trPr>
        <w:tc>
          <w:tcPr>
            <w:tcW w:w="4040" w:type="dxa"/>
            <w:vAlign w:val="bottom"/>
          </w:tcPr>
          <w:p>
            <w:pPr>
              <w:spacing w:after="0"/>
              <w:rPr>
                <w:sz w:val="20"/>
                <w:szCs w:val="20"/>
                <w:color w:val="auto"/>
              </w:rPr>
            </w:pPr>
            <w:r>
              <w:rPr>
                <w:rFonts w:ascii="Arial" w:cs="Arial" w:eastAsia="Arial" w:hAnsi="Arial"/>
                <w:sz w:val="14"/>
                <w:szCs w:val="14"/>
                <w:color w:val="auto"/>
              </w:rPr>
              <w:t>Adjusted EBITDA margin</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99" w:right="339" w:bottom="839" w:gutter="0" w:footer="0" w:header="0"/>
        </w:sectPr>
      </w:pPr>
    </w:p>
    <w:p>
      <w:pPr>
        <w:spacing w:after="0" w:line="231" w:lineRule="exact"/>
        <w:rPr>
          <w:sz w:val="20"/>
          <w:szCs w:val="20"/>
          <w:color w:val="auto"/>
        </w:rPr>
      </w:pPr>
    </w:p>
    <w:p>
      <w:pPr>
        <w:ind w:left="5100"/>
        <w:spacing w:after="0"/>
        <w:tabs>
          <w:tab w:leader="none" w:pos="102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26 of </w:t>
      </w:r>
      <w:hyperlink w:anchor="page32">
        <w:r>
          <w:rPr>
            <w:rFonts w:ascii="Arial" w:cs="Arial" w:eastAsia="Arial" w:hAnsi="Arial"/>
            <w:sz w:val="14"/>
            <w:szCs w:val="14"/>
            <w:b w:val="1"/>
            <w:bCs w:val="1"/>
            <w:color w:val="auto"/>
          </w:rPr>
          <w:t>28</w:t>
        </w:r>
      </w:hyperlink>
    </w:p>
    <w:p>
      <w:pPr>
        <w:sectPr>
          <w:pgSz w:w="11900" w:h="16838" w:orient="portrait"/>
          <w:cols w:equalWidth="0" w:num="1">
            <w:col w:w="11240"/>
          </w:cols>
          <w:pgMar w:left="320" w:top="499" w:right="339" w:bottom="839"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13"/>
          <w:szCs w:val="13"/>
          <w:b w:val="1"/>
          <w:bCs w:val="1"/>
          <w:color w:val="auto"/>
        </w:rPr>
        <w:t>Exhibit 10</w:t>
      </w:r>
    </w:p>
    <w:p>
      <w:pPr>
        <w:spacing w:after="0" w:line="161"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u w:val="single" w:color="auto"/>
          <w:color w:val="auto"/>
        </w:rPr>
        <w:t>RECONCILIATION OF CORPORATE EXPENSE</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365760</wp:posOffset>
            </wp:positionV>
            <wp:extent cx="15773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Three Months Ended</w:t>
      </w:r>
    </w:p>
    <w:p>
      <w:pPr>
        <w:spacing w:after="0" w:line="96"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49530</wp:posOffset>
            </wp:positionV>
            <wp:extent cx="15773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r>
      <w:tr>
        <w:trPr>
          <w:trHeight w:val="203"/>
        </w:trPr>
        <w:tc>
          <w:tcPr>
            <w:tcW w:w="6720" w:type="dxa"/>
            <w:vAlign w:val="bottom"/>
          </w:tcPr>
          <w:p>
            <w:pPr>
              <w:spacing w:after="0"/>
              <w:rPr>
                <w:sz w:val="20"/>
                <w:szCs w:val="20"/>
                <w:color w:val="auto"/>
              </w:rPr>
            </w:pPr>
            <w:r>
              <w:rPr>
                <w:rFonts w:ascii="Arial" w:cs="Arial" w:eastAsia="Arial" w:hAnsi="Arial"/>
                <w:sz w:val="14"/>
                <w:szCs w:val="14"/>
                <w:color w:val="auto"/>
              </w:rPr>
              <w:t>Corporate expense, reported</w:t>
            </w:r>
          </w:p>
        </w:tc>
        <w:tc>
          <w:tcPr>
            <w:tcW w:w="780" w:type="dxa"/>
            <w:vAlign w:val="bottom"/>
          </w:tcPr>
          <w:p>
            <w:pPr>
              <w:jc w:val="right"/>
              <w:ind w:right="628"/>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96"/>
              </w:rPr>
              <w:t>112.2</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93.6</w:t>
            </w:r>
          </w:p>
        </w:tc>
      </w:tr>
      <w:tr>
        <w:trPr>
          <w:trHeight w:val="222"/>
        </w:trPr>
        <w:tc>
          <w:tcPr>
            <w:tcW w:w="6720" w:type="dxa"/>
            <w:vAlign w:val="bottom"/>
          </w:tcPr>
          <w:p>
            <w:pPr>
              <w:spacing w:after="0"/>
              <w:rPr>
                <w:sz w:val="20"/>
                <w:szCs w:val="20"/>
                <w:color w:val="auto"/>
              </w:rPr>
            </w:pPr>
            <w:r>
              <w:rPr>
                <w:rFonts w:ascii="Arial" w:cs="Arial" w:eastAsia="Arial" w:hAnsi="Arial"/>
                <w:sz w:val="14"/>
                <w:szCs w:val="14"/>
                <w:color w:val="auto"/>
              </w:rPr>
              <w:t>Less charges and (credits) [Exhibit 9]</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r>
      <w:tr>
        <w:trPr>
          <w:trHeight w:val="203"/>
        </w:trPr>
        <w:tc>
          <w:tcPr>
            <w:tcW w:w="6720" w:type="dxa"/>
            <w:vAlign w:val="bottom"/>
          </w:tcPr>
          <w:p>
            <w:pPr>
              <w:spacing w:after="0"/>
              <w:rPr>
                <w:sz w:val="20"/>
                <w:szCs w:val="20"/>
                <w:color w:val="auto"/>
              </w:rPr>
            </w:pPr>
            <w:r>
              <w:rPr>
                <w:rFonts w:ascii="Arial" w:cs="Arial" w:eastAsia="Arial" w:hAnsi="Arial"/>
                <w:sz w:val="14"/>
                <w:szCs w:val="14"/>
                <w:color w:val="auto"/>
              </w:rPr>
              <w:t>Corporate expense, adjusted</w:t>
            </w:r>
          </w:p>
        </w:tc>
        <w:tc>
          <w:tcPr>
            <w:tcW w:w="7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81.5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72.6</w:t>
            </w:r>
          </w:p>
        </w:tc>
      </w:tr>
      <w:tr>
        <w:trPr>
          <w:trHeight w:val="222"/>
        </w:trPr>
        <w:tc>
          <w:tcPr>
            <w:tcW w:w="6720" w:type="dxa"/>
            <w:vAlign w:val="bottom"/>
          </w:tcPr>
          <w:p>
            <w:pPr>
              <w:spacing w:after="0"/>
              <w:rPr>
                <w:sz w:val="20"/>
                <w:szCs w:val="20"/>
                <w:color w:val="auto"/>
              </w:rPr>
            </w:pPr>
            <w:r>
              <w:rPr>
                <w:rFonts w:ascii="Arial" w:cs="Arial" w:eastAsia="Arial" w:hAnsi="Arial"/>
                <w:sz w:val="14"/>
                <w:szCs w:val="14"/>
                <w:color w:val="auto"/>
              </w:rPr>
              <w:t>Less foreign exchange losses</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r>
      <w:tr>
        <w:trPr>
          <w:trHeight w:val="216"/>
        </w:trPr>
        <w:tc>
          <w:tcPr>
            <w:tcW w:w="6720" w:type="dxa"/>
            <w:vAlign w:val="bottom"/>
          </w:tcPr>
          <w:p>
            <w:pPr>
              <w:spacing w:after="0"/>
              <w:rPr>
                <w:sz w:val="20"/>
                <w:szCs w:val="20"/>
                <w:color w:val="auto"/>
              </w:rPr>
            </w:pPr>
            <w:r>
              <w:rPr>
                <w:rFonts w:ascii="Arial" w:cs="Arial" w:eastAsia="Arial" w:hAnsi="Arial"/>
                <w:sz w:val="14"/>
                <w:szCs w:val="14"/>
                <w:b w:val="1"/>
                <w:bCs w:val="1"/>
                <w:color w:val="auto"/>
              </w:rPr>
              <w:t>Corporate expense, adjusted and excluding foreign exchange losses</w:t>
            </w:r>
          </w:p>
        </w:tc>
        <w:tc>
          <w:tcPr>
            <w:tcW w:w="7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w:t>
            </w:r>
          </w:p>
        </w:tc>
      </w:tr>
      <w:tr>
        <w:trPr>
          <w:trHeight w:val="20"/>
        </w:trPr>
        <w:tc>
          <w:tcPr>
            <w:tcW w:w="6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60"/>
        <w:spacing w:after="0"/>
        <w:tabs>
          <w:tab w:leader="none" w:pos="92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27 of </w:t>
      </w:r>
      <w:hyperlink w:anchor="page32">
        <w:r>
          <w:rPr>
            <w:rFonts w:ascii="Arial" w:cs="Arial" w:eastAsia="Arial" w:hAnsi="Arial"/>
            <w:sz w:val="14"/>
            <w:szCs w:val="14"/>
            <w:b w:val="1"/>
            <w:bCs w:val="1"/>
            <w:color w:val="auto"/>
          </w:rPr>
          <w:t>28</w:t>
        </w:r>
      </w:hyperlink>
    </w:p>
    <w:p>
      <w:pPr>
        <w:sectPr>
          <w:pgSz w:w="11900" w:h="16838" w:orient="portrait"/>
          <w:cols w:equalWidth="0" w:num="1">
            <w:col w:w="10200"/>
          </w:cols>
          <w:pgMar w:left="1360" w:top="499"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3"/>
          <w:szCs w:val="13"/>
          <w:b w:val="1"/>
          <w:bCs w:val="1"/>
          <w:color w:val="auto"/>
        </w:rPr>
        <w:t>Exhibit 11</w:t>
      </w:r>
    </w:p>
    <w:p>
      <w:pPr>
        <w:spacing w:after="0" w:line="16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342" w:lineRule="exact"/>
        <w:rPr>
          <w:sz w:val="20"/>
          <w:szCs w:val="20"/>
          <w:color w:val="auto"/>
        </w:rPr>
      </w:pPr>
    </w:p>
    <w:tbl>
      <w:tblPr>
        <w:tblLayout w:type="fixed"/>
        <w:tblInd w:w="1060" w:type="dxa"/>
        <w:tblCellMar>
          <w:top w:w="0" w:type="dxa"/>
          <w:left w:w="0" w:type="dxa"/>
          <w:bottom w:w="0" w:type="dxa"/>
          <w:right w:w="0" w:type="dxa"/>
        </w:tblCellMar>
      </w:tblPr>
      <w:tr>
        <w:trPr>
          <w:trHeight w:val="203"/>
        </w:trPr>
        <w:tc>
          <w:tcPr>
            <w:tcW w:w="6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w:t>
            </w:r>
          </w:p>
        </w:tc>
        <w:tc>
          <w:tcPr>
            <w:tcW w:w="1180" w:type="dxa"/>
            <w:vAlign w:val="bottom"/>
            <w:gridSpan w:val="2"/>
          </w:tcPr>
          <w:p>
            <w:pPr>
              <w:jc w:val="right"/>
              <w:ind w:right="52"/>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6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2019</w:t>
            </w:r>
          </w:p>
        </w:tc>
      </w:tr>
      <w:tr>
        <w:trPr>
          <w:trHeight w:val="33"/>
        </w:trPr>
        <w:tc>
          <w:tcPr>
            <w:tcW w:w="6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4,999.4</w:t>
            </w:r>
          </w:p>
        </w:tc>
        <w:tc>
          <w:tcPr>
            <w:tcW w:w="100" w:type="dxa"/>
            <w:vAlign w:val="bottom"/>
          </w:tcPr>
          <w:p>
            <w:pPr>
              <w:spacing w:after="0"/>
              <w:rPr>
                <w:sz w:val="20"/>
                <w:szCs w:val="20"/>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5,190.2</w:t>
            </w: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Short-term debt and current portion of long-term debt</w:t>
            </w: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(586.7)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(495.4)</w:t>
            </w: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(3,823.9)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(3,980.0)</w:t>
            </w:r>
          </w:p>
        </w:tc>
      </w:tr>
      <w:tr>
        <w:trPr>
          <w:trHeight w:val="27"/>
        </w:trPr>
        <w:tc>
          <w:tcPr>
            <w:tcW w:w="6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6680" w:type="dxa"/>
            <w:vAlign w:val="bottom"/>
          </w:tcPr>
          <w:p>
            <w:pPr>
              <w:spacing w:after="0"/>
              <w:rPr>
                <w:sz w:val="20"/>
                <w:szCs w:val="20"/>
                <w:color w:val="auto"/>
              </w:rPr>
            </w:pPr>
            <w:r>
              <w:rPr>
                <w:rFonts w:ascii="Arial" w:cs="Arial" w:eastAsia="Arial" w:hAnsi="Arial"/>
                <w:sz w:val="18"/>
                <w:szCs w:val="18"/>
                <w:color w:val="auto"/>
              </w:rPr>
              <w:t>Net cash</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588.8</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714.8</w:t>
            </w:r>
          </w:p>
        </w:tc>
      </w:tr>
      <w:tr>
        <w:trPr>
          <w:trHeight w:val="20"/>
        </w:trPr>
        <w:tc>
          <w:tcPr>
            <w:tcW w:w="6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(debt) cash, is a non-GAAP financial measure reflecting cash and cash equivalents, net of debt. Management uses this non-GAAP 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U.S. GAAP or as an indicator of our operating performance or liquidity.</w:t>
      </w:r>
    </w:p>
    <w:p>
      <w:pPr>
        <w:spacing w:after="0" w:line="200" w:lineRule="exact"/>
        <w:rPr>
          <w:sz w:val="20"/>
          <w:szCs w:val="20"/>
          <w:color w:val="auto"/>
        </w:rPr>
      </w:pPr>
    </w:p>
    <w:p>
      <w:pPr>
        <w:spacing w:after="0" w:line="205" w:lineRule="exact"/>
        <w:rPr>
          <w:sz w:val="20"/>
          <w:szCs w:val="20"/>
          <w:color w:val="auto"/>
        </w:rPr>
      </w:pPr>
    </w:p>
    <w:p>
      <w:pPr>
        <w:ind w:left="5100"/>
        <w:spacing w:after="0"/>
        <w:tabs>
          <w:tab w:leader="none" w:pos="102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28 of </w:t>
      </w:r>
      <w:hyperlink w:anchor="page32">
        <w:r>
          <w:rPr>
            <w:rFonts w:ascii="Arial" w:cs="Arial" w:eastAsia="Arial" w:hAnsi="Arial"/>
            <w:sz w:val="14"/>
            <w:szCs w:val="14"/>
            <w:b w:val="1"/>
            <w:bCs w:val="1"/>
            <w:color w:val="auto"/>
          </w:rPr>
          <w:t>28</w:t>
        </w:r>
      </w:hyperlink>
    </w:p>
    <w:sectPr>
      <w:pgSz w:w="11900" w:h="16838" w:orient="portrait"/>
      <w:cols w:equalWidth="0" w:num="1">
        <w:col w:w="11240"/>
      </w:cols>
      <w:pgMar w:left="320" w:top="4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lowerLetter"/>
      <w:start w:val="5"/>
    </w:lvl>
  </w:abstractNum>
  <w:abstractNum w:abstractNumId="2">
    <w:nsid w:val="1BEFD79F"/>
    <w:multiLevelType w:val="hybridMultilevel"/>
    <w:lvl w:ilvl="0">
      <w:lvlJc w:val="left"/>
      <w:lvlText w:val="•"/>
      <w:numFmt w:val="bullet"/>
      <w:start w:val="1"/>
    </w:lvl>
    <w:lvl w:ilvl="1">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lvl w:ilvl="1">
      <w:lvlJc w:val="left"/>
      <w:lvlText w:val="*"/>
      <w:numFmt w:val="bullet"/>
      <w:start w:val="1"/>
    </w:lvl>
  </w:abstractNum>
  <w:abstractNum w:abstractNumId="8">
    <w:nsid w:val="431BD7B7"/>
    <w:multiLevelType w:val="hybridMultilevel"/>
    <w:lvl w:ilvl="0">
      <w:lvlJc w:val="left"/>
      <w:lvlText w:val="1"/>
      <w:numFmt w:val="bullet"/>
      <w:start w:val="1"/>
    </w:lvl>
  </w:abstractNum>
  <w:abstractNum w:abstractNumId="9">
    <w:nsid w:val="3F2DBA31"/>
    <w:multiLevelType w:val="hybridMultilevel"/>
    <w:lvl w:ilvl="0">
      <w:lvlJc w:val="left"/>
      <w:lvlText w:val="2"/>
      <w:numFmt w:val="bullet"/>
      <w:start w:val="1"/>
    </w:lvl>
  </w:abstractNum>
  <w:abstractNum w:abstractNumId="10">
    <w:nsid w:val="7C83E458"/>
    <w:multiLevelType w:val="hybridMultilevel"/>
    <w:lvl w:ilvl="0">
      <w:lvlJc w:val="left"/>
      <w:lvlText w:val="3"/>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bullet"/>
      <w:start w:val="1"/>
    </w:lvl>
  </w:abstractNum>
  <w:abstractNum w:abstractNumId="14">
    <w:nsid w:val="628C895D"/>
    <w:multiLevelType w:val="hybridMultilevel"/>
    <w:lvl w:ilvl="0">
      <w:lvlJc w:val="left"/>
      <w:lvlText w:val="2"/>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2020-04-22T15:53:07Z</dcterms:created>
  <dcterms:modified xsi:type="dcterms:W3CDTF">2020-04-22T15:53:07Z</dcterms:modified>
</cp:coreProperties>
</file>