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0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00" w:type="dxa"/>
            <w:vAlign w:val="bottom"/>
            <w:vMerge w:val="restart"/>
          </w:tcPr>
          <w:p>
            <w:pPr>
              <w:jc w:val="center"/>
              <w:ind w:right="214"/>
              <w:spacing w:after="0" w:line="193"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-643255</wp:posOffset>
            </wp:positionV>
            <wp:extent cx="59055" cy="656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65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-643255</wp:posOffset>
            </wp:positionV>
            <wp:extent cx="59055" cy="656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659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5294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529455"/>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Beitler Bradley D.</w:t>
        </w:r>
      </w:hyperlink>
    </w:p>
    <w:p>
      <w:pPr>
        <w:spacing w:after="0" w:line="318"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TECHNIPFMC PLC</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ONE ST. PAUL'S CHURCHYARD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TechnipFMC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FTI</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09/22/2017</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1" w:right="680" w:firstLine="1"/>
        <w:spacing w:after="0" w:line="250"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0" w:lineRule="exact"/>
        <w:rPr>
          <w:sz w:val="24"/>
          <w:szCs w:val="24"/>
          <w:color w:val="auto"/>
        </w:rPr>
      </w:pPr>
    </w:p>
    <w:tbl>
      <w:tblPr>
        <w:tblLayout w:type="fixed"/>
        <w:tblInd w:w="199" w:type="dxa"/>
        <w:tblCellMar>
          <w:top w:w="0" w:type="dxa"/>
          <w:left w:w="0" w:type="dxa"/>
          <w:bottom w:w="0" w:type="dxa"/>
          <w:right w:w="0" w:type="dxa"/>
        </w:tblCellMar>
      </w:tblPr>
      <w:tr>
        <w:trPr>
          <w:trHeight w:val="160"/>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699"/>
        <w:spacing w:after="0"/>
        <w:rPr>
          <w:sz w:val="20"/>
          <w:szCs w:val="20"/>
          <w:color w:val="auto"/>
        </w:rPr>
      </w:pPr>
      <w:r>
        <w:rPr>
          <w:rFonts w:ascii="Arial" w:cs="Arial" w:eastAsia="Arial" w:hAnsi="Arial"/>
          <w:sz w:val="17"/>
          <w:szCs w:val="17"/>
          <w:color w:val="0000FF"/>
        </w:rPr>
        <w:t>EVP, Technology and R&amp;D</w:t>
      </w:r>
    </w:p>
    <w:p>
      <w:pPr>
        <w:spacing w:after="0" w:line="398" w:lineRule="exact"/>
        <w:rPr>
          <w:sz w:val="24"/>
          <w:szCs w:val="24"/>
          <w:color w:val="auto"/>
        </w:rPr>
      </w:pPr>
    </w:p>
    <w:p>
      <w:pPr>
        <w:sectPr>
          <w:pgSz w:w="11900" w:h="16838" w:orient="portrait"/>
          <w:cols w:equalWidth="0" w:num="3">
            <w:col w:w="3340" w:space="720"/>
            <w:col w:w="3261" w:space="720"/>
            <w:col w:w="3479"/>
          </w:cols>
          <w:pgMar w:left="240" w:top="224"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3800" w:type="dxa"/>
            <w:vAlign w:val="bottom"/>
            <w:gridSpan w:val="8"/>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82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20" w:type="dxa"/>
            <w:vAlign w:val="bottom"/>
            <w:gridSpan w:val="10"/>
            <w:vMerge w:val="restart"/>
          </w:tcPr>
          <w:p>
            <w:pPr>
              <w:ind w:left="5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LONDON</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X0</w:t>
            </w:r>
          </w:p>
        </w:tc>
        <w:tc>
          <w:tcPr>
            <w:tcW w:w="1140" w:type="dxa"/>
            <w:vAlign w:val="bottom"/>
            <w:vMerge w:val="restart"/>
          </w:tcPr>
          <w:p>
            <w:pPr>
              <w:ind w:left="60"/>
              <w:spacing w:after="0"/>
              <w:rPr>
                <w:sz w:val="20"/>
                <w:szCs w:val="20"/>
                <w:color w:val="auto"/>
              </w:rPr>
            </w:pPr>
            <w:r>
              <w:rPr>
                <w:rFonts w:ascii="Arial" w:cs="Arial" w:eastAsia="Arial" w:hAnsi="Arial"/>
                <w:sz w:val="17"/>
                <w:szCs w:val="17"/>
                <w:color w:val="0000FF"/>
              </w:rPr>
              <w:t>EC4M 8AP</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80" w:type="dxa"/>
            <w:vAlign w:val="bottom"/>
            <w:tcBorders>
              <w:bottom w:val="single" w:sz="8" w:color="2C2C2C"/>
            </w:tcBorders>
            <w:gridSpan w:val="3"/>
          </w:tcPr>
          <w:p>
            <w:pPr>
              <w:spacing w:after="0"/>
              <w:rPr>
                <w:sz w:val="10"/>
                <w:szCs w:val="10"/>
                <w:color w:val="auto"/>
              </w:rPr>
            </w:pPr>
          </w:p>
        </w:tc>
        <w:tc>
          <w:tcPr>
            <w:tcW w:w="1740" w:type="dxa"/>
            <w:vAlign w:val="bottom"/>
            <w:tcBorders>
              <w:bottom w:val="single" w:sz="8" w:color="2C2C2C"/>
            </w:tcBorders>
            <w:gridSpan w:val="4"/>
          </w:tcPr>
          <w:p>
            <w:pPr>
              <w:spacing w:after="0"/>
              <w:rPr>
                <w:sz w:val="10"/>
                <w:szCs w:val="10"/>
                <w:color w:val="auto"/>
              </w:rPr>
            </w:pPr>
          </w:p>
        </w:tc>
        <w:tc>
          <w:tcPr>
            <w:tcW w:w="2700" w:type="dxa"/>
            <w:vAlign w:val="bottom"/>
            <w:tcBorders>
              <w:bottom w:val="single" w:sz="8" w:color="2C2C2C"/>
            </w:tcBorders>
            <w:gridSpan w:val="5"/>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5"/>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6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9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860"/>
              <w:spacing w:after="0" w:line="130" w:lineRule="exact"/>
              <w:rPr>
                <w:sz w:val="20"/>
                <w:szCs w:val="20"/>
                <w:color w:val="auto"/>
              </w:rPr>
            </w:pPr>
            <w:r>
              <w:rPr>
                <w:rFonts w:ascii="Arial" w:cs="Arial" w:eastAsia="Arial" w:hAnsi="Arial"/>
                <w:sz w:val="12"/>
                <w:szCs w:val="12"/>
                <w:b w:val="1"/>
                <w:bCs w:val="1"/>
                <w:color w:val="auto"/>
                <w:w w:val="99"/>
              </w:rPr>
              <w:t>Date</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40"/>
              <w:spacing w:after="0" w:line="133" w:lineRule="exact"/>
              <w:rPr>
                <w:sz w:val="20"/>
                <w:szCs w:val="20"/>
                <w:color w:val="auto"/>
              </w:rPr>
            </w:pPr>
            <w:r>
              <w:rPr>
                <w:rFonts w:ascii="Arial" w:cs="Arial" w:eastAsia="Arial" w:hAnsi="Arial"/>
                <w:sz w:val="12"/>
                <w:szCs w:val="12"/>
                <w:b w:val="1"/>
                <w:bCs w:val="1"/>
                <w:color w:val="auto"/>
                <w:w w:val="99"/>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8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700" w:type="dxa"/>
            <w:vAlign w:val="bottom"/>
            <w:tcBorders>
              <w:bottom w:val="single" w:sz="8" w:color="2C2C2C"/>
            </w:tcBorders>
            <w:gridSpan w:val="5"/>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740" w:type="dxa"/>
            <w:vAlign w:val="bottom"/>
            <w:gridSpan w:val="12"/>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80" w:type="dxa"/>
            <w:vAlign w:val="bottom"/>
          </w:tcPr>
          <w:p>
            <w:pPr>
              <w:spacing w:after="0"/>
              <w:rPr>
                <w:sz w:val="11"/>
                <w:szCs w:val="11"/>
                <w:color w:val="auto"/>
              </w:rPr>
            </w:pPr>
          </w:p>
        </w:tc>
        <w:tc>
          <w:tcPr>
            <w:tcW w:w="9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3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Phantom</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16"/>
                <w:szCs w:val="16"/>
                <w:color w:val="auto"/>
              </w:rPr>
            </w:pPr>
          </w:p>
        </w:tc>
        <w:tc>
          <w:tcPr>
            <w:tcW w:w="560" w:type="dxa"/>
            <w:vAlign w:val="bottom"/>
            <w:vMerge w:val="restart"/>
          </w:tcPr>
          <w:p>
            <w:pPr>
              <w:ind w:left="120"/>
              <w:spacing w:after="0"/>
              <w:rPr>
                <w:sz w:val="20"/>
                <w:szCs w:val="20"/>
                <w:color w:val="auto"/>
              </w:rPr>
            </w:pPr>
            <w:r>
              <w:rPr>
                <w:rFonts w:ascii="Arial" w:cs="Arial" w:eastAsia="Arial" w:hAnsi="Arial"/>
                <w:sz w:val="11"/>
                <w:szCs w:val="11"/>
                <w:color w:val="008000"/>
              </w:rPr>
              <w:t>(2)</w:t>
            </w: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Ordinary</w:t>
            </w:r>
          </w:p>
        </w:tc>
        <w:tc>
          <w:tcPr>
            <w:tcW w:w="640" w:type="dxa"/>
            <w:vAlign w:val="bottom"/>
            <w:vMerge w:val="restart"/>
          </w:tcPr>
          <w:p>
            <w:pPr>
              <w:spacing w:after="0"/>
              <w:rPr>
                <w:sz w:val="20"/>
                <w:szCs w:val="20"/>
                <w:color w:val="auto"/>
              </w:rPr>
            </w:pPr>
            <w:r>
              <w:rPr>
                <w:rFonts w:ascii="Arial" w:cs="Arial" w:eastAsia="Arial" w:hAnsi="Arial"/>
                <w:sz w:val="17"/>
                <w:szCs w:val="17"/>
                <w:color w:val="0000FF"/>
              </w:rPr>
              <w:t>140.125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vMerge w:val="restart"/>
          </w:tcPr>
          <w:p>
            <w:pPr>
              <w:ind w:left="260"/>
              <w:spacing w:after="0"/>
              <w:rPr>
                <w:sz w:val="20"/>
                <w:szCs w:val="20"/>
                <w:color w:val="auto"/>
              </w:rPr>
            </w:pPr>
            <w:r>
              <w:rPr>
                <w:rFonts w:ascii="Arial" w:cs="Arial" w:eastAsia="Arial" w:hAnsi="Arial"/>
                <w:sz w:val="13"/>
                <w:szCs w:val="13"/>
                <w:color w:val="0000FF"/>
              </w:rPr>
              <w:t>09/22/2017</w:t>
            </w:r>
          </w:p>
        </w:tc>
        <w:tc>
          <w:tcPr>
            <w:tcW w:w="1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vMerge w:val="restart"/>
          </w:tcPr>
          <w:p>
            <w:pPr>
              <w:ind w:left="20"/>
              <w:spacing w:after="0"/>
              <w:rPr>
                <w:sz w:val="20"/>
                <w:szCs w:val="20"/>
                <w:color w:val="auto"/>
              </w:rPr>
            </w:pPr>
            <w:r>
              <w:rPr>
                <w:rFonts w:ascii="Arial" w:cs="Arial" w:eastAsia="Arial" w:hAnsi="Arial"/>
                <w:sz w:val="13"/>
                <w:szCs w:val="13"/>
                <w:color w:val="0000FF"/>
              </w:rPr>
              <w:t>A</w:t>
            </w:r>
          </w:p>
        </w:tc>
        <w:tc>
          <w:tcPr>
            <w:tcW w:w="700" w:type="dxa"/>
            <w:vAlign w:val="bottom"/>
            <w:vMerge w:val="restart"/>
          </w:tcPr>
          <w:p>
            <w:pPr>
              <w:ind w:left="120"/>
              <w:spacing w:after="0"/>
              <w:rPr>
                <w:sz w:val="20"/>
                <w:szCs w:val="20"/>
                <w:color w:val="auto"/>
              </w:rPr>
            </w:pPr>
            <w:r>
              <w:rPr>
                <w:rFonts w:ascii="Arial" w:cs="Arial" w:eastAsia="Arial" w:hAnsi="Arial"/>
                <w:sz w:val="13"/>
                <w:szCs w:val="13"/>
                <w:color w:val="0000FF"/>
              </w:rPr>
              <w:t>140.125</w:t>
            </w:r>
          </w:p>
        </w:tc>
        <w:tc>
          <w:tcPr>
            <w:tcW w:w="28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14.05</w:t>
            </w:r>
          </w:p>
        </w:tc>
        <w:tc>
          <w:tcPr>
            <w:tcW w:w="900" w:type="dxa"/>
            <w:vAlign w:val="bottom"/>
            <w:gridSpan w:val="2"/>
            <w:vMerge w:val="restart"/>
          </w:tcPr>
          <w:p>
            <w:pPr>
              <w:ind w:left="120"/>
              <w:spacing w:after="0"/>
              <w:rPr>
                <w:sz w:val="20"/>
                <w:szCs w:val="20"/>
                <w:color w:val="auto"/>
              </w:rPr>
            </w:pPr>
            <w:r>
              <w:rPr>
                <w:rFonts w:ascii="Arial" w:cs="Arial" w:eastAsia="Arial" w:hAnsi="Arial"/>
                <w:sz w:val="13"/>
                <w:szCs w:val="13"/>
                <w:color w:val="0000FF"/>
              </w:rPr>
              <w:t>24,964.968</w:t>
            </w: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80" w:type="dxa"/>
            <w:vAlign w:val="bottom"/>
            <w:vMerge w:val="restart"/>
          </w:tcPr>
          <w:p>
            <w:pPr>
              <w:ind w:left="60"/>
              <w:spacing w:after="0" w:line="159" w:lineRule="exact"/>
              <w:rPr>
                <w:sz w:val="20"/>
                <w:szCs w:val="20"/>
                <w:color w:val="auto"/>
              </w:rPr>
            </w:pPr>
            <w:r>
              <w:rPr>
                <w:rFonts w:ascii="Arial" w:cs="Arial" w:eastAsia="Arial" w:hAnsi="Arial"/>
                <w:sz w:val="11"/>
                <w:szCs w:val="11"/>
                <w:color w:val="0000FF"/>
              </w:rPr>
              <w:t>Shares</w:t>
            </w:r>
            <w:r>
              <w:rPr>
                <w:rFonts w:ascii="Arial" w:cs="Arial" w:eastAsia="Arial" w:hAnsi="Arial"/>
                <w:sz w:val="18"/>
                <w:szCs w:val="18"/>
                <w:color w:val="008000"/>
                <w:vertAlign w:val="superscript"/>
              </w:rPr>
              <w:t>(3)</w:t>
            </w:r>
          </w:p>
        </w:tc>
        <w:tc>
          <w:tcPr>
            <w:tcW w:w="6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Units</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N/A</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Phantom Stock Units are payable in cash following termination or retirement of the reporting person's employment with TechnipFMC, or death.</w:t>
      </w:r>
    </w:p>
    <w:p>
      <w:pPr>
        <w:spacing w:after="0" w:line="49" w:lineRule="exact"/>
        <w:rPr>
          <w:rFonts w:ascii="Arial" w:cs="Arial" w:eastAsia="Arial" w:hAnsi="Arial"/>
          <w:sz w:val="13"/>
          <w:szCs w:val="13"/>
          <w:color w:val="008000"/>
        </w:rPr>
      </w:pPr>
    </w:p>
    <w:p>
      <w:pPr>
        <w:ind w:left="40" w:right="160" w:firstLine="6"/>
        <w:spacing w:after="0" w:line="26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 participant's interest in the NQ Plan is represented in units (referred to as Phantom Stock Units) which consist of phantom shares of TechnipFMC Ordinary Shares and uninvested cash balances held by the NQ Plan for administrative convenience.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2"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80" w:type="dxa"/>
            <w:vAlign w:val="bottom"/>
            <w:gridSpan w:val="3"/>
          </w:tcPr>
          <w:p>
            <w:pPr>
              <w:spacing w:after="0"/>
              <w:rPr>
                <w:sz w:val="20"/>
                <w:szCs w:val="20"/>
                <w:color w:val="auto"/>
              </w:rPr>
            </w:pPr>
            <w:r>
              <w:rPr>
                <w:rFonts w:ascii="Arial" w:cs="Arial" w:eastAsia="Arial" w:hAnsi="Arial"/>
                <w:sz w:val="17"/>
                <w:szCs w:val="17"/>
                <w:color w:val="0000FF"/>
                <w:w w:val="97"/>
              </w:rPr>
              <w:t>/s/ Lisa P. Wang, Attorney-In-</w:t>
            </w:r>
          </w:p>
        </w:tc>
        <w:tc>
          <w:tcPr>
            <w:tcW w:w="90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9"/>
              </w:rPr>
              <w:t>09/26/2017</w:t>
            </w:r>
          </w:p>
        </w:tc>
        <w:tc>
          <w:tcPr>
            <w:tcW w:w="0" w:type="dxa"/>
            <w:vAlign w:val="bottom"/>
          </w:tcPr>
          <w:p>
            <w:pPr>
              <w:spacing w:after="0"/>
              <w:rPr>
                <w:sz w:val="1"/>
                <w:szCs w:val="1"/>
                <w:color w:val="auto"/>
              </w:rPr>
            </w:pPr>
          </w:p>
        </w:tc>
      </w:tr>
      <w:tr>
        <w:trPr>
          <w:trHeight w:val="86"/>
        </w:trPr>
        <w:tc>
          <w:tcPr>
            <w:tcW w:w="300" w:type="dxa"/>
            <w:vAlign w:val="bottom"/>
            <w:tcBorders>
              <w:top w:val="single" w:sz="8" w:color="auto"/>
            </w:tcBorders>
            <w:vMerge w:val="restart"/>
          </w:tcPr>
          <w:p>
            <w:pPr>
              <w:spacing w:after="0" w:line="192" w:lineRule="exact"/>
              <w:rPr>
                <w:sz w:val="20"/>
                <w:szCs w:val="20"/>
                <w:color w:val="auto"/>
              </w:rPr>
            </w:pPr>
            <w:r>
              <w:rPr>
                <w:rFonts w:ascii="Arial" w:cs="Arial" w:eastAsia="Arial" w:hAnsi="Arial"/>
                <w:sz w:val="17"/>
                <w:szCs w:val="17"/>
                <w:color w:val="0000FF"/>
                <w:w w:val="84"/>
              </w:rPr>
              <w:t>Fact</w:t>
            </w:r>
          </w:p>
        </w:tc>
        <w:tc>
          <w:tcPr>
            <w:tcW w:w="176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300" w:type="dxa"/>
            <w:vAlign w:val="bottom"/>
            <w:tcBorders>
              <w:top w:val="single" w:sz="8" w:color="auto"/>
              <w:bottom w:val="single" w:sz="8" w:color="auto"/>
            </w:tcBorders>
            <w:vMerge w:val="continue"/>
          </w:tcPr>
          <w:p>
            <w:pPr>
              <w:spacing w:after="0"/>
              <w:rPr>
                <w:sz w:val="7"/>
                <w:szCs w:val="7"/>
                <w:color w:val="auto"/>
              </w:rPr>
            </w:pPr>
          </w:p>
        </w:tc>
        <w:tc>
          <w:tcPr>
            <w:tcW w:w="176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21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20" w:firstLine="6"/>
        <w:spacing w:after="0" w:line="317"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4001" TargetMode="External"/><Relationship Id="rId13" Type="http://schemas.openxmlformats.org/officeDocument/2006/relationships/hyperlink" Target="http://www.sec.gov/cgi-bin/browse-edgar?action=getcompany&amp;CIK=00016814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2019-12-24T09:09:04Z</dcterms:created>
  <dcterms:modified xsi:type="dcterms:W3CDTF">2019-12-24T09:09:04Z</dcterms:modified>
</cp:coreProperties>
</file>