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Landes Jonathan</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TECHNIPFMC PLC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TechnipFMC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FTI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01/28/2021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85"/>
        <w:spacing w:after="0"/>
        <w:rPr>
          <w:sz w:val="20"/>
          <w:szCs w:val="20"/>
          <w:color w:val="auto"/>
        </w:rPr>
      </w:pPr>
      <w:r>
        <w:rPr>
          <w:rFonts w:ascii="Times New Roman" w:cs="Times New Roman" w:eastAsia="Times New Roman" w:hAnsi="Times New Roman"/>
          <w:sz w:val="17"/>
          <w:szCs w:val="17"/>
          <w:color w:val="0000FF"/>
        </w:rPr>
        <w:t>President Subsea</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EC4M 8AP</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01/28/2021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622</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26,097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500" w:firstLine="7"/>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performance stock units, which is scheduled to vest on February 26, 2021, in the form of Ordinary Shares based upon the Issuer's performance against certain performance criteria.</w:t>
      </w:r>
    </w:p>
    <w:p>
      <w:pPr>
        <w:sectPr>
          <w:pgSz w:w="11900" w:h="16838" w:orient="portrait"/>
          <w:cols w:equalWidth="0" w:num="1">
            <w:col w:w="11080"/>
          </w:cols>
          <w:pgMar w:left="460" w:top="219" w:right="359" w:bottom="1440" w:gutter="0" w:footer="0" w:header="0"/>
          <w:type w:val="continuous"/>
        </w:sectPr>
      </w:pP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Lisa P. Wang,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6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8055" TargetMode="External"/><Relationship Id="rId14"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2021-01-29T15:26:28Z</dcterms:created>
  <dcterms:modified xsi:type="dcterms:W3CDTF">2021-01-29T15:26:28Z</dcterms:modified>
</cp:coreProperties>
</file>