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466090</wp:posOffset>
            </wp:positionH>
            <wp:positionV relativeFrom="page">
              <wp:posOffset>843280</wp:posOffset>
            </wp:positionV>
            <wp:extent cx="264160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Arial" w:cs="Arial" w:eastAsia="Arial" w:hAnsi="Arial"/>
          <w:sz w:val="18"/>
          <w:szCs w:val="18"/>
          <w:color w:val="auto"/>
        </w:rPr>
        <w:t>April 2, 2018</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6" w:lineRule="exact"/>
        <w:rPr>
          <w:sz w:val="24"/>
          <w:szCs w:val="24"/>
          <w:color w:val="auto"/>
        </w:rPr>
      </w:pPr>
    </w:p>
    <w:p>
      <w:pPr>
        <w:ind w:right="1220"/>
        <w:spacing w:after="0" w:line="342" w:lineRule="auto"/>
        <w:rPr>
          <w:sz w:val="20"/>
          <w:szCs w:val="20"/>
          <w:color w:val="auto"/>
        </w:rPr>
      </w:pPr>
      <w:r>
        <w:rPr>
          <w:rFonts w:ascii="Arial" w:cs="Arial" w:eastAsia="Arial" w:hAnsi="Arial"/>
          <w:sz w:val="16"/>
          <w:szCs w:val="16"/>
          <w:color w:val="auto"/>
        </w:rPr>
        <w:t>Notice of disclosure filed in Annual Report on Form 10-K for the year ended December 31, 2017 under Section 219 of the Iran Threat Reduction and Syria Human Rights Act of 2012 and Section 13(r) of the U.S. Securities Exchange Act of 1934, as amended</w:t>
      </w:r>
    </w:p>
    <w:p>
      <w:pPr>
        <w:spacing w:after="0" w:line="200" w:lineRule="exact"/>
        <w:rPr>
          <w:sz w:val="24"/>
          <w:szCs w:val="24"/>
          <w:color w:val="auto"/>
        </w:rPr>
      </w:pPr>
    </w:p>
    <w:p>
      <w:pPr>
        <w:sectPr>
          <w:pgSz w:w="11900" w:h="16838" w:orient="portrait"/>
          <w:cols w:equalWidth="0" w:num="2">
            <w:col w:w="280" w:space="380"/>
            <w:col w:w="10660"/>
          </w:cols>
          <w:pgMar w:left="240" w:top="1440" w:right="339" w:bottom="1440" w:gutter="0" w:footer="0" w:header="0"/>
          <w:type w:val="continuous"/>
        </w:sectPr>
      </w:pP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U.S. Securities Exchange Act of 1934, as amended, notice is hereby provided that TechnipFMC plc has made disclosure pursuant to those provisions in its Annual Report on Form 10-K for the year ended December 31, 2017, which was filed with the U.S. Securities and Exchange Commission on April 2, 2018.</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TechnipFMC plc</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Executive Vice President, Chief Legal Officer and 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11"/>
          <w:szCs w:val="11"/>
          <w:color w:val="auto"/>
        </w:rPr>
        <w:t>TechnipFMC plc is registered in England and Wales (Company No. 09909709), with registered offices at One St. Paul’s Churchyard, London, EC4M 8AP.</w:t>
      </w:r>
    </w:p>
    <w:sectPr>
      <w:pgSz w:w="11900" w:h="16838" w:orient="portrait"/>
      <w:cols w:equalWidth="0" w:num="1">
        <w:col w:w="11320"/>
      </w:cols>
      <w:pgMar w:left="24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2019-12-08T15:24:56Z</dcterms:created>
  <dcterms:modified xsi:type="dcterms:W3CDTF">2019-12-08T15:24:56Z</dcterms:modified>
</cp:coreProperties>
</file>