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13D</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TechnipFMC plc</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Ordinary Shares, $1.00 par value per share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G87110105</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Sophie Paquin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Bpifrance Participations S.A.</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27-31, avenue du Général Leclerc</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94710 Maisons-Alfort Cedex</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France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+33 1 53 89 87 89</w:t>
      </w:r>
    </w:p>
    <w:p>
      <w:pPr>
        <w:spacing w:after="0" w:line="200" w:lineRule="exact"/>
        <w:rPr>
          <w:sz w:val="24"/>
          <w:szCs w:val="24"/>
          <w:color w:val="auto"/>
        </w:rPr>
      </w:pP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With copies to:</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Pierre-Yves Chabert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Cleary Gottlieb Steen &amp; Hamilton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12, rue de Tilsitt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75008 Paris, France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Telephone: +33 1 40 74 68 80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Facsimile: +33 1 40 74 68 88</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February 16, 2021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8" w:lineRule="exact"/>
        <w:rPr>
          <w:sz w:val="24"/>
          <w:szCs w:val="24"/>
          <w:color w:val="auto"/>
        </w:rPr>
      </w:pPr>
    </w:p>
    <w:p>
      <w:pPr>
        <w:ind w:right="3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 w:lineRule="exact"/>
        <w:rPr>
          <w:sz w:val="24"/>
          <w:szCs w:val="24"/>
          <w:color w:val="auto"/>
        </w:rPr>
      </w:pPr>
    </w:p>
    <w:p>
      <w:pPr>
        <w:ind w:left="60" w:right="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56" w:right="37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color w:val="auto"/>
        </w:rPr>
        <w:t>CUSIP No. G87110105</w:t>
      </w:r>
    </w:p>
    <w:p>
      <w:pPr>
        <w:spacing w:after="0" w:line="200" w:lineRule="exact"/>
        <w:rPr>
          <w:sz w:val="20"/>
          <w:szCs w:val="20"/>
          <w:color w:val="auto"/>
        </w:rPr>
      </w:pPr>
    </w:p>
    <w:p>
      <w:pPr>
        <w:spacing w:after="0" w:line="289"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920" w:type="dxa"/>
            <w:vAlign w:val="bottom"/>
            <w:tcBorders>
              <w:top w:val="single" w:sz="8" w:color="auto"/>
              <w:left w:val="single" w:sz="8" w:color="auto"/>
            </w:tcBorders>
          </w:tcPr>
          <w:p>
            <w:pPr>
              <w:ind w:left="160"/>
              <w:spacing w:after="0"/>
              <w:rPr>
                <w:sz w:val="20"/>
                <w:szCs w:val="20"/>
                <w:color w:val="auto"/>
              </w:rPr>
            </w:pPr>
            <w:r>
              <w:rPr>
                <w:rFonts w:ascii="Arial" w:cs="Arial" w:eastAsia="Arial" w:hAnsi="Arial"/>
                <w:sz w:val="18"/>
                <w:szCs w:val="18"/>
                <w:color w:val="auto"/>
              </w:rPr>
              <w:t>1.</w:t>
            </w:r>
          </w:p>
        </w:tc>
        <w:tc>
          <w:tcPr>
            <w:tcW w:w="10340" w:type="dxa"/>
            <w:vAlign w:val="bottom"/>
            <w:tcBorders>
              <w:top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920" w:type="dxa"/>
            <w:vAlign w:val="bottom"/>
            <w:tcBorders>
              <w:left w:val="single" w:sz="8" w:color="auto"/>
            </w:tcBorders>
          </w:tcPr>
          <w:p>
            <w:pPr>
              <w:spacing w:after="0"/>
              <w:rPr>
                <w:sz w:val="21"/>
                <w:szCs w:val="21"/>
                <w:color w:val="auto"/>
              </w:rPr>
            </w:pPr>
          </w:p>
        </w:tc>
        <w:tc>
          <w:tcPr>
            <w:tcW w:w="103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Bpifrance Participations S.A.</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bottom w:val="single" w:sz="8" w:color="auto"/>
            </w:tcBorders>
          </w:tcPr>
          <w:p>
            <w:pPr>
              <w:spacing w:after="0"/>
              <w:rPr>
                <w:sz w:val="5"/>
                <w:szCs w:val="5"/>
                <w:color w:val="auto"/>
              </w:rPr>
            </w:pPr>
          </w:p>
        </w:tc>
        <w:tc>
          <w:tcPr>
            <w:tcW w:w="10340" w:type="dxa"/>
            <w:vAlign w:val="bottom"/>
            <w:tcBorders>
              <w:bottom w:val="single" w:sz="8" w:color="auto"/>
              <w:right w:val="single" w:sz="8" w:color="auto"/>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2.</w:t>
            </w:r>
          </w:p>
        </w:tc>
        <w:tc>
          <w:tcPr>
            <w:tcW w:w="103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920" w:type="dxa"/>
            <w:vAlign w:val="bottom"/>
            <w:tcBorders>
              <w:left w:val="single" w:sz="8" w:color="auto"/>
            </w:tcBorders>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w:t>
            </w:r>
          </w:p>
        </w:tc>
        <w:tc>
          <w:tcPr>
            <w:tcW w:w="5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tcBorders>
          </w:tcPr>
          <w:p>
            <w:pPr>
              <w:spacing w:after="0"/>
              <w:rPr>
                <w:sz w:val="4"/>
                <w:szCs w:val="4"/>
                <w:color w:val="auto"/>
              </w:rPr>
            </w:pPr>
          </w:p>
        </w:tc>
        <w:tc>
          <w:tcPr>
            <w:tcW w:w="1420" w:type="dxa"/>
            <w:vAlign w:val="bottom"/>
            <w:tcBorders>
              <w:bottom w:val="single" w:sz="8" w:color="auto"/>
            </w:tcBorders>
            <w:gridSpan w:val="3"/>
          </w:tcPr>
          <w:p>
            <w:pPr>
              <w:spacing w:after="0"/>
              <w:rPr>
                <w:sz w:val="4"/>
                <w:szCs w:val="4"/>
                <w:color w:val="auto"/>
              </w:rPr>
            </w:pPr>
          </w:p>
        </w:tc>
        <w:tc>
          <w:tcPr>
            <w:tcW w:w="8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3.</w:t>
            </w:r>
          </w:p>
        </w:tc>
        <w:tc>
          <w:tcPr>
            <w:tcW w:w="1420" w:type="dxa"/>
            <w:vAlign w:val="bottom"/>
            <w:gridSpan w:val="3"/>
          </w:tcPr>
          <w:p>
            <w:pPr>
              <w:ind w:left="20"/>
              <w:spacing w:after="0"/>
              <w:rPr>
                <w:sz w:val="20"/>
                <w:szCs w:val="20"/>
                <w:color w:val="auto"/>
              </w:rPr>
            </w:pPr>
            <w:r>
              <w:rPr>
                <w:rFonts w:ascii="Arial" w:cs="Arial" w:eastAsia="Arial" w:hAnsi="Arial"/>
                <w:sz w:val="18"/>
                <w:szCs w:val="18"/>
                <w:color w:val="auto"/>
              </w:rPr>
              <w:t>SEC Use Only</w:t>
            </w:r>
          </w:p>
        </w:tc>
        <w:tc>
          <w:tcPr>
            <w:tcW w:w="8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920" w:type="dxa"/>
            <w:vAlign w:val="bottom"/>
            <w:tcBorders>
              <w:left w:val="single" w:sz="8" w:color="auto"/>
              <w:bottom w:val="single" w:sz="8" w:color="auto"/>
            </w:tcBorders>
          </w:tcPr>
          <w:p>
            <w:pPr>
              <w:spacing w:after="0"/>
              <w:rPr>
                <w:sz w:val="4"/>
                <w:szCs w:val="4"/>
                <w:color w:val="auto"/>
              </w:rPr>
            </w:pPr>
          </w:p>
        </w:tc>
        <w:tc>
          <w:tcPr>
            <w:tcW w:w="1420" w:type="dxa"/>
            <w:vAlign w:val="bottom"/>
            <w:tcBorders>
              <w:bottom w:val="single" w:sz="8" w:color="auto"/>
            </w:tcBorders>
            <w:gridSpan w:val="3"/>
          </w:tcPr>
          <w:p>
            <w:pPr>
              <w:spacing w:after="0"/>
              <w:rPr>
                <w:sz w:val="4"/>
                <w:szCs w:val="4"/>
                <w:color w:val="auto"/>
              </w:rPr>
            </w:pPr>
          </w:p>
        </w:tc>
        <w:tc>
          <w:tcPr>
            <w:tcW w:w="8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4.</w:t>
            </w:r>
          </w:p>
        </w:tc>
        <w:tc>
          <w:tcPr>
            <w:tcW w:w="1420" w:type="dxa"/>
            <w:vAlign w:val="bottom"/>
            <w:gridSpan w:val="3"/>
          </w:tcPr>
          <w:p>
            <w:pPr>
              <w:ind w:left="20"/>
              <w:spacing w:after="0"/>
              <w:rPr>
                <w:sz w:val="20"/>
                <w:szCs w:val="20"/>
                <w:color w:val="auto"/>
              </w:rPr>
            </w:pPr>
            <w:r>
              <w:rPr>
                <w:rFonts w:ascii="Arial" w:cs="Arial" w:eastAsia="Arial" w:hAnsi="Arial"/>
                <w:sz w:val="18"/>
                <w:szCs w:val="18"/>
                <w:color w:val="auto"/>
              </w:rPr>
              <w:t>Source of Funds</w:t>
            </w:r>
          </w:p>
        </w:tc>
        <w:tc>
          <w:tcPr>
            <w:tcW w:w="8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0" w:type="dxa"/>
            <w:vAlign w:val="bottom"/>
            <w:tcBorders>
              <w:left w:val="single" w:sz="8" w:color="auto"/>
            </w:tcBorders>
          </w:tcPr>
          <w:p>
            <w:pPr>
              <w:spacing w:after="0"/>
              <w:rPr>
                <w:sz w:val="21"/>
                <w:szCs w:val="21"/>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1"/>
                <w:szCs w:val="21"/>
                <w:color w:val="auto"/>
              </w:rPr>
            </w:pPr>
          </w:p>
        </w:tc>
        <w:tc>
          <w:tcPr>
            <w:tcW w:w="89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bottom w:val="single" w:sz="8" w:color="auto"/>
            </w:tcBorders>
          </w:tcPr>
          <w:p>
            <w:pPr>
              <w:spacing w:after="0"/>
              <w:rPr>
                <w:sz w:val="5"/>
                <w:szCs w:val="5"/>
                <w:color w:val="auto"/>
              </w:rPr>
            </w:pPr>
          </w:p>
        </w:tc>
        <w:tc>
          <w:tcPr>
            <w:tcW w:w="10340" w:type="dxa"/>
            <w:vAlign w:val="bottom"/>
            <w:tcBorders>
              <w:bottom w:val="single" w:sz="8" w:color="auto"/>
              <w:right w:val="single" w:sz="8" w:color="auto"/>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5.</w:t>
            </w:r>
          </w:p>
        </w:tc>
        <w:tc>
          <w:tcPr>
            <w:tcW w:w="10340" w:type="dxa"/>
            <w:vAlign w:val="bottom"/>
            <w:tcBorders>
              <w:right w:val="single" w:sz="8" w:color="auto"/>
            </w:tcBorders>
            <w:gridSpan w:val="4"/>
          </w:tcPr>
          <w:p>
            <w:pPr>
              <w:ind w:left="2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920" w:type="dxa"/>
            <w:vAlign w:val="bottom"/>
            <w:tcBorders>
              <w:left w:val="single" w:sz="8" w:color="auto"/>
              <w:bottom w:val="single" w:sz="8" w:color="auto"/>
            </w:tcBorders>
          </w:tcPr>
          <w:p>
            <w:pPr>
              <w:spacing w:after="0"/>
              <w:rPr>
                <w:sz w:val="2"/>
                <w:szCs w:val="2"/>
                <w:color w:val="auto"/>
              </w:rPr>
            </w:pPr>
          </w:p>
        </w:tc>
        <w:tc>
          <w:tcPr>
            <w:tcW w:w="1034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6.</w:t>
            </w:r>
          </w:p>
        </w:tc>
        <w:tc>
          <w:tcPr>
            <w:tcW w:w="103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3"/>
        </w:trPr>
        <w:tc>
          <w:tcPr>
            <w:tcW w:w="920" w:type="dxa"/>
            <w:vAlign w:val="bottom"/>
            <w:tcBorders>
              <w:left w:val="single" w:sz="8" w:color="auto"/>
            </w:tcBorders>
          </w:tcPr>
          <w:p>
            <w:pPr>
              <w:spacing w:after="0"/>
              <w:rPr>
                <w:sz w:val="21"/>
                <w:szCs w:val="21"/>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France</w:t>
            </w:r>
          </w:p>
        </w:tc>
        <w:tc>
          <w:tcPr>
            <w:tcW w:w="580" w:type="dxa"/>
            <w:vAlign w:val="bottom"/>
          </w:tcPr>
          <w:p>
            <w:pPr>
              <w:spacing w:after="0"/>
              <w:rPr>
                <w:sz w:val="21"/>
                <w:szCs w:val="21"/>
                <w:color w:val="auto"/>
              </w:rPr>
            </w:pPr>
          </w:p>
        </w:tc>
        <w:tc>
          <w:tcPr>
            <w:tcW w:w="89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7"/>
        </w:trPr>
        <w:tc>
          <w:tcPr>
            <w:tcW w:w="1760" w:type="dxa"/>
            <w:vAlign w:val="bottom"/>
            <w:tcBorders>
              <w:left w:val="single" w:sz="8" w:color="auto"/>
              <w:bottom w:val="single" w:sz="8" w:color="auto"/>
            </w:tcBorders>
            <w:gridSpan w:val="3"/>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760" w:type="dxa"/>
            <w:vAlign w:val="bottom"/>
            <w:tcBorders>
              <w:left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92"/>
              </w:rPr>
              <w:t>Number of</w:t>
            </w:r>
          </w:p>
        </w:tc>
        <w:tc>
          <w:tcPr>
            <w:tcW w:w="580" w:type="dxa"/>
            <w:vAlign w:val="bottom"/>
          </w:tcPr>
          <w:p>
            <w:pPr>
              <w:spacing w:after="0"/>
              <w:rPr>
                <w:sz w:val="20"/>
                <w:szCs w:val="20"/>
                <w:color w:val="auto"/>
              </w:rPr>
            </w:pPr>
            <w:r>
              <w:rPr>
                <w:rFonts w:ascii="Arial" w:cs="Arial" w:eastAsia="Arial" w:hAnsi="Arial"/>
                <w:sz w:val="18"/>
                <w:szCs w:val="18"/>
                <w:color w:val="auto"/>
              </w:rPr>
              <w:t>7.</w:t>
            </w:r>
          </w:p>
        </w:tc>
        <w:tc>
          <w:tcPr>
            <w:tcW w:w="89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7"/>
        </w:trPr>
        <w:tc>
          <w:tcPr>
            <w:tcW w:w="920" w:type="dxa"/>
            <w:vAlign w:val="bottom"/>
            <w:tcBorders>
              <w:left w:val="single" w:sz="8" w:color="auto"/>
            </w:tcBorders>
          </w:tcPr>
          <w:p>
            <w:pPr>
              <w:jc w:val="center"/>
              <w:ind w:left="330"/>
              <w:spacing w:after="0"/>
              <w:rPr>
                <w:sz w:val="20"/>
                <w:szCs w:val="20"/>
                <w:color w:val="auto"/>
              </w:rPr>
            </w:pPr>
            <w:r>
              <w:rPr>
                <w:rFonts w:ascii="Arial" w:cs="Arial" w:eastAsia="Arial" w:hAnsi="Arial"/>
                <w:sz w:val="18"/>
                <w:szCs w:val="18"/>
                <w:color w:val="auto"/>
                <w:w w:val="85"/>
              </w:rPr>
              <w:t>shares</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9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0"/>
        </w:trPr>
        <w:tc>
          <w:tcPr>
            <w:tcW w:w="1320" w:type="dxa"/>
            <w:vAlign w:val="bottom"/>
            <w:tcBorders>
              <w:lef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320" w:type="dxa"/>
            <w:vAlign w:val="bottom"/>
            <w:tcBorders>
              <w:left w:val="single" w:sz="8" w:color="auto"/>
            </w:tcBorders>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8.</w:t>
            </w:r>
          </w:p>
        </w:tc>
        <w:tc>
          <w:tcPr>
            <w:tcW w:w="89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90"/>
              </w:rPr>
              <w:t>owned by</w:t>
            </w:r>
          </w:p>
        </w:tc>
        <w:tc>
          <w:tcPr>
            <w:tcW w:w="580" w:type="dxa"/>
            <w:vAlign w:val="bottom"/>
          </w:tcPr>
          <w:p>
            <w:pPr>
              <w:spacing w:after="0"/>
              <w:rPr>
                <w:sz w:val="20"/>
                <w:szCs w:val="20"/>
                <w:color w:val="auto"/>
              </w:rPr>
            </w:pPr>
          </w:p>
        </w:tc>
        <w:tc>
          <w:tcPr>
            <w:tcW w:w="89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24,688,691</w:t>
            </w:r>
          </w:p>
        </w:tc>
        <w:tc>
          <w:tcPr>
            <w:tcW w:w="0" w:type="dxa"/>
            <w:vAlign w:val="bottom"/>
          </w:tcPr>
          <w:p>
            <w:pPr>
              <w:spacing w:after="0"/>
              <w:rPr>
                <w:sz w:val="1"/>
                <w:szCs w:val="1"/>
                <w:color w:val="auto"/>
              </w:rPr>
            </w:pPr>
          </w:p>
        </w:tc>
      </w:tr>
      <w:tr>
        <w:trPr>
          <w:trHeight w:val="67"/>
        </w:trPr>
        <w:tc>
          <w:tcPr>
            <w:tcW w:w="920" w:type="dxa"/>
            <w:vAlign w:val="bottom"/>
            <w:tcBorders>
              <w:left w:val="single" w:sz="8" w:color="auto"/>
            </w:tcBorders>
            <w:vMerge w:val="restart"/>
          </w:tcPr>
          <w:p>
            <w:pPr>
              <w:jc w:val="center"/>
              <w:ind w:left="330"/>
              <w:spacing w:after="0"/>
              <w:rPr>
                <w:sz w:val="20"/>
                <w:szCs w:val="20"/>
                <w:color w:val="auto"/>
              </w:rPr>
            </w:pPr>
            <w:r>
              <w:rPr>
                <w:rFonts w:ascii="Arial" w:cs="Arial" w:eastAsia="Arial" w:hAnsi="Arial"/>
                <w:sz w:val="18"/>
                <w:szCs w:val="18"/>
                <w:color w:val="auto"/>
                <w:w w:val="86"/>
              </w:rPr>
              <w:t>each</w:t>
            </w: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9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vMerge w:val="continue"/>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920" w:type="dxa"/>
            <w:vAlign w:val="bottom"/>
            <w:tcBorders>
              <w:left w:val="single" w:sz="8" w:color="auto"/>
            </w:tcBorders>
            <w:vMerge w:val="continue"/>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8"/>
                <w:szCs w:val="18"/>
                <w:color w:val="auto"/>
              </w:rPr>
              <w:t>9.</w:t>
            </w:r>
          </w:p>
        </w:tc>
        <w:tc>
          <w:tcPr>
            <w:tcW w:w="89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89"/>
        </w:trPr>
        <w:tc>
          <w:tcPr>
            <w:tcW w:w="1760" w:type="dxa"/>
            <w:vAlign w:val="bottom"/>
            <w:tcBorders>
              <w:left w:val="single" w:sz="8" w:color="auto"/>
            </w:tcBorders>
            <w:gridSpan w:val="3"/>
            <w:vMerge w:val="restart"/>
          </w:tcPr>
          <w:p>
            <w:pPr>
              <w:jc w:val="center"/>
              <w:ind w:right="420"/>
              <w:spacing w:after="0"/>
              <w:rPr>
                <w:sz w:val="20"/>
                <w:szCs w:val="20"/>
                <w:color w:val="auto"/>
              </w:rPr>
            </w:pPr>
            <w:r>
              <w:rPr>
                <w:rFonts w:ascii="Arial" w:cs="Arial" w:eastAsia="Arial" w:hAnsi="Arial"/>
                <w:sz w:val="18"/>
                <w:szCs w:val="18"/>
                <w:color w:val="auto"/>
                <w:w w:val="92"/>
              </w:rPr>
              <w:t>reporting</w:t>
            </w:r>
          </w:p>
        </w:tc>
        <w:tc>
          <w:tcPr>
            <w:tcW w:w="580" w:type="dxa"/>
            <w:vAlign w:val="bottom"/>
            <w:vMerge w:val="continue"/>
          </w:tcPr>
          <w:p>
            <w:pPr>
              <w:spacing w:after="0"/>
              <w:rPr>
                <w:sz w:val="16"/>
                <w:szCs w:val="16"/>
                <w:color w:val="auto"/>
              </w:rPr>
            </w:pPr>
          </w:p>
        </w:tc>
        <w:tc>
          <w:tcPr>
            <w:tcW w:w="89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760" w:type="dxa"/>
            <w:vAlign w:val="bottom"/>
            <w:tcBorders>
              <w:left w:val="single" w:sz="8" w:color="auto"/>
            </w:tcBorders>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89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920" w:type="dxa"/>
            <w:vAlign w:val="bottom"/>
            <w:tcBorders>
              <w:left w:val="single" w:sz="8" w:color="auto"/>
            </w:tcBorders>
            <w:vMerge w:val="restart"/>
          </w:tcPr>
          <w:p>
            <w:pPr>
              <w:jc w:val="center"/>
              <w:ind w:left="310"/>
              <w:spacing w:after="0"/>
              <w:rPr>
                <w:sz w:val="20"/>
                <w:szCs w:val="20"/>
                <w:color w:val="auto"/>
              </w:rPr>
            </w:pPr>
            <w:r>
              <w:rPr>
                <w:rFonts w:ascii="Arial" w:cs="Arial" w:eastAsia="Arial" w:hAnsi="Arial"/>
                <w:sz w:val="18"/>
                <w:szCs w:val="18"/>
                <w:color w:val="auto"/>
                <w:w w:val="87"/>
              </w:rPr>
              <w:t>person</w:t>
            </w: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9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vMerge w:val="continue"/>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tcBorders>
          </w:tcPr>
          <w:p>
            <w:pPr>
              <w:jc w:val="center"/>
              <w:ind w:left="330"/>
              <w:spacing w:after="0"/>
              <w:rPr>
                <w:sz w:val="20"/>
                <w:szCs w:val="20"/>
                <w:color w:val="auto"/>
              </w:rPr>
            </w:pPr>
            <w:r>
              <w:rPr>
                <w:rFonts w:ascii="Arial" w:cs="Arial" w:eastAsia="Arial" w:hAnsi="Arial"/>
                <w:sz w:val="18"/>
                <w:szCs w:val="18"/>
                <w:color w:val="auto"/>
              </w:rPr>
              <w:t>with:</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10.</w:t>
            </w:r>
          </w:p>
        </w:tc>
        <w:tc>
          <w:tcPr>
            <w:tcW w:w="89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43"/>
        </w:trPr>
        <w:tc>
          <w:tcPr>
            <w:tcW w:w="920" w:type="dxa"/>
            <w:vAlign w:val="bottom"/>
            <w:tcBorders>
              <w:lef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9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24,688,691</w:t>
            </w:r>
          </w:p>
        </w:tc>
        <w:tc>
          <w:tcPr>
            <w:tcW w:w="0" w:type="dxa"/>
            <w:vAlign w:val="bottom"/>
          </w:tcPr>
          <w:p>
            <w:pPr>
              <w:spacing w:after="0"/>
              <w:rPr>
                <w:sz w:val="1"/>
                <w:szCs w:val="1"/>
                <w:color w:val="auto"/>
              </w:rPr>
            </w:pPr>
          </w:p>
        </w:tc>
      </w:tr>
      <w:tr>
        <w:trPr>
          <w:trHeight w:val="351"/>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11.</w:t>
            </w:r>
          </w:p>
        </w:tc>
        <w:tc>
          <w:tcPr>
            <w:tcW w:w="103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920" w:type="dxa"/>
            <w:vAlign w:val="bottom"/>
            <w:tcBorders>
              <w:left w:val="single" w:sz="8" w:color="auto"/>
            </w:tcBorders>
          </w:tcPr>
          <w:p>
            <w:pPr>
              <w:spacing w:after="0"/>
              <w:rPr>
                <w:sz w:val="21"/>
                <w:szCs w:val="21"/>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w w:val="88"/>
              </w:rPr>
              <w:t>24,688,691</w:t>
            </w:r>
          </w:p>
        </w:tc>
        <w:tc>
          <w:tcPr>
            <w:tcW w:w="580" w:type="dxa"/>
            <w:vAlign w:val="bottom"/>
          </w:tcPr>
          <w:p>
            <w:pPr>
              <w:spacing w:after="0"/>
              <w:rPr>
                <w:sz w:val="21"/>
                <w:szCs w:val="21"/>
                <w:color w:val="auto"/>
              </w:rPr>
            </w:pPr>
          </w:p>
        </w:tc>
        <w:tc>
          <w:tcPr>
            <w:tcW w:w="89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940" w:type="dxa"/>
            <w:vAlign w:val="bottom"/>
            <w:tcBorders>
              <w:bottom w:val="single" w:sz="8" w:color="auto"/>
              <w:right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12.</w:t>
            </w:r>
          </w:p>
        </w:tc>
        <w:tc>
          <w:tcPr>
            <w:tcW w:w="10340" w:type="dxa"/>
            <w:vAlign w:val="bottom"/>
            <w:tcBorders>
              <w:right w:val="single" w:sz="8" w:color="auto"/>
            </w:tcBorders>
            <w:gridSpan w:val="4"/>
          </w:tcPr>
          <w:p>
            <w:pPr>
              <w:ind w:left="2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92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94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13.</w:t>
            </w:r>
          </w:p>
        </w:tc>
        <w:tc>
          <w:tcPr>
            <w:tcW w:w="103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351"/>
        </w:trPr>
        <w:tc>
          <w:tcPr>
            <w:tcW w:w="9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5.5%</w:t>
            </w:r>
            <w:r>
              <w:rPr>
                <w:rFonts w:ascii="Arial" w:cs="Arial" w:eastAsia="Arial" w:hAnsi="Arial"/>
                <w:sz w:val="29"/>
                <w:szCs w:val="29"/>
                <w:color w:val="auto"/>
                <w:vertAlign w:val="superscript"/>
              </w:rPr>
              <w:t>1</w:t>
            </w:r>
          </w:p>
        </w:tc>
        <w:tc>
          <w:tcPr>
            <w:tcW w:w="580" w:type="dxa"/>
            <w:vAlign w:val="bottom"/>
            <w:tcBorders>
              <w:bottom w:val="single" w:sz="8" w:color="auto"/>
            </w:tcBorders>
          </w:tcPr>
          <w:p>
            <w:pPr>
              <w:spacing w:after="0"/>
              <w:rPr>
                <w:sz w:val="24"/>
                <w:szCs w:val="24"/>
                <w:color w:val="auto"/>
              </w:rPr>
            </w:pPr>
          </w:p>
        </w:tc>
        <w:tc>
          <w:tcPr>
            <w:tcW w:w="8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14.</w:t>
            </w:r>
          </w:p>
        </w:tc>
        <w:tc>
          <w:tcPr>
            <w:tcW w:w="103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243"/>
        </w:trPr>
        <w:tc>
          <w:tcPr>
            <w:tcW w:w="920" w:type="dxa"/>
            <w:vAlign w:val="bottom"/>
            <w:tcBorders>
              <w:left w:val="single" w:sz="8" w:color="auto"/>
            </w:tcBorders>
          </w:tcPr>
          <w:p>
            <w:pPr>
              <w:spacing w:after="0"/>
              <w:rPr>
                <w:sz w:val="21"/>
                <w:szCs w:val="21"/>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1"/>
                <w:szCs w:val="21"/>
                <w:color w:val="auto"/>
              </w:rPr>
            </w:pPr>
          </w:p>
        </w:tc>
        <w:tc>
          <w:tcPr>
            <w:tcW w:w="89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7"/>
        </w:trPr>
        <w:tc>
          <w:tcPr>
            <w:tcW w:w="9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60" w:firstLine="8"/>
        <w:spacing w:after="0" w:line="222" w:lineRule="auto"/>
        <w:tabs>
          <w:tab w:leader="none" w:pos="112" w:val="left"/>
        </w:tabs>
        <w:numPr>
          <w:ilvl w:val="0"/>
          <w:numId w:val="1"/>
        </w:numPr>
        <w:rPr>
          <w:rFonts w:ascii="Arial" w:cs="Arial" w:eastAsia="Arial" w:hAnsi="Arial"/>
          <w:sz w:val="28"/>
          <w:szCs w:val="28"/>
          <w:color w:val="auto"/>
          <w:vertAlign w:val="superscript"/>
        </w:rPr>
      </w:pPr>
      <w:r>
        <w:rPr>
          <w:rFonts w:ascii="Arial" w:cs="Arial" w:eastAsia="Arial" w:hAnsi="Arial"/>
          <w:sz w:val="17"/>
          <w:szCs w:val="17"/>
          <w:color w:val="auto"/>
        </w:rPr>
        <w:t>Based on 450,516,797 Ordinary Shares, $1.00 par value per share (the “Ordinary Shares”) of TechnipFMC plc (the “Issuer”) outstanding as of February 3, 2021, as reported in the registration statement on Form F-1 filed by Technip Energies N.V. with the Securities and Exchange Commission on February 4, 2021 (the “Form F-1”).</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016" w:right="319" w:bottom="1440" w:gutter="0" w:footer="0" w:header="0"/>
        </w:sectPr>
      </w:pPr>
    </w:p>
    <w:bookmarkStart w:id="2" w:name="page3"/>
    <w:bookmarkEnd w:id="2"/>
    <w:p>
      <w:pPr>
        <w:ind w:left="100"/>
        <w:spacing w:after="0"/>
        <w:rPr>
          <w:sz w:val="20"/>
          <w:szCs w:val="20"/>
          <w:color w:val="auto"/>
        </w:rPr>
      </w:pPr>
      <w:r>
        <w:rPr>
          <w:rFonts w:ascii="Arial" w:cs="Arial" w:eastAsia="Arial" w:hAnsi="Arial"/>
          <w:sz w:val="18"/>
          <w:szCs w:val="18"/>
          <w:color w:val="auto"/>
        </w:rPr>
        <w:t>CUSIP No. G87110105</w:t>
      </w:r>
    </w:p>
    <w:p>
      <w:pPr>
        <w:spacing w:after="0" w:line="200" w:lineRule="exact"/>
        <w:rPr>
          <w:sz w:val="20"/>
          <w:szCs w:val="20"/>
          <w:color w:val="auto"/>
        </w:rPr>
      </w:pPr>
    </w:p>
    <w:p>
      <w:pPr>
        <w:spacing w:after="0" w:line="289"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920" w:type="dxa"/>
            <w:vAlign w:val="bottom"/>
            <w:tcBorders>
              <w:top w:val="single" w:sz="8" w:color="auto"/>
              <w:left w:val="single" w:sz="8" w:color="auto"/>
            </w:tcBorders>
          </w:tcPr>
          <w:p>
            <w:pPr>
              <w:ind w:left="160"/>
              <w:spacing w:after="0"/>
              <w:rPr>
                <w:sz w:val="20"/>
                <w:szCs w:val="20"/>
                <w:color w:val="auto"/>
              </w:rPr>
            </w:pPr>
            <w:r>
              <w:rPr>
                <w:rFonts w:ascii="Arial" w:cs="Arial" w:eastAsia="Arial" w:hAnsi="Arial"/>
                <w:sz w:val="18"/>
                <w:szCs w:val="18"/>
                <w:color w:val="auto"/>
              </w:rPr>
              <w:t>1.</w:t>
            </w:r>
          </w:p>
        </w:tc>
        <w:tc>
          <w:tcPr>
            <w:tcW w:w="10340" w:type="dxa"/>
            <w:vAlign w:val="bottom"/>
            <w:tcBorders>
              <w:top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920" w:type="dxa"/>
            <w:vAlign w:val="bottom"/>
            <w:tcBorders>
              <w:left w:val="single" w:sz="8" w:color="auto"/>
            </w:tcBorders>
          </w:tcPr>
          <w:p>
            <w:pPr>
              <w:spacing w:after="0"/>
              <w:rPr>
                <w:sz w:val="21"/>
                <w:szCs w:val="21"/>
                <w:color w:val="auto"/>
              </w:rPr>
            </w:pPr>
          </w:p>
        </w:tc>
        <w:tc>
          <w:tcPr>
            <w:tcW w:w="103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Caisse des Dépôts et Consignations</w:t>
            </w:r>
          </w:p>
        </w:tc>
        <w:tc>
          <w:tcPr>
            <w:tcW w:w="0" w:type="dxa"/>
            <w:vAlign w:val="bottom"/>
          </w:tcPr>
          <w:p>
            <w:pPr>
              <w:spacing w:after="0"/>
              <w:rPr>
                <w:sz w:val="1"/>
                <w:szCs w:val="1"/>
                <w:color w:val="auto"/>
              </w:rPr>
            </w:pPr>
          </w:p>
        </w:tc>
      </w:tr>
      <w:tr>
        <w:trPr>
          <w:trHeight w:val="68"/>
        </w:trPr>
        <w:tc>
          <w:tcPr>
            <w:tcW w:w="920" w:type="dxa"/>
            <w:vAlign w:val="bottom"/>
            <w:tcBorders>
              <w:left w:val="single" w:sz="8" w:color="auto"/>
              <w:bottom w:val="single" w:sz="8" w:color="auto"/>
            </w:tcBorders>
          </w:tcPr>
          <w:p>
            <w:pPr>
              <w:spacing w:after="0"/>
              <w:rPr>
                <w:sz w:val="5"/>
                <w:szCs w:val="5"/>
                <w:color w:val="auto"/>
              </w:rPr>
            </w:pPr>
          </w:p>
        </w:tc>
        <w:tc>
          <w:tcPr>
            <w:tcW w:w="10340" w:type="dxa"/>
            <w:vAlign w:val="bottom"/>
            <w:tcBorders>
              <w:bottom w:val="single" w:sz="8" w:color="auto"/>
              <w:right w:val="single" w:sz="8" w:color="auto"/>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2.</w:t>
            </w:r>
          </w:p>
        </w:tc>
        <w:tc>
          <w:tcPr>
            <w:tcW w:w="103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920" w:type="dxa"/>
            <w:vAlign w:val="bottom"/>
            <w:tcBorders>
              <w:left w:val="single" w:sz="8" w:color="auto"/>
            </w:tcBorders>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w:t>
            </w:r>
          </w:p>
        </w:tc>
        <w:tc>
          <w:tcPr>
            <w:tcW w:w="5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tcBorders>
          </w:tcPr>
          <w:p>
            <w:pPr>
              <w:spacing w:after="0"/>
              <w:rPr>
                <w:sz w:val="4"/>
                <w:szCs w:val="4"/>
                <w:color w:val="auto"/>
              </w:rPr>
            </w:pPr>
          </w:p>
        </w:tc>
        <w:tc>
          <w:tcPr>
            <w:tcW w:w="1420" w:type="dxa"/>
            <w:vAlign w:val="bottom"/>
            <w:tcBorders>
              <w:bottom w:val="single" w:sz="8" w:color="auto"/>
            </w:tcBorders>
            <w:gridSpan w:val="3"/>
          </w:tcPr>
          <w:p>
            <w:pPr>
              <w:spacing w:after="0"/>
              <w:rPr>
                <w:sz w:val="4"/>
                <w:szCs w:val="4"/>
                <w:color w:val="auto"/>
              </w:rPr>
            </w:pPr>
          </w:p>
        </w:tc>
        <w:tc>
          <w:tcPr>
            <w:tcW w:w="8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3.</w:t>
            </w:r>
          </w:p>
        </w:tc>
        <w:tc>
          <w:tcPr>
            <w:tcW w:w="1420" w:type="dxa"/>
            <w:vAlign w:val="bottom"/>
            <w:gridSpan w:val="3"/>
          </w:tcPr>
          <w:p>
            <w:pPr>
              <w:ind w:left="20"/>
              <w:spacing w:after="0"/>
              <w:rPr>
                <w:sz w:val="20"/>
                <w:szCs w:val="20"/>
                <w:color w:val="auto"/>
              </w:rPr>
            </w:pPr>
            <w:r>
              <w:rPr>
                <w:rFonts w:ascii="Arial" w:cs="Arial" w:eastAsia="Arial" w:hAnsi="Arial"/>
                <w:sz w:val="18"/>
                <w:szCs w:val="18"/>
                <w:color w:val="auto"/>
              </w:rPr>
              <w:t>SEC Use Only</w:t>
            </w:r>
          </w:p>
        </w:tc>
        <w:tc>
          <w:tcPr>
            <w:tcW w:w="8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920" w:type="dxa"/>
            <w:vAlign w:val="bottom"/>
            <w:tcBorders>
              <w:left w:val="single" w:sz="8" w:color="auto"/>
              <w:bottom w:val="single" w:sz="8" w:color="auto"/>
            </w:tcBorders>
          </w:tcPr>
          <w:p>
            <w:pPr>
              <w:spacing w:after="0"/>
              <w:rPr>
                <w:sz w:val="4"/>
                <w:szCs w:val="4"/>
                <w:color w:val="auto"/>
              </w:rPr>
            </w:pPr>
          </w:p>
        </w:tc>
        <w:tc>
          <w:tcPr>
            <w:tcW w:w="1420" w:type="dxa"/>
            <w:vAlign w:val="bottom"/>
            <w:tcBorders>
              <w:bottom w:val="single" w:sz="8" w:color="auto"/>
            </w:tcBorders>
            <w:gridSpan w:val="3"/>
          </w:tcPr>
          <w:p>
            <w:pPr>
              <w:spacing w:after="0"/>
              <w:rPr>
                <w:sz w:val="4"/>
                <w:szCs w:val="4"/>
                <w:color w:val="auto"/>
              </w:rPr>
            </w:pPr>
          </w:p>
        </w:tc>
        <w:tc>
          <w:tcPr>
            <w:tcW w:w="8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4.</w:t>
            </w:r>
          </w:p>
        </w:tc>
        <w:tc>
          <w:tcPr>
            <w:tcW w:w="1420" w:type="dxa"/>
            <w:vAlign w:val="bottom"/>
            <w:gridSpan w:val="3"/>
          </w:tcPr>
          <w:p>
            <w:pPr>
              <w:ind w:left="20"/>
              <w:spacing w:after="0"/>
              <w:rPr>
                <w:sz w:val="20"/>
                <w:szCs w:val="20"/>
                <w:color w:val="auto"/>
              </w:rPr>
            </w:pPr>
            <w:r>
              <w:rPr>
                <w:rFonts w:ascii="Arial" w:cs="Arial" w:eastAsia="Arial" w:hAnsi="Arial"/>
                <w:sz w:val="18"/>
                <w:szCs w:val="18"/>
                <w:color w:val="auto"/>
              </w:rPr>
              <w:t>Source of Funds</w:t>
            </w:r>
          </w:p>
        </w:tc>
        <w:tc>
          <w:tcPr>
            <w:tcW w:w="8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0" w:type="dxa"/>
            <w:vAlign w:val="bottom"/>
            <w:tcBorders>
              <w:left w:val="single" w:sz="8" w:color="auto"/>
            </w:tcBorders>
          </w:tcPr>
          <w:p>
            <w:pPr>
              <w:spacing w:after="0"/>
              <w:rPr>
                <w:sz w:val="21"/>
                <w:szCs w:val="21"/>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1"/>
                <w:szCs w:val="21"/>
                <w:color w:val="auto"/>
              </w:rPr>
            </w:pPr>
          </w:p>
        </w:tc>
        <w:tc>
          <w:tcPr>
            <w:tcW w:w="89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bottom w:val="single" w:sz="8" w:color="auto"/>
            </w:tcBorders>
          </w:tcPr>
          <w:p>
            <w:pPr>
              <w:spacing w:after="0"/>
              <w:rPr>
                <w:sz w:val="5"/>
                <w:szCs w:val="5"/>
                <w:color w:val="auto"/>
              </w:rPr>
            </w:pPr>
          </w:p>
        </w:tc>
        <w:tc>
          <w:tcPr>
            <w:tcW w:w="10340" w:type="dxa"/>
            <w:vAlign w:val="bottom"/>
            <w:tcBorders>
              <w:bottom w:val="single" w:sz="8" w:color="auto"/>
              <w:right w:val="single" w:sz="8" w:color="auto"/>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5.</w:t>
            </w:r>
          </w:p>
        </w:tc>
        <w:tc>
          <w:tcPr>
            <w:tcW w:w="10340" w:type="dxa"/>
            <w:vAlign w:val="bottom"/>
            <w:tcBorders>
              <w:right w:val="single" w:sz="8" w:color="auto"/>
            </w:tcBorders>
            <w:gridSpan w:val="4"/>
          </w:tcPr>
          <w:p>
            <w:pPr>
              <w:ind w:left="2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920" w:type="dxa"/>
            <w:vAlign w:val="bottom"/>
            <w:tcBorders>
              <w:left w:val="single" w:sz="8" w:color="auto"/>
              <w:bottom w:val="single" w:sz="8" w:color="auto"/>
            </w:tcBorders>
          </w:tcPr>
          <w:p>
            <w:pPr>
              <w:spacing w:after="0"/>
              <w:rPr>
                <w:sz w:val="2"/>
                <w:szCs w:val="2"/>
                <w:color w:val="auto"/>
              </w:rPr>
            </w:pPr>
          </w:p>
        </w:tc>
        <w:tc>
          <w:tcPr>
            <w:tcW w:w="1034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6.</w:t>
            </w:r>
          </w:p>
        </w:tc>
        <w:tc>
          <w:tcPr>
            <w:tcW w:w="103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3"/>
        </w:trPr>
        <w:tc>
          <w:tcPr>
            <w:tcW w:w="920" w:type="dxa"/>
            <w:vAlign w:val="bottom"/>
            <w:tcBorders>
              <w:left w:val="single" w:sz="8" w:color="auto"/>
            </w:tcBorders>
          </w:tcPr>
          <w:p>
            <w:pPr>
              <w:spacing w:after="0"/>
              <w:rPr>
                <w:sz w:val="21"/>
                <w:szCs w:val="21"/>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France</w:t>
            </w:r>
          </w:p>
        </w:tc>
        <w:tc>
          <w:tcPr>
            <w:tcW w:w="580" w:type="dxa"/>
            <w:vAlign w:val="bottom"/>
          </w:tcPr>
          <w:p>
            <w:pPr>
              <w:spacing w:after="0"/>
              <w:rPr>
                <w:sz w:val="21"/>
                <w:szCs w:val="21"/>
                <w:color w:val="auto"/>
              </w:rPr>
            </w:pPr>
          </w:p>
        </w:tc>
        <w:tc>
          <w:tcPr>
            <w:tcW w:w="89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7"/>
        </w:trPr>
        <w:tc>
          <w:tcPr>
            <w:tcW w:w="1760" w:type="dxa"/>
            <w:vAlign w:val="bottom"/>
            <w:tcBorders>
              <w:left w:val="single" w:sz="8" w:color="auto"/>
              <w:bottom w:val="single" w:sz="8" w:color="auto"/>
            </w:tcBorders>
            <w:gridSpan w:val="3"/>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760" w:type="dxa"/>
            <w:vAlign w:val="bottom"/>
            <w:tcBorders>
              <w:left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92"/>
              </w:rPr>
              <w:t>Number of</w:t>
            </w:r>
          </w:p>
        </w:tc>
        <w:tc>
          <w:tcPr>
            <w:tcW w:w="580" w:type="dxa"/>
            <w:vAlign w:val="bottom"/>
          </w:tcPr>
          <w:p>
            <w:pPr>
              <w:spacing w:after="0"/>
              <w:rPr>
                <w:sz w:val="20"/>
                <w:szCs w:val="20"/>
                <w:color w:val="auto"/>
              </w:rPr>
            </w:pPr>
            <w:r>
              <w:rPr>
                <w:rFonts w:ascii="Arial" w:cs="Arial" w:eastAsia="Arial" w:hAnsi="Arial"/>
                <w:sz w:val="18"/>
                <w:szCs w:val="18"/>
                <w:color w:val="auto"/>
              </w:rPr>
              <w:t>7.</w:t>
            </w:r>
          </w:p>
        </w:tc>
        <w:tc>
          <w:tcPr>
            <w:tcW w:w="89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7"/>
        </w:trPr>
        <w:tc>
          <w:tcPr>
            <w:tcW w:w="920" w:type="dxa"/>
            <w:vAlign w:val="bottom"/>
            <w:tcBorders>
              <w:left w:val="single" w:sz="8" w:color="auto"/>
            </w:tcBorders>
          </w:tcPr>
          <w:p>
            <w:pPr>
              <w:jc w:val="center"/>
              <w:ind w:left="330"/>
              <w:spacing w:after="0"/>
              <w:rPr>
                <w:sz w:val="20"/>
                <w:szCs w:val="20"/>
                <w:color w:val="auto"/>
              </w:rPr>
            </w:pPr>
            <w:r>
              <w:rPr>
                <w:rFonts w:ascii="Arial" w:cs="Arial" w:eastAsia="Arial" w:hAnsi="Arial"/>
                <w:sz w:val="18"/>
                <w:szCs w:val="18"/>
                <w:color w:val="auto"/>
                <w:w w:val="85"/>
              </w:rPr>
              <w:t>shares</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9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1,144,237</w:t>
            </w:r>
          </w:p>
        </w:tc>
        <w:tc>
          <w:tcPr>
            <w:tcW w:w="0" w:type="dxa"/>
            <w:vAlign w:val="bottom"/>
          </w:tcPr>
          <w:p>
            <w:pPr>
              <w:spacing w:after="0"/>
              <w:rPr>
                <w:sz w:val="1"/>
                <w:szCs w:val="1"/>
                <w:color w:val="auto"/>
              </w:rPr>
            </w:pPr>
          </w:p>
        </w:tc>
      </w:tr>
      <w:tr>
        <w:trPr>
          <w:trHeight w:val="41"/>
        </w:trPr>
        <w:tc>
          <w:tcPr>
            <w:tcW w:w="1320" w:type="dxa"/>
            <w:vAlign w:val="bottom"/>
            <w:tcBorders>
              <w:lef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320" w:type="dxa"/>
            <w:vAlign w:val="bottom"/>
            <w:tcBorders>
              <w:left w:val="single" w:sz="8" w:color="auto"/>
            </w:tcBorders>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8.</w:t>
            </w:r>
          </w:p>
        </w:tc>
        <w:tc>
          <w:tcPr>
            <w:tcW w:w="89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90"/>
              </w:rPr>
              <w:t>owned by</w:t>
            </w:r>
          </w:p>
        </w:tc>
        <w:tc>
          <w:tcPr>
            <w:tcW w:w="580" w:type="dxa"/>
            <w:vAlign w:val="bottom"/>
          </w:tcPr>
          <w:p>
            <w:pPr>
              <w:spacing w:after="0"/>
              <w:rPr>
                <w:sz w:val="20"/>
                <w:szCs w:val="20"/>
                <w:color w:val="auto"/>
              </w:rPr>
            </w:pPr>
          </w:p>
        </w:tc>
        <w:tc>
          <w:tcPr>
            <w:tcW w:w="89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25,023,407</w:t>
            </w:r>
          </w:p>
        </w:tc>
        <w:tc>
          <w:tcPr>
            <w:tcW w:w="0" w:type="dxa"/>
            <w:vAlign w:val="bottom"/>
          </w:tcPr>
          <w:p>
            <w:pPr>
              <w:spacing w:after="0"/>
              <w:rPr>
                <w:sz w:val="1"/>
                <w:szCs w:val="1"/>
                <w:color w:val="auto"/>
              </w:rPr>
            </w:pPr>
          </w:p>
        </w:tc>
      </w:tr>
      <w:tr>
        <w:trPr>
          <w:trHeight w:val="67"/>
        </w:trPr>
        <w:tc>
          <w:tcPr>
            <w:tcW w:w="920" w:type="dxa"/>
            <w:vAlign w:val="bottom"/>
            <w:tcBorders>
              <w:left w:val="single" w:sz="8" w:color="auto"/>
            </w:tcBorders>
            <w:vMerge w:val="restart"/>
          </w:tcPr>
          <w:p>
            <w:pPr>
              <w:jc w:val="center"/>
              <w:ind w:left="330"/>
              <w:spacing w:after="0"/>
              <w:rPr>
                <w:sz w:val="20"/>
                <w:szCs w:val="20"/>
                <w:color w:val="auto"/>
              </w:rPr>
            </w:pPr>
            <w:r>
              <w:rPr>
                <w:rFonts w:ascii="Arial" w:cs="Arial" w:eastAsia="Arial" w:hAnsi="Arial"/>
                <w:sz w:val="18"/>
                <w:szCs w:val="18"/>
                <w:color w:val="auto"/>
                <w:w w:val="86"/>
              </w:rPr>
              <w:t>each</w:t>
            </w: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9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vMerge w:val="continue"/>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920" w:type="dxa"/>
            <w:vAlign w:val="bottom"/>
            <w:tcBorders>
              <w:left w:val="single" w:sz="8" w:color="auto"/>
            </w:tcBorders>
            <w:vMerge w:val="continue"/>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8"/>
                <w:szCs w:val="18"/>
                <w:color w:val="auto"/>
              </w:rPr>
              <w:t>9.</w:t>
            </w:r>
          </w:p>
        </w:tc>
        <w:tc>
          <w:tcPr>
            <w:tcW w:w="89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89"/>
        </w:trPr>
        <w:tc>
          <w:tcPr>
            <w:tcW w:w="1760" w:type="dxa"/>
            <w:vAlign w:val="bottom"/>
            <w:tcBorders>
              <w:left w:val="single" w:sz="8" w:color="auto"/>
            </w:tcBorders>
            <w:gridSpan w:val="3"/>
            <w:vMerge w:val="restart"/>
          </w:tcPr>
          <w:p>
            <w:pPr>
              <w:jc w:val="center"/>
              <w:ind w:right="420"/>
              <w:spacing w:after="0"/>
              <w:rPr>
                <w:sz w:val="20"/>
                <w:szCs w:val="20"/>
                <w:color w:val="auto"/>
              </w:rPr>
            </w:pPr>
            <w:r>
              <w:rPr>
                <w:rFonts w:ascii="Arial" w:cs="Arial" w:eastAsia="Arial" w:hAnsi="Arial"/>
                <w:sz w:val="18"/>
                <w:szCs w:val="18"/>
                <w:color w:val="auto"/>
                <w:w w:val="92"/>
              </w:rPr>
              <w:t>reporting</w:t>
            </w:r>
          </w:p>
        </w:tc>
        <w:tc>
          <w:tcPr>
            <w:tcW w:w="580" w:type="dxa"/>
            <w:vAlign w:val="bottom"/>
            <w:vMerge w:val="continue"/>
          </w:tcPr>
          <w:p>
            <w:pPr>
              <w:spacing w:after="0"/>
              <w:rPr>
                <w:sz w:val="16"/>
                <w:szCs w:val="16"/>
                <w:color w:val="auto"/>
              </w:rPr>
            </w:pPr>
          </w:p>
        </w:tc>
        <w:tc>
          <w:tcPr>
            <w:tcW w:w="89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760" w:type="dxa"/>
            <w:vAlign w:val="bottom"/>
            <w:tcBorders>
              <w:left w:val="single" w:sz="8" w:color="auto"/>
            </w:tcBorders>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89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1,144,237</w:t>
            </w:r>
          </w:p>
        </w:tc>
        <w:tc>
          <w:tcPr>
            <w:tcW w:w="0" w:type="dxa"/>
            <w:vAlign w:val="bottom"/>
          </w:tcPr>
          <w:p>
            <w:pPr>
              <w:spacing w:after="0"/>
              <w:rPr>
                <w:sz w:val="1"/>
                <w:szCs w:val="1"/>
                <w:color w:val="auto"/>
              </w:rPr>
            </w:pPr>
          </w:p>
        </w:tc>
      </w:tr>
      <w:tr>
        <w:trPr>
          <w:trHeight w:val="176"/>
        </w:trPr>
        <w:tc>
          <w:tcPr>
            <w:tcW w:w="920" w:type="dxa"/>
            <w:vAlign w:val="bottom"/>
            <w:tcBorders>
              <w:left w:val="single" w:sz="8" w:color="auto"/>
            </w:tcBorders>
            <w:vMerge w:val="restart"/>
          </w:tcPr>
          <w:p>
            <w:pPr>
              <w:jc w:val="center"/>
              <w:ind w:left="310"/>
              <w:spacing w:after="0"/>
              <w:rPr>
                <w:sz w:val="20"/>
                <w:szCs w:val="20"/>
                <w:color w:val="auto"/>
              </w:rPr>
            </w:pPr>
            <w:r>
              <w:rPr>
                <w:rFonts w:ascii="Arial" w:cs="Arial" w:eastAsia="Arial" w:hAnsi="Arial"/>
                <w:sz w:val="18"/>
                <w:szCs w:val="18"/>
                <w:color w:val="auto"/>
                <w:w w:val="87"/>
              </w:rPr>
              <w:t>person</w:t>
            </w: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9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vMerge w:val="continue"/>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tcBorders>
          </w:tcPr>
          <w:p>
            <w:pPr>
              <w:jc w:val="center"/>
              <w:ind w:left="330"/>
              <w:spacing w:after="0"/>
              <w:rPr>
                <w:sz w:val="20"/>
                <w:szCs w:val="20"/>
                <w:color w:val="auto"/>
              </w:rPr>
            </w:pPr>
            <w:r>
              <w:rPr>
                <w:rFonts w:ascii="Arial" w:cs="Arial" w:eastAsia="Arial" w:hAnsi="Arial"/>
                <w:sz w:val="18"/>
                <w:szCs w:val="18"/>
                <w:color w:val="auto"/>
              </w:rPr>
              <w:t>with:</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10.</w:t>
            </w:r>
          </w:p>
        </w:tc>
        <w:tc>
          <w:tcPr>
            <w:tcW w:w="89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43"/>
        </w:trPr>
        <w:tc>
          <w:tcPr>
            <w:tcW w:w="920" w:type="dxa"/>
            <w:vAlign w:val="bottom"/>
            <w:tcBorders>
              <w:lef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9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25,023,407</w:t>
            </w:r>
          </w:p>
        </w:tc>
        <w:tc>
          <w:tcPr>
            <w:tcW w:w="0" w:type="dxa"/>
            <w:vAlign w:val="bottom"/>
          </w:tcPr>
          <w:p>
            <w:pPr>
              <w:spacing w:after="0"/>
              <w:rPr>
                <w:sz w:val="1"/>
                <w:szCs w:val="1"/>
                <w:color w:val="auto"/>
              </w:rPr>
            </w:pPr>
          </w:p>
        </w:tc>
      </w:tr>
      <w:tr>
        <w:trPr>
          <w:trHeight w:val="351"/>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11.</w:t>
            </w:r>
          </w:p>
        </w:tc>
        <w:tc>
          <w:tcPr>
            <w:tcW w:w="103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920" w:type="dxa"/>
            <w:vAlign w:val="bottom"/>
            <w:tcBorders>
              <w:left w:val="single" w:sz="8" w:color="auto"/>
            </w:tcBorders>
          </w:tcPr>
          <w:p>
            <w:pPr>
              <w:spacing w:after="0"/>
              <w:rPr>
                <w:sz w:val="21"/>
                <w:szCs w:val="21"/>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w w:val="88"/>
              </w:rPr>
              <w:t>26,167,644</w:t>
            </w:r>
          </w:p>
        </w:tc>
        <w:tc>
          <w:tcPr>
            <w:tcW w:w="580" w:type="dxa"/>
            <w:vAlign w:val="bottom"/>
          </w:tcPr>
          <w:p>
            <w:pPr>
              <w:spacing w:after="0"/>
              <w:rPr>
                <w:sz w:val="21"/>
                <w:szCs w:val="21"/>
                <w:color w:val="auto"/>
              </w:rPr>
            </w:pPr>
          </w:p>
        </w:tc>
        <w:tc>
          <w:tcPr>
            <w:tcW w:w="89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940" w:type="dxa"/>
            <w:vAlign w:val="bottom"/>
            <w:tcBorders>
              <w:bottom w:val="single" w:sz="8" w:color="auto"/>
              <w:right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12.</w:t>
            </w:r>
          </w:p>
        </w:tc>
        <w:tc>
          <w:tcPr>
            <w:tcW w:w="10340" w:type="dxa"/>
            <w:vAlign w:val="bottom"/>
            <w:tcBorders>
              <w:right w:val="single" w:sz="8" w:color="auto"/>
            </w:tcBorders>
            <w:gridSpan w:val="4"/>
          </w:tcPr>
          <w:p>
            <w:pPr>
              <w:ind w:left="2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92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94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13.</w:t>
            </w:r>
          </w:p>
        </w:tc>
        <w:tc>
          <w:tcPr>
            <w:tcW w:w="103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351"/>
        </w:trPr>
        <w:tc>
          <w:tcPr>
            <w:tcW w:w="9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5.8%</w:t>
            </w:r>
            <w:r>
              <w:rPr>
                <w:rFonts w:ascii="Arial" w:cs="Arial" w:eastAsia="Arial" w:hAnsi="Arial"/>
                <w:sz w:val="29"/>
                <w:szCs w:val="29"/>
                <w:color w:val="auto"/>
                <w:vertAlign w:val="superscript"/>
              </w:rPr>
              <w:t>2</w:t>
            </w:r>
          </w:p>
        </w:tc>
        <w:tc>
          <w:tcPr>
            <w:tcW w:w="580" w:type="dxa"/>
            <w:vAlign w:val="bottom"/>
            <w:tcBorders>
              <w:bottom w:val="single" w:sz="8" w:color="auto"/>
            </w:tcBorders>
          </w:tcPr>
          <w:p>
            <w:pPr>
              <w:spacing w:after="0"/>
              <w:rPr>
                <w:sz w:val="24"/>
                <w:szCs w:val="24"/>
                <w:color w:val="auto"/>
              </w:rPr>
            </w:pPr>
          </w:p>
        </w:tc>
        <w:tc>
          <w:tcPr>
            <w:tcW w:w="8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14.</w:t>
            </w:r>
          </w:p>
        </w:tc>
        <w:tc>
          <w:tcPr>
            <w:tcW w:w="103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243"/>
        </w:trPr>
        <w:tc>
          <w:tcPr>
            <w:tcW w:w="920" w:type="dxa"/>
            <w:vAlign w:val="bottom"/>
            <w:tcBorders>
              <w:left w:val="single" w:sz="8" w:color="auto"/>
            </w:tcBorders>
          </w:tcPr>
          <w:p>
            <w:pPr>
              <w:spacing w:after="0"/>
              <w:rPr>
                <w:sz w:val="21"/>
                <w:szCs w:val="21"/>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1"/>
                <w:szCs w:val="21"/>
                <w:color w:val="auto"/>
              </w:rPr>
            </w:pPr>
          </w:p>
        </w:tc>
        <w:tc>
          <w:tcPr>
            <w:tcW w:w="89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580" w:right="3640" w:hanging="5572"/>
        <w:spacing w:after="0" w:line="417" w:lineRule="auto"/>
        <w:tabs>
          <w:tab w:leader="none" w:pos="115" w:val="left"/>
        </w:tabs>
        <w:numPr>
          <w:ilvl w:val="0"/>
          <w:numId w:val="2"/>
        </w:numPr>
        <w:rPr>
          <w:rFonts w:ascii="Arial" w:cs="Arial" w:eastAsia="Arial" w:hAnsi="Arial"/>
          <w:sz w:val="28"/>
          <w:szCs w:val="28"/>
          <w:color w:val="auto"/>
          <w:vertAlign w:val="superscript"/>
        </w:rPr>
      </w:pPr>
      <w:r>
        <w:rPr>
          <w:rFonts w:ascii="Arial" w:cs="Arial" w:eastAsia="Arial" w:hAnsi="Arial"/>
          <w:sz w:val="17"/>
          <w:szCs w:val="17"/>
          <w:color w:val="auto"/>
        </w:rPr>
        <w:t>Based on 450,516,797 Ordinary Shares outstanding as of February 3, 2021, as reported in the Form F-1.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800" w:right="319"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color w:val="auto"/>
        </w:rPr>
        <w:t>CUSIP No. G87110105</w:t>
      </w:r>
    </w:p>
    <w:p>
      <w:pPr>
        <w:spacing w:after="0" w:line="200" w:lineRule="exact"/>
        <w:rPr>
          <w:sz w:val="20"/>
          <w:szCs w:val="20"/>
          <w:color w:val="auto"/>
        </w:rPr>
      </w:pPr>
    </w:p>
    <w:p>
      <w:pPr>
        <w:spacing w:after="0" w:line="289"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920" w:type="dxa"/>
            <w:vAlign w:val="bottom"/>
            <w:tcBorders>
              <w:top w:val="single" w:sz="8" w:color="auto"/>
              <w:left w:val="single" w:sz="8" w:color="auto"/>
            </w:tcBorders>
          </w:tcPr>
          <w:p>
            <w:pPr>
              <w:ind w:left="160"/>
              <w:spacing w:after="0"/>
              <w:rPr>
                <w:sz w:val="20"/>
                <w:szCs w:val="20"/>
                <w:color w:val="auto"/>
              </w:rPr>
            </w:pPr>
            <w:r>
              <w:rPr>
                <w:rFonts w:ascii="Arial" w:cs="Arial" w:eastAsia="Arial" w:hAnsi="Arial"/>
                <w:sz w:val="18"/>
                <w:szCs w:val="18"/>
                <w:color w:val="auto"/>
              </w:rPr>
              <w:t>1.</w:t>
            </w:r>
          </w:p>
        </w:tc>
        <w:tc>
          <w:tcPr>
            <w:tcW w:w="10340" w:type="dxa"/>
            <w:vAlign w:val="bottom"/>
            <w:tcBorders>
              <w:top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920" w:type="dxa"/>
            <w:vAlign w:val="bottom"/>
            <w:tcBorders>
              <w:left w:val="single" w:sz="8" w:color="auto"/>
            </w:tcBorders>
          </w:tcPr>
          <w:p>
            <w:pPr>
              <w:spacing w:after="0"/>
              <w:rPr>
                <w:sz w:val="21"/>
                <w:szCs w:val="21"/>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color w:val="auto"/>
              </w:rPr>
              <w:t>EPIC Bpifrance</w:t>
            </w:r>
          </w:p>
        </w:tc>
        <w:tc>
          <w:tcPr>
            <w:tcW w:w="89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bottom w:val="single" w:sz="8" w:color="auto"/>
            </w:tcBorders>
          </w:tcPr>
          <w:p>
            <w:pPr>
              <w:spacing w:after="0"/>
              <w:rPr>
                <w:sz w:val="5"/>
                <w:szCs w:val="5"/>
                <w:color w:val="auto"/>
              </w:rPr>
            </w:pPr>
          </w:p>
        </w:tc>
        <w:tc>
          <w:tcPr>
            <w:tcW w:w="10340" w:type="dxa"/>
            <w:vAlign w:val="bottom"/>
            <w:tcBorders>
              <w:bottom w:val="single" w:sz="8" w:color="auto"/>
              <w:right w:val="single" w:sz="8" w:color="auto"/>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2.</w:t>
            </w:r>
          </w:p>
        </w:tc>
        <w:tc>
          <w:tcPr>
            <w:tcW w:w="103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920" w:type="dxa"/>
            <w:vAlign w:val="bottom"/>
            <w:tcBorders>
              <w:left w:val="single" w:sz="8" w:color="auto"/>
            </w:tcBorders>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w:t>
            </w:r>
          </w:p>
        </w:tc>
        <w:tc>
          <w:tcPr>
            <w:tcW w:w="5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tcBorders>
          </w:tcPr>
          <w:p>
            <w:pPr>
              <w:spacing w:after="0"/>
              <w:rPr>
                <w:sz w:val="4"/>
                <w:szCs w:val="4"/>
                <w:color w:val="auto"/>
              </w:rPr>
            </w:pPr>
          </w:p>
        </w:tc>
        <w:tc>
          <w:tcPr>
            <w:tcW w:w="1420" w:type="dxa"/>
            <w:vAlign w:val="bottom"/>
            <w:tcBorders>
              <w:bottom w:val="single" w:sz="8" w:color="auto"/>
            </w:tcBorders>
            <w:gridSpan w:val="3"/>
          </w:tcPr>
          <w:p>
            <w:pPr>
              <w:spacing w:after="0"/>
              <w:rPr>
                <w:sz w:val="4"/>
                <w:szCs w:val="4"/>
                <w:color w:val="auto"/>
              </w:rPr>
            </w:pPr>
          </w:p>
        </w:tc>
        <w:tc>
          <w:tcPr>
            <w:tcW w:w="8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3.</w:t>
            </w:r>
          </w:p>
        </w:tc>
        <w:tc>
          <w:tcPr>
            <w:tcW w:w="1420" w:type="dxa"/>
            <w:vAlign w:val="bottom"/>
            <w:gridSpan w:val="3"/>
          </w:tcPr>
          <w:p>
            <w:pPr>
              <w:ind w:left="20"/>
              <w:spacing w:after="0"/>
              <w:rPr>
                <w:sz w:val="20"/>
                <w:szCs w:val="20"/>
                <w:color w:val="auto"/>
              </w:rPr>
            </w:pPr>
            <w:r>
              <w:rPr>
                <w:rFonts w:ascii="Arial" w:cs="Arial" w:eastAsia="Arial" w:hAnsi="Arial"/>
                <w:sz w:val="18"/>
                <w:szCs w:val="18"/>
                <w:color w:val="auto"/>
              </w:rPr>
              <w:t>SEC Use Only</w:t>
            </w:r>
          </w:p>
        </w:tc>
        <w:tc>
          <w:tcPr>
            <w:tcW w:w="8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920" w:type="dxa"/>
            <w:vAlign w:val="bottom"/>
            <w:tcBorders>
              <w:left w:val="single" w:sz="8" w:color="auto"/>
              <w:bottom w:val="single" w:sz="8" w:color="auto"/>
            </w:tcBorders>
          </w:tcPr>
          <w:p>
            <w:pPr>
              <w:spacing w:after="0"/>
              <w:rPr>
                <w:sz w:val="4"/>
                <w:szCs w:val="4"/>
                <w:color w:val="auto"/>
              </w:rPr>
            </w:pPr>
          </w:p>
        </w:tc>
        <w:tc>
          <w:tcPr>
            <w:tcW w:w="1420" w:type="dxa"/>
            <w:vAlign w:val="bottom"/>
            <w:tcBorders>
              <w:bottom w:val="single" w:sz="8" w:color="auto"/>
            </w:tcBorders>
            <w:gridSpan w:val="3"/>
          </w:tcPr>
          <w:p>
            <w:pPr>
              <w:spacing w:after="0"/>
              <w:rPr>
                <w:sz w:val="4"/>
                <w:szCs w:val="4"/>
                <w:color w:val="auto"/>
              </w:rPr>
            </w:pPr>
          </w:p>
        </w:tc>
        <w:tc>
          <w:tcPr>
            <w:tcW w:w="8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4.</w:t>
            </w:r>
          </w:p>
        </w:tc>
        <w:tc>
          <w:tcPr>
            <w:tcW w:w="1420" w:type="dxa"/>
            <w:vAlign w:val="bottom"/>
            <w:gridSpan w:val="3"/>
          </w:tcPr>
          <w:p>
            <w:pPr>
              <w:ind w:left="20"/>
              <w:spacing w:after="0"/>
              <w:rPr>
                <w:sz w:val="20"/>
                <w:szCs w:val="20"/>
                <w:color w:val="auto"/>
              </w:rPr>
            </w:pPr>
            <w:r>
              <w:rPr>
                <w:rFonts w:ascii="Arial" w:cs="Arial" w:eastAsia="Arial" w:hAnsi="Arial"/>
                <w:sz w:val="18"/>
                <w:szCs w:val="18"/>
                <w:color w:val="auto"/>
              </w:rPr>
              <w:t>Source of Funds</w:t>
            </w:r>
          </w:p>
        </w:tc>
        <w:tc>
          <w:tcPr>
            <w:tcW w:w="8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0" w:type="dxa"/>
            <w:vAlign w:val="bottom"/>
            <w:tcBorders>
              <w:left w:val="single" w:sz="8" w:color="auto"/>
            </w:tcBorders>
          </w:tcPr>
          <w:p>
            <w:pPr>
              <w:spacing w:after="0"/>
              <w:rPr>
                <w:sz w:val="21"/>
                <w:szCs w:val="21"/>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1"/>
                <w:szCs w:val="21"/>
                <w:color w:val="auto"/>
              </w:rPr>
            </w:pPr>
          </w:p>
        </w:tc>
        <w:tc>
          <w:tcPr>
            <w:tcW w:w="89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bottom w:val="single" w:sz="8" w:color="auto"/>
            </w:tcBorders>
          </w:tcPr>
          <w:p>
            <w:pPr>
              <w:spacing w:after="0"/>
              <w:rPr>
                <w:sz w:val="5"/>
                <w:szCs w:val="5"/>
                <w:color w:val="auto"/>
              </w:rPr>
            </w:pPr>
          </w:p>
        </w:tc>
        <w:tc>
          <w:tcPr>
            <w:tcW w:w="10340" w:type="dxa"/>
            <w:vAlign w:val="bottom"/>
            <w:tcBorders>
              <w:bottom w:val="single" w:sz="8" w:color="auto"/>
              <w:right w:val="single" w:sz="8" w:color="auto"/>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5.</w:t>
            </w:r>
          </w:p>
        </w:tc>
        <w:tc>
          <w:tcPr>
            <w:tcW w:w="10340" w:type="dxa"/>
            <w:vAlign w:val="bottom"/>
            <w:tcBorders>
              <w:right w:val="single" w:sz="8" w:color="auto"/>
            </w:tcBorders>
            <w:gridSpan w:val="4"/>
          </w:tcPr>
          <w:p>
            <w:pPr>
              <w:ind w:left="2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920" w:type="dxa"/>
            <w:vAlign w:val="bottom"/>
            <w:tcBorders>
              <w:left w:val="single" w:sz="8" w:color="auto"/>
              <w:bottom w:val="single" w:sz="8" w:color="auto"/>
            </w:tcBorders>
          </w:tcPr>
          <w:p>
            <w:pPr>
              <w:spacing w:after="0"/>
              <w:rPr>
                <w:sz w:val="2"/>
                <w:szCs w:val="2"/>
                <w:color w:val="auto"/>
              </w:rPr>
            </w:pPr>
          </w:p>
        </w:tc>
        <w:tc>
          <w:tcPr>
            <w:tcW w:w="1034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6.</w:t>
            </w:r>
          </w:p>
        </w:tc>
        <w:tc>
          <w:tcPr>
            <w:tcW w:w="103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3"/>
        </w:trPr>
        <w:tc>
          <w:tcPr>
            <w:tcW w:w="920" w:type="dxa"/>
            <w:vAlign w:val="bottom"/>
            <w:tcBorders>
              <w:left w:val="single" w:sz="8" w:color="auto"/>
            </w:tcBorders>
          </w:tcPr>
          <w:p>
            <w:pPr>
              <w:spacing w:after="0"/>
              <w:rPr>
                <w:sz w:val="21"/>
                <w:szCs w:val="21"/>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France</w:t>
            </w:r>
          </w:p>
        </w:tc>
        <w:tc>
          <w:tcPr>
            <w:tcW w:w="580" w:type="dxa"/>
            <w:vAlign w:val="bottom"/>
          </w:tcPr>
          <w:p>
            <w:pPr>
              <w:spacing w:after="0"/>
              <w:rPr>
                <w:sz w:val="21"/>
                <w:szCs w:val="21"/>
                <w:color w:val="auto"/>
              </w:rPr>
            </w:pPr>
          </w:p>
        </w:tc>
        <w:tc>
          <w:tcPr>
            <w:tcW w:w="89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1760" w:type="dxa"/>
            <w:vAlign w:val="bottom"/>
            <w:tcBorders>
              <w:left w:val="single" w:sz="8" w:color="auto"/>
              <w:bottom w:val="single" w:sz="8" w:color="auto"/>
            </w:tcBorders>
            <w:gridSpan w:val="3"/>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760" w:type="dxa"/>
            <w:vAlign w:val="bottom"/>
            <w:tcBorders>
              <w:left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92"/>
              </w:rPr>
              <w:t>Number of</w:t>
            </w:r>
          </w:p>
        </w:tc>
        <w:tc>
          <w:tcPr>
            <w:tcW w:w="580" w:type="dxa"/>
            <w:vAlign w:val="bottom"/>
          </w:tcPr>
          <w:p>
            <w:pPr>
              <w:spacing w:after="0"/>
              <w:rPr>
                <w:sz w:val="20"/>
                <w:szCs w:val="20"/>
                <w:color w:val="auto"/>
              </w:rPr>
            </w:pPr>
            <w:r>
              <w:rPr>
                <w:rFonts w:ascii="Arial" w:cs="Arial" w:eastAsia="Arial" w:hAnsi="Arial"/>
                <w:sz w:val="18"/>
                <w:szCs w:val="18"/>
                <w:color w:val="auto"/>
              </w:rPr>
              <w:t>7.</w:t>
            </w:r>
          </w:p>
        </w:tc>
        <w:tc>
          <w:tcPr>
            <w:tcW w:w="89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7"/>
        </w:trPr>
        <w:tc>
          <w:tcPr>
            <w:tcW w:w="920" w:type="dxa"/>
            <w:vAlign w:val="bottom"/>
            <w:tcBorders>
              <w:left w:val="single" w:sz="8" w:color="auto"/>
            </w:tcBorders>
          </w:tcPr>
          <w:p>
            <w:pPr>
              <w:jc w:val="center"/>
              <w:ind w:left="330"/>
              <w:spacing w:after="0"/>
              <w:rPr>
                <w:sz w:val="20"/>
                <w:szCs w:val="20"/>
                <w:color w:val="auto"/>
              </w:rPr>
            </w:pPr>
            <w:r>
              <w:rPr>
                <w:rFonts w:ascii="Arial" w:cs="Arial" w:eastAsia="Arial" w:hAnsi="Arial"/>
                <w:sz w:val="18"/>
                <w:szCs w:val="18"/>
                <w:color w:val="auto"/>
                <w:w w:val="85"/>
              </w:rPr>
              <w:t>shares</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9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
        </w:trPr>
        <w:tc>
          <w:tcPr>
            <w:tcW w:w="1320" w:type="dxa"/>
            <w:vAlign w:val="bottom"/>
            <w:tcBorders>
              <w:lef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320" w:type="dxa"/>
            <w:vAlign w:val="bottom"/>
            <w:tcBorders>
              <w:left w:val="single" w:sz="8" w:color="auto"/>
            </w:tcBorders>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8.</w:t>
            </w:r>
          </w:p>
        </w:tc>
        <w:tc>
          <w:tcPr>
            <w:tcW w:w="89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90"/>
              </w:rPr>
              <w:t>owned by</w:t>
            </w:r>
          </w:p>
        </w:tc>
        <w:tc>
          <w:tcPr>
            <w:tcW w:w="580" w:type="dxa"/>
            <w:vAlign w:val="bottom"/>
          </w:tcPr>
          <w:p>
            <w:pPr>
              <w:spacing w:after="0"/>
              <w:rPr>
                <w:sz w:val="20"/>
                <w:szCs w:val="20"/>
                <w:color w:val="auto"/>
              </w:rPr>
            </w:pPr>
          </w:p>
        </w:tc>
        <w:tc>
          <w:tcPr>
            <w:tcW w:w="89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24,688,691</w:t>
            </w:r>
          </w:p>
        </w:tc>
        <w:tc>
          <w:tcPr>
            <w:tcW w:w="0" w:type="dxa"/>
            <w:vAlign w:val="bottom"/>
          </w:tcPr>
          <w:p>
            <w:pPr>
              <w:spacing w:after="0"/>
              <w:rPr>
                <w:sz w:val="1"/>
                <w:szCs w:val="1"/>
                <w:color w:val="auto"/>
              </w:rPr>
            </w:pPr>
          </w:p>
        </w:tc>
      </w:tr>
      <w:tr>
        <w:trPr>
          <w:trHeight w:val="67"/>
        </w:trPr>
        <w:tc>
          <w:tcPr>
            <w:tcW w:w="920" w:type="dxa"/>
            <w:vAlign w:val="bottom"/>
            <w:tcBorders>
              <w:left w:val="single" w:sz="8" w:color="auto"/>
            </w:tcBorders>
            <w:vMerge w:val="restart"/>
          </w:tcPr>
          <w:p>
            <w:pPr>
              <w:jc w:val="center"/>
              <w:ind w:left="330"/>
              <w:spacing w:after="0"/>
              <w:rPr>
                <w:sz w:val="20"/>
                <w:szCs w:val="20"/>
                <w:color w:val="auto"/>
              </w:rPr>
            </w:pPr>
            <w:r>
              <w:rPr>
                <w:rFonts w:ascii="Arial" w:cs="Arial" w:eastAsia="Arial" w:hAnsi="Arial"/>
                <w:sz w:val="18"/>
                <w:szCs w:val="18"/>
                <w:color w:val="auto"/>
                <w:w w:val="86"/>
              </w:rPr>
              <w:t>each</w:t>
            </w: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9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vMerge w:val="continue"/>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920" w:type="dxa"/>
            <w:vAlign w:val="bottom"/>
            <w:tcBorders>
              <w:left w:val="single" w:sz="8" w:color="auto"/>
            </w:tcBorders>
            <w:vMerge w:val="continue"/>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8"/>
                <w:szCs w:val="18"/>
                <w:color w:val="auto"/>
              </w:rPr>
              <w:t>9.</w:t>
            </w:r>
          </w:p>
        </w:tc>
        <w:tc>
          <w:tcPr>
            <w:tcW w:w="89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89"/>
        </w:trPr>
        <w:tc>
          <w:tcPr>
            <w:tcW w:w="1760" w:type="dxa"/>
            <w:vAlign w:val="bottom"/>
            <w:tcBorders>
              <w:left w:val="single" w:sz="8" w:color="auto"/>
            </w:tcBorders>
            <w:gridSpan w:val="3"/>
            <w:vMerge w:val="restart"/>
          </w:tcPr>
          <w:p>
            <w:pPr>
              <w:jc w:val="center"/>
              <w:ind w:right="420"/>
              <w:spacing w:after="0"/>
              <w:rPr>
                <w:sz w:val="20"/>
                <w:szCs w:val="20"/>
                <w:color w:val="auto"/>
              </w:rPr>
            </w:pPr>
            <w:r>
              <w:rPr>
                <w:rFonts w:ascii="Arial" w:cs="Arial" w:eastAsia="Arial" w:hAnsi="Arial"/>
                <w:sz w:val="18"/>
                <w:szCs w:val="18"/>
                <w:color w:val="auto"/>
                <w:w w:val="92"/>
              </w:rPr>
              <w:t>reporting</w:t>
            </w:r>
          </w:p>
        </w:tc>
        <w:tc>
          <w:tcPr>
            <w:tcW w:w="580" w:type="dxa"/>
            <w:vAlign w:val="bottom"/>
            <w:vMerge w:val="continue"/>
          </w:tcPr>
          <w:p>
            <w:pPr>
              <w:spacing w:after="0"/>
              <w:rPr>
                <w:sz w:val="16"/>
                <w:szCs w:val="16"/>
                <w:color w:val="auto"/>
              </w:rPr>
            </w:pPr>
          </w:p>
        </w:tc>
        <w:tc>
          <w:tcPr>
            <w:tcW w:w="89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760" w:type="dxa"/>
            <w:vAlign w:val="bottom"/>
            <w:tcBorders>
              <w:left w:val="single" w:sz="8" w:color="auto"/>
            </w:tcBorders>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89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920" w:type="dxa"/>
            <w:vAlign w:val="bottom"/>
            <w:tcBorders>
              <w:left w:val="single" w:sz="8" w:color="auto"/>
            </w:tcBorders>
            <w:vMerge w:val="restart"/>
          </w:tcPr>
          <w:p>
            <w:pPr>
              <w:jc w:val="center"/>
              <w:ind w:left="310"/>
              <w:spacing w:after="0"/>
              <w:rPr>
                <w:sz w:val="20"/>
                <w:szCs w:val="20"/>
                <w:color w:val="auto"/>
              </w:rPr>
            </w:pPr>
            <w:r>
              <w:rPr>
                <w:rFonts w:ascii="Arial" w:cs="Arial" w:eastAsia="Arial" w:hAnsi="Arial"/>
                <w:sz w:val="18"/>
                <w:szCs w:val="18"/>
                <w:color w:val="auto"/>
                <w:w w:val="87"/>
              </w:rPr>
              <w:t>person</w:t>
            </w: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9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vMerge w:val="continue"/>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tcBorders>
          </w:tcPr>
          <w:p>
            <w:pPr>
              <w:jc w:val="center"/>
              <w:ind w:left="330"/>
              <w:spacing w:after="0"/>
              <w:rPr>
                <w:sz w:val="20"/>
                <w:szCs w:val="20"/>
                <w:color w:val="auto"/>
              </w:rPr>
            </w:pPr>
            <w:r>
              <w:rPr>
                <w:rFonts w:ascii="Arial" w:cs="Arial" w:eastAsia="Arial" w:hAnsi="Arial"/>
                <w:sz w:val="18"/>
                <w:szCs w:val="18"/>
                <w:color w:val="auto"/>
              </w:rPr>
              <w:t>with:</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10.</w:t>
            </w:r>
          </w:p>
        </w:tc>
        <w:tc>
          <w:tcPr>
            <w:tcW w:w="89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43"/>
        </w:trPr>
        <w:tc>
          <w:tcPr>
            <w:tcW w:w="920" w:type="dxa"/>
            <w:vAlign w:val="bottom"/>
            <w:tcBorders>
              <w:lef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9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24,688,691</w:t>
            </w:r>
          </w:p>
        </w:tc>
        <w:tc>
          <w:tcPr>
            <w:tcW w:w="0" w:type="dxa"/>
            <w:vAlign w:val="bottom"/>
          </w:tcPr>
          <w:p>
            <w:pPr>
              <w:spacing w:after="0"/>
              <w:rPr>
                <w:sz w:val="1"/>
                <w:szCs w:val="1"/>
                <w:color w:val="auto"/>
              </w:rPr>
            </w:pPr>
          </w:p>
        </w:tc>
      </w:tr>
      <w:tr>
        <w:trPr>
          <w:trHeight w:val="351"/>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11.</w:t>
            </w:r>
          </w:p>
        </w:tc>
        <w:tc>
          <w:tcPr>
            <w:tcW w:w="103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920" w:type="dxa"/>
            <w:vAlign w:val="bottom"/>
            <w:tcBorders>
              <w:left w:val="single" w:sz="8" w:color="auto"/>
            </w:tcBorders>
          </w:tcPr>
          <w:p>
            <w:pPr>
              <w:spacing w:after="0"/>
              <w:rPr>
                <w:sz w:val="21"/>
                <w:szCs w:val="21"/>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w w:val="88"/>
              </w:rPr>
              <w:t>24,688,691</w:t>
            </w:r>
          </w:p>
        </w:tc>
        <w:tc>
          <w:tcPr>
            <w:tcW w:w="580" w:type="dxa"/>
            <w:vAlign w:val="bottom"/>
          </w:tcPr>
          <w:p>
            <w:pPr>
              <w:spacing w:after="0"/>
              <w:rPr>
                <w:sz w:val="21"/>
                <w:szCs w:val="21"/>
                <w:color w:val="auto"/>
              </w:rPr>
            </w:pPr>
          </w:p>
        </w:tc>
        <w:tc>
          <w:tcPr>
            <w:tcW w:w="89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940" w:type="dxa"/>
            <w:vAlign w:val="bottom"/>
            <w:tcBorders>
              <w:bottom w:val="single" w:sz="8" w:color="auto"/>
              <w:right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12.</w:t>
            </w:r>
          </w:p>
        </w:tc>
        <w:tc>
          <w:tcPr>
            <w:tcW w:w="10340" w:type="dxa"/>
            <w:vAlign w:val="bottom"/>
            <w:tcBorders>
              <w:right w:val="single" w:sz="8" w:color="auto"/>
            </w:tcBorders>
            <w:gridSpan w:val="4"/>
          </w:tcPr>
          <w:p>
            <w:pPr>
              <w:ind w:left="2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92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94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13.</w:t>
            </w:r>
          </w:p>
        </w:tc>
        <w:tc>
          <w:tcPr>
            <w:tcW w:w="103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351"/>
        </w:trPr>
        <w:tc>
          <w:tcPr>
            <w:tcW w:w="9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5.5%</w:t>
            </w:r>
            <w:r>
              <w:rPr>
                <w:rFonts w:ascii="Arial" w:cs="Arial" w:eastAsia="Arial" w:hAnsi="Arial"/>
                <w:sz w:val="29"/>
                <w:szCs w:val="29"/>
                <w:color w:val="auto"/>
                <w:vertAlign w:val="superscript"/>
              </w:rPr>
              <w:t>3</w:t>
            </w:r>
          </w:p>
        </w:tc>
        <w:tc>
          <w:tcPr>
            <w:tcW w:w="580" w:type="dxa"/>
            <w:vAlign w:val="bottom"/>
            <w:tcBorders>
              <w:bottom w:val="single" w:sz="8" w:color="auto"/>
            </w:tcBorders>
          </w:tcPr>
          <w:p>
            <w:pPr>
              <w:spacing w:after="0"/>
              <w:rPr>
                <w:sz w:val="24"/>
                <w:szCs w:val="24"/>
                <w:color w:val="auto"/>
              </w:rPr>
            </w:pPr>
          </w:p>
        </w:tc>
        <w:tc>
          <w:tcPr>
            <w:tcW w:w="8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14.</w:t>
            </w:r>
          </w:p>
        </w:tc>
        <w:tc>
          <w:tcPr>
            <w:tcW w:w="103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243"/>
        </w:trPr>
        <w:tc>
          <w:tcPr>
            <w:tcW w:w="920" w:type="dxa"/>
            <w:vAlign w:val="bottom"/>
            <w:tcBorders>
              <w:left w:val="single" w:sz="8" w:color="auto"/>
            </w:tcBorders>
          </w:tcPr>
          <w:p>
            <w:pPr>
              <w:spacing w:after="0"/>
              <w:rPr>
                <w:sz w:val="21"/>
                <w:szCs w:val="21"/>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1"/>
                <w:szCs w:val="21"/>
                <w:color w:val="auto"/>
              </w:rPr>
            </w:pPr>
          </w:p>
        </w:tc>
        <w:tc>
          <w:tcPr>
            <w:tcW w:w="89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580" w:right="3640" w:hanging="5572"/>
        <w:spacing w:after="0" w:line="417" w:lineRule="auto"/>
        <w:tabs>
          <w:tab w:leader="none" w:pos="115" w:val="left"/>
        </w:tabs>
        <w:numPr>
          <w:ilvl w:val="0"/>
          <w:numId w:val="3"/>
        </w:numPr>
        <w:rPr>
          <w:rFonts w:ascii="Arial" w:cs="Arial" w:eastAsia="Arial" w:hAnsi="Arial"/>
          <w:sz w:val="28"/>
          <w:szCs w:val="28"/>
          <w:color w:val="auto"/>
          <w:vertAlign w:val="superscript"/>
        </w:rPr>
      </w:pPr>
      <w:r>
        <w:rPr>
          <w:rFonts w:ascii="Arial" w:cs="Arial" w:eastAsia="Arial" w:hAnsi="Arial"/>
          <w:sz w:val="17"/>
          <w:szCs w:val="17"/>
          <w:color w:val="auto"/>
        </w:rPr>
        <w:t>Based on 450,516,797 Ordinary Shares outstanding as of February 3, 2021, as reported in the Form F-1.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800" w:right="319"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color w:val="auto"/>
        </w:rPr>
        <w:t>CUSIP No. G87110105</w:t>
      </w:r>
    </w:p>
    <w:p>
      <w:pPr>
        <w:spacing w:after="0" w:line="200" w:lineRule="exact"/>
        <w:rPr>
          <w:sz w:val="20"/>
          <w:szCs w:val="20"/>
          <w:color w:val="auto"/>
        </w:rPr>
      </w:pPr>
    </w:p>
    <w:p>
      <w:pPr>
        <w:spacing w:after="0" w:line="289"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920" w:type="dxa"/>
            <w:vAlign w:val="bottom"/>
            <w:tcBorders>
              <w:top w:val="single" w:sz="8" w:color="auto"/>
              <w:left w:val="single" w:sz="8" w:color="auto"/>
            </w:tcBorders>
          </w:tcPr>
          <w:p>
            <w:pPr>
              <w:ind w:left="160"/>
              <w:spacing w:after="0"/>
              <w:rPr>
                <w:sz w:val="20"/>
                <w:szCs w:val="20"/>
                <w:color w:val="auto"/>
              </w:rPr>
            </w:pPr>
            <w:r>
              <w:rPr>
                <w:rFonts w:ascii="Arial" w:cs="Arial" w:eastAsia="Arial" w:hAnsi="Arial"/>
                <w:sz w:val="18"/>
                <w:szCs w:val="18"/>
                <w:color w:val="auto"/>
              </w:rPr>
              <w:t>1.</w:t>
            </w:r>
          </w:p>
        </w:tc>
        <w:tc>
          <w:tcPr>
            <w:tcW w:w="10340" w:type="dxa"/>
            <w:vAlign w:val="bottom"/>
            <w:tcBorders>
              <w:top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920" w:type="dxa"/>
            <w:vAlign w:val="bottom"/>
            <w:tcBorders>
              <w:left w:val="single" w:sz="8" w:color="auto"/>
            </w:tcBorders>
          </w:tcPr>
          <w:p>
            <w:pPr>
              <w:spacing w:after="0"/>
              <w:rPr>
                <w:sz w:val="21"/>
                <w:szCs w:val="21"/>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color w:val="auto"/>
              </w:rPr>
              <w:t>Bpifrance S.A.</w:t>
            </w:r>
          </w:p>
        </w:tc>
        <w:tc>
          <w:tcPr>
            <w:tcW w:w="89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bottom w:val="single" w:sz="8" w:color="auto"/>
            </w:tcBorders>
          </w:tcPr>
          <w:p>
            <w:pPr>
              <w:spacing w:after="0"/>
              <w:rPr>
                <w:sz w:val="5"/>
                <w:szCs w:val="5"/>
                <w:color w:val="auto"/>
              </w:rPr>
            </w:pPr>
          </w:p>
        </w:tc>
        <w:tc>
          <w:tcPr>
            <w:tcW w:w="10340" w:type="dxa"/>
            <w:vAlign w:val="bottom"/>
            <w:tcBorders>
              <w:bottom w:val="single" w:sz="8" w:color="auto"/>
              <w:right w:val="single" w:sz="8" w:color="auto"/>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2.</w:t>
            </w:r>
          </w:p>
        </w:tc>
        <w:tc>
          <w:tcPr>
            <w:tcW w:w="103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920" w:type="dxa"/>
            <w:vAlign w:val="bottom"/>
            <w:tcBorders>
              <w:left w:val="single" w:sz="8" w:color="auto"/>
            </w:tcBorders>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w:t>
            </w:r>
          </w:p>
        </w:tc>
        <w:tc>
          <w:tcPr>
            <w:tcW w:w="5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920" w:type="dxa"/>
            <w:vAlign w:val="bottom"/>
            <w:tcBorders>
              <w:left w:val="single" w:sz="8" w:color="auto"/>
              <w:bottom w:val="single" w:sz="8" w:color="auto"/>
            </w:tcBorders>
          </w:tcPr>
          <w:p>
            <w:pPr>
              <w:spacing w:after="0"/>
              <w:rPr>
                <w:sz w:val="4"/>
                <w:szCs w:val="4"/>
                <w:color w:val="auto"/>
              </w:rPr>
            </w:pPr>
          </w:p>
        </w:tc>
        <w:tc>
          <w:tcPr>
            <w:tcW w:w="1420" w:type="dxa"/>
            <w:vAlign w:val="bottom"/>
            <w:tcBorders>
              <w:bottom w:val="single" w:sz="8" w:color="auto"/>
            </w:tcBorders>
            <w:gridSpan w:val="3"/>
          </w:tcPr>
          <w:p>
            <w:pPr>
              <w:spacing w:after="0"/>
              <w:rPr>
                <w:sz w:val="4"/>
                <w:szCs w:val="4"/>
                <w:color w:val="auto"/>
              </w:rPr>
            </w:pPr>
          </w:p>
        </w:tc>
        <w:tc>
          <w:tcPr>
            <w:tcW w:w="8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3.</w:t>
            </w:r>
          </w:p>
        </w:tc>
        <w:tc>
          <w:tcPr>
            <w:tcW w:w="1420" w:type="dxa"/>
            <w:vAlign w:val="bottom"/>
            <w:gridSpan w:val="3"/>
          </w:tcPr>
          <w:p>
            <w:pPr>
              <w:ind w:left="20"/>
              <w:spacing w:after="0"/>
              <w:rPr>
                <w:sz w:val="20"/>
                <w:szCs w:val="20"/>
                <w:color w:val="auto"/>
              </w:rPr>
            </w:pPr>
            <w:r>
              <w:rPr>
                <w:rFonts w:ascii="Arial" w:cs="Arial" w:eastAsia="Arial" w:hAnsi="Arial"/>
                <w:sz w:val="18"/>
                <w:szCs w:val="18"/>
                <w:color w:val="auto"/>
              </w:rPr>
              <w:t>SEC Use Only</w:t>
            </w:r>
          </w:p>
        </w:tc>
        <w:tc>
          <w:tcPr>
            <w:tcW w:w="8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920" w:type="dxa"/>
            <w:vAlign w:val="bottom"/>
            <w:tcBorders>
              <w:left w:val="single" w:sz="8" w:color="auto"/>
              <w:bottom w:val="single" w:sz="8" w:color="auto"/>
            </w:tcBorders>
          </w:tcPr>
          <w:p>
            <w:pPr>
              <w:spacing w:after="0"/>
              <w:rPr>
                <w:sz w:val="4"/>
                <w:szCs w:val="4"/>
                <w:color w:val="auto"/>
              </w:rPr>
            </w:pPr>
          </w:p>
        </w:tc>
        <w:tc>
          <w:tcPr>
            <w:tcW w:w="1420" w:type="dxa"/>
            <w:vAlign w:val="bottom"/>
            <w:tcBorders>
              <w:bottom w:val="single" w:sz="8" w:color="auto"/>
            </w:tcBorders>
            <w:gridSpan w:val="3"/>
          </w:tcPr>
          <w:p>
            <w:pPr>
              <w:spacing w:after="0"/>
              <w:rPr>
                <w:sz w:val="4"/>
                <w:szCs w:val="4"/>
                <w:color w:val="auto"/>
              </w:rPr>
            </w:pPr>
          </w:p>
        </w:tc>
        <w:tc>
          <w:tcPr>
            <w:tcW w:w="8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4.</w:t>
            </w:r>
          </w:p>
        </w:tc>
        <w:tc>
          <w:tcPr>
            <w:tcW w:w="1420" w:type="dxa"/>
            <w:vAlign w:val="bottom"/>
            <w:gridSpan w:val="3"/>
          </w:tcPr>
          <w:p>
            <w:pPr>
              <w:ind w:left="20"/>
              <w:spacing w:after="0"/>
              <w:rPr>
                <w:sz w:val="20"/>
                <w:szCs w:val="20"/>
                <w:color w:val="auto"/>
              </w:rPr>
            </w:pPr>
            <w:r>
              <w:rPr>
                <w:rFonts w:ascii="Arial" w:cs="Arial" w:eastAsia="Arial" w:hAnsi="Arial"/>
                <w:sz w:val="18"/>
                <w:szCs w:val="18"/>
                <w:color w:val="auto"/>
              </w:rPr>
              <w:t>Source of Funds</w:t>
            </w:r>
          </w:p>
        </w:tc>
        <w:tc>
          <w:tcPr>
            <w:tcW w:w="8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0" w:type="dxa"/>
            <w:vAlign w:val="bottom"/>
            <w:tcBorders>
              <w:left w:val="single" w:sz="8" w:color="auto"/>
            </w:tcBorders>
          </w:tcPr>
          <w:p>
            <w:pPr>
              <w:spacing w:after="0"/>
              <w:rPr>
                <w:sz w:val="21"/>
                <w:szCs w:val="21"/>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1"/>
                <w:szCs w:val="21"/>
                <w:color w:val="auto"/>
              </w:rPr>
            </w:pPr>
          </w:p>
        </w:tc>
        <w:tc>
          <w:tcPr>
            <w:tcW w:w="89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bottom w:val="single" w:sz="8" w:color="auto"/>
            </w:tcBorders>
          </w:tcPr>
          <w:p>
            <w:pPr>
              <w:spacing w:after="0"/>
              <w:rPr>
                <w:sz w:val="5"/>
                <w:szCs w:val="5"/>
                <w:color w:val="auto"/>
              </w:rPr>
            </w:pPr>
          </w:p>
        </w:tc>
        <w:tc>
          <w:tcPr>
            <w:tcW w:w="10340" w:type="dxa"/>
            <w:vAlign w:val="bottom"/>
            <w:tcBorders>
              <w:bottom w:val="single" w:sz="8" w:color="auto"/>
              <w:right w:val="single" w:sz="8" w:color="auto"/>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5.</w:t>
            </w:r>
          </w:p>
        </w:tc>
        <w:tc>
          <w:tcPr>
            <w:tcW w:w="10340" w:type="dxa"/>
            <w:vAlign w:val="bottom"/>
            <w:tcBorders>
              <w:right w:val="single" w:sz="8" w:color="auto"/>
            </w:tcBorders>
            <w:gridSpan w:val="4"/>
          </w:tcPr>
          <w:p>
            <w:pPr>
              <w:ind w:left="2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920" w:type="dxa"/>
            <w:vAlign w:val="bottom"/>
            <w:tcBorders>
              <w:left w:val="single" w:sz="8" w:color="auto"/>
              <w:bottom w:val="single" w:sz="8" w:color="auto"/>
            </w:tcBorders>
          </w:tcPr>
          <w:p>
            <w:pPr>
              <w:spacing w:after="0"/>
              <w:rPr>
                <w:sz w:val="2"/>
                <w:szCs w:val="2"/>
                <w:color w:val="auto"/>
              </w:rPr>
            </w:pPr>
          </w:p>
        </w:tc>
        <w:tc>
          <w:tcPr>
            <w:tcW w:w="1034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6.</w:t>
            </w:r>
          </w:p>
        </w:tc>
        <w:tc>
          <w:tcPr>
            <w:tcW w:w="103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3"/>
        </w:trPr>
        <w:tc>
          <w:tcPr>
            <w:tcW w:w="920" w:type="dxa"/>
            <w:vAlign w:val="bottom"/>
            <w:tcBorders>
              <w:left w:val="single" w:sz="8" w:color="auto"/>
            </w:tcBorders>
          </w:tcPr>
          <w:p>
            <w:pPr>
              <w:spacing w:after="0"/>
              <w:rPr>
                <w:sz w:val="21"/>
                <w:szCs w:val="21"/>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France</w:t>
            </w:r>
          </w:p>
        </w:tc>
        <w:tc>
          <w:tcPr>
            <w:tcW w:w="580" w:type="dxa"/>
            <w:vAlign w:val="bottom"/>
          </w:tcPr>
          <w:p>
            <w:pPr>
              <w:spacing w:after="0"/>
              <w:rPr>
                <w:sz w:val="21"/>
                <w:szCs w:val="21"/>
                <w:color w:val="auto"/>
              </w:rPr>
            </w:pPr>
          </w:p>
        </w:tc>
        <w:tc>
          <w:tcPr>
            <w:tcW w:w="89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7"/>
        </w:trPr>
        <w:tc>
          <w:tcPr>
            <w:tcW w:w="1760" w:type="dxa"/>
            <w:vAlign w:val="bottom"/>
            <w:tcBorders>
              <w:left w:val="single" w:sz="8" w:color="auto"/>
              <w:bottom w:val="single" w:sz="8" w:color="auto"/>
            </w:tcBorders>
            <w:gridSpan w:val="3"/>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760" w:type="dxa"/>
            <w:vAlign w:val="bottom"/>
            <w:tcBorders>
              <w:left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92"/>
              </w:rPr>
              <w:t>Number of</w:t>
            </w:r>
          </w:p>
        </w:tc>
        <w:tc>
          <w:tcPr>
            <w:tcW w:w="580" w:type="dxa"/>
            <w:vAlign w:val="bottom"/>
          </w:tcPr>
          <w:p>
            <w:pPr>
              <w:spacing w:after="0"/>
              <w:rPr>
                <w:sz w:val="20"/>
                <w:szCs w:val="20"/>
                <w:color w:val="auto"/>
              </w:rPr>
            </w:pPr>
            <w:r>
              <w:rPr>
                <w:rFonts w:ascii="Arial" w:cs="Arial" w:eastAsia="Arial" w:hAnsi="Arial"/>
                <w:sz w:val="18"/>
                <w:szCs w:val="18"/>
                <w:color w:val="auto"/>
              </w:rPr>
              <w:t>7.</w:t>
            </w:r>
          </w:p>
        </w:tc>
        <w:tc>
          <w:tcPr>
            <w:tcW w:w="89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7"/>
        </w:trPr>
        <w:tc>
          <w:tcPr>
            <w:tcW w:w="920" w:type="dxa"/>
            <w:vAlign w:val="bottom"/>
            <w:tcBorders>
              <w:left w:val="single" w:sz="8" w:color="auto"/>
            </w:tcBorders>
          </w:tcPr>
          <w:p>
            <w:pPr>
              <w:jc w:val="center"/>
              <w:ind w:left="330"/>
              <w:spacing w:after="0"/>
              <w:rPr>
                <w:sz w:val="20"/>
                <w:szCs w:val="20"/>
                <w:color w:val="auto"/>
              </w:rPr>
            </w:pPr>
            <w:r>
              <w:rPr>
                <w:rFonts w:ascii="Arial" w:cs="Arial" w:eastAsia="Arial" w:hAnsi="Arial"/>
                <w:sz w:val="18"/>
                <w:szCs w:val="18"/>
                <w:color w:val="auto"/>
                <w:w w:val="85"/>
              </w:rPr>
              <w:t>shares</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9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
        </w:trPr>
        <w:tc>
          <w:tcPr>
            <w:tcW w:w="1320" w:type="dxa"/>
            <w:vAlign w:val="bottom"/>
            <w:tcBorders>
              <w:lef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320" w:type="dxa"/>
            <w:vAlign w:val="bottom"/>
            <w:tcBorders>
              <w:left w:val="single" w:sz="8" w:color="auto"/>
            </w:tcBorders>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8.</w:t>
            </w:r>
          </w:p>
        </w:tc>
        <w:tc>
          <w:tcPr>
            <w:tcW w:w="89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90"/>
              </w:rPr>
              <w:t>owned by</w:t>
            </w:r>
          </w:p>
        </w:tc>
        <w:tc>
          <w:tcPr>
            <w:tcW w:w="580" w:type="dxa"/>
            <w:vAlign w:val="bottom"/>
          </w:tcPr>
          <w:p>
            <w:pPr>
              <w:spacing w:after="0"/>
              <w:rPr>
                <w:sz w:val="20"/>
                <w:szCs w:val="20"/>
                <w:color w:val="auto"/>
              </w:rPr>
            </w:pPr>
          </w:p>
        </w:tc>
        <w:tc>
          <w:tcPr>
            <w:tcW w:w="89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24,688,691</w:t>
            </w:r>
          </w:p>
        </w:tc>
        <w:tc>
          <w:tcPr>
            <w:tcW w:w="0" w:type="dxa"/>
            <w:vAlign w:val="bottom"/>
          </w:tcPr>
          <w:p>
            <w:pPr>
              <w:spacing w:after="0"/>
              <w:rPr>
                <w:sz w:val="1"/>
                <w:szCs w:val="1"/>
                <w:color w:val="auto"/>
              </w:rPr>
            </w:pPr>
          </w:p>
        </w:tc>
      </w:tr>
      <w:tr>
        <w:trPr>
          <w:trHeight w:val="67"/>
        </w:trPr>
        <w:tc>
          <w:tcPr>
            <w:tcW w:w="920" w:type="dxa"/>
            <w:vAlign w:val="bottom"/>
            <w:tcBorders>
              <w:left w:val="single" w:sz="8" w:color="auto"/>
            </w:tcBorders>
            <w:vMerge w:val="restart"/>
          </w:tcPr>
          <w:p>
            <w:pPr>
              <w:jc w:val="center"/>
              <w:ind w:left="330"/>
              <w:spacing w:after="0"/>
              <w:rPr>
                <w:sz w:val="20"/>
                <w:szCs w:val="20"/>
                <w:color w:val="auto"/>
              </w:rPr>
            </w:pPr>
            <w:r>
              <w:rPr>
                <w:rFonts w:ascii="Arial" w:cs="Arial" w:eastAsia="Arial" w:hAnsi="Arial"/>
                <w:sz w:val="18"/>
                <w:szCs w:val="18"/>
                <w:color w:val="auto"/>
                <w:w w:val="86"/>
              </w:rPr>
              <w:t>each</w:t>
            </w: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9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vMerge w:val="continue"/>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920" w:type="dxa"/>
            <w:vAlign w:val="bottom"/>
            <w:tcBorders>
              <w:left w:val="single" w:sz="8" w:color="auto"/>
            </w:tcBorders>
            <w:vMerge w:val="continue"/>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8"/>
                <w:szCs w:val="18"/>
                <w:color w:val="auto"/>
              </w:rPr>
              <w:t>9.</w:t>
            </w:r>
          </w:p>
        </w:tc>
        <w:tc>
          <w:tcPr>
            <w:tcW w:w="89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89"/>
        </w:trPr>
        <w:tc>
          <w:tcPr>
            <w:tcW w:w="1760" w:type="dxa"/>
            <w:vAlign w:val="bottom"/>
            <w:tcBorders>
              <w:left w:val="single" w:sz="8" w:color="auto"/>
            </w:tcBorders>
            <w:gridSpan w:val="3"/>
            <w:vMerge w:val="restart"/>
          </w:tcPr>
          <w:p>
            <w:pPr>
              <w:jc w:val="center"/>
              <w:ind w:right="420"/>
              <w:spacing w:after="0"/>
              <w:rPr>
                <w:sz w:val="20"/>
                <w:szCs w:val="20"/>
                <w:color w:val="auto"/>
              </w:rPr>
            </w:pPr>
            <w:r>
              <w:rPr>
                <w:rFonts w:ascii="Arial" w:cs="Arial" w:eastAsia="Arial" w:hAnsi="Arial"/>
                <w:sz w:val="18"/>
                <w:szCs w:val="18"/>
                <w:color w:val="auto"/>
                <w:w w:val="92"/>
              </w:rPr>
              <w:t>reporting</w:t>
            </w:r>
          </w:p>
        </w:tc>
        <w:tc>
          <w:tcPr>
            <w:tcW w:w="580" w:type="dxa"/>
            <w:vAlign w:val="bottom"/>
            <w:vMerge w:val="continue"/>
          </w:tcPr>
          <w:p>
            <w:pPr>
              <w:spacing w:after="0"/>
              <w:rPr>
                <w:sz w:val="16"/>
                <w:szCs w:val="16"/>
                <w:color w:val="auto"/>
              </w:rPr>
            </w:pPr>
          </w:p>
        </w:tc>
        <w:tc>
          <w:tcPr>
            <w:tcW w:w="89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760" w:type="dxa"/>
            <w:vAlign w:val="bottom"/>
            <w:tcBorders>
              <w:left w:val="single" w:sz="8" w:color="auto"/>
            </w:tcBorders>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89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920" w:type="dxa"/>
            <w:vAlign w:val="bottom"/>
            <w:tcBorders>
              <w:left w:val="single" w:sz="8" w:color="auto"/>
            </w:tcBorders>
            <w:vMerge w:val="restart"/>
          </w:tcPr>
          <w:p>
            <w:pPr>
              <w:jc w:val="center"/>
              <w:ind w:left="310"/>
              <w:spacing w:after="0"/>
              <w:rPr>
                <w:sz w:val="20"/>
                <w:szCs w:val="20"/>
                <w:color w:val="auto"/>
              </w:rPr>
            </w:pPr>
            <w:r>
              <w:rPr>
                <w:rFonts w:ascii="Arial" w:cs="Arial" w:eastAsia="Arial" w:hAnsi="Arial"/>
                <w:sz w:val="18"/>
                <w:szCs w:val="18"/>
                <w:color w:val="auto"/>
                <w:w w:val="87"/>
              </w:rPr>
              <w:t>person</w:t>
            </w: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9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tcBorders>
            <w:vMerge w:val="continue"/>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tcBorders>
          </w:tcPr>
          <w:p>
            <w:pPr>
              <w:jc w:val="center"/>
              <w:ind w:left="330"/>
              <w:spacing w:after="0"/>
              <w:rPr>
                <w:sz w:val="20"/>
                <w:szCs w:val="20"/>
                <w:color w:val="auto"/>
              </w:rPr>
            </w:pPr>
            <w:r>
              <w:rPr>
                <w:rFonts w:ascii="Arial" w:cs="Arial" w:eastAsia="Arial" w:hAnsi="Arial"/>
                <w:sz w:val="18"/>
                <w:szCs w:val="18"/>
                <w:color w:val="auto"/>
              </w:rPr>
              <w:t>with:</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10.</w:t>
            </w:r>
          </w:p>
        </w:tc>
        <w:tc>
          <w:tcPr>
            <w:tcW w:w="89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43"/>
        </w:trPr>
        <w:tc>
          <w:tcPr>
            <w:tcW w:w="920" w:type="dxa"/>
            <w:vAlign w:val="bottom"/>
            <w:tcBorders>
              <w:lef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9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24,688,691</w:t>
            </w:r>
          </w:p>
        </w:tc>
        <w:tc>
          <w:tcPr>
            <w:tcW w:w="0" w:type="dxa"/>
            <w:vAlign w:val="bottom"/>
          </w:tcPr>
          <w:p>
            <w:pPr>
              <w:spacing w:after="0"/>
              <w:rPr>
                <w:sz w:val="1"/>
                <w:szCs w:val="1"/>
                <w:color w:val="auto"/>
              </w:rPr>
            </w:pPr>
          </w:p>
        </w:tc>
      </w:tr>
      <w:tr>
        <w:trPr>
          <w:trHeight w:val="351"/>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11.</w:t>
            </w:r>
          </w:p>
        </w:tc>
        <w:tc>
          <w:tcPr>
            <w:tcW w:w="103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920" w:type="dxa"/>
            <w:vAlign w:val="bottom"/>
            <w:tcBorders>
              <w:left w:val="single" w:sz="8" w:color="auto"/>
            </w:tcBorders>
          </w:tcPr>
          <w:p>
            <w:pPr>
              <w:spacing w:after="0"/>
              <w:rPr>
                <w:sz w:val="21"/>
                <w:szCs w:val="21"/>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w w:val="88"/>
              </w:rPr>
              <w:t>24,688,691</w:t>
            </w:r>
          </w:p>
        </w:tc>
        <w:tc>
          <w:tcPr>
            <w:tcW w:w="580" w:type="dxa"/>
            <w:vAlign w:val="bottom"/>
          </w:tcPr>
          <w:p>
            <w:pPr>
              <w:spacing w:after="0"/>
              <w:rPr>
                <w:sz w:val="21"/>
                <w:szCs w:val="21"/>
                <w:color w:val="auto"/>
              </w:rPr>
            </w:pPr>
          </w:p>
        </w:tc>
        <w:tc>
          <w:tcPr>
            <w:tcW w:w="89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940" w:type="dxa"/>
            <w:vAlign w:val="bottom"/>
            <w:tcBorders>
              <w:bottom w:val="single" w:sz="8" w:color="auto"/>
              <w:right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12.</w:t>
            </w:r>
          </w:p>
        </w:tc>
        <w:tc>
          <w:tcPr>
            <w:tcW w:w="10340" w:type="dxa"/>
            <w:vAlign w:val="bottom"/>
            <w:tcBorders>
              <w:right w:val="single" w:sz="8" w:color="auto"/>
            </w:tcBorders>
            <w:gridSpan w:val="4"/>
          </w:tcPr>
          <w:p>
            <w:pPr>
              <w:ind w:left="2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92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94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13.</w:t>
            </w:r>
          </w:p>
        </w:tc>
        <w:tc>
          <w:tcPr>
            <w:tcW w:w="103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351"/>
        </w:trPr>
        <w:tc>
          <w:tcPr>
            <w:tcW w:w="9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5.5%</w:t>
            </w:r>
            <w:r>
              <w:rPr>
                <w:rFonts w:ascii="Arial" w:cs="Arial" w:eastAsia="Arial" w:hAnsi="Arial"/>
                <w:sz w:val="29"/>
                <w:szCs w:val="29"/>
                <w:color w:val="auto"/>
                <w:vertAlign w:val="superscript"/>
              </w:rPr>
              <w:t>4</w:t>
            </w:r>
          </w:p>
        </w:tc>
        <w:tc>
          <w:tcPr>
            <w:tcW w:w="580" w:type="dxa"/>
            <w:vAlign w:val="bottom"/>
            <w:tcBorders>
              <w:bottom w:val="single" w:sz="8" w:color="auto"/>
            </w:tcBorders>
          </w:tcPr>
          <w:p>
            <w:pPr>
              <w:spacing w:after="0"/>
              <w:rPr>
                <w:sz w:val="24"/>
                <w:szCs w:val="24"/>
                <w:color w:val="auto"/>
              </w:rPr>
            </w:pPr>
          </w:p>
        </w:tc>
        <w:tc>
          <w:tcPr>
            <w:tcW w:w="8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14.</w:t>
            </w:r>
          </w:p>
        </w:tc>
        <w:tc>
          <w:tcPr>
            <w:tcW w:w="103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243"/>
        </w:trPr>
        <w:tc>
          <w:tcPr>
            <w:tcW w:w="920" w:type="dxa"/>
            <w:vAlign w:val="bottom"/>
            <w:tcBorders>
              <w:left w:val="single" w:sz="8" w:color="auto"/>
            </w:tcBorders>
          </w:tcPr>
          <w:p>
            <w:pPr>
              <w:spacing w:after="0"/>
              <w:rPr>
                <w:sz w:val="21"/>
                <w:szCs w:val="21"/>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1"/>
                <w:szCs w:val="21"/>
                <w:color w:val="auto"/>
              </w:rPr>
            </w:pPr>
          </w:p>
        </w:tc>
        <w:tc>
          <w:tcPr>
            <w:tcW w:w="89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9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580" w:right="3640" w:hanging="5572"/>
        <w:spacing w:after="0" w:line="417" w:lineRule="auto"/>
        <w:tabs>
          <w:tab w:leader="none" w:pos="115"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Based on 450,516,797 Ordinary Shares outstanding as of February 3, 2021, as reported in the Form F-1.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800" w:right="31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This Amendment No. 1 to Schedule 13D (this “Amendment No. 1”) amends and supplements the Schedule 13D previously filed by the Reporting Persons (as defined below) with the Securities and Exchange Commission on May 30, 2017 (the “Original Schedule 13D” and, as amended and supplemented by this Amendment No. 1, the “Schedule 13D”). This Schedule 13D relates to the ordinary shares, $1.00 par value per share (“Ordinary Shares”), of TechnipFMC plc, a public limited company incorporated under the laws of England and Wales (the “Issuer”). All capitalized terms used but not defined herein shall have the meanings ascribed to such terms in the Original Schedule 13D.</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 xml:space="preserve">This Schedule 13D is filed jointly by (i) Bpifrance Participations S.A.,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incorporated under the laws of the Republic of France (“Bpifrance Participations”), (ii) the Caisse des Dépôts et Consignations, a French special public entity (</w:t>
      </w:r>
      <w:r>
        <w:rPr>
          <w:rFonts w:ascii="Arial" w:cs="Arial" w:eastAsia="Arial" w:hAnsi="Arial"/>
          <w:sz w:val="16"/>
          <w:szCs w:val="16"/>
          <w:i w:val="1"/>
          <w:iCs w:val="1"/>
          <w:color w:val="auto"/>
        </w:rPr>
        <w:t>établissement special</w:t>
      </w:r>
      <w:r>
        <w:rPr>
          <w:rFonts w:ascii="Arial" w:cs="Arial" w:eastAsia="Arial" w:hAnsi="Arial"/>
          <w:sz w:val="16"/>
          <w:szCs w:val="16"/>
          <w:color w:val="auto"/>
        </w:rPr>
        <w:t>) (“CDC”), (iii) EPIC Bpifrance, a French public institution of industrial and commercial nature (“EPIC”), and (iv) Bpifrance S.A.. Bpifrance Participations, CDC, EPIC and Bpifrance S.A. are referred to herein collectively as the “Reporting Persons.” The principal address for CDC is 56, rue de Lille, 75007 Paris, France. The principal address for Bpifrance Participations S.A., EPIC and Bpifrance S.A. is 27-31, avenue du Général Leclerc, 94710 Maisons-Alfort Cedex, France.</w:t>
      </w:r>
    </w:p>
    <w:p>
      <w:pPr>
        <w:spacing w:after="0" w:line="16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Bpifrance Participations is a French public investment entity specializing in the business of equity financing via direct investments or fund of funds. Bpifrance Participations is owned at 99.99% by Bpifrance S.A., a French credit institution. CDC and EPIC each hold 49.2% of the share capital of Bpifrance S.A. and jointly control Bpifrance S.A. CDC is principally engaged in the business of long-term investments. EPIC is principally engaged in the business of banking finance.</w:t>
      </w:r>
    </w:p>
    <w:p>
      <w:pPr>
        <w:spacing w:after="0" w:line="187" w:lineRule="exact"/>
        <w:rPr>
          <w:sz w:val="20"/>
          <w:szCs w:val="20"/>
          <w:color w:val="auto"/>
        </w:rPr>
      </w:pPr>
    </w:p>
    <w:p>
      <w:pPr>
        <w:jc w:val="both"/>
        <w:ind w:right="340" w:firstLine="648"/>
        <w:spacing w:after="0" w:line="293" w:lineRule="auto"/>
        <w:rPr>
          <w:sz w:val="20"/>
          <w:szCs w:val="20"/>
          <w:color w:val="auto"/>
        </w:rPr>
      </w:pPr>
      <w:r>
        <w:rPr>
          <w:rFonts w:ascii="Arial" w:cs="Arial" w:eastAsia="Arial" w:hAnsi="Arial"/>
          <w:sz w:val="16"/>
          <w:szCs w:val="16"/>
          <w:color w:val="auto"/>
        </w:rPr>
        <w:t>As of the date hereof, (i) Bpifrance Participations holds directly 24,688,691 Ordinary Shares and (ii) CDC holds directly 1,144,237 Ordinary Shares. As of the date hereof, neither Bpifrance S.A. nor EPIC holds any Ordinary Shares directly. Bpifrance S.A. may be deemed to be the beneficial owner of 24,688,691 Ordinary Shares, indirectly through its 99.99% ownership of Bpifrance Participations. CDC and EPIC may be deemed to be the beneficial owner of 24,688,691 Ordinary Shares, indirectly through their joint ownership and control of Bpifrance S.A. CDC may be deemed to be the beneficial owner of 334,716 Ordinary Shares, indirectly through its control of CNP Assurances, following the acquisition by CDC of the control of the French public group La Poste on February 4, 2020. CNP Assurances holds directly 334,716 Ordinary Shares.</w:t>
      </w:r>
    </w:p>
    <w:p>
      <w:pPr>
        <w:spacing w:after="0" w:line="164"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Attached as Appendices A, B, C and D to Item 2 is information concerning the executive officers and directors of Bpifrance Participations, Bpifrance S.A., CDC and EPIC, respectively, required to be disclosed in response to Item 2 and General Instruction C to Schedule 13D.</w:t>
      </w:r>
    </w:p>
    <w:p>
      <w:pPr>
        <w:spacing w:after="0" w:line="12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None of the Reporting Persons, nor, to the best of their knowledge, any of the persons referred to in Appendices A, B, C and D to Item 2 has, during the last five years, been convicted in a criminal proceeding (excluding traffic violations and similar misdemeanors) or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CDC purchased 1,144,237 Ordinary Shares on the open market. CDC obtained the funds to purchase the Ordinary Shares from working capital.</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included in Item 6 is incorporated herein by reference.</w:t>
      </w:r>
    </w:p>
    <w:p>
      <w:pPr>
        <w:spacing w:after="0" w:line="225"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On February 16, 2021, the Issuer completed its separation into two independent, publicly traded companies: the Issuer, a fully integrated technology and services provider; and Technip Energies N.V., a leading engineering and technology player (“Technip Energies”). The transaction is structured as a spin-off of a majority stake in the Issuer’s Technip Energies segment in the form of a share dividend pursuant to which holders of TechnipFMC shares, including the Reporting Persons, will receive one ordinary share, €0.01 nominal value per share, of Technip Energies (the “Technip Energies Shares”) for every five Ordinary Shares owned by such shareholder (the “Distribution” or the “Spin-off”).</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 w:name="page7"/>
    <w:bookmarkEnd w:id="6"/>
    <w:p>
      <w:pPr>
        <w:ind w:right="200" w:firstLine="648"/>
        <w:spacing w:after="0" w:line="277" w:lineRule="auto"/>
        <w:rPr>
          <w:sz w:val="20"/>
          <w:szCs w:val="20"/>
          <w:color w:val="auto"/>
        </w:rPr>
      </w:pPr>
      <w:r>
        <w:rPr>
          <w:rFonts w:ascii="Arial" w:cs="Arial" w:eastAsia="Arial" w:hAnsi="Arial"/>
          <w:sz w:val="18"/>
          <w:szCs w:val="18"/>
          <w:color w:val="auto"/>
        </w:rPr>
        <w:t>In connection with the Spin-off, effective on February 16, 2021, Arnaud Caudoux, an employee of Bpifrance SA, resigned from the board of the directors of the Issuer and all committees of the board to which he belonged.</w:t>
      </w:r>
    </w:p>
    <w:p>
      <w:pPr>
        <w:spacing w:after="0" w:line="170"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All of the Ordinary Shares that are held of record by the Reporting Persons as reported herein were acquired for investment purposes. The Reporting Persons retain the right to change their investment intent, from time to time to acquire additional Ordinary Shares or other securities of the Issuer, or to sell or otherwise dispose of all or part of the Ordinary Shares or other securities of the Issuer, if any, beneficially owned by them, in any manner permitted by law. The Reporting Persons may engage from time to time in ordinary course transactions with financial institutions with respect to the securities described herein.</w:t>
      </w:r>
    </w:p>
    <w:p>
      <w:pPr>
        <w:spacing w:after="0" w:line="18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Except as set forth above, none of the Reporting Persons currently has any plans or proposals which would be related to or would result in any of the matters described in Items 4(a)-(j) of the Instructions to Schedule 13D. However, as part of the ongoing evaluation of investment and investment alternatives, the Reporting Persons may consider such matters and, subject to applicable law, may formulate a plan with respect to such matters, and, from time to time, may hold discussions with or make formal proposals to management or the board of directors of the Issuer or other third parties regarding such matters.</w:t>
      </w:r>
    </w:p>
    <w:p>
      <w:pPr>
        <w:spacing w:after="0" w:line="40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As of the date hereof, (i) Bpifrance Participations holds directly 24,688,691 Ordinary Shares, which represents approximately 5.5% of the Issuer’s Ordinary Shares and (ii) CDC holds directly 1,144,237 Ordinary Shares, which represents approximately 0.3% of the Issuer’s Ordinary Shares. As of the date hereof, neither Bpifrance S.A. nor EPIC holds any Ordinary Shares directly. Bpifrance S.A. may be deemed to be the beneficial owner of 24,688,691 Ordinary Shares, indirectly through its 99.99% ownership of Bpifrance Participations. CDC and EPIC may be deemed to be the beneficial owner of 24,688,691 Ordinary Shares, indirectly through their joint ownership and control of Bpifrance S.A. CDC may be deemed to be the beneficial owner of 334,716 Ordinary Shares, indirectly through its control of CNP Assurances, following the acquisition by CDC of the control of the French public group La Poste on February 4, 2020. CNP Assurances holds directly 334,716 Ordinary Shares, which represents approximately 0.1% of the Issuer’s Ordinary Shares. In the aggregate, CDC may be deemed to be the beneficial owner of 26,167,644 Ordinary Shares, directly and indirectly (through its joint ownership and control of Bpifrance S.A. and its control of CNP Assurances).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See also the information contained on the cover pages of this Schedule 13D which is incorporated herein by reference. The percentage of Ordinary Shares beneficially owned by each Reporting Person is based on 450,516,797 Ordinary Shares of the Issuer outstanding as of February 3, 2021, as reported in the registration statement on Form F-1 filed by Technip Energies N.V. with the Securities and Exchange Commission on February 4, 2021.</w:t>
      </w:r>
    </w:p>
    <w:p>
      <w:pPr>
        <w:sectPr>
          <w:pgSz w:w="11900" w:h="16838" w:orient="portrait"/>
          <w:cols w:equalWidth="0" w:num="1">
            <w:col w:w="11240"/>
          </w:cols>
          <w:pgMar w:left="320" w:top="692" w:right="339" w:bottom="1440" w:gutter="0" w:footer="0" w:header="0"/>
        </w:sectPr>
      </w:pP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See the information contained on the cover pages of this Schedule 13D, which is incorporated herein by reference.</w:t>
      </w:r>
    </w:p>
    <w:p>
      <w:pPr>
        <w:spacing w:after="0" w:line="200" w:lineRule="exact"/>
        <w:rPr>
          <w:sz w:val="20"/>
          <w:szCs w:val="20"/>
          <w:color w:val="auto"/>
        </w:rPr>
      </w:pPr>
    </w:p>
    <w:p>
      <w:pPr>
        <w:sectPr>
          <w:pgSz w:w="11900" w:h="16838" w:orient="portrait"/>
          <w:cols w:equalWidth="0" w:num="2">
            <w:col w:w="1640" w:space="720"/>
            <w:col w:w="8880"/>
          </w:cols>
          <w:pgMar w:left="320" w:top="692" w:right="33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See the information contained in Item 3, which is incorporated herein by reference.</w:t>
      </w:r>
    </w:p>
    <w:p>
      <w:pPr>
        <w:spacing w:after="0" w:line="211" w:lineRule="exact"/>
        <w:rPr>
          <w:sz w:val="20"/>
          <w:szCs w:val="20"/>
          <w:color w:val="auto"/>
        </w:rPr>
      </w:pPr>
    </w:p>
    <w:p>
      <w:pPr>
        <w:sectPr>
          <w:pgSz w:w="11900" w:h="16838" w:orient="portrait"/>
          <w:cols w:equalWidth="0" w:num="2">
            <w:col w:w="1660" w:space="720"/>
            <w:col w:w="8860"/>
          </w:cols>
          <w:pgMar w:left="320" w:top="692" w:right="339" w:bottom="1440" w:gutter="0" w:footer="0" w:header="0"/>
          <w:type w:val="continuous"/>
        </w:sectPr>
      </w:pPr>
    </w:p>
    <w:p>
      <w:pPr>
        <w:spacing w:after="0" w:line="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ectPr>
          <w:pgSz w:w="11900" w:h="16838" w:orient="portrait"/>
          <w:cols w:equalWidth="0" w:num="2">
            <w:col w:w="1640" w:space="720"/>
            <w:col w:w="8880"/>
          </w:cols>
          <w:pgMar w:left="320" w:top="692" w:right="33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ectPr>
          <w:pgSz w:w="11900" w:h="16838" w:orient="portrait"/>
          <w:cols w:equalWidth="0" w:num="2">
            <w:col w:w="1660" w:space="720"/>
            <w:col w:w="8860"/>
          </w:cols>
          <w:pgMar w:left="320" w:top="692"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Contracts, Arrangements, Understandings or Relationships with Respect to Securities of the Issuer.</w:t>
      </w:r>
    </w:p>
    <w:p>
      <w:pPr>
        <w:spacing w:after="0" w:line="211" w:lineRule="exact"/>
        <w:rPr>
          <w:sz w:val="20"/>
          <w:szCs w:val="20"/>
          <w:color w:val="auto"/>
        </w:rPr>
      </w:pPr>
    </w:p>
    <w:p>
      <w:pPr>
        <w:sectPr>
          <w:pgSz w:w="11900" w:h="16838" w:orient="portrait"/>
          <w:cols w:equalWidth="0" w:num="2">
            <w:col w:w="580" w:space="720"/>
            <w:col w:w="9940"/>
          </w:cols>
          <w:pgMar w:left="320" w:top="692" w:right="339" w:bottom="1440" w:gutter="0" w:footer="0" w:header="0"/>
          <w:type w:val="continuous"/>
        </w:sectPr>
      </w:pPr>
    </w:p>
    <w:p>
      <w:pPr>
        <w:spacing w:after="0" w:line="41"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On January 7, 2021, in connection with the Spin-off, the Issuer entered into a share purchase agreement with Bpifrance Participations (the “Share Purchase Agreement”), pursuant to which Bpifrance Participations agreed to purchase from the Issuer for $200.0 million, subject to a purchase price adjustment as described below, a number of Technip Energies shares determined based upon a thirty day VWAP of Technip Energies’ shares, less a six percent discount (the “Investment”). The Share Purchase Agreement is attached as Exhibit 99.1 to this Schedule 13D and incorporated herein by reference.</w:t>
      </w:r>
    </w:p>
    <w:p>
      <w:pPr>
        <w:spacing w:after="0" w:line="15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On January 7, 2021, in connection with the Spin-off and the Investment, Technip Energies entered into a relationship agreement with the Issuer and Bpifrance Participations relating to certain rights and obligations of each of the Issuer and Bpifrance Participations as a holder of its shares (the “Relationship Agreement”). Pursuant to the Relationship Agreement, Bpifrance Participations will have the right to propose to the Board (i) two nominees, so long as it owns at least 18% of the outstanding number of Technip Energies shares and ADRs, in the aggregate, and (ii) one nominee, so long as it owns at least 5%, but less than 18%, of the outstanding number of Technip Energies shares and ADRs, in the aggregate. Effective as of February 16, 2021 (the “Distribution Date”), Bpifrance Participations is entitled to propose two non-executive members for election at future general meetings occurring prior to the vote on Technip Energies’s annual financial statements of the fiscal year following the year in which the Distribution Date occurs, regardless of the percentage of Technip Energies shares and ADRs it owns, subject to certain exceptions if the Investment is not completed. The Relationship Agreement is attached as Exhibit 99.2 to this Schedule 13D and incorporated herein by reference.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Material to be Filed as Exhibits.</w:t>
      </w:r>
    </w:p>
    <w:p>
      <w:pPr>
        <w:spacing w:after="0" w:line="211" w:lineRule="exact"/>
        <w:rPr>
          <w:sz w:val="20"/>
          <w:szCs w:val="20"/>
          <w:color w:val="auto"/>
        </w:rPr>
      </w:pPr>
    </w:p>
    <w:p>
      <w:pPr>
        <w:sectPr>
          <w:pgSz w:w="11900" w:h="16838" w:orient="portrait"/>
          <w:cols w:equalWidth="0" w:num="2">
            <w:col w:w="580" w:space="720"/>
            <w:col w:w="9900"/>
          </w:cols>
          <w:pgMar w:left="320" w:top="904" w:right="379" w:bottom="1440" w:gutter="0" w:footer="0" w:header="0"/>
        </w:sectPr>
      </w:pPr>
    </w:p>
    <w:p>
      <w:pPr>
        <w:spacing w:after="0" w:line="41" w:lineRule="exact"/>
        <w:rPr>
          <w:sz w:val="20"/>
          <w:szCs w:val="20"/>
          <w:color w:val="auto"/>
        </w:rPr>
      </w:pPr>
    </w:p>
    <w:p>
      <w:pPr>
        <w:spacing w:after="0"/>
        <w:tabs>
          <w:tab w:leader="none" w:pos="1380" w:val="left"/>
        </w:tabs>
        <w:rPr>
          <w:rFonts w:ascii="Arial" w:cs="Arial" w:eastAsia="Arial" w:hAnsi="Arial"/>
          <w:sz w:val="18"/>
          <w:szCs w:val="18"/>
          <w:color w:val="0000EE"/>
        </w:rPr>
      </w:pPr>
      <w:hyperlink r:id="rId22">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Share Purchase Agreement, dated as of January 7, 2021, by and between the Issuer and Bpifrance Participations (incorporated herein by</w:t>
      </w:r>
    </w:p>
    <w:p>
      <w:pPr>
        <w:sectPr>
          <w:pgSz w:w="11900" w:h="16838" w:orient="portrait"/>
          <w:cols w:equalWidth="0" w:num="1">
            <w:col w:w="11200"/>
          </w:cols>
          <w:pgMar w:left="320" w:top="904" w:right="37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reference to Exhibit 10.2 to the Issuer’s Current Report on Form 8-K filed with the Securities and Exchange Commission on January 12, 2021 (File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001-37983)).</w:t>
      </w:r>
    </w:p>
    <w:p>
      <w:pPr>
        <w:spacing w:after="0" w:line="211" w:lineRule="exact"/>
        <w:rPr>
          <w:sz w:val="20"/>
          <w:szCs w:val="20"/>
          <w:color w:val="auto"/>
        </w:rPr>
      </w:pPr>
    </w:p>
    <w:p>
      <w:pPr>
        <w:jc w:val="both"/>
        <w:ind w:right="360"/>
        <w:spacing w:after="0" w:line="263" w:lineRule="auto"/>
        <w:rPr>
          <w:rFonts w:ascii="Arial" w:cs="Arial" w:eastAsia="Arial" w:hAnsi="Arial"/>
          <w:sz w:val="18"/>
          <w:szCs w:val="18"/>
          <w:color w:val="0000EE"/>
        </w:rPr>
      </w:pPr>
      <w:hyperlink r:id="rId23">
        <w:r>
          <w:rPr>
            <w:rFonts w:ascii="Arial" w:cs="Arial" w:eastAsia="Arial" w:hAnsi="Arial"/>
            <w:sz w:val="18"/>
            <w:szCs w:val="18"/>
            <w:u w:val="single" w:color="auto"/>
            <w:color w:val="0000EE"/>
          </w:rPr>
          <w:t>99.2</w:t>
        </w:r>
        <w:r>
          <w:rPr>
            <w:rFonts w:ascii="Arial" w:cs="Arial" w:eastAsia="Arial" w:hAnsi="Arial"/>
            <w:sz w:val="18"/>
            <w:szCs w:val="18"/>
            <w:color w:val="0000EE"/>
          </w:rPr>
          <w:t xml:space="preserve"> </w:t>
        </w:r>
      </w:hyperlink>
      <w:r>
        <w:rPr>
          <w:rFonts w:ascii="Arial" w:cs="Arial" w:eastAsia="Arial" w:hAnsi="Arial"/>
          <w:sz w:val="18"/>
          <w:szCs w:val="18"/>
          <w:color w:val="000000"/>
        </w:rPr>
        <w:t>Relationship</w:t>
      </w:r>
      <w:r>
        <w:rPr>
          <w:rFonts w:ascii="Arial" w:cs="Arial" w:eastAsia="Arial" w:hAnsi="Arial"/>
          <w:sz w:val="18"/>
          <w:szCs w:val="18"/>
          <w:color w:val="0000EE"/>
        </w:rPr>
        <w:t xml:space="preserve"> </w:t>
      </w:r>
      <w:r>
        <w:rPr>
          <w:rFonts w:ascii="Arial" w:cs="Arial" w:eastAsia="Arial" w:hAnsi="Arial"/>
          <w:sz w:val="18"/>
          <w:szCs w:val="18"/>
          <w:color w:val="000000"/>
        </w:rPr>
        <w:t>Agreement, dated as of January 7, 2021, by and among Technip Energies (formerly Technip Energies B.V), Bpifrance</w:t>
      </w:r>
      <w:r>
        <w:rPr>
          <w:rFonts w:ascii="Arial" w:cs="Arial" w:eastAsia="Arial" w:hAnsi="Arial"/>
          <w:sz w:val="18"/>
          <w:szCs w:val="18"/>
          <w:color w:val="0000EE"/>
        </w:rPr>
        <w:t xml:space="preserve"> </w:t>
      </w:r>
      <w:r>
        <w:rPr>
          <w:rFonts w:ascii="Arial" w:cs="Arial" w:eastAsia="Arial" w:hAnsi="Arial"/>
          <w:sz w:val="18"/>
          <w:szCs w:val="18"/>
          <w:color w:val="000000"/>
        </w:rPr>
        <w:t>Participations and the Issuer (incorporated herein by reference to Exhibit 10.3 to the Issuer’s Current Report on Form 8-K filed with the Securities and Exchange Commission on January 12, 2021 (File No. 001-37983)).</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2021</w:t>
      </w:r>
    </w:p>
    <w:p>
      <w:pPr>
        <w:spacing w:after="0" w:line="200" w:lineRule="exact"/>
        <w:rPr>
          <w:sz w:val="20"/>
          <w:szCs w:val="20"/>
          <w:color w:val="auto"/>
        </w:rPr>
      </w:pPr>
    </w:p>
    <w:p>
      <w:pPr>
        <w:spacing w:after="0" w:line="23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Bpifrance Participations S.A.</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Sophie Paquin*</w:t>
            </w:r>
          </w:p>
        </w:tc>
      </w:tr>
      <w:tr>
        <w:trPr>
          <w:trHeight w:val="209"/>
        </w:trPr>
        <w:tc>
          <w:tcPr>
            <w:tcW w:w="6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140" w:type="dxa"/>
            <w:vAlign w:val="bottom"/>
          </w:tcPr>
          <w:p>
            <w:pPr>
              <w:ind w:left="120"/>
              <w:spacing w:after="0"/>
              <w:rPr>
                <w:sz w:val="20"/>
                <w:szCs w:val="20"/>
                <w:color w:val="auto"/>
              </w:rPr>
            </w:pPr>
            <w:r>
              <w:rPr>
                <w:rFonts w:ascii="Arial" w:cs="Arial" w:eastAsia="Arial" w:hAnsi="Arial"/>
                <w:sz w:val="18"/>
                <w:szCs w:val="18"/>
                <w:color w:val="auto"/>
              </w:rPr>
              <w:t>Sophie Paquin</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140" w:type="dxa"/>
            <w:vAlign w:val="bottom"/>
          </w:tcPr>
          <w:p>
            <w:pPr>
              <w:ind w:left="120"/>
              <w:spacing w:after="0"/>
              <w:rPr>
                <w:sz w:val="20"/>
                <w:szCs w:val="20"/>
                <w:color w:val="auto"/>
              </w:rPr>
            </w:pPr>
            <w:r>
              <w:rPr>
                <w:rFonts w:ascii="Arial" w:cs="Arial" w:eastAsia="Arial" w:hAnsi="Arial"/>
                <w:sz w:val="18"/>
                <w:szCs w:val="18"/>
                <w:color w:val="auto"/>
              </w:rPr>
              <w:t>Director of Legal Affairs</w:t>
            </w:r>
          </w:p>
        </w:tc>
      </w:tr>
      <w:tr>
        <w:trPr>
          <w:trHeight w:val="432"/>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Caisse Des Dépôts et Consignations</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Manuela Laudic**</w:t>
            </w:r>
          </w:p>
        </w:tc>
      </w:tr>
      <w:tr>
        <w:trPr>
          <w:trHeight w:val="209"/>
        </w:trPr>
        <w:tc>
          <w:tcPr>
            <w:tcW w:w="6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140" w:type="dxa"/>
            <w:vAlign w:val="bottom"/>
          </w:tcPr>
          <w:p>
            <w:pPr>
              <w:ind w:left="120"/>
              <w:spacing w:after="0"/>
              <w:rPr>
                <w:sz w:val="20"/>
                <w:szCs w:val="20"/>
                <w:color w:val="auto"/>
              </w:rPr>
            </w:pPr>
            <w:r>
              <w:rPr>
                <w:rFonts w:ascii="Arial" w:cs="Arial" w:eastAsia="Arial" w:hAnsi="Arial"/>
                <w:sz w:val="18"/>
                <w:szCs w:val="18"/>
                <w:color w:val="auto"/>
              </w:rPr>
              <w:t>Manuela Laudic</w:t>
            </w: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140" w:type="dxa"/>
            <w:vAlign w:val="bottom"/>
          </w:tcPr>
          <w:p>
            <w:pPr>
              <w:ind w:left="120"/>
              <w:spacing w:after="0"/>
              <w:rPr>
                <w:sz w:val="20"/>
                <w:szCs w:val="20"/>
                <w:color w:val="auto"/>
              </w:rPr>
            </w:pPr>
            <w:r>
              <w:rPr>
                <w:rFonts w:ascii="Arial" w:cs="Arial" w:eastAsia="Arial" w:hAnsi="Arial"/>
                <w:sz w:val="18"/>
                <w:szCs w:val="18"/>
                <w:color w:val="auto"/>
                <w:w w:val="93"/>
              </w:rPr>
              <w:t>Head of Dealing Desk and Shareholding</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140" w:type="dxa"/>
            <w:vAlign w:val="bottom"/>
          </w:tcPr>
          <w:p>
            <w:pPr>
              <w:ind w:left="120"/>
              <w:spacing w:after="0"/>
              <w:rPr>
                <w:sz w:val="20"/>
                <w:szCs w:val="20"/>
                <w:color w:val="auto"/>
              </w:rPr>
            </w:pPr>
            <w:r>
              <w:rPr>
                <w:rFonts w:ascii="Arial" w:cs="Arial" w:eastAsia="Arial" w:hAnsi="Arial"/>
                <w:sz w:val="18"/>
                <w:szCs w:val="18"/>
                <w:color w:val="auto"/>
              </w:rPr>
              <w:t>Monitoring</w:t>
            </w: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w w:val="99"/>
              </w:rPr>
              <w:t>Epic Bpifrance</w:t>
            </w:r>
          </w:p>
        </w:tc>
        <w:tc>
          <w:tcPr>
            <w:tcW w:w="3140" w:type="dxa"/>
            <w:vAlign w:val="bottom"/>
          </w:tcPr>
          <w:p>
            <w:pPr>
              <w:spacing w:after="0"/>
              <w:rPr>
                <w:sz w:val="24"/>
                <w:szCs w:val="24"/>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Sophie Paquin***</w:t>
            </w:r>
          </w:p>
        </w:tc>
      </w:tr>
      <w:tr>
        <w:trPr>
          <w:trHeight w:val="209"/>
        </w:trPr>
        <w:tc>
          <w:tcPr>
            <w:tcW w:w="6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140" w:type="dxa"/>
            <w:vAlign w:val="bottom"/>
          </w:tcPr>
          <w:p>
            <w:pPr>
              <w:ind w:left="120"/>
              <w:spacing w:after="0"/>
              <w:rPr>
                <w:sz w:val="20"/>
                <w:szCs w:val="20"/>
                <w:color w:val="auto"/>
              </w:rPr>
            </w:pPr>
            <w:r>
              <w:rPr>
                <w:rFonts w:ascii="Arial" w:cs="Arial" w:eastAsia="Arial" w:hAnsi="Arial"/>
                <w:sz w:val="18"/>
                <w:szCs w:val="18"/>
                <w:color w:val="auto"/>
              </w:rPr>
              <w:t>Sophie Paquin</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140" w:type="dxa"/>
            <w:vAlign w:val="bottom"/>
          </w:tcPr>
          <w:p>
            <w:pPr>
              <w:ind w:left="120"/>
              <w:spacing w:after="0"/>
              <w:rPr>
                <w:sz w:val="20"/>
                <w:szCs w:val="20"/>
                <w:color w:val="auto"/>
              </w:rPr>
            </w:pPr>
            <w:r>
              <w:rPr>
                <w:rFonts w:ascii="Arial" w:cs="Arial" w:eastAsia="Arial" w:hAnsi="Arial"/>
                <w:sz w:val="18"/>
                <w:szCs w:val="18"/>
                <w:color w:val="auto"/>
              </w:rPr>
              <w:t>Director of Legal Affairs</w:t>
            </w: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Bpifrance S.A.</w:t>
            </w:r>
          </w:p>
        </w:tc>
        <w:tc>
          <w:tcPr>
            <w:tcW w:w="3140" w:type="dxa"/>
            <w:vAlign w:val="bottom"/>
          </w:tcPr>
          <w:p>
            <w:pPr>
              <w:spacing w:after="0"/>
              <w:rPr>
                <w:sz w:val="24"/>
                <w:szCs w:val="24"/>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Boubakar Dione****</w:t>
            </w:r>
          </w:p>
        </w:tc>
      </w:tr>
      <w:tr>
        <w:trPr>
          <w:trHeight w:val="209"/>
        </w:trPr>
        <w:tc>
          <w:tcPr>
            <w:tcW w:w="6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140" w:type="dxa"/>
            <w:vAlign w:val="bottom"/>
          </w:tcPr>
          <w:p>
            <w:pPr>
              <w:ind w:left="120"/>
              <w:spacing w:after="0"/>
              <w:rPr>
                <w:sz w:val="20"/>
                <w:szCs w:val="20"/>
                <w:color w:val="auto"/>
              </w:rPr>
            </w:pPr>
            <w:r>
              <w:rPr>
                <w:rFonts w:ascii="Arial" w:cs="Arial" w:eastAsia="Arial" w:hAnsi="Arial"/>
                <w:sz w:val="18"/>
                <w:szCs w:val="18"/>
                <w:color w:val="auto"/>
              </w:rPr>
              <w:t>Boubakar Dione</w:t>
            </w: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140" w:type="dxa"/>
            <w:vAlign w:val="bottom"/>
          </w:tcPr>
          <w:p>
            <w:pPr>
              <w:ind w:left="120"/>
              <w:spacing w:after="0"/>
              <w:rPr>
                <w:sz w:val="20"/>
                <w:szCs w:val="20"/>
                <w:color w:val="auto"/>
              </w:rPr>
            </w:pPr>
            <w:r>
              <w:rPr>
                <w:rFonts w:ascii="Arial" w:cs="Arial" w:eastAsia="Arial" w:hAnsi="Arial"/>
                <w:sz w:val="18"/>
                <w:szCs w:val="18"/>
                <w:color w:val="auto"/>
              </w:rPr>
              <w:t>Group Director of Legal Affairs</w:t>
            </w:r>
          </w:p>
        </w:tc>
      </w:tr>
    </w:tbl>
    <w:p>
      <w:pPr>
        <w:spacing w:after="0" w:line="200" w:lineRule="exact"/>
        <w:rPr>
          <w:sz w:val="20"/>
          <w:szCs w:val="20"/>
          <w:color w:val="auto"/>
        </w:rPr>
      </w:pPr>
    </w:p>
    <w:p>
      <w:pPr>
        <w:spacing w:after="0" w:line="218" w:lineRule="exact"/>
        <w:rPr>
          <w:sz w:val="20"/>
          <w:szCs w:val="20"/>
          <w:color w:val="auto"/>
        </w:rPr>
      </w:pPr>
    </w:p>
    <w:p>
      <w:pPr>
        <w:ind w:right="140" w:firstLine="8"/>
        <w:spacing w:after="0" w:line="277" w:lineRule="auto"/>
        <w:tabs>
          <w:tab w:leader="none" w:pos="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Sophie Paquin is signing on behalf of Bpifrance Participations SA. by power of attorney previously filed with the Securities and Exchange Commission on February 8, 2018 as Exhibit 1 to Schedule 13D, and hereby incorporated herein by reference.</w:t>
      </w:r>
    </w:p>
    <w:p>
      <w:pPr>
        <w:spacing w:after="0" w:line="170" w:lineRule="exact"/>
        <w:rPr>
          <w:sz w:val="20"/>
          <w:szCs w:val="20"/>
          <w:color w:val="auto"/>
        </w:rPr>
      </w:pPr>
    </w:p>
    <w:p>
      <w:pPr>
        <w:ind w:right="540" w:firstLine="8"/>
        <w:spacing w:after="0" w:line="277" w:lineRule="auto"/>
        <w:tabs>
          <w:tab w:leader="none" w:pos="225"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Manuela Laudic is signing on behalf of Caisse des Dépôts et Consignations by executive order from the general manager of Caisse des Dépôts et Consignations filed as Exhibit 3 hereto, incorporated herein by reference.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***Sophie Paquin is signing on behalf of EPIC Bpifrance by power of attorney previously filed with the Securities and Exchange Commission on February 14, 2017 as Exhibit 3 to Schedule 13G, and hereby incorporated herein by reference.</w:t>
      </w:r>
    </w:p>
    <w:p>
      <w:pPr>
        <w:spacing w:after="0" w:line="170" w:lineRule="exact"/>
        <w:rPr>
          <w:sz w:val="20"/>
          <w:szCs w:val="20"/>
          <w:color w:val="auto"/>
        </w:rPr>
      </w:pPr>
    </w:p>
    <w:p>
      <w:pPr>
        <w:ind w:right="500" w:firstLine="8"/>
        <w:spacing w:after="0" w:line="277" w:lineRule="auto"/>
        <w:tabs>
          <w:tab w:leader="none" w:pos="405" w:val="left"/>
        </w:tabs>
        <w:numPr>
          <w:ilvl w:val="0"/>
          <w:numId w:val="7"/>
        </w:numPr>
        <w:rPr>
          <w:rFonts w:ascii="Arial" w:cs="Arial" w:eastAsia="Arial" w:hAnsi="Arial"/>
          <w:sz w:val="18"/>
          <w:szCs w:val="18"/>
          <w:color w:val="auto"/>
        </w:rPr>
      </w:pPr>
      <w:r>
        <w:rPr>
          <w:rFonts w:ascii="Arial" w:cs="Arial" w:eastAsia="Arial" w:hAnsi="Arial"/>
          <w:sz w:val="18"/>
          <w:szCs w:val="18"/>
          <w:color w:val="auto"/>
        </w:rPr>
        <w:t>Boubakar Dione is signing on behalf of Bpifrance S.A. by power of attorney previously filed with the Securities and Exchange Commission on September 7, 2017 as Exhibit 2 to Schedule 13D, and hereby incorporated herein by reference.</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Name, business address, present principal occupation or employment and place of citizenship of the directors and executive officers of</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BPIFRANCE PARTICIPATIONS S.A.</w:t>
      </w:r>
    </w:p>
    <w:p>
      <w:pPr>
        <w:spacing w:after="0" w:line="229" w:lineRule="exact"/>
        <w:rPr>
          <w:sz w:val="20"/>
          <w:szCs w:val="20"/>
          <w:color w:val="auto"/>
        </w:rPr>
      </w:pPr>
    </w:p>
    <w:p>
      <w:pPr>
        <w:ind w:right="500" w:firstLine="648"/>
        <w:spacing w:after="0" w:line="311" w:lineRule="auto"/>
        <w:rPr>
          <w:sz w:val="20"/>
          <w:szCs w:val="20"/>
          <w:color w:val="auto"/>
        </w:rPr>
      </w:pPr>
      <w:r>
        <w:rPr>
          <w:rFonts w:ascii="Arial" w:cs="Arial" w:eastAsia="Arial" w:hAnsi="Arial"/>
          <w:sz w:val="16"/>
          <w:szCs w:val="16"/>
          <w:color w:val="auto"/>
        </w:rPr>
        <w:t>The name, business address and present principal occupation or employment of each of the directors and executive officers of Bpifrance Participations S.A. are set forth below. The business address of each director and executive officer is Bpifrance Participations S.A., 27-31, avenue du Général Leclerc, 94710 Maisons-Alfort Cedex, France. Unless otherwise indicated, each director and executive officer is a citizen of France.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rPr>
              <w:t>BOARD OF DIRECTORS</w:t>
            </w:r>
          </w:p>
        </w:tc>
        <w:tc>
          <w:tcPr>
            <w:tcW w:w="240" w:type="dxa"/>
            <w:vAlign w:val="bottom"/>
          </w:tcPr>
          <w:p>
            <w:pPr>
              <w:spacing w:after="0"/>
              <w:rPr>
                <w:sz w:val="20"/>
                <w:szCs w:val="20"/>
                <w:color w:val="auto"/>
              </w:rPr>
            </w:pPr>
          </w:p>
        </w:tc>
        <w:tc>
          <w:tcPr>
            <w:tcW w:w="7620" w:type="dxa"/>
            <w:vAlign w:val="bottom"/>
          </w:tcPr>
          <w:p>
            <w:pPr>
              <w:spacing w:after="0"/>
              <w:rPr>
                <w:sz w:val="20"/>
                <w:szCs w:val="20"/>
                <w:color w:val="auto"/>
              </w:rPr>
            </w:pPr>
          </w:p>
        </w:tc>
      </w:tr>
      <w:tr>
        <w:trPr>
          <w:trHeight w:val="432"/>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4"/>
                <w:szCs w:val="24"/>
                <w:color w:val="auto"/>
              </w:rPr>
            </w:pPr>
          </w:p>
        </w:tc>
        <w:tc>
          <w:tcPr>
            <w:tcW w:w="7620" w:type="dxa"/>
            <w:vAlign w:val="bottom"/>
            <w:tcBorders>
              <w:bottom w:val="single" w:sz="8" w:color="auto"/>
            </w:tcBorders>
          </w:tcPr>
          <w:p>
            <w:pPr>
              <w:ind w:left="2060"/>
              <w:spacing w:after="0"/>
              <w:rPr>
                <w:sz w:val="20"/>
                <w:szCs w:val="20"/>
                <w:color w:val="auto"/>
              </w:rPr>
            </w:pPr>
            <w:r>
              <w:rPr>
                <w:rFonts w:ascii="Arial" w:cs="Arial" w:eastAsia="Arial" w:hAnsi="Arial"/>
                <w:sz w:val="18"/>
                <w:szCs w:val="18"/>
                <w:b w:val="1"/>
                <w:bCs w:val="1"/>
                <w:color w:val="auto"/>
              </w:rPr>
              <w:t>Present Principal Occupation or Employment</w:t>
            </w:r>
          </w:p>
        </w:tc>
      </w:tr>
      <w:tr>
        <w:trPr>
          <w:trHeight w:val="210"/>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NICOLAS DUFOURCQ</w:t>
            </w:r>
          </w:p>
        </w:tc>
        <w:tc>
          <w:tcPr>
            <w:tcW w:w="786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b w:val="1"/>
                <w:bCs w:val="1"/>
                <w:color w:val="auto"/>
                <w:w w:val="98"/>
              </w:rPr>
              <w:t>Director, Chairman, Chief Executive Officer of Bpifrance Participations</w:t>
            </w:r>
            <w:r>
              <w:rPr>
                <w:rFonts w:ascii="Arial" w:cs="Arial" w:eastAsia="Arial" w:hAnsi="Arial"/>
                <w:sz w:val="18"/>
                <w:szCs w:val="18"/>
                <w:color w:val="auto"/>
                <w:w w:val="98"/>
              </w:rPr>
              <w:t>, and Chief Executive</w:t>
            </w:r>
          </w:p>
        </w:tc>
      </w:tr>
      <w:tr>
        <w:trPr>
          <w:trHeight w:val="230"/>
        </w:trPr>
        <w:tc>
          <w:tcPr>
            <w:tcW w:w="3380" w:type="dxa"/>
            <w:vAlign w:val="bottom"/>
            <w:shd w:val="clear" w:color="auto" w:fill="CCEEFF"/>
          </w:tcPr>
          <w:p>
            <w:pPr>
              <w:spacing w:after="0"/>
              <w:rPr>
                <w:sz w:val="20"/>
                <w:szCs w:val="20"/>
                <w:color w:val="auto"/>
              </w:rPr>
            </w:pP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Officer of Bpifrance</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CAROLE ABBEY DUVAL</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Head of the Steering Department at Caisse des Dépôts</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ANTOINE SAINTOYANT</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 xml:space="preserve">Director, </w:t>
            </w:r>
            <w:r>
              <w:rPr>
                <w:rFonts w:ascii="Arial" w:cs="Arial" w:eastAsia="Arial" w:hAnsi="Arial"/>
                <w:sz w:val="18"/>
                <w:szCs w:val="18"/>
                <w:color w:val="auto"/>
              </w:rPr>
              <w:t>Director of strategic holdings at Caisse des Dépôts</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FREDERIC SAINT-GEOURS</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Director of Société nationale SNCF</w:t>
            </w:r>
          </w:p>
        </w:tc>
      </w:tr>
    </w:tbl>
    <w:p>
      <w:pPr>
        <w:spacing w:after="0" w:line="198" w:lineRule="exact"/>
        <w:rPr>
          <w:sz w:val="20"/>
          <w:szCs w:val="20"/>
          <w:color w:val="auto"/>
        </w:rPr>
      </w:pPr>
    </w:p>
    <w:p>
      <w:pPr>
        <w:sectPr>
          <w:pgSz w:w="11900" w:h="16838" w:orient="portrait"/>
          <w:cols w:equalWidth="0" w:num="1">
            <w:col w:w="11240"/>
          </w:cols>
          <w:pgMar w:left="320" w:top="715" w:right="339" w:bottom="1440" w:gutter="0" w:footer="0" w:header="0"/>
        </w:sectPr>
      </w:pPr>
    </w:p>
    <w:p>
      <w:pPr>
        <w:spacing w:after="0" w:line="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FRENCH STATE, represented by CHARLES SARRAZIN</w:t>
      </w:r>
    </w:p>
    <w:p>
      <w:pPr>
        <w:spacing w:after="0" w:line="20" w:lineRule="exact"/>
        <w:rPr>
          <w:sz w:val="20"/>
          <w:szCs w:val="20"/>
          <w:color w:val="auto"/>
        </w:rPr>
      </w:pPr>
      <w:r>
        <w:rPr>
          <w:sz w:val="20"/>
          <w:szCs w:val="20"/>
          <w:color w:val="auto"/>
        </w:rPr>
        <w:br w:type="column"/>
      </w:r>
    </w:p>
    <w:p>
      <w:pPr>
        <w:ind w:right="80"/>
        <w:spacing w:after="0" w:line="282" w:lineRule="auto"/>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in charge of shareholding interests in the Service &amp; Finance sectors, Agence des Participations</w:t>
      </w:r>
      <w:r>
        <w:rPr>
          <w:rFonts w:ascii="Arial" w:cs="Arial" w:eastAsia="Arial" w:hAnsi="Arial"/>
          <w:sz w:val="18"/>
          <w:szCs w:val="18"/>
          <w:b w:val="1"/>
          <w:bCs w:val="1"/>
          <w:color w:val="auto"/>
        </w:rPr>
        <w:t xml:space="preserve"> </w:t>
      </w:r>
      <w:r>
        <w:rPr>
          <w:rFonts w:ascii="Arial" w:cs="Arial" w:eastAsia="Arial" w:hAnsi="Arial"/>
          <w:sz w:val="18"/>
          <w:szCs w:val="18"/>
          <w:color w:val="auto"/>
        </w:rPr>
        <w:t>de l’Etat (French State Shareholding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-296545</wp:posOffset>
            </wp:positionV>
            <wp:extent cx="713232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3300" w:space="320"/>
            <w:col w:w="7620"/>
          </w:cols>
          <w:pgMar w:left="320" w:top="715"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CONSTANCE VALIGNY</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Assistant Director for macroeconomic policies, Direction Générale du Trésor (French</w:t>
            </w:r>
          </w:p>
        </w:tc>
      </w:tr>
      <w:tr>
        <w:trPr>
          <w:trHeight w:val="230"/>
        </w:trPr>
        <w:tc>
          <w:tcPr>
            <w:tcW w:w="3380" w:type="dxa"/>
            <w:vAlign w:val="bottom"/>
            <w:shd w:val="clear" w:color="auto" w:fill="CCEEFF"/>
          </w:tcPr>
          <w:p>
            <w:pPr>
              <w:spacing w:after="0"/>
              <w:rPr>
                <w:sz w:val="20"/>
                <w:szCs w:val="20"/>
                <w:color w:val="auto"/>
              </w:rPr>
            </w:pP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Treasury)</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CHLOE MAYENOBE</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deputy CEO Natixis Payment</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VICTOIRE AUBRY</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Chief Financial Officer of Icade</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SOPHIE STABILE</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Founder and CEO of Révérence</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ROMAIN BONENFANT</w:t>
            </w:r>
          </w:p>
        </w:tc>
        <w:tc>
          <w:tcPr>
            <w:tcW w:w="786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b w:val="1"/>
                <w:bCs w:val="1"/>
                <w:color w:val="auto"/>
                <w:w w:val="92"/>
              </w:rPr>
              <w:t xml:space="preserve">Director, </w:t>
            </w:r>
            <w:r>
              <w:rPr>
                <w:rFonts w:ascii="Arial" w:cs="Arial" w:eastAsia="Arial" w:hAnsi="Arial"/>
                <w:sz w:val="18"/>
                <w:szCs w:val="18"/>
                <w:color w:val="auto"/>
                <w:w w:val="92"/>
              </w:rPr>
              <w:t>Chief, Service of Industry, General Directorate for Companies of the Ministry of Economy and</w:t>
            </w:r>
          </w:p>
        </w:tc>
      </w:tr>
      <w:tr>
        <w:trPr>
          <w:trHeight w:val="230"/>
        </w:trPr>
        <w:tc>
          <w:tcPr>
            <w:tcW w:w="3380" w:type="dxa"/>
            <w:vAlign w:val="bottom"/>
            <w:shd w:val="clear" w:color="auto" w:fill="CCEEFF"/>
          </w:tcPr>
          <w:p>
            <w:pPr>
              <w:spacing w:after="0"/>
              <w:rPr>
                <w:sz w:val="20"/>
                <w:szCs w:val="20"/>
                <w:color w:val="auto"/>
              </w:rPr>
            </w:pP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Finance</w:t>
            </w:r>
          </w:p>
        </w:tc>
      </w:tr>
      <w:tr>
        <w:trPr>
          <w:trHeight w:val="540"/>
        </w:trPr>
        <w:tc>
          <w:tcPr>
            <w:tcW w:w="338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240" w:type="dxa"/>
            <w:vAlign w:val="bottom"/>
          </w:tcPr>
          <w:p>
            <w:pPr>
              <w:spacing w:after="0"/>
              <w:rPr>
                <w:sz w:val="24"/>
                <w:szCs w:val="24"/>
                <w:color w:val="auto"/>
              </w:rPr>
            </w:pPr>
          </w:p>
        </w:tc>
        <w:tc>
          <w:tcPr>
            <w:tcW w:w="7620" w:type="dxa"/>
            <w:vAlign w:val="bottom"/>
          </w:tcPr>
          <w:p>
            <w:pPr>
              <w:spacing w:after="0"/>
              <w:rPr>
                <w:sz w:val="24"/>
                <w:szCs w:val="24"/>
                <w:color w:val="auto"/>
              </w:rPr>
            </w:pPr>
          </w:p>
        </w:tc>
      </w:tr>
      <w:tr>
        <w:trPr>
          <w:trHeight w:val="432"/>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4"/>
                <w:szCs w:val="24"/>
                <w:color w:val="auto"/>
              </w:rPr>
            </w:pPr>
          </w:p>
        </w:tc>
        <w:tc>
          <w:tcPr>
            <w:tcW w:w="7620" w:type="dxa"/>
            <w:vAlign w:val="bottom"/>
            <w:tcBorders>
              <w:bottom w:val="single" w:sz="8" w:color="auto"/>
            </w:tcBorders>
          </w:tcPr>
          <w:p>
            <w:pPr>
              <w:ind w:left="2060"/>
              <w:spacing w:after="0"/>
              <w:rPr>
                <w:sz w:val="20"/>
                <w:szCs w:val="20"/>
                <w:color w:val="auto"/>
              </w:rPr>
            </w:pPr>
            <w:r>
              <w:rPr>
                <w:rFonts w:ascii="Arial" w:cs="Arial" w:eastAsia="Arial" w:hAnsi="Arial"/>
                <w:sz w:val="18"/>
                <w:szCs w:val="18"/>
                <w:b w:val="1"/>
                <w:bCs w:val="1"/>
                <w:color w:val="auto"/>
              </w:rPr>
              <w:t>Present Principal Occupation or Employment</w:t>
            </w:r>
          </w:p>
        </w:tc>
      </w:tr>
      <w:tr>
        <w:trPr>
          <w:trHeight w:val="209"/>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NICOLAS DUFOURCQ</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Chief Executive Officer</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JOSÉ GONZALO</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Executive Director</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PIERRE BENEDETTI</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Chief Financial Officer</w:t>
            </w:r>
          </w:p>
        </w:tc>
      </w:tr>
      <w:tr>
        <w:trPr>
          <w:trHeight w:val="763"/>
        </w:trPr>
        <w:tc>
          <w:tcPr>
            <w:tcW w:w="3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A-1</w:t>
            </w:r>
          </w:p>
        </w:tc>
      </w:tr>
    </w:tbl>
    <w:p>
      <w:pPr>
        <w:sectPr>
          <w:pgSz w:w="11900" w:h="16838" w:orient="portrait"/>
          <w:cols w:equalWidth="0" w:num="1">
            <w:col w:w="11240"/>
          </w:cols>
          <w:pgMar w:left="320" w:top="715"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Name, business address, present principal occupation or employment and place of citizenship of the directors and executive officers of</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CAISSE DES DÉPÔTS</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name, business address and present principal occupation or employment of each of the members of the Management Committee of Caisse des Dépôts are set forth below. The business address of each director and executive officer is Caisse des Dépôts, c/o 56, rue de Lille, 75007 Paris, France. Unless otherwise indicated, each such person is a citizen of France.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rPr>
              <w:t>MANAGEMENT COMMITTEE</w:t>
            </w:r>
          </w:p>
        </w:tc>
        <w:tc>
          <w:tcPr>
            <w:tcW w:w="240" w:type="dxa"/>
            <w:vAlign w:val="bottom"/>
          </w:tcPr>
          <w:p>
            <w:pPr>
              <w:spacing w:after="0"/>
              <w:rPr>
                <w:sz w:val="20"/>
                <w:szCs w:val="20"/>
                <w:color w:val="auto"/>
              </w:rPr>
            </w:pPr>
          </w:p>
        </w:tc>
        <w:tc>
          <w:tcPr>
            <w:tcW w:w="7620" w:type="dxa"/>
            <w:vAlign w:val="bottom"/>
          </w:tcPr>
          <w:p>
            <w:pPr>
              <w:spacing w:after="0"/>
              <w:rPr>
                <w:sz w:val="20"/>
                <w:szCs w:val="20"/>
                <w:color w:val="auto"/>
              </w:rPr>
            </w:pPr>
          </w:p>
        </w:tc>
      </w:tr>
      <w:tr>
        <w:trPr>
          <w:trHeight w:val="432"/>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4"/>
                <w:szCs w:val="24"/>
                <w:color w:val="auto"/>
              </w:rPr>
            </w:pPr>
          </w:p>
        </w:tc>
        <w:tc>
          <w:tcPr>
            <w:tcW w:w="7620" w:type="dxa"/>
            <w:vAlign w:val="bottom"/>
            <w:tcBorders>
              <w:bottom w:val="single" w:sz="8" w:color="auto"/>
            </w:tcBorders>
          </w:tcPr>
          <w:p>
            <w:pPr>
              <w:ind w:left="2020"/>
              <w:spacing w:after="0"/>
              <w:rPr>
                <w:sz w:val="20"/>
                <w:szCs w:val="20"/>
                <w:color w:val="auto"/>
              </w:rPr>
            </w:pPr>
            <w:r>
              <w:rPr>
                <w:rFonts w:ascii="Arial" w:cs="Arial" w:eastAsia="Arial" w:hAnsi="Arial"/>
                <w:sz w:val="18"/>
                <w:szCs w:val="18"/>
                <w:b w:val="1"/>
                <w:bCs w:val="1"/>
                <w:color w:val="auto"/>
              </w:rPr>
              <w:t>Present Principal Occupation or Employment</w:t>
            </w:r>
          </w:p>
        </w:tc>
      </w:tr>
      <w:tr>
        <w:trPr>
          <w:trHeight w:val="209"/>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ERIC LOMBARD</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Chief Executive Officer of Caisse des Dépôts</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OLIVIER SICHEL</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Deputy Chief Executive Officer of Caisse des Dépôts</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NICOLAS DUFOURCQ</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Chief Executive Officer of Bpifrance</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VIRGINIE CHAPRON-DU JEU</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 of Finance for the Caisse des Dépôts Group</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PIERRE CHEVALIER</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Head of Legal and Tax Department</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NATHALIE TUBIANA</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Risk Director of the Caisse des Dépôts Group</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OLIVIER MAREUSE</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Chief Investment officer - Director of Savings Funds at Caisse des Dépôts</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CATHERINE MAYENOBE</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Secretary General of Caisse des Dépôts Group</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PAUL PENY</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Caisse des Dépôts Group Human Resources Director</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SOPHIE QUATREHOMME</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Group Corporate Communications Director</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MICHEL YAHIEL</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Pensions and Solidarity Director</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ANTOINE SAINTOYANT</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 of strategic holdings at Caisse des Dépôts</w:t>
            </w:r>
          </w:p>
        </w:tc>
      </w:tr>
      <w:tr>
        <w:trPr>
          <w:trHeight w:val="756"/>
        </w:trPr>
        <w:tc>
          <w:tcPr>
            <w:tcW w:w="3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A-2</w:t>
            </w:r>
          </w:p>
        </w:tc>
      </w:tr>
    </w:tbl>
    <w:p>
      <w:pPr>
        <w:sectPr>
          <w:pgSz w:w="11900" w:h="16838" w:orient="portrait"/>
          <w:cols w:equalWidth="0" w:num="1">
            <w:col w:w="11240"/>
          </w:cols>
          <w:pgMar w:left="320" w:top="91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APPENDIX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Name, business address, present principal occupation or employment and place of citizenship of the directors and executive officers of</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EPIC BPIFRANCE</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name, business address and present principal occupation or employment of each of the directors and executive officers of EPIC Bpifrance are set forth below. The business address of each director and executive officer is EPIC Bpifrance, 27-31, avenue du Général Leclerc, 94710 Maisons-Alfort Cedex, France. Unless otherwise indicated, each director and executive officer is a citizen of France.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rPr>
              <w:t>DIRECTORS</w:t>
            </w:r>
          </w:p>
        </w:tc>
        <w:tc>
          <w:tcPr>
            <w:tcW w:w="240" w:type="dxa"/>
            <w:vAlign w:val="bottom"/>
          </w:tcPr>
          <w:p>
            <w:pPr>
              <w:spacing w:after="0"/>
              <w:rPr>
                <w:sz w:val="20"/>
                <w:szCs w:val="20"/>
                <w:color w:val="auto"/>
              </w:rPr>
            </w:pPr>
          </w:p>
        </w:tc>
        <w:tc>
          <w:tcPr>
            <w:tcW w:w="7620" w:type="dxa"/>
            <w:vAlign w:val="bottom"/>
          </w:tcPr>
          <w:p>
            <w:pPr>
              <w:spacing w:after="0"/>
              <w:rPr>
                <w:sz w:val="20"/>
                <w:szCs w:val="20"/>
                <w:color w:val="auto"/>
              </w:rPr>
            </w:pPr>
          </w:p>
        </w:tc>
      </w:tr>
      <w:tr>
        <w:trPr>
          <w:trHeight w:val="432"/>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4"/>
                <w:szCs w:val="24"/>
                <w:color w:val="auto"/>
              </w:rPr>
            </w:pPr>
          </w:p>
        </w:tc>
        <w:tc>
          <w:tcPr>
            <w:tcW w:w="7620" w:type="dxa"/>
            <w:vAlign w:val="bottom"/>
            <w:tcBorders>
              <w:bottom w:val="single" w:sz="8" w:color="auto"/>
            </w:tcBorders>
          </w:tcPr>
          <w:p>
            <w:pPr>
              <w:ind w:left="2020"/>
              <w:spacing w:after="0"/>
              <w:rPr>
                <w:sz w:val="20"/>
                <w:szCs w:val="20"/>
                <w:color w:val="auto"/>
              </w:rPr>
            </w:pPr>
            <w:r>
              <w:rPr>
                <w:rFonts w:ascii="Arial" w:cs="Arial" w:eastAsia="Arial" w:hAnsi="Arial"/>
                <w:sz w:val="18"/>
                <w:szCs w:val="18"/>
                <w:b w:val="1"/>
                <w:bCs w:val="1"/>
                <w:color w:val="auto"/>
              </w:rPr>
              <w:t>Present Principal Occupation or Employment</w:t>
            </w:r>
          </w:p>
        </w:tc>
      </w:tr>
      <w:tr>
        <w:trPr>
          <w:trHeight w:val="210"/>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CHRISTIAN BODIN</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 Chairman, Chief Executive Officer of EPIC Bpifrance</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PIERRE-LOUIS AUTIN</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97"/>
              </w:rPr>
              <w:t>Director</w:t>
            </w:r>
            <w:r>
              <w:rPr>
                <w:rFonts w:ascii="Arial" w:cs="Arial" w:eastAsia="Arial" w:hAnsi="Arial"/>
                <w:sz w:val="18"/>
                <w:szCs w:val="18"/>
                <w:color w:val="auto"/>
                <w:w w:val="97"/>
              </w:rPr>
              <w:t>, Head of department SITTAR at the Higher Education, Research and Innovation Ministry</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YANN POUËZAT</w:t>
            </w:r>
          </w:p>
        </w:tc>
        <w:tc>
          <w:tcPr>
            <w:tcW w:w="786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Deputy Director at the Directorate of Financing, Industry and Market of the Ministry of</w:t>
            </w:r>
          </w:p>
        </w:tc>
      </w:tr>
      <w:tr>
        <w:trPr>
          <w:trHeight w:val="230"/>
        </w:trPr>
        <w:tc>
          <w:tcPr>
            <w:tcW w:w="3380" w:type="dxa"/>
            <w:vAlign w:val="bottom"/>
            <w:shd w:val="clear" w:color="auto" w:fill="CCEEFF"/>
          </w:tcPr>
          <w:p>
            <w:pPr>
              <w:spacing w:after="0"/>
              <w:rPr>
                <w:sz w:val="20"/>
                <w:szCs w:val="20"/>
                <w:color w:val="auto"/>
              </w:rPr>
            </w:pP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Economy and Finance</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ALBAN HAUTIER</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92"/>
              </w:rPr>
              <w:t>Director</w:t>
            </w:r>
            <w:r>
              <w:rPr>
                <w:rFonts w:ascii="Arial" w:cs="Arial" w:eastAsia="Arial" w:hAnsi="Arial"/>
                <w:sz w:val="18"/>
                <w:szCs w:val="18"/>
                <w:color w:val="auto"/>
                <w:w w:val="92"/>
              </w:rPr>
              <w:t>, Deputy Director at the General Directorate for Budget of the Ministry of Economy and Finance</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VINCENT TEJEDOR</w:t>
            </w:r>
          </w:p>
        </w:tc>
        <w:tc>
          <w:tcPr>
            <w:tcW w:w="786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b w:val="1"/>
                <w:bCs w:val="1"/>
                <w:color w:val="auto"/>
                <w:w w:val="99"/>
              </w:rPr>
              <w:t>Director</w:t>
            </w:r>
            <w:r>
              <w:rPr>
                <w:rFonts w:ascii="Arial" w:cs="Arial" w:eastAsia="Arial" w:hAnsi="Arial"/>
                <w:sz w:val="18"/>
                <w:szCs w:val="18"/>
                <w:color w:val="auto"/>
                <w:w w:val="99"/>
              </w:rPr>
              <w:t>, Assistant Director in charge of the development of enterprises, General Directorate for</w:t>
            </w:r>
          </w:p>
        </w:tc>
      </w:tr>
      <w:tr>
        <w:trPr>
          <w:trHeight w:val="230"/>
        </w:trPr>
        <w:tc>
          <w:tcPr>
            <w:tcW w:w="3380" w:type="dxa"/>
            <w:vAlign w:val="bottom"/>
            <w:shd w:val="clear" w:color="auto" w:fill="CCEEFF"/>
          </w:tcPr>
          <w:p>
            <w:pPr>
              <w:spacing w:after="0"/>
              <w:rPr>
                <w:sz w:val="20"/>
                <w:szCs w:val="20"/>
                <w:color w:val="auto"/>
              </w:rPr>
            </w:pP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Companies of the Ministry of Economy and Finance</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NAOMI PERES</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Deputy General Secretary for Public Investment</w:t>
            </w:r>
          </w:p>
        </w:tc>
      </w:tr>
      <w:tr>
        <w:trPr>
          <w:trHeight w:val="756"/>
        </w:trPr>
        <w:tc>
          <w:tcPr>
            <w:tcW w:w="3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A-3</w:t>
            </w:r>
          </w:p>
        </w:tc>
      </w:tr>
    </w:tbl>
    <w:p>
      <w:pPr>
        <w:sectPr>
          <w:pgSz w:w="11900" w:h="16838" w:orient="portrait"/>
          <w:cols w:equalWidth="0" w:num="1">
            <w:col w:w="11240"/>
          </w:cols>
          <w:pgMar w:left="320" w:top="91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APPENDIX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Name, business address, present principal occupation or employment and place of citizenship of the directors and executive officers of</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BPIFRANCE S.A.</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name, business address and present principal occupation or employment of each of the directors and executive officers of Bpifrance S.A. are set forth below. The business address of each director and executive officer is Bpifrance S.A., 27-31, avenue du Général Leclerc, 94710 Maisons-Alfort Cedex, France. Unless otherwise indicated, each director and executive officer is a citizen of France.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rPr>
              <w:t>DIRECTORS</w:t>
            </w:r>
          </w:p>
        </w:tc>
        <w:tc>
          <w:tcPr>
            <w:tcW w:w="240" w:type="dxa"/>
            <w:vAlign w:val="bottom"/>
          </w:tcPr>
          <w:p>
            <w:pPr>
              <w:spacing w:after="0"/>
              <w:rPr>
                <w:sz w:val="20"/>
                <w:szCs w:val="20"/>
                <w:color w:val="auto"/>
              </w:rPr>
            </w:pPr>
          </w:p>
        </w:tc>
        <w:tc>
          <w:tcPr>
            <w:tcW w:w="7620" w:type="dxa"/>
            <w:vAlign w:val="bottom"/>
          </w:tcPr>
          <w:p>
            <w:pPr>
              <w:spacing w:after="0"/>
              <w:rPr>
                <w:sz w:val="20"/>
                <w:szCs w:val="20"/>
                <w:color w:val="auto"/>
              </w:rPr>
            </w:pPr>
          </w:p>
        </w:tc>
      </w:tr>
      <w:tr>
        <w:trPr>
          <w:trHeight w:val="432"/>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4"/>
                <w:szCs w:val="24"/>
                <w:color w:val="auto"/>
              </w:rPr>
            </w:pPr>
          </w:p>
        </w:tc>
        <w:tc>
          <w:tcPr>
            <w:tcW w:w="7620" w:type="dxa"/>
            <w:vAlign w:val="bottom"/>
            <w:tcBorders>
              <w:bottom w:val="single" w:sz="8" w:color="auto"/>
            </w:tcBorders>
          </w:tcPr>
          <w:p>
            <w:pPr>
              <w:ind w:left="2020"/>
              <w:spacing w:after="0"/>
              <w:rPr>
                <w:sz w:val="20"/>
                <w:szCs w:val="20"/>
                <w:color w:val="auto"/>
              </w:rPr>
            </w:pPr>
            <w:r>
              <w:rPr>
                <w:rFonts w:ascii="Arial" w:cs="Arial" w:eastAsia="Arial" w:hAnsi="Arial"/>
                <w:sz w:val="18"/>
                <w:szCs w:val="18"/>
                <w:b w:val="1"/>
                <w:bCs w:val="1"/>
                <w:color w:val="auto"/>
              </w:rPr>
              <w:t>Present Principal Occupation or Employment</w:t>
            </w:r>
          </w:p>
        </w:tc>
      </w:tr>
      <w:tr>
        <w:trPr>
          <w:trHeight w:val="209"/>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ERIC LOMBARD</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 xml:space="preserve">Director, Chairman, </w:t>
            </w:r>
            <w:r>
              <w:rPr>
                <w:rFonts w:ascii="Arial" w:cs="Arial" w:eastAsia="Arial" w:hAnsi="Arial"/>
                <w:sz w:val="18"/>
                <w:szCs w:val="18"/>
                <w:color w:val="auto"/>
              </w:rPr>
              <w:t>Chief Executive Officer of the Caisse des Dépôts</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NICOLAS DUFOURCQ</w:t>
            </w:r>
          </w:p>
        </w:tc>
        <w:tc>
          <w:tcPr>
            <w:tcW w:w="786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b w:val="1"/>
                <w:bCs w:val="1"/>
                <w:color w:val="auto"/>
                <w:w w:val="92"/>
              </w:rPr>
              <w:t xml:space="preserve">Director, Chief Executive Officer of Bpifrance </w:t>
            </w:r>
            <w:r>
              <w:rPr>
                <w:rFonts w:ascii="Arial" w:cs="Arial" w:eastAsia="Arial" w:hAnsi="Arial"/>
                <w:sz w:val="18"/>
                <w:szCs w:val="18"/>
                <w:color w:val="auto"/>
                <w:w w:val="92"/>
              </w:rPr>
              <w:t>and Director, Chairman and Chief Executive Officer of</w:t>
            </w:r>
          </w:p>
        </w:tc>
      </w:tr>
      <w:tr>
        <w:trPr>
          <w:trHeight w:val="230"/>
        </w:trPr>
        <w:tc>
          <w:tcPr>
            <w:tcW w:w="3380" w:type="dxa"/>
            <w:vAlign w:val="bottom"/>
            <w:shd w:val="clear" w:color="auto" w:fill="CCEEFF"/>
          </w:tcPr>
          <w:p>
            <w:pPr>
              <w:spacing w:after="0"/>
              <w:rPr>
                <w:sz w:val="20"/>
                <w:szCs w:val="20"/>
                <w:color w:val="auto"/>
              </w:rPr>
            </w:pP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Bpifrance Participations</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MARTIN VIAL</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96"/>
              </w:rPr>
              <w:t>Director</w:t>
            </w:r>
            <w:r>
              <w:rPr>
                <w:rFonts w:ascii="Arial" w:cs="Arial" w:eastAsia="Arial" w:hAnsi="Arial"/>
                <w:sz w:val="18"/>
                <w:szCs w:val="18"/>
                <w:color w:val="auto"/>
                <w:w w:val="96"/>
              </w:rPr>
              <w:t>, Chairman of the Agence des Participations de l’Etat (French State Shareholding Agency)</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MARIE DELEAGE</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 representing the employees of Bpifrance</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PHILIPPE BAYEUX</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 representing the employees of Bpifrance</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VIRGINIE CHAPRON-DU JEU</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w:t>
            </w:r>
            <w:r>
              <w:rPr>
                <w:rFonts w:ascii="Arial" w:cs="Arial" w:eastAsia="Arial" w:hAnsi="Arial"/>
                <w:sz w:val="18"/>
                <w:szCs w:val="18"/>
                <w:b w:val="1"/>
                <w:bCs w:val="1"/>
                <w:color w:val="auto"/>
              </w:rPr>
              <w:t xml:space="preserve"> Director of Finance for the Caisse des Dépôts Group</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2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CLAIRE DUMAS</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Finance Director at Société Générale</w:t>
            </w:r>
          </w:p>
        </w:tc>
      </w:tr>
      <w:tr>
        <w:trPr>
          <w:trHeight w:val="216"/>
        </w:trPr>
        <w:tc>
          <w:tcPr>
            <w:tcW w:w="3380" w:type="dxa"/>
            <w:vAlign w:val="bottom"/>
          </w:tcPr>
          <w:p>
            <w:pPr>
              <w:spacing w:after="0"/>
              <w:rPr>
                <w:sz w:val="18"/>
                <w:szCs w:val="18"/>
                <w:color w:val="auto"/>
              </w:rPr>
            </w:pPr>
          </w:p>
        </w:tc>
        <w:tc>
          <w:tcPr>
            <w:tcW w:w="7860" w:type="dxa"/>
            <w:vAlign w:val="bottom"/>
            <w:gridSpan w:val="2"/>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CATHERINE LAGNEAU</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Deputy Director of the General council of economy</w:t>
            </w:r>
          </w:p>
        </w:tc>
      </w:tr>
      <w:tr>
        <w:trPr>
          <w:trHeight w:val="216"/>
        </w:trPr>
        <w:tc>
          <w:tcPr>
            <w:tcW w:w="3380" w:type="dxa"/>
            <w:vAlign w:val="bottom"/>
          </w:tcPr>
          <w:p>
            <w:pPr>
              <w:spacing w:after="0"/>
              <w:rPr>
                <w:sz w:val="18"/>
                <w:szCs w:val="18"/>
                <w:color w:val="auto"/>
              </w:rPr>
            </w:pPr>
          </w:p>
        </w:tc>
        <w:tc>
          <w:tcPr>
            <w:tcW w:w="7860" w:type="dxa"/>
            <w:vAlign w:val="bottom"/>
            <w:gridSpan w:val="2"/>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ANTOINE SAINTOYANT</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Director of strategic holdings at Caisse des Dépôts</w:t>
            </w:r>
          </w:p>
        </w:tc>
      </w:tr>
      <w:tr>
        <w:trPr>
          <w:trHeight w:val="216"/>
        </w:trPr>
        <w:tc>
          <w:tcPr>
            <w:tcW w:w="3380" w:type="dxa"/>
            <w:vAlign w:val="bottom"/>
          </w:tcPr>
          <w:p>
            <w:pPr>
              <w:spacing w:after="0"/>
              <w:rPr>
                <w:sz w:val="18"/>
                <w:szCs w:val="18"/>
                <w:color w:val="auto"/>
              </w:rPr>
            </w:pPr>
          </w:p>
        </w:tc>
        <w:tc>
          <w:tcPr>
            <w:tcW w:w="7860" w:type="dxa"/>
            <w:vAlign w:val="bottom"/>
            <w:gridSpan w:val="2"/>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BERNARD DELPIT</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Chief Financial Officer of Safran</w:t>
            </w:r>
          </w:p>
        </w:tc>
      </w:tr>
      <w:tr>
        <w:trPr>
          <w:trHeight w:val="216"/>
        </w:trPr>
        <w:tc>
          <w:tcPr>
            <w:tcW w:w="3380" w:type="dxa"/>
            <w:vAlign w:val="bottom"/>
          </w:tcPr>
          <w:p>
            <w:pPr>
              <w:spacing w:after="0"/>
              <w:rPr>
                <w:sz w:val="18"/>
                <w:szCs w:val="18"/>
                <w:color w:val="auto"/>
              </w:rPr>
            </w:pPr>
          </w:p>
        </w:tc>
        <w:tc>
          <w:tcPr>
            <w:tcW w:w="7860" w:type="dxa"/>
            <w:vAlign w:val="bottom"/>
            <w:gridSpan w:val="2"/>
          </w:tcPr>
          <w:p>
            <w:pPr>
              <w:spacing w:after="0"/>
              <w:rPr>
                <w:sz w:val="18"/>
                <w:szCs w:val="18"/>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ANNABEL ANDRE</w:t>
            </w:r>
          </w:p>
        </w:tc>
        <w:tc>
          <w:tcPr>
            <w:tcW w:w="786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b w:val="1"/>
                <w:bCs w:val="1"/>
                <w:color w:val="auto"/>
                <w:w w:val="93"/>
              </w:rPr>
              <w:t>Director</w:t>
            </w:r>
            <w:r>
              <w:rPr>
                <w:rFonts w:ascii="Arial" w:cs="Arial" w:eastAsia="Arial" w:hAnsi="Arial"/>
                <w:sz w:val="18"/>
                <w:szCs w:val="18"/>
                <w:color w:val="auto"/>
                <w:w w:val="93"/>
              </w:rPr>
              <w:t>, Vice-president of the Regional Council of Auvergne-Rhone-Alpes, delegate for the economy</w:t>
            </w:r>
          </w:p>
        </w:tc>
      </w:tr>
      <w:tr>
        <w:trPr>
          <w:trHeight w:val="230"/>
        </w:trPr>
        <w:tc>
          <w:tcPr>
            <w:tcW w:w="3380" w:type="dxa"/>
            <w:vAlign w:val="bottom"/>
            <w:shd w:val="clear" w:color="auto" w:fill="CCEEFF"/>
          </w:tcPr>
          <w:p>
            <w:pPr>
              <w:spacing w:after="0"/>
              <w:rPr>
                <w:sz w:val="20"/>
                <w:szCs w:val="20"/>
                <w:color w:val="auto"/>
              </w:rPr>
            </w:pP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and companies</w:t>
            </w:r>
          </w:p>
        </w:tc>
      </w:tr>
      <w:tr>
        <w:trPr>
          <w:trHeight w:val="216"/>
        </w:trPr>
        <w:tc>
          <w:tcPr>
            <w:tcW w:w="3380" w:type="dxa"/>
            <w:vAlign w:val="bottom"/>
          </w:tcPr>
          <w:p>
            <w:pPr>
              <w:spacing w:after="0"/>
              <w:rPr>
                <w:sz w:val="18"/>
                <w:szCs w:val="18"/>
                <w:color w:val="auto"/>
              </w:rPr>
            </w:pPr>
          </w:p>
        </w:tc>
        <w:tc>
          <w:tcPr>
            <w:tcW w:w="7860" w:type="dxa"/>
            <w:vAlign w:val="bottom"/>
            <w:gridSpan w:val="2"/>
          </w:tcPr>
          <w:p>
            <w:pPr>
              <w:spacing w:after="0"/>
              <w:rPr>
                <w:sz w:val="18"/>
                <w:szCs w:val="18"/>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HAROLD HUWART</w:t>
            </w:r>
          </w:p>
        </w:tc>
        <w:tc>
          <w:tcPr>
            <w:tcW w:w="786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b w:val="1"/>
                <w:bCs w:val="1"/>
                <w:color w:val="auto"/>
                <w:w w:val="96"/>
              </w:rPr>
              <w:t>Director</w:t>
            </w:r>
            <w:r>
              <w:rPr>
                <w:rFonts w:ascii="Arial" w:cs="Arial" w:eastAsia="Arial" w:hAnsi="Arial"/>
                <w:sz w:val="18"/>
                <w:szCs w:val="18"/>
                <w:color w:val="auto"/>
                <w:w w:val="96"/>
              </w:rPr>
              <w:t>, Vice-president of the Regional Council of Centre-Val-de-Loire, in charge of the economy,</w:t>
            </w:r>
          </w:p>
        </w:tc>
      </w:tr>
      <w:tr>
        <w:trPr>
          <w:trHeight w:val="230"/>
        </w:trPr>
        <w:tc>
          <w:tcPr>
            <w:tcW w:w="3380" w:type="dxa"/>
            <w:vAlign w:val="bottom"/>
            <w:shd w:val="clear" w:color="auto" w:fill="CCEEFF"/>
          </w:tcPr>
          <w:p>
            <w:pPr>
              <w:spacing w:after="0"/>
              <w:rPr>
                <w:sz w:val="20"/>
                <w:szCs w:val="20"/>
                <w:color w:val="auto"/>
              </w:rPr>
            </w:pP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farming and associations</w:t>
            </w:r>
          </w:p>
        </w:tc>
      </w:tr>
      <w:tr>
        <w:trPr>
          <w:trHeight w:val="216"/>
        </w:trPr>
        <w:tc>
          <w:tcPr>
            <w:tcW w:w="3380" w:type="dxa"/>
            <w:vAlign w:val="bottom"/>
          </w:tcPr>
          <w:p>
            <w:pPr>
              <w:spacing w:after="0"/>
              <w:rPr>
                <w:sz w:val="18"/>
                <w:szCs w:val="18"/>
                <w:color w:val="auto"/>
              </w:rPr>
            </w:pPr>
          </w:p>
        </w:tc>
        <w:tc>
          <w:tcPr>
            <w:tcW w:w="7860" w:type="dxa"/>
            <w:vAlign w:val="bottom"/>
            <w:gridSpan w:val="2"/>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CAROLE ABBEY DUVAL</w:t>
            </w: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Head of the Steering Department at Caisse des Dépôts</w:t>
            </w:r>
          </w:p>
        </w:tc>
      </w:tr>
      <w:tr>
        <w:trPr>
          <w:trHeight w:val="216"/>
        </w:trPr>
        <w:tc>
          <w:tcPr>
            <w:tcW w:w="3380" w:type="dxa"/>
            <w:vAlign w:val="bottom"/>
          </w:tcPr>
          <w:p>
            <w:pPr>
              <w:spacing w:after="0"/>
              <w:rPr>
                <w:sz w:val="18"/>
                <w:szCs w:val="18"/>
                <w:color w:val="auto"/>
              </w:rPr>
            </w:pPr>
          </w:p>
        </w:tc>
        <w:tc>
          <w:tcPr>
            <w:tcW w:w="7860" w:type="dxa"/>
            <w:vAlign w:val="bottom"/>
            <w:gridSpan w:val="2"/>
          </w:tcPr>
          <w:p>
            <w:pPr>
              <w:spacing w:after="0"/>
              <w:rPr>
                <w:sz w:val="18"/>
                <w:szCs w:val="18"/>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DIANE SIMIU</w:t>
            </w:r>
          </w:p>
        </w:tc>
        <w:tc>
          <w:tcPr>
            <w:tcW w:w="786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b w:val="1"/>
                <w:bCs w:val="1"/>
                <w:color w:val="auto"/>
                <w:w w:val="92"/>
              </w:rPr>
              <w:t>Director</w:t>
            </w:r>
            <w:r>
              <w:rPr>
                <w:rFonts w:ascii="Arial" w:cs="Arial" w:eastAsia="Arial" w:hAnsi="Arial"/>
                <w:sz w:val="18"/>
                <w:szCs w:val="18"/>
                <w:color w:val="auto"/>
                <w:w w:val="92"/>
              </w:rPr>
              <w:t>, deputy of the general commissioner for sustainable development at the Ministry for economic</w:t>
            </w:r>
          </w:p>
        </w:tc>
      </w:tr>
      <w:tr>
        <w:trPr>
          <w:trHeight w:val="216"/>
        </w:trPr>
        <w:tc>
          <w:tcPr>
            <w:tcW w:w="3380" w:type="dxa"/>
            <w:vAlign w:val="bottom"/>
            <w:shd w:val="clear" w:color="auto" w:fill="CCEEFF"/>
          </w:tcPr>
          <w:p>
            <w:pPr>
              <w:spacing w:after="0"/>
              <w:rPr>
                <w:sz w:val="18"/>
                <w:szCs w:val="18"/>
                <w:color w:val="auto"/>
              </w:rPr>
            </w:pP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and solidarity</w:t>
            </w:r>
          </w:p>
        </w:tc>
      </w:tr>
      <w:tr>
        <w:trPr>
          <w:trHeight w:val="230"/>
        </w:trPr>
        <w:tc>
          <w:tcPr>
            <w:tcW w:w="3380" w:type="dxa"/>
            <w:vAlign w:val="bottom"/>
            <w:shd w:val="clear" w:color="auto" w:fill="CCEEFF"/>
          </w:tcPr>
          <w:p>
            <w:pPr>
              <w:spacing w:after="0"/>
              <w:rPr>
                <w:sz w:val="20"/>
                <w:szCs w:val="20"/>
                <w:color w:val="auto"/>
              </w:rPr>
            </w:pPr>
          </w:p>
        </w:tc>
        <w:tc>
          <w:tcPr>
            <w:tcW w:w="7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transition</w:t>
            </w:r>
          </w:p>
        </w:tc>
      </w:tr>
      <w:tr>
        <w:trPr>
          <w:trHeight w:val="553"/>
        </w:trPr>
        <w:tc>
          <w:tcPr>
            <w:tcW w:w="3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A-4</w:t>
            </w:r>
          </w:p>
        </w:tc>
      </w:tr>
    </w:tbl>
    <w:p>
      <w:pPr>
        <w:sectPr>
          <w:pgSz w:w="11900" w:h="16838" w:orient="portrait"/>
          <w:cols w:equalWidth="0" w:num="1">
            <w:col w:w="11240"/>
          </w:cols>
          <w:pgMar w:left="320" w:top="796"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FREE TRANSLATION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EXCERPTS FROM THE EXECUTIVE ORDER OF THE FRENCH REPUBLIC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DELEGATING SIGNATURE AUTHORITY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DEPARTMENT IN CHARGE OF ASSET MANAGEMENT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CAISSE DES DÉPÔTS ET CONSIGNATIONS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November 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Caisse des dépôts et des Consignations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Executive order (</w:t>
      </w:r>
      <w:r>
        <w:rPr>
          <w:rFonts w:ascii="Arial" w:cs="Arial" w:eastAsia="Arial" w:hAnsi="Arial"/>
          <w:sz w:val="18"/>
          <w:szCs w:val="18"/>
          <w:i w:val="1"/>
          <w:iCs w:val="1"/>
          <w:color w:val="auto"/>
        </w:rPr>
        <w:t>arrêté</w:t>
      </w:r>
      <w:r>
        <w:rPr>
          <w:rFonts w:ascii="Arial" w:cs="Arial" w:eastAsia="Arial" w:hAnsi="Arial"/>
          <w:sz w:val="18"/>
          <w:szCs w:val="18"/>
          <w:color w:val="auto"/>
        </w:rPr>
        <w:t>) dated November 4, 2020 delegating power of signature for the department in charge of the savings fund and for the department in charge of asset management of the Caisse des dépôts et consignations.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General Manager of the Caisse des dépôts et consignations,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Having regard to the French Monetary and Financial Code, in particular Articles L. 518-2 et seq. and R. 518-0 et seq.;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Having regard to Title X of the Finance Act of April 28, 1816,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Having regard to the executive order dated August 17, 2016 appointing Olivier Mareuse as Director of the Caisse des dépôts et consignations,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Resolves,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Department in charge of the savings fund and for the department in charge of asset management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Art. 1 </w:t>
      </w:r>
      <w:r>
        <w:rPr>
          <w:rFonts w:ascii="Arial" w:cs="Arial" w:eastAsia="Arial" w:hAnsi="Arial"/>
          <w:sz w:val="18"/>
          <w:szCs w:val="18"/>
          <w:color w:val="auto"/>
        </w:rPr>
        <w:t>— Power of signature is given to Mr. Olivier Mareuse, director of the department in charge of the savings fund and director of the department in</w:t>
      </w:r>
      <w:r>
        <w:rPr>
          <w:rFonts w:ascii="Arial" w:cs="Arial" w:eastAsia="Arial" w:hAnsi="Arial"/>
          <w:sz w:val="18"/>
          <w:szCs w:val="18"/>
          <w:b w:val="1"/>
          <w:bCs w:val="1"/>
          <w:color w:val="auto"/>
        </w:rPr>
        <w:t xml:space="preserve"> </w:t>
      </w:r>
      <w:r>
        <w:rPr>
          <w:rFonts w:ascii="Arial" w:cs="Arial" w:eastAsia="Arial" w:hAnsi="Arial"/>
          <w:sz w:val="18"/>
          <w:szCs w:val="18"/>
          <w:color w:val="auto"/>
        </w:rPr>
        <w:t>charge of asset management (</w:t>
      </w:r>
      <w:r>
        <w:rPr>
          <w:rFonts w:ascii="Arial" w:cs="Arial" w:eastAsia="Arial" w:hAnsi="Arial"/>
          <w:sz w:val="18"/>
          <w:szCs w:val="18"/>
          <w:i w:val="1"/>
          <w:iCs w:val="1"/>
          <w:color w:val="auto"/>
        </w:rPr>
        <w:t>directeur de la direction chargée du Fonds d’épargne et de la direction chargée des Gestion d’actifs</w:t>
      </w:r>
      <w:r>
        <w:rPr>
          <w:rFonts w:ascii="Arial" w:cs="Arial" w:eastAsia="Arial" w:hAnsi="Arial"/>
          <w:sz w:val="18"/>
          <w:szCs w:val="18"/>
          <w:color w:val="auto"/>
        </w:rPr>
        <w:t>), in order to sign, on behalf of the General Manager (</w:t>
      </w:r>
      <w:r>
        <w:rPr>
          <w:rFonts w:ascii="Arial" w:cs="Arial" w:eastAsia="Arial" w:hAnsi="Arial"/>
          <w:sz w:val="18"/>
          <w:szCs w:val="18"/>
          <w:i w:val="1"/>
          <w:iCs w:val="1"/>
          <w:color w:val="auto"/>
        </w:rPr>
        <w:t>directeur général</w:t>
      </w:r>
      <w:r>
        <w:rPr>
          <w:rFonts w:ascii="Arial" w:cs="Arial" w:eastAsia="Arial" w:hAnsi="Arial"/>
          <w:sz w:val="18"/>
          <w:szCs w:val="18"/>
          <w:color w:val="auto"/>
        </w:rPr>
        <w:t>), any acts within the limit of the attributions of the department in charge of the savings fund and of the department in charge of asset management, including:</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 acts relating to the management of financial assets of the savings fund and management of financial assets of the general section, including, with faculty to substitute or give mandate, notarized acts relating to investment portfolios;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 acts relating to the financial operations processed by the intermediation service on behalf of the general section, in particular the management of treasury assets, the related derivatives and repurchase transactions, and macro-hedging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Asset management department</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Art. 5. </w:t>
      </w:r>
      <w:r>
        <w:rPr>
          <w:rFonts w:ascii="Arial" w:cs="Arial" w:eastAsia="Arial" w:hAnsi="Arial"/>
          <w:sz w:val="16"/>
          <w:szCs w:val="16"/>
          <w:color w:val="auto"/>
        </w:rPr>
        <w:t>— In the event of the absence or incapacity of Mr. Olivier Mareuse, power of signature is given to Mr. Joël Prohin, head of the investment</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department (</w:t>
      </w:r>
      <w:r>
        <w:rPr>
          <w:rFonts w:ascii="Arial" w:cs="Arial" w:eastAsia="Arial" w:hAnsi="Arial"/>
          <w:sz w:val="16"/>
          <w:szCs w:val="16"/>
          <w:i w:val="1"/>
          <w:iCs w:val="1"/>
          <w:color w:val="auto"/>
        </w:rPr>
        <w:t>responsable du département gestion des placements</w:t>
      </w:r>
      <w:r>
        <w:rPr>
          <w:rFonts w:ascii="Arial" w:cs="Arial" w:eastAsia="Arial" w:hAnsi="Arial"/>
          <w:sz w:val="16"/>
          <w:szCs w:val="16"/>
          <w:color w:val="auto"/>
        </w:rPr>
        <w:t>) and to Ms. Laurence Giraudon, head of the finance and operations department (</w:t>
      </w:r>
      <w:r>
        <w:rPr>
          <w:rFonts w:ascii="Arial" w:cs="Arial" w:eastAsia="Arial" w:hAnsi="Arial"/>
          <w:sz w:val="16"/>
          <w:szCs w:val="16"/>
          <w:i w:val="1"/>
          <w:iCs w:val="1"/>
          <w:color w:val="auto"/>
        </w:rPr>
        <w:t>responsable du département finance et operations</w:t>
      </w:r>
      <w:r>
        <w:rPr>
          <w:rFonts w:ascii="Arial" w:cs="Arial" w:eastAsia="Arial" w:hAnsi="Arial"/>
          <w:sz w:val="16"/>
          <w:szCs w:val="16"/>
          <w:color w:val="auto"/>
        </w:rPr>
        <w:t>), in order to sign on behalf of the General Manager (</w:t>
      </w:r>
      <w:r>
        <w:rPr>
          <w:rFonts w:ascii="Arial" w:cs="Arial" w:eastAsia="Arial" w:hAnsi="Arial"/>
          <w:sz w:val="16"/>
          <w:szCs w:val="16"/>
          <w:i w:val="1"/>
          <w:iCs w:val="1"/>
          <w:color w:val="auto"/>
        </w:rPr>
        <w:t>directeur général</w:t>
      </w:r>
      <w:r>
        <w:rPr>
          <w:rFonts w:ascii="Arial" w:cs="Arial" w:eastAsia="Arial" w:hAnsi="Arial"/>
          <w:sz w:val="16"/>
          <w:szCs w:val="16"/>
          <w:color w:val="auto"/>
        </w:rPr>
        <w:t>), any acts mentioned in article 1, within the limit of the attributions of their respective departments, and with the exception of the acts mentioned in paragraphs 3°, 4°, and 6°.</w:t>
      </w:r>
    </w:p>
    <w:p>
      <w:pPr>
        <w:spacing w:after="0" w:line="15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Mr. Joel Prohin and Ms. Laurence Giraudon are empowered to represent the Caisse des dépôts et consignations at meetings of board of directors, supervisory boards and shareholder’s meeting, or at the meetings of any other corporate body of companies or entities, whether or not such company or entity are legal persons, of French or non-French nationality, the monitoring of which lies within the competence of the asset management department.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 w:name="page15"/>
    <w:bookmarkEnd w:id="14"/>
    <w:p>
      <w:pPr>
        <w:jc w:val="both"/>
        <w:spacing w:after="0" w:line="266" w:lineRule="auto"/>
        <w:rPr>
          <w:sz w:val="20"/>
          <w:szCs w:val="20"/>
          <w:color w:val="auto"/>
        </w:rPr>
      </w:pPr>
      <w:r>
        <w:rPr>
          <w:rFonts w:ascii="Arial" w:cs="Arial" w:eastAsia="Arial" w:hAnsi="Arial"/>
          <w:sz w:val="18"/>
          <w:szCs w:val="18"/>
          <w:b w:val="1"/>
          <w:bCs w:val="1"/>
          <w:color w:val="auto"/>
        </w:rPr>
        <w:t xml:space="preserve">Art. 8 </w:t>
      </w:r>
      <w:r>
        <w:rPr>
          <w:rFonts w:ascii="Arial" w:cs="Arial" w:eastAsia="Arial" w:hAnsi="Arial"/>
          <w:sz w:val="18"/>
          <w:szCs w:val="18"/>
          <w:color w:val="auto"/>
        </w:rPr>
        <w:t>— In the event of the absence or incapacity of Ms. Laurence Giraudon, power of signature is given, in order to sign on behalf of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Manager (</w:t>
      </w:r>
      <w:r>
        <w:rPr>
          <w:rFonts w:ascii="Arial" w:cs="Arial" w:eastAsia="Arial" w:hAnsi="Arial"/>
          <w:sz w:val="18"/>
          <w:szCs w:val="18"/>
          <w:i w:val="1"/>
          <w:iCs w:val="1"/>
          <w:color w:val="auto"/>
        </w:rPr>
        <w:t>directeur général</w:t>
      </w:r>
      <w:r>
        <w:rPr>
          <w:rFonts w:ascii="Arial" w:cs="Arial" w:eastAsia="Arial" w:hAnsi="Arial"/>
          <w:sz w:val="18"/>
          <w:szCs w:val="18"/>
          <w:color w:val="auto"/>
        </w:rPr>
        <w:t>), any acts mentioned in the first paragraph of article 5, within the limit of the attributions of the finance and operations department (</w:t>
      </w:r>
      <w:r>
        <w:rPr>
          <w:rFonts w:ascii="Arial" w:cs="Arial" w:eastAsia="Arial" w:hAnsi="Arial"/>
          <w:sz w:val="18"/>
          <w:szCs w:val="18"/>
          <w:i w:val="1"/>
          <w:iCs w:val="1"/>
          <w:color w:val="auto"/>
        </w:rPr>
        <w:t>département finance et opérations</w:t>
      </w:r>
      <w:r>
        <w:rPr>
          <w:rFonts w:ascii="Arial" w:cs="Arial" w:eastAsia="Arial" w:hAnsi="Arial"/>
          <w:sz w:val="18"/>
          <w:szCs w:val="18"/>
          <w:color w:val="auto"/>
        </w:rPr>
        <w:t>), to: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Ms. Manuela Laudic, head of dealing desk and shareholding monitoring </w:t>
      </w:r>
      <w:r>
        <w:rPr>
          <w:rFonts w:ascii="Arial" w:cs="Arial" w:eastAsia="Arial" w:hAnsi="Arial"/>
          <w:sz w:val="18"/>
          <w:szCs w:val="18"/>
          <w:i w:val="1"/>
          <w:iCs w:val="1"/>
          <w:color w:val="auto"/>
        </w:rPr>
        <w:t>(responsable du pôle intermédiation et seuils)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 Mr. Olivier Double, head of the portfolio analysis department (</w:t>
      </w:r>
      <w:r>
        <w:rPr>
          <w:rFonts w:ascii="Arial" w:cs="Arial" w:eastAsia="Arial" w:hAnsi="Arial"/>
          <w:sz w:val="18"/>
          <w:szCs w:val="18"/>
          <w:i w:val="1"/>
          <w:iCs w:val="1"/>
          <w:color w:val="auto"/>
        </w:rPr>
        <w:t>responsable du pôle analyse de portfeuilles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 Ms. Isabelle Canel, head of the financial monitoring department (</w:t>
      </w:r>
      <w:r>
        <w:rPr>
          <w:rFonts w:ascii="Arial" w:cs="Arial" w:eastAsia="Arial" w:hAnsi="Arial"/>
          <w:sz w:val="18"/>
          <w:szCs w:val="18"/>
          <w:i w:val="1"/>
          <w:iCs w:val="1"/>
          <w:color w:val="auto"/>
        </w:rPr>
        <w:t>responsable du pôle pilotage financier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4° Mr. Frédéric Sabattier, head of the institutional and external relations department (</w:t>
      </w:r>
      <w:r>
        <w:rPr>
          <w:rFonts w:ascii="Arial" w:cs="Arial" w:eastAsia="Arial" w:hAnsi="Arial"/>
          <w:sz w:val="17"/>
          <w:szCs w:val="17"/>
          <w:i w:val="1"/>
          <w:iCs w:val="1"/>
          <w:color w:val="auto"/>
        </w:rPr>
        <w:t>responsable du service relations institutionnelles et externes</w:t>
      </w:r>
      <w:r>
        <w:rPr>
          <w:rFonts w:ascii="Arial" w:cs="Arial" w:eastAsia="Arial" w:hAnsi="Arial"/>
          <w:sz w:val="17"/>
          <w:szCs w:val="17"/>
          <w:color w:val="auto"/>
        </w:rPr>
        <w:t>).</w:t>
      </w:r>
    </w:p>
    <w:p>
      <w:pPr>
        <w:spacing w:after="0" w:line="23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Art. 9 </w:t>
      </w:r>
      <w:r>
        <w:rPr>
          <w:rFonts w:ascii="Arial" w:cs="Arial" w:eastAsia="Arial" w:hAnsi="Arial"/>
          <w:sz w:val="17"/>
          <w:szCs w:val="17"/>
          <w:color w:val="auto"/>
        </w:rPr>
        <w:t>— In the event of the absence of Ms. Laurence Giraudon, power of signature is given to Ms. Manuela Laudic, head of dealing desk and shareholding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monitoring </w:t>
      </w:r>
      <w:r>
        <w:rPr>
          <w:rFonts w:ascii="Arial" w:cs="Arial" w:eastAsia="Arial" w:hAnsi="Arial"/>
          <w:sz w:val="17"/>
          <w:szCs w:val="17"/>
          <w:i w:val="1"/>
          <w:iCs w:val="1"/>
          <w:color w:val="auto"/>
        </w:rPr>
        <w:t>(responsable du pôle intermédiation et seuils)</w:t>
      </w:r>
      <w:r>
        <w:rPr>
          <w:rFonts w:ascii="Arial" w:cs="Arial" w:eastAsia="Arial" w:hAnsi="Arial"/>
          <w:sz w:val="17"/>
          <w:szCs w:val="17"/>
          <w:color w:val="auto"/>
        </w:rPr>
        <w:t>, in order to sign, on behalf of the General Manager (</w:t>
      </w:r>
      <w:r>
        <w:rPr>
          <w:rFonts w:ascii="Arial" w:cs="Arial" w:eastAsia="Arial" w:hAnsi="Arial"/>
          <w:sz w:val="17"/>
          <w:szCs w:val="17"/>
          <w:i w:val="1"/>
          <w:iCs w:val="1"/>
          <w:color w:val="auto"/>
        </w:rPr>
        <w:t>directeur general</w:t>
      </w:r>
      <w:r>
        <w:rPr>
          <w:rFonts w:ascii="Arial" w:cs="Arial" w:eastAsia="Arial" w:hAnsi="Arial"/>
          <w:sz w:val="17"/>
          <w:szCs w:val="17"/>
          <w:color w:val="auto"/>
        </w:rPr>
        <w:t>), any acts mentioned in the first paragraph of article 5, with the exceptions to those covered in point 3° to 8° of article 1, within the limits of her attributions.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bullet"/>
      <w:start w:val="1"/>
    </w:lvl>
  </w:abstractNum>
  <w:abstractNum w:abstractNumId="1">
    <w:nsid w:val="238E1F29"/>
    <w:multiLevelType w:val="hybridMultilevel"/>
    <w:lvl w:ilvl="0">
      <w:lvlJc w:val="left"/>
      <w:lvlText w:val="2"/>
      <w:numFmt w:val="bullet"/>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4"/>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2" Type="http://schemas.openxmlformats.org/officeDocument/2006/relationships/hyperlink" Target="https://www.sec.gov/Archives/edgar/data/1681459/000114036121000939/nt10016372x4_ex10-2.htm" TargetMode="External"/><Relationship Id="rId23" Type="http://schemas.openxmlformats.org/officeDocument/2006/relationships/hyperlink" Target="https://www.sec.gov/Archives/edgar/data/1681459/000114036121000939/nt10016372x4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2021-02-19T14:58:08Z</dcterms:created>
  <dcterms:modified xsi:type="dcterms:W3CDTF">2021-02-19T14:58:08Z</dcterms:modified>
</cp:coreProperties>
</file>